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5.0" w:type="dxa"/>
        <w:jc w:val="left"/>
        <w:tblInd w:w="0.0" w:type="dxa"/>
        <w:tblBorders>
          <w:top w:color="c9f1ff" w:space="0" w:sz="4" w:val="single"/>
          <w:left w:color="c9f1ff" w:space="0" w:sz="4" w:val="single"/>
          <w:bottom w:color="c9f1ff" w:space="0" w:sz="4" w:val="single"/>
          <w:right w:color="c9f1ff" w:space="0" w:sz="4" w:val="single"/>
          <w:insideH w:color="c9f1ff" w:space="0" w:sz="4" w:val="single"/>
          <w:insideV w:color="c9f1ff" w:space="0" w:sz="4" w:val="single"/>
        </w:tblBorders>
        <w:tblLayout w:type="fixed"/>
        <w:tblLook w:val="0400"/>
      </w:tblPr>
      <w:tblGrid>
        <w:gridCol w:w="1885"/>
        <w:gridCol w:w="7110"/>
        <w:tblGridChange w:id="0">
          <w:tblGrid>
            <w:gridCol w:w="1885"/>
            <w:gridCol w:w="711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Action: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Upgrade of the Iron Gate I Navigational Lock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Code: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2016-RS-TA-0073-W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MCTI reference: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404-00-27/2018-06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Type of document: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Clarification to tender Dossier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Number of pages: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Number of attachments: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29.08.2018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Prepared by: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Irena Konjevic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Approved by: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Veljko Kovacevic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contextualSpacing w:val="0"/>
        <w:jc w:val="center"/>
        <w:rPr>
          <w:b w:val="1"/>
          <w:color w:val="00b0f0"/>
          <w:sz w:val="52"/>
          <w:szCs w:val="52"/>
        </w:rPr>
      </w:pPr>
      <w:r w:rsidDel="00000000" w:rsidR="00000000" w:rsidRPr="00000000">
        <w:rPr>
          <w:b w:val="1"/>
          <w:color w:val="00b0f0"/>
          <w:sz w:val="52"/>
          <w:szCs w:val="52"/>
          <w:rtl w:val="0"/>
        </w:rPr>
        <w:t xml:space="preserve">CLARIFICATION NO 1 TO TD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Errata </w:t>
            </w:r>
          </w:p>
          <w:p w:rsidR="00000000" w:rsidDel="00000000" w:rsidP="00000000" w:rsidRDefault="00000000" w:rsidRPr="00000000" w14:paraId="00000018">
            <w:pPr>
              <w:spacing w:after="60" w:before="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Volume 1, Section 5, Sub-Section 5.1</w:t>
            </w:r>
          </w:p>
          <w:p w:rsidR="00000000" w:rsidDel="00000000" w:rsidP="00000000" w:rsidRDefault="00000000" w:rsidRPr="00000000" w14:paraId="00000019">
            <w:pPr>
              <w:spacing w:after="60" w:before="60" w:lineRule="auto"/>
              <w:contextualSpacing w:val="0"/>
              <w:jc w:val="center"/>
              <w:rPr>
                <w:b w:val="1"/>
                <w:color w:val="00b0f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Nos I.13 to I.16, C2 to read: “12.2” instead of ”12.212.2”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4315"/>
        <w:gridCol w:w="4701"/>
        <w:tblGridChange w:id="0">
          <w:tblGrid>
            <w:gridCol w:w="4315"/>
            <w:gridCol w:w="4701"/>
          </w:tblGrid>
        </w:tblGridChange>
      </w:tblGrid>
      <w:tr>
        <w:tc>
          <w:tcPr>
            <w:shd w:fill="00b0f0" w:val="clear"/>
          </w:tcPr>
          <w:p w:rsidR="00000000" w:rsidDel="00000000" w:rsidP="00000000" w:rsidRDefault="00000000" w:rsidRPr="00000000" w14:paraId="0000001C">
            <w:pPr>
              <w:spacing w:after="40" w:before="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QUESTIONS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D">
            <w:pPr>
              <w:spacing w:after="40" w:before="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ANSWERS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No 1</w:t>
            </w:r>
          </w:p>
          <w:p w:rsidR="00000000" w:rsidDel="00000000" w:rsidP="00000000" w:rsidRDefault="00000000" w:rsidRPr="00000000" w14:paraId="0000001F">
            <w:pPr>
              <w:spacing w:after="120" w:line="32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How to obtain Tender Dossier?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No 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accordance with the Contract Notice Tender Dossier will be sent to potential tenderers upon the request sent to the Contracting Authority.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No 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order to avoid mistakes in offer submission procedure we would like to ask you to inform us whether the offer must be submitted directly to you?</w:t>
            </w:r>
          </w:p>
          <w:p w:rsidR="00000000" w:rsidDel="00000000" w:rsidP="00000000" w:rsidRDefault="00000000" w:rsidRPr="00000000" w14:paraId="00000024">
            <w:pPr>
              <w:spacing w:after="120" w:line="32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No 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submission of offer is detailed in ITT Article 17: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tender must be sent to the following address: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Ministry of Construction, Transport and Infrastructure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PIU, Room No 13 on the 11th Floor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Nemanjina 22-26,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11000 Belgrade,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Serbia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 +381 11 3628 874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mail: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veljko.kovacevic@mgsi.gov.rs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Person: Veljko Kovacevic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No 3</w:t>
            </w:r>
          </w:p>
          <w:p w:rsidR="00000000" w:rsidDel="00000000" w:rsidP="00000000" w:rsidRDefault="00000000" w:rsidRPr="00000000" w14:paraId="00000031">
            <w:pPr>
              <w:spacing w:after="120" w:line="32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Details about the Site visit?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No 3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have in mind that there is mandatory Site visit as detailed in ITT Article 6.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mandatory site visit at 09.00-15.00 hrs on 29 August and 09-12 on the 30 August 2018 will be held by the Lock Operator at the following address: JP Elektroprivreda Srbije, HPP Djerdap 1, Kladovo, Serbia. National Identification will be required to be presented at the Entrance. A clarification meeting at 12.00 hrs will be held by the Contracting Authority on 30 August 2018 at the same address.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No 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Furthermore we would like to get a list of documents to be submitted along with quotation. Could you please inform us where we can get this list of documents?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No 4</w:t>
            </w:r>
          </w:p>
          <w:p w:rsidR="00000000" w:rsidDel="00000000" w:rsidP="00000000" w:rsidRDefault="00000000" w:rsidRPr="00000000" w14:paraId="00000039">
            <w:pPr>
              <w:tabs>
                <w:tab w:val="left" w:pos="567"/>
                <w:tab w:val="left" w:pos="709"/>
                <w:tab w:val="left" w:pos="1134"/>
                <w:tab w:val="left" w:pos="1418"/>
              </w:tabs>
              <w:contextualSpacing w:val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List of the required documents is given in the ITT Article 12.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No 5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313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possible we would like to have a phone conference with you in order to discuss the whole tender participation procedure.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40" w:before="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No 5</w:t>
            </w:r>
          </w:p>
          <w:p w:rsidR="00000000" w:rsidDel="00000000" w:rsidP="00000000" w:rsidRDefault="00000000" w:rsidRPr="00000000" w14:paraId="0000003D">
            <w:pPr>
              <w:tabs>
                <w:tab w:val="left" w:pos="567"/>
                <w:tab w:val="left" w:pos="709"/>
                <w:tab w:val="left" w:pos="1134"/>
                <w:tab w:val="left" w:pos="1418"/>
              </w:tabs>
              <w:contextualSpacing w:val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Separate meeting/phone conference by the Contracting Authority with individual tenderers is not allowed by the procurement procedures.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40" w:before="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40" w:before="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40" w:before="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40" w:before="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40" w:before="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40" w:before="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01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05"/>
      <w:gridCol w:w="3005"/>
      <w:gridCol w:w="3006"/>
      <w:tblGridChange w:id="0">
        <w:tblGrid>
          <w:gridCol w:w="3005"/>
          <w:gridCol w:w="3005"/>
          <w:gridCol w:w="3006"/>
        </w:tblGrid>
      </w:tblGridChange>
    </w:tblGrid>
    <w:tr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085138" cy="457200"/>
                <wp:effectExtent b="0" l="0" r="0" t="0"/>
                <wp:docPr descr="H:\Ivan\Plovput\BILANSI\PROJEKTI\DJERDAP 1 - REHABILITACIJA PREVODNICE\identity\logo Iron Gate1-01.jpg" id="8" name="image4.png"/>
                <a:graphic>
                  <a:graphicData uri="http://schemas.openxmlformats.org/drawingml/2006/picture">
                    <pic:pic>
                      <pic:nvPicPr>
                        <pic:cNvPr descr="H:\Ivan\Plovput\BILANSI\PROJEKTI\DJERDAP 1 - REHABILITACIJA PREVODNICE\identity\logo Iron Gate1-01.jpg"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138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b w:val="1"/>
        <w:color w:val="00b0f0"/>
      </w:rPr>
    </w:pPr>
    <w:r w:rsidDel="00000000" w:rsidR="00000000" w:rsidRPr="00000000">
      <w:rPr>
        <w:rtl w:val="0"/>
      </w:rPr>
    </w:r>
  </w:p>
  <w:tbl>
    <w:tblPr>
      <w:tblStyle w:val="Table4"/>
      <w:tblW w:w="8859.0" w:type="dxa"/>
      <w:jc w:val="left"/>
      <w:tblInd w:w="8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79"/>
      <w:gridCol w:w="3926"/>
      <w:gridCol w:w="934"/>
      <w:gridCol w:w="3420"/>
      <w:tblGridChange w:id="0">
        <w:tblGrid>
          <w:gridCol w:w="579"/>
          <w:gridCol w:w="3926"/>
          <w:gridCol w:w="934"/>
          <w:gridCol w:w="3420"/>
        </w:tblGrid>
      </w:tblGridChange>
    </w:tblGrid>
    <w:tr>
      <w:trPr>
        <w:trHeight w:val="800" w:hRule="atLeast"/>
      </w:trPr>
      <w:tc>
        <w:tcPr>
          <w:vAlign w:val="bottom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2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30819" cy="457200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19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30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Republic of Serbia</w:t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Ministry of Construction, Transport and Infrastructure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2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12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040915" cy="288644"/>
                <wp:effectExtent b="0" l="0" r="0" t="0"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915" cy="2886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32EE"/>
  </w:style>
  <w:style w:type="paragraph" w:styleId="Footer">
    <w:name w:val="footer"/>
    <w:basedOn w:val="Normal"/>
    <w:link w:val="FooterChar"/>
    <w:uiPriority w:val="99"/>
    <w:unhideWhenUsed w:val="1"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32EE"/>
  </w:style>
  <w:style w:type="table" w:styleId="TableGrid">
    <w:name w:val="Table Grid"/>
    <w:basedOn w:val="TableNormal"/>
    <w:uiPriority w:val="39"/>
    <w:rsid w:val="00BB32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25ED9"/>
    <w:rPr>
      <w:color w:val="0563c1" w:themeColor="hyperlink"/>
      <w:u w:val="single"/>
    </w:rPr>
  </w:style>
  <w:style w:type="character" w:styleId="InternetLink" w:customStyle="1">
    <w:name w:val="Internet Link"/>
    <w:uiPriority w:val="99"/>
    <w:rsid w:val="00125E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 w:val="1"/>
    <w:rsid w:val="00E67217"/>
    <w:pPr>
      <w:spacing w:after="0" w:line="240" w:lineRule="auto"/>
    </w:pPr>
    <w:rPr>
      <w:rFonts w:ascii="Arial" w:hAnsi="Arial"/>
      <w:color w:val="323132"/>
      <w:sz w:val="20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67217"/>
    <w:rPr>
      <w:rFonts w:ascii="Arial" w:hAnsi="Arial"/>
      <w:color w:val="323132"/>
      <w:sz w:val="20"/>
      <w:szCs w:val="2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67217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eljko.kovacevic@mgsi.gov.r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