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B0" w:rsidRDefault="00BC1655" w:rsidP="00BC1655">
      <w:pPr>
        <w:spacing w:after="150" w:line="240" w:lineRule="auto"/>
      </w:pPr>
      <w:r>
        <w:rPr>
          <w:rFonts w:ascii="Arial"/>
          <w:color w:val="000000"/>
        </w:rPr>
        <w:t>﻿</w:t>
      </w:r>
      <w:r>
        <w:rPr>
          <w:b/>
          <w:color w:val="000000"/>
        </w:rPr>
        <w:t> 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пловидби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73/10, 121</w:t>
      </w:r>
      <w:r>
        <w:rPr>
          <w:b/>
          <w:color w:val="000000"/>
        </w:rPr>
        <w:t>/</w:t>
      </w:r>
      <w:r>
        <w:rPr>
          <w:color w:val="000000"/>
        </w:rPr>
        <w:t>12 и 18/15),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E6BB0" w:rsidRDefault="00BC1655" w:rsidP="00BC1655">
      <w:pPr>
        <w:spacing w:after="225" w:line="240" w:lineRule="auto"/>
        <w:jc w:val="center"/>
      </w:pPr>
      <w:r>
        <w:rPr>
          <w:b/>
          <w:color w:val="000000"/>
        </w:rPr>
        <w:t>ПРАВИЛНИК</w:t>
      </w:r>
    </w:p>
    <w:p w:rsidR="004E6BB0" w:rsidRDefault="00BC1655" w:rsidP="00BC1655">
      <w:pPr>
        <w:spacing w:after="150" w:line="240" w:lineRule="auto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техничким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статутарну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бродова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унутрашње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пловидбе</w:t>
      </w:r>
      <w:proofErr w:type="spellEnd"/>
    </w:p>
    <w:p w:rsidR="004E6BB0" w:rsidRDefault="00BC1655" w:rsidP="00BC1655">
      <w:pPr>
        <w:spacing w:after="150" w:line="240" w:lineRule="auto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27.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2015.</w:t>
      </w:r>
    </w:p>
    <w:p w:rsidR="004E6BB0" w:rsidRDefault="00BC1655" w:rsidP="00BC1655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>).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: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ратне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поморске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тегљаче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потискиваче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>: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(1) </w:t>
      </w:r>
      <w:proofErr w:type="spellStart"/>
      <w:proofErr w:type="gramStart"/>
      <w:r>
        <w:rPr>
          <w:color w:val="000000"/>
        </w:rPr>
        <w:t>плове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</w:t>
      </w:r>
      <w:r>
        <w:rPr>
          <w:color w:val="000000"/>
        </w:rPr>
        <w:t>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осеке</w:t>
      </w:r>
      <w:proofErr w:type="spellEnd"/>
      <w:r>
        <w:rPr>
          <w:color w:val="000000"/>
        </w:rPr>
        <w:t>,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(2) </w:t>
      </w:r>
      <w:proofErr w:type="spellStart"/>
      <w:proofErr w:type="gramStart"/>
      <w:r>
        <w:rPr>
          <w:color w:val="000000"/>
        </w:rPr>
        <w:t>привремено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поседују</w:t>
      </w:r>
      <w:proofErr w:type="spellEnd"/>
      <w:r>
        <w:rPr>
          <w:color w:val="000000"/>
        </w:rPr>
        <w:t>:</w:t>
      </w:r>
    </w:p>
    <w:p w:rsidR="004E6BB0" w:rsidRDefault="00BC1655" w:rsidP="00BC1655">
      <w:pPr>
        <w:spacing w:after="150" w:line="240" w:lineRule="auto"/>
      </w:pPr>
      <w:proofErr w:type="gramStart"/>
      <w:r>
        <w:rPr>
          <w:color w:val="000000"/>
        </w:rPr>
        <w:t xml:space="preserve">–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мору</w:t>
      </w:r>
      <w:proofErr w:type="spellEnd"/>
      <w:r>
        <w:rPr>
          <w:color w:val="000000"/>
        </w:rPr>
        <w:t xml:space="preserve"> (SOLAS 74/78)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СФРЈ – </w:t>
      </w:r>
      <w:proofErr w:type="spellStart"/>
      <w:r>
        <w:rPr>
          <w:color w:val="000000"/>
        </w:rPr>
        <w:t>Међунаро</w:t>
      </w:r>
      <w:r>
        <w:rPr>
          <w:color w:val="000000"/>
        </w:rPr>
        <w:t>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2/81)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теретним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СФРЈ – </w:t>
      </w:r>
      <w:proofErr w:type="spellStart"/>
      <w:r>
        <w:rPr>
          <w:color w:val="000000"/>
        </w:rPr>
        <w:t>Додатак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4/69)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</w:t>
      </w:r>
      <w:r>
        <w:rPr>
          <w:color w:val="000000"/>
        </w:rPr>
        <w:t>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спречавању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нафтом</w:t>
      </w:r>
      <w:proofErr w:type="spellEnd"/>
      <w:r>
        <w:rPr>
          <w:color w:val="000000"/>
        </w:rPr>
        <w:t xml:space="preserve"> (IOPP)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спречавању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(MARPOL </w:t>
      </w:r>
      <w:proofErr w:type="spellStart"/>
      <w:r>
        <w:rPr>
          <w:color w:val="000000"/>
        </w:rPr>
        <w:t>Конвенција</w:t>
      </w:r>
      <w:proofErr w:type="spellEnd"/>
      <w:r>
        <w:rPr>
          <w:color w:val="000000"/>
        </w:rPr>
        <w:t>)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СФРЈ –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2/85 и „</w:t>
      </w:r>
      <w:proofErr w:type="spellStart"/>
      <w:r>
        <w:rPr>
          <w:color w:val="000000"/>
        </w:rPr>
        <w:t>Службен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 –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1/10);</w:t>
      </w:r>
      <w:proofErr w:type="gramEnd"/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сведочанство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подтачка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алинеја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сведочанство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рекреацију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подтачка</w:t>
      </w:r>
      <w:proofErr w:type="spellEnd"/>
      <w:r>
        <w:rPr>
          <w:color w:val="000000"/>
        </w:rPr>
        <w:t xml:space="preserve"> (2) </w:t>
      </w:r>
      <w:proofErr w:type="spellStart"/>
      <w:r>
        <w:rPr>
          <w:color w:val="000000"/>
        </w:rPr>
        <w:t>алинеја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трајекте</w:t>
      </w:r>
      <w:proofErr w:type="spellEnd"/>
      <w:proofErr w:type="gramEnd"/>
      <w:r>
        <w:rPr>
          <w:color w:val="000000"/>
        </w:rPr>
        <w:t xml:space="preserve"> (ferry).</w:t>
      </w:r>
    </w:p>
    <w:p w:rsidR="004E6BB0" w:rsidRDefault="00BC1655" w:rsidP="00BC1655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>: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lastRenderedPageBreak/>
        <w:t xml:space="preserve">1) </w:t>
      </w:r>
      <w:proofErr w:type="spellStart"/>
      <w:proofErr w:type="gramStart"/>
      <w:r>
        <w:rPr>
          <w:color w:val="000000"/>
        </w:rPr>
        <w:t>уводни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зоне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бродограђевинске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растојање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надвође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ознакe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техничкe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маневарску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>6)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кормиларски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кормиларницу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гасовитих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загађивача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загађујућих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дизел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9)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10)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сидрење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ужад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противпожарну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чамце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спасавање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11)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бродовима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12) </w:t>
      </w:r>
      <w:proofErr w:type="spellStart"/>
      <w:proofErr w:type="gramStart"/>
      <w:r>
        <w:rPr>
          <w:color w:val="000000"/>
        </w:rPr>
        <w:t>т</w:t>
      </w:r>
      <w:r>
        <w:rPr>
          <w:color w:val="000000"/>
        </w:rPr>
        <w:t>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бродовима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13)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горивом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кухињске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расхладне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уређаје</w:t>
      </w:r>
      <w:proofErr w:type="spellEnd"/>
      <w:r>
        <w:rPr>
          <w:color w:val="000000"/>
        </w:rPr>
        <w:t>,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14)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утечњени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15) </w:t>
      </w:r>
      <w:proofErr w:type="spellStart"/>
      <w:proofErr w:type="gramStart"/>
      <w:r>
        <w:rPr>
          <w:color w:val="000000"/>
        </w:rPr>
        <w:t>посебне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путничке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једрењаке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16) </w:t>
      </w:r>
      <w:proofErr w:type="spellStart"/>
      <w:proofErr w:type="gramStart"/>
      <w:r>
        <w:rPr>
          <w:color w:val="000000"/>
        </w:rPr>
        <w:t>посебне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потискиваног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тегљеног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17) </w:t>
      </w:r>
      <w:proofErr w:type="spellStart"/>
      <w:proofErr w:type="gramStart"/>
      <w:r>
        <w:rPr>
          <w:color w:val="000000"/>
        </w:rPr>
        <w:t>посебне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објекте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18) </w:t>
      </w:r>
      <w:proofErr w:type="spellStart"/>
      <w:proofErr w:type="gramStart"/>
      <w:r>
        <w:rPr>
          <w:color w:val="000000"/>
        </w:rPr>
        <w:t>посебне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хидроградњу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19) </w:t>
      </w:r>
      <w:proofErr w:type="spellStart"/>
      <w:proofErr w:type="gramStart"/>
      <w:r>
        <w:rPr>
          <w:color w:val="000000"/>
        </w:rPr>
        <w:t>посебне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4;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20) </w:t>
      </w:r>
      <w:proofErr w:type="spellStart"/>
      <w:proofErr w:type="gramStart"/>
      <w:r>
        <w:rPr>
          <w:color w:val="000000"/>
        </w:rPr>
        <w:t>посебне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речно-морске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21) </w:t>
      </w:r>
      <w:proofErr w:type="spellStart"/>
      <w:proofErr w:type="gramStart"/>
      <w:r>
        <w:rPr>
          <w:color w:val="000000"/>
        </w:rPr>
        <w:t>посебне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рекреацију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22)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контејнера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110 m,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брзина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23) </w:t>
      </w:r>
      <w:proofErr w:type="spellStart"/>
      <w:proofErr w:type="gramStart"/>
      <w:r>
        <w:rPr>
          <w:color w:val="000000"/>
        </w:rPr>
        <w:t>техничке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посаду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24) </w:t>
      </w:r>
      <w:proofErr w:type="spellStart"/>
      <w:proofErr w:type="gramStart"/>
      <w:r>
        <w:rPr>
          <w:color w:val="000000"/>
        </w:rPr>
        <w:t>рокове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постепену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преправку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25) </w:t>
      </w:r>
      <w:proofErr w:type="spellStart"/>
      <w:proofErr w:type="gramStart"/>
      <w:r>
        <w:rPr>
          <w:color w:val="000000"/>
        </w:rPr>
        <w:t>знакове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t xml:space="preserve">26) </w:t>
      </w:r>
      <w:proofErr w:type="spellStart"/>
      <w:proofErr w:type="gramStart"/>
      <w:r>
        <w:rPr>
          <w:color w:val="000000"/>
        </w:rPr>
        <w:t>упутства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>;</w:t>
      </w:r>
    </w:p>
    <w:p w:rsidR="004E6BB0" w:rsidRDefault="00BC1655" w:rsidP="00BC1655">
      <w:pPr>
        <w:spacing w:after="150" w:line="240" w:lineRule="auto"/>
      </w:pPr>
      <w:r>
        <w:rPr>
          <w:color w:val="000000"/>
        </w:rPr>
        <w:lastRenderedPageBreak/>
        <w:t xml:space="preserve">27) </w:t>
      </w:r>
      <w:proofErr w:type="spellStart"/>
      <w:proofErr w:type="gramStart"/>
      <w:r>
        <w:rPr>
          <w:color w:val="000000"/>
        </w:rPr>
        <w:t>образац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сведочанстава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</w:t>
      </w:r>
      <w:r>
        <w:rPr>
          <w:color w:val="000000"/>
        </w:rPr>
        <w:t>идбу</w:t>
      </w:r>
      <w:proofErr w:type="spellEnd"/>
      <w:r>
        <w:rPr>
          <w:color w:val="000000"/>
        </w:rPr>
        <w:t>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1 –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протокол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параметрима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2 – </w:t>
      </w:r>
      <w:proofErr w:type="spellStart"/>
      <w:r>
        <w:rPr>
          <w:color w:val="000000"/>
        </w:rPr>
        <w:t>Протокол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параметрима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Додатни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пречишћавање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3 – </w:t>
      </w:r>
      <w:proofErr w:type="spellStart"/>
      <w:r>
        <w:rPr>
          <w:color w:val="000000"/>
        </w:rPr>
        <w:t>Додатни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речишћавање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4 –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3 и 4,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радарску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5 – </w:t>
      </w:r>
      <w:proofErr w:type="spellStart"/>
      <w:r>
        <w:rPr>
          <w:color w:val="000000"/>
        </w:rPr>
        <w:t>Радарскa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показивачи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скретања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E6BB0" w:rsidRDefault="00BC1655" w:rsidP="00BC1655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</w:t>
      </w:r>
      <w:r>
        <w:rPr>
          <w:color w:val="000000"/>
        </w:rPr>
        <w:t>лађен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Директиве</w:t>
      </w:r>
      <w:proofErr w:type="spellEnd"/>
      <w:r>
        <w:rPr>
          <w:color w:val="000000"/>
        </w:rPr>
        <w:t xml:space="preserve"> 2006/87 </w:t>
      </w:r>
      <w:proofErr w:type="spellStart"/>
      <w:r>
        <w:rPr>
          <w:color w:val="000000"/>
        </w:rPr>
        <w:t>Европског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парламента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2006.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82/714/ЕЕЗ.</w:t>
      </w:r>
    </w:p>
    <w:p w:rsidR="004E6BB0" w:rsidRDefault="00BC1655" w:rsidP="00BC1655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СРЈ”,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20/95), </w:t>
      </w:r>
      <w:proofErr w:type="spellStart"/>
      <w:r>
        <w:rPr>
          <w:color w:val="000000"/>
        </w:rPr>
        <w:t>oсим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16 –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чамаца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Југорегистра</w:t>
      </w:r>
      <w:proofErr w:type="spellEnd"/>
      <w:r>
        <w:rPr>
          <w:color w:val="000000"/>
        </w:rPr>
        <w:t xml:space="preserve"> – о </w:t>
      </w:r>
      <w:proofErr w:type="spellStart"/>
      <w:r>
        <w:rPr>
          <w:color w:val="000000"/>
        </w:rPr>
        <w:t>способнос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СФРЈ”,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10/88).</w:t>
      </w:r>
    </w:p>
    <w:p w:rsidR="004E6BB0" w:rsidRDefault="00BC1655" w:rsidP="00BC1655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4E6BB0" w:rsidRDefault="00BC1655" w:rsidP="00BC1655">
      <w:pPr>
        <w:spacing w:after="15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4E6BB0" w:rsidRDefault="00BC1655" w:rsidP="00BC1655">
      <w:pPr>
        <w:spacing w:after="150" w:line="240" w:lineRule="auto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110-00-00042/2015-06</w:t>
      </w:r>
    </w:p>
    <w:p w:rsidR="004E6BB0" w:rsidRDefault="00BC1655" w:rsidP="00BC1655">
      <w:pPr>
        <w:spacing w:after="150" w:line="240" w:lineRule="auto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2015.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4E6BB0" w:rsidRDefault="00BC1655" w:rsidP="00BC1655">
      <w:pPr>
        <w:spacing w:after="150" w:line="240" w:lineRule="auto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4E6BB0" w:rsidRDefault="00BC1655" w:rsidP="00BC1655">
      <w:pPr>
        <w:spacing w:after="150" w:line="240" w:lineRule="auto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BC1655" w:rsidRDefault="00BC1655" w:rsidP="00BC1655">
      <w:pPr>
        <w:spacing w:after="150" w:line="240" w:lineRule="auto"/>
        <w:jc w:val="right"/>
        <w:rPr>
          <w:color w:val="000000"/>
        </w:rPr>
      </w:pPr>
    </w:p>
    <w:p w:rsidR="004E6BB0" w:rsidRDefault="00BC1655" w:rsidP="00BC1655">
      <w:pPr>
        <w:spacing w:after="150" w:line="240" w:lineRule="auto"/>
        <w:jc w:val="right"/>
      </w:pPr>
      <w:r>
        <w:rPr>
          <w:color w:val="000000"/>
        </w:rPr>
        <w:t> </w:t>
      </w:r>
    </w:p>
    <w:p w:rsidR="004E6BB0" w:rsidRDefault="00BC1655" w:rsidP="00BC1655">
      <w:pPr>
        <w:spacing w:after="150" w:line="240" w:lineRule="auto"/>
        <w:jc w:val="right"/>
      </w:pPr>
      <w:proofErr w:type="spellStart"/>
      <w:r>
        <w:rPr>
          <w:b/>
          <w:color w:val="000000"/>
        </w:rPr>
        <w:lastRenderedPageBreak/>
        <w:t>Прилози</w:t>
      </w:r>
      <w:proofErr w:type="spellEnd"/>
    </w:p>
    <w:p w:rsidR="004E6BB0" w:rsidRPr="00BC1655" w:rsidRDefault="00BC1655" w:rsidP="00BC1655">
      <w:pPr>
        <w:spacing w:after="150" w:line="240" w:lineRule="auto"/>
      </w:pPr>
      <w:hyperlink r:id="rId4">
        <w:proofErr w:type="spellStart"/>
        <w:r w:rsidRPr="00BC1655">
          <w:t>Прилог</w:t>
        </w:r>
        <w:proofErr w:type="spellEnd"/>
        <w:r w:rsidRPr="00BC1655">
          <w:t xml:space="preserve"> 1 - </w:t>
        </w:r>
        <w:proofErr w:type="spellStart"/>
        <w:r w:rsidRPr="00BC1655">
          <w:t>Техничка</w:t>
        </w:r>
        <w:proofErr w:type="spellEnd"/>
        <w:r w:rsidRPr="00BC1655">
          <w:t xml:space="preserve"> </w:t>
        </w:r>
        <w:proofErr w:type="spellStart"/>
        <w:r w:rsidRPr="00BC1655">
          <w:t>правила</w:t>
        </w:r>
        <w:proofErr w:type="spellEnd"/>
        <w:r w:rsidRPr="00BC1655">
          <w:t xml:space="preserve"> </w:t>
        </w:r>
        <w:proofErr w:type="spellStart"/>
        <w:r w:rsidRPr="00BC1655">
          <w:t>за</w:t>
        </w:r>
        <w:proofErr w:type="spellEnd"/>
        <w:r w:rsidRPr="00BC1655">
          <w:t xml:space="preserve"> </w:t>
        </w:r>
        <w:proofErr w:type="spellStart"/>
        <w:r w:rsidRPr="00BC1655">
          <w:t>статутарну</w:t>
        </w:r>
        <w:proofErr w:type="spellEnd"/>
        <w:r w:rsidRPr="00BC1655">
          <w:t xml:space="preserve"> </w:t>
        </w:r>
        <w:proofErr w:type="spellStart"/>
        <w:r w:rsidRPr="00BC1655">
          <w:t>сертификацију</w:t>
        </w:r>
        <w:proofErr w:type="spellEnd"/>
        <w:r w:rsidRPr="00BC1655">
          <w:t xml:space="preserve"> </w:t>
        </w:r>
        <w:proofErr w:type="spellStart"/>
        <w:r w:rsidRPr="00BC1655">
          <w:t>бродова</w:t>
        </w:r>
        <w:proofErr w:type="spellEnd"/>
        <w:r w:rsidRPr="00BC1655">
          <w:t xml:space="preserve"> </w:t>
        </w:r>
        <w:proofErr w:type="spellStart"/>
        <w:r w:rsidRPr="00BC1655">
          <w:t>уну</w:t>
        </w:r>
        <w:r w:rsidRPr="00BC1655">
          <w:t>трашње</w:t>
        </w:r>
        <w:proofErr w:type="spellEnd"/>
        <w:r w:rsidRPr="00BC1655">
          <w:t xml:space="preserve"> </w:t>
        </w:r>
        <w:proofErr w:type="spellStart"/>
        <w:r w:rsidRPr="00BC1655">
          <w:t>пловидбе</w:t>
        </w:r>
        <w:proofErr w:type="spellEnd"/>
      </w:hyperlink>
    </w:p>
    <w:p w:rsidR="004E6BB0" w:rsidRPr="00BC1655" w:rsidRDefault="00BC1655" w:rsidP="00BC1655">
      <w:pPr>
        <w:spacing w:after="150" w:line="240" w:lineRule="auto"/>
      </w:pPr>
      <w:hyperlink r:id="rId5">
        <w:proofErr w:type="spellStart"/>
        <w:r w:rsidRPr="00BC1655">
          <w:t>Прилог</w:t>
        </w:r>
        <w:proofErr w:type="spellEnd"/>
        <w:r w:rsidRPr="00BC1655">
          <w:t xml:space="preserve"> 2 - </w:t>
        </w:r>
        <w:proofErr w:type="spellStart"/>
        <w:r w:rsidRPr="00BC1655">
          <w:t>Протокол</w:t>
        </w:r>
        <w:proofErr w:type="spellEnd"/>
        <w:r w:rsidRPr="00BC1655">
          <w:t xml:space="preserve"> о </w:t>
        </w:r>
        <w:proofErr w:type="spellStart"/>
        <w:r w:rsidRPr="00BC1655">
          <w:t>параметрима</w:t>
        </w:r>
        <w:proofErr w:type="spellEnd"/>
        <w:r w:rsidRPr="00BC1655">
          <w:t xml:space="preserve"> </w:t>
        </w:r>
        <w:proofErr w:type="spellStart"/>
        <w:r w:rsidRPr="00BC1655">
          <w:t>мотора</w:t>
        </w:r>
        <w:proofErr w:type="spellEnd"/>
      </w:hyperlink>
    </w:p>
    <w:p w:rsidR="004E6BB0" w:rsidRPr="00BC1655" w:rsidRDefault="00BC1655" w:rsidP="00BC1655">
      <w:pPr>
        <w:spacing w:after="150" w:line="240" w:lineRule="auto"/>
      </w:pPr>
      <w:hyperlink r:id="rId6">
        <w:proofErr w:type="spellStart"/>
        <w:r w:rsidRPr="00BC1655">
          <w:t>Прилог</w:t>
        </w:r>
        <w:proofErr w:type="spellEnd"/>
        <w:r w:rsidRPr="00BC1655">
          <w:t xml:space="preserve"> 3 - </w:t>
        </w:r>
        <w:proofErr w:type="spellStart"/>
        <w:r w:rsidRPr="00BC1655">
          <w:t>Додатни</w:t>
        </w:r>
        <w:proofErr w:type="spellEnd"/>
        <w:r w:rsidRPr="00BC1655">
          <w:t xml:space="preserve"> </w:t>
        </w:r>
        <w:proofErr w:type="spellStart"/>
        <w:r w:rsidRPr="00BC1655">
          <w:t>технички</w:t>
        </w:r>
        <w:proofErr w:type="spellEnd"/>
        <w:r w:rsidRPr="00BC1655">
          <w:t xml:space="preserve"> </w:t>
        </w:r>
        <w:proofErr w:type="spellStart"/>
        <w:r w:rsidRPr="00BC1655">
          <w:t>захтеви</w:t>
        </w:r>
        <w:proofErr w:type="spellEnd"/>
        <w:r w:rsidRPr="00BC1655">
          <w:t xml:space="preserve"> </w:t>
        </w:r>
        <w:proofErr w:type="spellStart"/>
        <w:r w:rsidRPr="00BC1655">
          <w:t>за</w:t>
        </w:r>
        <w:proofErr w:type="spellEnd"/>
        <w:r w:rsidRPr="00BC1655">
          <w:t xml:space="preserve"> </w:t>
        </w:r>
        <w:proofErr w:type="spellStart"/>
        <w:r w:rsidRPr="00BC1655">
          <w:t>бродске</w:t>
        </w:r>
        <w:proofErr w:type="spellEnd"/>
        <w:r w:rsidRPr="00BC1655">
          <w:t xml:space="preserve"> </w:t>
        </w:r>
        <w:proofErr w:type="spellStart"/>
        <w:r w:rsidRPr="00BC1655">
          <w:t>погоне</w:t>
        </w:r>
        <w:proofErr w:type="spellEnd"/>
        <w:r w:rsidRPr="00BC1655">
          <w:t xml:space="preserve"> </w:t>
        </w:r>
        <w:proofErr w:type="spellStart"/>
        <w:r w:rsidRPr="00BC1655">
          <w:t>за</w:t>
        </w:r>
        <w:proofErr w:type="spellEnd"/>
        <w:r w:rsidRPr="00BC1655">
          <w:t xml:space="preserve"> </w:t>
        </w:r>
        <w:proofErr w:type="spellStart"/>
        <w:r w:rsidRPr="00BC1655">
          <w:t>пречишћавање</w:t>
        </w:r>
        <w:proofErr w:type="spellEnd"/>
        <w:r w:rsidRPr="00BC1655">
          <w:t xml:space="preserve"> </w:t>
        </w:r>
        <w:proofErr w:type="spellStart"/>
        <w:r w:rsidRPr="00BC1655">
          <w:t>отпадних</w:t>
        </w:r>
        <w:proofErr w:type="spellEnd"/>
        <w:r w:rsidRPr="00BC1655">
          <w:t xml:space="preserve"> </w:t>
        </w:r>
        <w:proofErr w:type="spellStart"/>
        <w:r w:rsidRPr="00BC1655">
          <w:t>вода</w:t>
        </w:r>
        <w:proofErr w:type="spellEnd"/>
        <w:r w:rsidRPr="00BC1655">
          <w:t xml:space="preserve"> и </w:t>
        </w:r>
        <w:proofErr w:type="spellStart"/>
        <w:r w:rsidRPr="00BC1655">
          <w:t>модели</w:t>
        </w:r>
        <w:proofErr w:type="spellEnd"/>
        <w:r w:rsidRPr="00BC1655">
          <w:t xml:space="preserve"> </w:t>
        </w:r>
        <w:proofErr w:type="spellStart"/>
        <w:r w:rsidRPr="00BC1655">
          <w:t>сведочанстава</w:t>
        </w:r>
        <w:proofErr w:type="spellEnd"/>
      </w:hyperlink>
    </w:p>
    <w:p w:rsidR="004E6BB0" w:rsidRPr="00BC1655" w:rsidRDefault="00BC1655" w:rsidP="00BC1655">
      <w:pPr>
        <w:spacing w:after="150" w:line="240" w:lineRule="auto"/>
      </w:pPr>
      <w:hyperlink r:id="rId7">
        <w:proofErr w:type="spellStart"/>
        <w:r w:rsidRPr="00BC1655">
          <w:t>Прилог</w:t>
        </w:r>
        <w:proofErr w:type="spellEnd"/>
        <w:r w:rsidRPr="00BC1655">
          <w:t xml:space="preserve"> 4 - </w:t>
        </w:r>
        <w:proofErr w:type="spellStart"/>
        <w:r w:rsidRPr="00BC1655">
          <w:t>Области</w:t>
        </w:r>
        <w:proofErr w:type="spellEnd"/>
        <w:r w:rsidRPr="00BC1655">
          <w:t xml:space="preserve"> у </w:t>
        </w:r>
        <w:proofErr w:type="spellStart"/>
        <w:r w:rsidRPr="00BC1655">
          <w:t>којима</w:t>
        </w:r>
        <w:proofErr w:type="spellEnd"/>
        <w:r w:rsidRPr="00BC1655">
          <w:t xml:space="preserve"> </w:t>
        </w:r>
        <w:proofErr w:type="spellStart"/>
        <w:r w:rsidRPr="00BC1655">
          <w:t>су</w:t>
        </w:r>
        <w:proofErr w:type="spellEnd"/>
        <w:r w:rsidRPr="00BC1655">
          <w:t xml:space="preserve"> </w:t>
        </w:r>
        <w:proofErr w:type="spellStart"/>
        <w:r w:rsidRPr="00BC1655">
          <w:t>примењиви</w:t>
        </w:r>
        <w:proofErr w:type="spellEnd"/>
        <w:r w:rsidRPr="00BC1655">
          <w:t xml:space="preserve"> </w:t>
        </w:r>
        <w:proofErr w:type="spellStart"/>
        <w:r w:rsidRPr="00BC1655">
          <w:t>блажи</w:t>
        </w:r>
        <w:proofErr w:type="spellEnd"/>
        <w:r w:rsidRPr="00BC1655">
          <w:t xml:space="preserve"> </w:t>
        </w:r>
        <w:proofErr w:type="spellStart"/>
        <w:r w:rsidRPr="00BC1655">
          <w:t>технички</w:t>
        </w:r>
        <w:proofErr w:type="spellEnd"/>
        <w:r w:rsidRPr="00BC1655">
          <w:t xml:space="preserve"> </w:t>
        </w:r>
        <w:proofErr w:type="spellStart"/>
        <w:r w:rsidRPr="00BC1655">
          <w:t>захтеви</w:t>
        </w:r>
        <w:proofErr w:type="spellEnd"/>
        <w:r w:rsidRPr="00BC1655">
          <w:t xml:space="preserve"> </w:t>
        </w:r>
        <w:proofErr w:type="spellStart"/>
        <w:r w:rsidRPr="00BC1655">
          <w:t>за</w:t>
        </w:r>
        <w:proofErr w:type="spellEnd"/>
        <w:r w:rsidRPr="00BC1655">
          <w:t xml:space="preserve"> </w:t>
        </w:r>
        <w:proofErr w:type="spellStart"/>
        <w:r w:rsidRPr="00BC1655">
          <w:t>бродове</w:t>
        </w:r>
        <w:proofErr w:type="spellEnd"/>
        <w:r w:rsidRPr="00BC1655">
          <w:t xml:space="preserve"> </w:t>
        </w:r>
        <w:proofErr w:type="spellStart"/>
        <w:r w:rsidRPr="00BC1655">
          <w:t>унутрашње</w:t>
        </w:r>
        <w:proofErr w:type="spellEnd"/>
        <w:r w:rsidRPr="00BC1655">
          <w:t xml:space="preserve"> </w:t>
        </w:r>
        <w:proofErr w:type="spellStart"/>
        <w:r w:rsidRPr="00BC1655">
          <w:t>пловидбе</w:t>
        </w:r>
        <w:proofErr w:type="spellEnd"/>
        <w:r w:rsidRPr="00BC1655">
          <w:t xml:space="preserve"> </w:t>
        </w:r>
        <w:proofErr w:type="spellStart"/>
        <w:r w:rsidRPr="00BC1655">
          <w:t>који</w:t>
        </w:r>
        <w:proofErr w:type="spellEnd"/>
        <w:r w:rsidRPr="00BC1655">
          <w:t xml:space="preserve"> </w:t>
        </w:r>
        <w:proofErr w:type="spellStart"/>
        <w:r w:rsidRPr="00BC1655">
          <w:t>плове</w:t>
        </w:r>
        <w:proofErr w:type="spellEnd"/>
        <w:r w:rsidRPr="00BC1655">
          <w:t xml:space="preserve"> </w:t>
        </w:r>
        <w:proofErr w:type="spellStart"/>
        <w:r w:rsidRPr="00BC1655">
          <w:t>на</w:t>
        </w:r>
        <w:proofErr w:type="spellEnd"/>
        <w:r w:rsidRPr="00BC1655">
          <w:t xml:space="preserve"> </w:t>
        </w:r>
        <w:proofErr w:type="spellStart"/>
        <w:r w:rsidRPr="00BC1655">
          <w:t>унутрашњим</w:t>
        </w:r>
        <w:proofErr w:type="spellEnd"/>
        <w:r w:rsidRPr="00BC1655">
          <w:t xml:space="preserve"> </w:t>
        </w:r>
        <w:proofErr w:type="spellStart"/>
        <w:r w:rsidRPr="00BC1655">
          <w:t>водним</w:t>
        </w:r>
        <w:proofErr w:type="spellEnd"/>
        <w:r w:rsidRPr="00BC1655">
          <w:t xml:space="preserve"> </w:t>
        </w:r>
        <w:proofErr w:type="spellStart"/>
        <w:r w:rsidRPr="00BC1655">
          <w:t>путевима</w:t>
        </w:r>
        <w:proofErr w:type="spellEnd"/>
        <w:r w:rsidRPr="00BC1655">
          <w:t xml:space="preserve"> </w:t>
        </w:r>
        <w:proofErr w:type="spellStart"/>
        <w:r w:rsidRPr="00BC1655">
          <w:t>зоне</w:t>
        </w:r>
        <w:proofErr w:type="spellEnd"/>
        <w:r w:rsidRPr="00BC1655">
          <w:t xml:space="preserve"> 3 и 4</w:t>
        </w:r>
      </w:hyperlink>
      <w:bookmarkStart w:id="0" w:name="_GoBack"/>
      <w:bookmarkEnd w:id="0"/>
    </w:p>
    <w:p w:rsidR="004E6BB0" w:rsidRPr="00BC1655" w:rsidRDefault="00BC1655" w:rsidP="00BC1655">
      <w:pPr>
        <w:spacing w:after="150" w:line="240" w:lineRule="auto"/>
      </w:pPr>
      <w:hyperlink r:id="rId8">
        <w:proofErr w:type="spellStart"/>
        <w:r w:rsidRPr="00BC1655">
          <w:rPr>
            <w:rStyle w:val="Hyperlink"/>
            <w:color w:val="auto"/>
          </w:rPr>
          <w:t>Прилог</w:t>
        </w:r>
        <w:proofErr w:type="spellEnd"/>
        <w:r w:rsidRPr="00BC1655">
          <w:rPr>
            <w:rStyle w:val="Hyperlink"/>
            <w:color w:val="auto"/>
          </w:rPr>
          <w:t xml:space="preserve"> 5 - </w:t>
        </w:r>
        <w:proofErr w:type="spellStart"/>
        <w:r w:rsidRPr="00BC1655">
          <w:rPr>
            <w:rStyle w:val="Hyperlink"/>
            <w:color w:val="auto"/>
          </w:rPr>
          <w:t>Радарскa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опрема</w:t>
        </w:r>
        <w:proofErr w:type="spellEnd"/>
        <w:r w:rsidRPr="00BC1655">
          <w:rPr>
            <w:rStyle w:val="Hyperlink"/>
            <w:color w:val="auto"/>
          </w:rPr>
          <w:t xml:space="preserve"> и </w:t>
        </w:r>
        <w:proofErr w:type="spellStart"/>
        <w:r w:rsidRPr="00BC1655">
          <w:rPr>
            <w:rStyle w:val="Hyperlink"/>
            <w:color w:val="auto"/>
          </w:rPr>
          <w:t>показивачи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брзине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скретања</w:t>
        </w:r>
        <w:proofErr w:type="spellEnd"/>
        <w:r w:rsidRPr="00BC1655">
          <w:rPr>
            <w:rStyle w:val="Hyperlink"/>
            <w:color w:val="auto"/>
          </w:rPr>
          <w:t xml:space="preserve"> с </w:t>
        </w:r>
        <w:proofErr w:type="spellStart"/>
        <w:r w:rsidRPr="00BC1655">
          <w:rPr>
            <w:rStyle w:val="Hyperlink"/>
            <w:color w:val="auto"/>
          </w:rPr>
          <w:t>курса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који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се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користе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на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бродовима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унутрашње</w:t>
        </w:r>
        <w:proofErr w:type="spellEnd"/>
        <w:r w:rsidRPr="00BC1655">
          <w:rPr>
            <w:rStyle w:val="Hyperlink"/>
            <w:color w:val="auto"/>
          </w:rPr>
          <w:t xml:space="preserve"> </w:t>
        </w:r>
        <w:proofErr w:type="spellStart"/>
        <w:r w:rsidRPr="00BC1655">
          <w:rPr>
            <w:rStyle w:val="Hyperlink"/>
            <w:color w:val="auto"/>
          </w:rPr>
          <w:t>пловидбе</w:t>
        </w:r>
        <w:proofErr w:type="spellEnd"/>
      </w:hyperlink>
    </w:p>
    <w:p w:rsidR="004E6BB0" w:rsidRDefault="00BC1655" w:rsidP="00BC1655">
      <w:pPr>
        <w:spacing w:after="150" w:line="240" w:lineRule="auto"/>
      </w:pPr>
      <w:r>
        <w:rPr>
          <w:color w:val="000000"/>
        </w:rPr>
        <w:t> </w:t>
      </w:r>
    </w:p>
    <w:sectPr w:rsidR="004E6B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B0"/>
    <w:rsid w:val="004E6BB0"/>
    <w:rsid w:val="007978EC"/>
    <w:rsid w:val="00B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511C"/>
  <w15:docId w15:val="{90ED37A2-DF5E-433D-ACF5-91D13FDE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P5.html&amp;x-filename=true&amp;regactid=416340&amp;doctype=r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http://www.pravno-informacioni-sistem.rs/SlGlasnikPortal/prilozi/P4.html&amp;x-filename=true&amp;regactid=416340&amp;doctype=reg&amp;x-filename=true&amp;regactid=416340&amp;doctype=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3.html&amp;x-filename=true&amp;regactid=416340&amp;doctype=reg" TargetMode="External"/><Relationship Id="rId5" Type="http://schemas.openxmlformats.org/officeDocument/2006/relationships/hyperlink" Target="http://www.pravno-informacioni-sistem.rs/SlGlasnikPortal/prilozi/P2.html&amp;x-filename=true&amp;regactid=416340&amp;doctype=re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avno-informacioni-sistem.rs/SlGlasnikPortal/prilozi/P1.html&amp;x-filename=true&amp;regactid=416340&amp;doctype=r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2018-01-22T13:12:00Z</dcterms:created>
  <dcterms:modified xsi:type="dcterms:W3CDTF">2018-01-22T13:13:00Z</dcterms:modified>
</cp:coreProperties>
</file>