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68A" w:rsidRDefault="003A368A" w:rsidP="003A368A">
      <w:pPr>
        <w:jc w:val="both"/>
        <w:rPr>
          <w:b/>
          <w:color w:val="FFFFFF"/>
        </w:rPr>
      </w:pPr>
    </w:p>
    <w:p w:rsidR="003A368A" w:rsidRDefault="003A368A" w:rsidP="003A368A">
      <w:pPr>
        <w:jc w:val="center"/>
        <w:rPr>
          <w:b/>
          <w:sz w:val="28"/>
          <w:szCs w:val="28"/>
          <w:lang w:val="sr-Cyrl-CS"/>
        </w:rPr>
      </w:pPr>
      <w:r>
        <w:rPr>
          <w:b/>
          <w:sz w:val="28"/>
          <w:szCs w:val="28"/>
          <w:lang w:val="sr-Cyrl-CS"/>
        </w:rPr>
        <w:t>ТЕХНИЧКИ ОПИС</w:t>
      </w:r>
    </w:p>
    <w:p w:rsidR="003A368A" w:rsidRDefault="003A368A" w:rsidP="003A368A">
      <w:pPr>
        <w:jc w:val="center"/>
        <w:rPr>
          <w:lang w:val="sr-Cyrl-CS"/>
        </w:rPr>
      </w:pPr>
      <w:r>
        <w:rPr>
          <w:lang w:val="sr-Cyrl-CS"/>
        </w:rPr>
        <w:t>уз пројекат стамбених објеката у Врању</w:t>
      </w:r>
    </w:p>
    <w:p w:rsidR="003A368A" w:rsidRDefault="003A368A" w:rsidP="003A368A">
      <w:pPr>
        <w:jc w:val="center"/>
        <w:rPr>
          <w:lang w:val="sr-Cyrl-CS"/>
        </w:rPr>
      </w:pPr>
    </w:p>
    <w:p w:rsidR="003A368A" w:rsidRDefault="003A368A" w:rsidP="003A368A">
      <w:pPr>
        <w:jc w:val="both"/>
        <w:rPr>
          <w:b/>
          <w:lang w:val="sr-Cyrl-RS"/>
        </w:rPr>
      </w:pPr>
      <w:r>
        <w:rPr>
          <w:b/>
          <w:lang w:val="sr-Cyrl-RS"/>
        </w:rPr>
        <w:t>1. ОПШТЕ</w:t>
      </w:r>
    </w:p>
    <w:p w:rsidR="003A368A" w:rsidRDefault="003A368A" w:rsidP="003A368A">
      <w:pPr>
        <w:jc w:val="center"/>
        <w:rPr>
          <w:lang w:val="sr-Cyrl-CS"/>
        </w:rPr>
      </w:pPr>
    </w:p>
    <w:p w:rsidR="003A368A" w:rsidRDefault="003A368A" w:rsidP="003A368A">
      <w:pPr>
        <w:tabs>
          <w:tab w:val="num" w:pos="0"/>
        </w:tabs>
        <w:ind w:right="52"/>
        <w:jc w:val="both"/>
        <w:rPr>
          <w:color w:val="FF0000"/>
          <w:lang w:val="sr-Cyrl-CS"/>
        </w:rPr>
      </w:pPr>
      <w:r>
        <w:rPr>
          <w:lang w:val="sr-Cyrl-CS"/>
        </w:rPr>
        <w:t>Предметна парцела се налази у широј градској зони, на благој падини према северо истоку, на којој нема  изграђених објеката.</w:t>
      </w:r>
    </w:p>
    <w:p w:rsidR="003A368A" w:rsidRDefault="003A368A" w:rsidP="003A368A">
      <w:pPr>
        <w:jc w:val="both"/>
        <w:rPr>
          <w:lang w:val="sr-Cyrl-CS"/>
        </w:rPr>
      </w:pPr>
      <w:r>
        <w:rPr>
          <w:lang w:val="sr-Cyrl-CS"/>
        </w:rPr>
        <w:t>Објекти су слободностојећи (не наслањају се један на други), груписани у три мала градска блока отвореног типа, који формирају главне правце кретања у комплексу, пратећи поставку постојећих објеката у суседству.</w:t>
      </w:r>
    </w:p>
    <w:p w:rsidR="003A368A" w:rsidRDefault="003A368A" w:rsidP="003A368A">
      <w:pPr>
        <w:jc w:val="both"/>
        <w:rPr>
          <w:lang w:val="sr-Cyrl-RS"/>
        </w:rPr>
      </w:pPr>
      <w:r>
        <w:rPr>
          <w:lang w:val="sr-Cyrl-CS"/>
        </w:rPr>
        <w:t xml:space="preserve">На парцели </w:t>
      </w:r>
      <w:r>
        <w:rPr>
          <w:b/>
          <w:lang w:val="sr-Cyrl-CS"/>
        </w:rPr>
        <w:t xml:space="preserve">ГП1 </w:t>
      </w:r>
      <w:r>
        <w:rPr>
          <w:lang w:val="sr-Cyrl-CS"/>
        </w:rPr>
        <w:t xml:space="preserve">је лоциран </w:t>
      </w:r>
      <w:r>
        <w:rPr>
          <w:b/>
          <w:lang w:val="sr-Cyrl-CS"/>
        </w:rPr>
        <w:t>објекат 1, угаона ламела</w:t>
      </w:r>
      <w:r>
        <w:rPr>
          <w:lang w:val="sr-Cyrl-CS"/>
        </w:rPr>
        <w:t xml:space="preserve"> спратности Су+П+3+Пк</w:t>
      </w:r>
      <w:r>
        <w:rPr>
          <w:lang w:val="en-GB"/>
        </w:rPr>
        <w:t xml:space="preserve">, </w:t>
      </w:r>
      <w:r>
        <w:rPr>
          <w:lang w:val="sr-Cyrl-RS"/>
        </w:rPr>
        <w:t xml:space="preserve">са </w:t>
      </w:r>
      <w:r>
        <w:rPr>
          <w:lang w:val="en-GB"/>
        </w:rPr>
        <w:t>54</w:t>
      </w:r>
      <w:r>
        <w:rPr>
          <w:lang w:val="sr-Cyrl-RS"/>
        </w:rPr>
        <w:t xml:space="preserve"> стамбене јединице</w:t>
      </w:r>
      <w:r>
        <w:rPr>
          <w:lang w:val="sr-Cyrl-CS"/>
        </w:rPr>
        <w:t xml:space="preserve">. </w:t>
      </w:r>
      <w:r>
        <w:rPr>
          <w:lang w:val="sr-Cyrl-RS"/>
        </w:rPr>
        <w:t xml:space="preserve">Објекат је због величине подељен на две ламеле, међусобно дилатиране, са заједничком аб темељном конструкцијом. </w:t>
      </w:r>
    </w:p>
    <w:p w:rsidR="003A368A" w:rsidRDefault="003A368A" w:rsidP="003A368A">
      <w:pPr>
        <w:jc w:val="both"/>
        <w:rPr>
          <w:lang w:val="sr-Cyrl-CS"/>
        </w:rPr>
      </w:pPr>
      <w:r>
        <w:rPr>
          <w:lang w:val="sr-Cyrl-CS"/>
        </w:rPr>
        <w:t xml:space="preserve">На парцели </w:t>
      </w:r>
      <w:r>
        <w:rPr>
          <w:b/>
          <w:sz w:val="28"/>
          <w:szCs w:val="28"/>
          <w:lang w:val="sr-Cyrl-RS"/>
        </w:rPr>
        <w:t>ГП 2</w:t>
      </w:r>
      <w:r>
        <w:rPr>
          <w:sz w:val="28"/>
          <w:szCs w:val="28"/>
          <w:lang w:val="sr-Cyrl-RS"/>
        </w:rPr>
        <w:t xml:space="preserve"> </w:t>
      </w:r>
      <w:r>
        <w:rPr>
          <w:b/>
          <w:lang w:val="sr-Cyrl-CS"/>
        </w:rPr>
        <w:t xml:space="preserve">објекат 2, угаона ламела </w:t>
      </w:r>
      <w:r>
        <w:rPr>
          <w:lang w:val="sr-Cyrl-CS"/>
        </w:rPr>
        <w:t xml:space="preserve">спратности П+3+Пк, са </w:t>
      </w:r>
      <w:r>
        <w:rPr>
          <w:lang w:val="sr-Cyrl-RS"/>
        </w:rPr>
        <w:t>4</w:t>
      </w:r>
      <w:r>
        <w:rPr>
          <w:lang w:val="en-GB"/>
        </w:rPr>
        <w:t>4</w:t>
      </w:r>
      <w:r>
        <w:rPr>
          <w:lang w:val="sr-Cyrl-RS"/>
        </w:rPr>
        <w:t xml:space="preserve"> стамбене јединице</w:t>
      </w:r>
      <w:r>
        <w:rPr>
          <w:lang w:val="sr-Cyrl-CS"/>
        </w:rPr>
        <w:t>.</w:t>
      </w:r>
    </w:p>
    <w:p w:rsidR="003A368A" w:rsidRDefault="003A368A" w:rsidP="003A368A">
      <w:pPr>
        <w:jc w:val="both"/>
        <w:rPr>
          <w:lang w:val="sr-Cyrl-CS"/>
        </w:rPr>
      </w:pPr>
      <w:r>
        <w:rPr>
          <w:lang w:val="sr-Cyrl-CS"/>
        </w:rPr>
        <w:t xml:space="preserve">На парцели </w:t>
      </w:r>
      <w:r>
        <w:rPr>
          <w:b/>
          <w:sz w:val="28"/>
          <w:szCs w:val="28"/>
          <w:lang w:val="sr-Cyrl-RS"/>
        </w:rPr>
        <w:t>ГП 3</w:t>
      </w:r>
      <w:r>
        <w:rPr>
          <w:sz w:val="28"/>
          <w:szCs w:val="28"/>
          <w:lang w:val="sr-Cyrl-RS"/>
        </w:rPr>
        <w:t xml:space="preserve"> </w:t>
      </w:r>
      <w:r>
        <w:rPr>
          <w:szCs w:val="28"/>
          <w:lang w:val="sr-Cyrl-RS"/>
        </w:rPr>
        <w:t xml:space="preserve"> </w:t>
      </w:r>
      <w:r>
        <w:rPr>
          <w:b/>
          <w:szCs w:val="28"/>
          <w:lang w:val="sr-Cyrl-RS"/>
        </w:rPr>
        <w:t>објекат 3.1</w:t>
      </w:r>
      <w:r>
        <w:rPr>
          <w:szCs w:val="28"/>
          <w:lang w:val="sr-Cyrl-RS"/>
        </w:rPr>
        <w:t xml:space="preserve"> </w:t>
      </w:r>
      <w:r>
        <w:rPr>
          <w:lang w:val="sr-Cyrl-CS"/>
        </w:rPr>
        <w:t xml:space="preserve">спратности Су+П+3+Пк, са </w:t>
      </w:r>
      <w:r>
        <w:rPr>
          <w:lang w:val="sr-Cyrl-RS"/>
        </w:rPr>
        <w:t xml:space="preserve">49 стамбених јединица и </w:t>
      </w:r>
      <w:r>
        <w:rPr>
          <w:b/>
          <w:szCs w:val="28"/>
          <w:lang w:val="sr-Cyrl-RS"/>
        </w:rPr>
        <w:t xml:space="preserve"> објекат 3.2</w:t>
      </w:r>
      <w:r>
        <w:rPr>
          <w:szCs w:val="28"/>
          <w:lang w:val="sr-Cyrl-RS"/>
        </w:rPr>
        <w:t xml:space="preserve">, </w:t>
      </w:r>
      <w:r>
        <w:rPr>
          <w:lang w:val="sr-Cyrl-CS"/>
        </w:rPr>
        <w:t xml:space="preserve">спратности П+3+Пк са 39 </w:t>
      </w:r>
      <w:r>
        <w:rPr>
          <w:lang w:val="sr-Cyrl-RS"/>
        </w:rPr>
        <w:t>стамбених јединица</w:t>
      </w:r>
      <w:r>
        <w:rPr>
          <w:lang w:val="sr-Cyrl-CS"/>
        </w:rPr>
        <w:t xml:space="preserve">. </w:t>
      </w:r>
    </w:p>
    <w:p w:rsidR="003A368A" w:rsidRDefault="003A368A" w:rsidP="003A368A">
      <w:pPr>
        <w:ind w:right="-6"/>
        <w:jc w:val="both"/>
        <w:rPr>
          <w:lang w:val="sr-Cyrl-CS"/>
        </w:rPr>
      </w:pPr>
      <w:r>
        <w:rPr>
          <w:lang w:val="sr-Cyrl-CS"/>
        </w:rPr>
        <w:t xml:space="preserve">Објекти су постављени на падини, тако да </w:t>
      </w:r>
      <w:r>
        <w:rPr>
          <w:b/>
          <w:lang w:val="sr-Cyrl-CS"/>
        </w:rPr>
        <w:t xml:space="preserve">објекат 1 и објекат 3.1 </w:t>
      </w:r>
      <w:r>
        <w:rPr>
          <w:lang w:val="sr-Cyrl-CS"/>
        </w:rPr>
        <w:t xml:space="preserve">у сутерену добијају наткривени паркинг простор, због конфигурације терена, а у складу са пројектним задатком задатом котом приземља на 0.90цм у односу на коту тротоара. </w:t>
      </w:r>
    </w:p>
    <w:p w:rsidR="003A368A" w:rsidRDefault="003A368A" w:rsidP="003A368A">
      <w:pPr>
        <w:jc w:val="both"/>
        <w:rPr>
          <w:lang w:val="ru-RU" w:eastAsia="sr-Latn-RS"/>
        </w:rPr>
      </w:pPr>
      <w:r>
        <w:rPr>
          <w:lang w:val="ru-RU" w:eastAsia="sr-Latn-RS"/>
        </w:rPr>
        <w:t>Висина објекта од коте терена износи ~ 17.0 м.</w:t>
      </w:r>
    </w:p>
    <w:p w:rsidR="003A368A" w:rsidRDefault="003A368A" w:rsidP="003A368A">
      <w:pPr>
        <w:jc w:val="both"/>
        <w:rPr>
          <w:lang w:val="ru-RU" w:eastAsia="sr-Latn-RS"/>
        </w:rPr>
      </w:pPr>
    </w:p>
    <w:p w:rsidR="003A368A" w:rsidRDefault="003A368A" w:rsidP="003A368A">
      <w:pPr>
        <w:jc w:val="both"/>
        <w:rPr>
          <w:lang w:val="sr-Cyrl-CS"/>
        </w:rPr>
      </w:pPr>
      <w:r>
        <w:rPr>
          <w:lang w:val="sr-Cyrl-CS"/>
        </w:rPr>
        <w:t>У објектима 1 и 3.1 због нагиба терена, пројектован је сутерен, који се састоји од: надкривеног паркиг простора, топлотне подстанице, оставе за бицикла отвореног типа и неколико остава на деловима без могућности колског приступа. У оквиру степеништа није предвиђена топла веза са сутереном.</w:t>
      </w:r>
    </w:p>
    <w:p w:rsidR="003A368A" w:rsidRDefault="003A368A" w:rsidP="003A368A">
      <w:pPr>
        <w:jc w:val="both"/>
        <w:rPr>
          <w:lang w:val="ru-RU" w:eastAsia="sr-Latn-RS"/>
        </w:rPr>
      </w:pPr>
      <w:r>
        <w:rPr>
          <w:lang w:val="ru-RU" w:eastAsia="sr-Latn-RS"/>
        </w:rPr>
        <w:t>У нивоу сутрена урађена је и инсталациона галерија, која служи за провлачење инсталација и прилаз у случају интервенције. Такође, ради спровођења хидротехничких инсталација станова у приземљу испод којих се не налази галерија, плоча приземља је каскадирана. Носећа конструкција плоче у спуштена је за око 70 цм, тако да ће након полагања инсталација, простор бити испуњен песком преко кога се ради "пливајућа" аб плоча дебљине 10 цм.</w:t>
      </w:r>
    </w:p>
    <w:p w:rsidR="003A368A" w:rsidRDefault="003A368A" w:rsidP="003A368A">
      <w:pPr>
        <w:jc w:val="both"/>
        <w:rPr>
          <w:lang w:val="sr-Cyrl-CS"/>
        </w:rPr>
      </w:pPr>
      <w:r>
        <w:rPr>
          <w:lang w:val="sr-Cyrl-CS"/>
        </w:rPr>
        <w:t>На спратовима и поткровљу су смештене стамбене јединице. Последња етажа је поткровље са косим кровом. Осветљење стамбених јединица је решено преко кровних баџа и кровних прозора. У оквиру кровних баџа су  излази на терасе.</w:t>
      </w:r>
    </w:p>
    <w:p w:rsidR="003A368A" w:rsidRDefault="003A368A" w:rsidP="003A368A">
      <w:pPr>
        <w:jc w:val="both"/>
        <w:rPr>
          <w:lang w:val="sr-Cyrl-CS"/>
        </w:rPr>
      </w:pPr>
      <w:r>
        <w:rPr>
          <w:lang w:val="sr-Cyrl-CS"/>
        </w:rPr>
        <w:t>Кров је вишеводни, кос и вентилисан, са дрвеним кровним носачима, дрвеним роговим са покрива</w:t>
      </w:r>
      <w:r>
        <w:rPr>
          <w:lang w:val="sr-Cyrl-RS"/>
        </w:rPr>
        <w:t>ч</w:t>
      </w:r>
      <w:r>
        <w:rPr>
          <w:lang w:val="sr-Cyrl-CS"/>
        </w:rPr>
        <w:t>ем од равног пластифицираног поцинкованог челичног лима на ОСБ плочи, д=18мм.</w:t>
      </w:r>
    </w:p>
    <w:p w:rsidR="003A368A" w:rsidRDefault="003A368A" w:rsidP="003A368A">
      <w:pPr>
        <w:ind w:right="-6"/>
        <w:jc w:val="both"/>
        <w:rPr>
          <w:color w:val="FF0000"/>
          <w:lang w:val="sr-Cyrl-CS" w:eastAsia="en-US"/>
        </w:rPr>
      </w:pPr>
    </w:p>
    <w:p w:rsidR="003A368A" w:rsidRDefault="003A368A" w:rsidP="003A368A">
      <w:pPr>
        <w:ind w:right="-6"/>
        <w:jc w:val="both"/>
        <w:rPr>
          <w:lang w:val="sr-Cyrl-RS"/>
        </w:rPr>
      </w:pPr>
      <w:r>
        <w:t xml:space="preserve">Вертикална комуникација у објекту решена је </w:t>
      </w:r>
      <w:r>
        <w:rPr>
          <w:lang w:val="sr-Cyrl-RS"/>
        </w:rPr>
        <w:t>двокраким аб</w:t>
      </w:r>
      <w:r>
        <w:t xml:space="preserve"> степеништем и лифтом.</w:t>
      </w:r>
    </w:p>
    <w:p w:rsidR="003A368A" w:rsidRDefault="003A368A" w:rsidP="003A368A">
      <w:pPr>
        <w:ind w:right="-6"/>
        <w:jc w:val="both"/>
        <w:rPr>
          <w:lang w:val="sr-Cyrl-CS"/>
        </w:rPr>
      </w:pPr>
      <w:r>
        <w:rPr>
          <w:lang w:val="sr-Cyrl-CS"/>
        </w:rPr>
        <w:t>У објекте се улази помоћу конструкције степеништа и прилазних рампи.</w:t>
      </w:r>
    </w:p>
    <w:p w:rsidR="003A368A" w:rsidRDefault="003A368A" w:rsidP="003A368A">
      <w:pPr>
        <w:ind w:right="-6"/>
        <w:jc w:val="both"/>
        <w:rPr>
          <w:color w:val="FF0000"/>
          <w:lang w:val="sr-Cyrl-CS"/>
        </w:rPr>
      </w:pPr>
    </w:p>
    <w:p w:rsidR="003A368A" w:rsidRDefault="003A368A" w:rsidP="003A368A">
      <w:pPr>
        <w:ind w:right="-6"/>
        <w:jc w:val="both"/>
        <w:rPr>
          <w:lang w:val="sr-Cyrl-RS"/>
        </w:rPr>
      </w:pPr>
    </w:p>
    <w:p w:rsidR="003A368A" w:rsidRDefault="003A368A" w:rsidP="003A368A">
      <w:pPr>
        <w:jc w:val="both"/>
        <w:rPr>
          <w:rFonts w:eastAsia="ArialMT"/>
          <w:b/>
          <w:color w:val="000000"/>
          <w:lang w:val="sr-Cyrl-CS" w:eastAsia="sr-Latn-RS"/>
        </w:rPr>
      </w:pPr>
      <w:r>
        <w:rPr>
          <w:rFonts w:eastAsia="ArialMT"/>
          <w:b/>
          <w:color w:val="000000"/>
          <w:lang w:val="sr-Cyrl-CS" w:eastAsia="sr-Latn-RS"/>
        </w:rPr>
        <w:t>2. ОПТЕРЕЋЕЊЕ</w:t>
      </w:r>
    </w:p>
    <w:p w:rsidR="003A368A" w:rsidRDefault="003A368A" w:rsidP="003A368A">
      <w:pPr>
        <w:jc w:val="both"/>
        <w:rPr>
          <w:rFonts w:eastAsia="ArialMT"/>
          <w:color w:val="000000"/>
          <w:lang w:val="sr-Cyrl-CS" w:eastAsia="sr-Latn-RS"/>
        </w:rPr>
      </w:pPr>
    </w:p>
    <w:p w:rsidR="003A368A" w:rsidRDefault="003A368A" w:rsidP="003A368A">
      <w:pPr>
        <w:jc w:val="both"/>
        <w:rPr>
          <w:rFonts w:eastAsia="ArialMT"/>
          <w:b/>
          <w:color w:val="000000"/>
          <w:lang w:val="sr-Cyrl-CS" w:eastAsia="sr-Latn-RS"/>
        </w:rPr>
      </w:pPr>
      <w:r>
        <w:rPr>
          <w:rFonts w:eastAsia="ArialMT"/>
          <w:b/>
          <w:color w:val="000000"/>
          <w:lang w:val="sr-Cyrl-CS" w:eastAsia="sr-Latn-RS"/>
        </w:rPr>
        <w:t xml:space="preserve">2.1 Стална оптерећења и корисна </w:t>
      </w:r>
    </w:p>
    <w:p w:rsidR="003A368A" w:rsidRDefault="003A368A" w:rsidP="003A368A">
      <w:pPr>
        <w:jc w:val="both"/>
        <w:rPr>
          <w:rFonts w:eastAsia="ArialMT"/>
          <w:color w:val="000000"/>
          <w:lang w:val="sr-Cyrl-CS" w:eastAsia="sr-Latn-RS"/>
        </w:rPr>
      </w:pPr>
    </w:p>
    <w:p w:rsidR="003A368A" w:rsidRDefault="003A368A" w:rsidP="003A368A">
      <w:pPr>
        <w:ind w:right="-6"/>
        <w:jc w:val="both"/>
        <w:rPr>
          <w:lang w:val="sr-Cyrl-CS"/>
        </w:rPr>
      </w:pPr>
      <w:r>
        <w:rPr>
          <w:lang w:val="sr-Cyrl-CS"/>
        </w:rPr>
        <w:t xml:space="preserve">Претпоставке додатних сталних оптерећења као и корисних се заснивају на архитектонским цртежима и пракси изградње за ову врсту објеката. Стална и </w:t>
      </w:r>
      <w:r>
        <w:rPr>
          <w:lang w:val="sr-Cyrl-CS"/>
        </w:rPr>
        <w:lastRenderedPageBreak/>
        <w:t>корисна оптерећења коришћена у статичкој анализи и пројекту су приказана у делу Анализа оптерећења.</w:t>
      </w:r>
    </w:p>
    <w:p w:rsidR="003A368A" w:rsidRDefault="003A368A" w:rsidP="003A368A">
      <w:pPr>
        <w:jc w:val="both"/>
        <w:rPr>
          <w:rFonts w:eastAsia="ArialMT"/>
          <w:color w:val="000000"/>
          <w:lang w:val="sr-Cyrl-CS" w:eastAsia="sr-Latn-RS"/>
        </w:rPr>
      </w:pPr>
    </w:p>
    <w:p w:rsidR="003A368A" w:rsidRDefault="003A368A" w:rsidP="003A368A">
      <w:pPr>
        <w:jc w:val="both"/>
        <w:rPr>
          <w:rFonts w:eastAsia="ArialMT"/>
          <w:b/>
          <w:color w:val="000000"/>
          <w:lang w:val="sr-Cyrl-CS" w:eastAsia="sr-Latn-RS"/>
        </w:rPr>
      </w:pPr>
      <w:r>
        <w:rPr>
          <w:rFonts w:eastAsia="ArialMT"/>
          <w:b/>
          <w:color w:val="000000"/>
          <w:lang w:val="sr-Cyrl-CS" w:eastAsia="sr-Latn-RS"/>
        </w:rPr>
        <w:t xml:space="preserve">2.2 Оптерећења од снежног покривача </w:t>
      </w:r>
    </w:p>
    <w:p w:rsidR="003A368A" w:rsidRDefault="003A368A" w:rsidP="003A368A">
      <w:pPr>
        <w:ind w:right="-6"/>
        <w:jc w:val="both"/>
        <w:rPr>
          <w:lang w:val="sr-Cyrl-CS"/>
        </w:rPr>
      </w:pPr>
    </w:p>
    <w:p w:rsidR="003A368A" w:rsidRDefault="003A368A" w:rsidP="003A368A">
      <w:pPr>
        <w:ind w:right="-6"/>
        <w:jc w:val="both"/>
        <w:rPr>
          <w:lang w:val="sr-Cyrl-CS"/>
        </w:rPr>
      </w:pPr>
      <w:r>
        <w:rPr>
          <w:lang w:val="sr-Cyrl-CS"/>
        </w:rPr>
        <w:t xml:space="preserve">Вредност оптерећења од снежног покривача узетог у прорачуну је у складу са важећим прописима. </w:t>
      </w:r>
    </w:p>
    <w:p w:rsidR="003A368A" w:rsidRDefault="003A368A" w:rsidP="003A368A">
      <w:pPr>
        <w:ind w:right="-6"/>
        <w:jc w:val="both"/>
        <w:rPr>
          <w:lang w:val="sr-Cyrl-CS"/>
        </w:rPr>
      </w:pPr>
    </w:p>
    <w:p w:rsidR="003A368A" w:rsidRDefault="003A368A" w:rsidP="003A368A">
      <w:pPr>
        <w:jc w:val="both"/>
        <w:rPr>
          <w:rFonts w:eastAsia="ArialMT"/>
          <w:b/>
          <w:color w:val="000000"/>
          <w:lang w:val="sr-Cyrl-CS" w:eastAsia="sr-Latn-RS"/>
        </w:rPr>
      </w:pPr>
      <w:r>
        <w:rPr>
          <w:rFonts w:eastAsia="ArialMT"/>
          <w:b/>
          <w:color w:val="000000"/>
          <w:lang w:val="sr-Cyrl-CS" w:eastAsia="sr-Latn-RS"/>
        </w:rPr>
        <w:t>2.3 Оптерећење од ветра</w:t>
      </w:r>
    </w:p>
    <w:p w:rsidR="003A368A" w:rsidRDefault="003A368A" w:rsidP="003A368A">
      <w:pPr>
        <w:ind w:right="-6"/>
        <w:jc w:val="both"/>
        <w:rPr>
          <w:lang w:val="sr-Cyrl-CS"/>
        </w:rPr>
      </w:pPr>
    </w:p>
    <w:p w:rsidR="003A368A" w:rsidRDefault="003A368A" w:rsidP="003A368A">
      <w:pPr>
        <w:ind w:right="-6"/>
        <w:jc w:val="both"/>
        <w:rPr>
          <w:lang w:val="sr-Cyrl-CS"/>
        </w:rPr>
      </w:pPr>
      <w:r>
        <w:rPr>
          <w:lang w:val="sr-Cyrl-CS"/>
        </w:rPr>
        <w:t xml:space="preserve">Основна брзина ветра која се користи је одређена коришћењем меродавног законика за ветар SRPS U.C7.110 (1991) и дефинисана је као просечна брзина у периоду времена од 1  h = 3600 s, мерена на висини од 10 м на отвореном терену са ретким кућама и дрвећем, са повратним периодом од 50 година. </w:t>
      </w:r>
    </w:p>
    <w:p w:rsidR="003A368A" w:rsidRDefault="003A368A" w:rsidP="003A368A">
      <w:pPr>
        <w:jc w:val="both"/>
        <w:rPr>
          <w:lang w:val="ru-RU"/>
        </w:rPr>
      </w:pPr>
      <w:r>
        <w:rPr>
          <w:lang w:val="sr-Cyrl-CS"/>
        </w:rPr>
        <w:t xml:space="preserve">Утицаји од ветра на конструкцију су занемарљиво мали у односу на утицаје од сеизмике. </w:t>
      </w:r>
    </w:p>
    <w:p w:rsidR="003A368A" w:rsidRDefault="003A368A" w:rsidP="003A368A">
      <w:pPr>
        <w:jc w:val="both"/>
        <w:rPr>
          <w:lang w:val="ru-RU"/>
        </w:rPr>
      </w:pPr>
    </w:p>
    <w:p w:rsidR="003A368A" w:rsidRDefault="003A368A" w:rsidP="003A368A">
      <w:pPr>
        <w:jc w:val="both"/>
        <w:rPr>
          <w:rFonts w:eastAsia="ArialMT"/>
          <w:b/>
          <w:color w:val="000000"/>
          <w:lang w:val="sr-Cyrl-CS" w:eastAsia="sr-Latn-RS"/>
        </w:rPr>
      </w:pPr>
      <w:r>
        <w:rPr>
          <w:rFonts w:eastAsia="ArialMT"/>
          <w:b/>
          <w:color w:val="000000"/>
          <w:lang w:val="sr-Cyrl-CS" w:eastAsia="sr-Latn-RS"/>
        </w:rPr>
        <w:t>2.4 Оптерећење од земљотреса</w:t>
      </w:r>
    </w:p>
    <w:p w:rsidR="003A368A" w:rsidRDefault="003A368A" w:rsidP="003A368A">
      <w:pPr>
        <w:jc w:val="both"/>
        <w:rPr>
          <w:rFonts w:eastAsia="ArialMT"/>
          <w:color w:val="000000"/>
          <w:lang w:val="sr-Cyrl-CS" w:eastAsia="sr-Latn-RS"/>
        </w:rPr>
      </w:pPr>
    </w:p>
    <w:p w:rsidR="003A368A" w:rsidRDefault="003A368A" w:rsidP="003A368A">
      <w:pPr>
        <w:ind w:right="-6"/>
        <w:jc w:val="both"/>
        <w:rPr>
          <w:lang w:val="sr-Cyrl-CS"/>
        </w:rPr>
      </w:pPr>
      <w:r>
        <w:rPr>
          <w:lang w:val="sr-Cyrl-CS"/>
        </w:rPr>
        <w:t xml:space="preserve">Статичка и динамичка анализа конструкције урађена је у програмском пакету Tower 7 (Radimpex, Beograd). Статички прорачун је урађен признатим поступцима статике конструкција, у овом случају методом коначних елемената. Таванице су рачунате у раванском статичком систему. Греде, стубови и зидови у просторном статичком систему. </w:t>
      </w:r>
    </w:p>
    <w:p w:rsidR="003A368A" w:rsidRDefault="003A368A" w:rsidP="003A368A">
      <w:pPr>
        <w:ind w:right="-6"/>
        <w:jc w:val="both"/>
        <w:rPr>
          <w:lang w:val="sr-Cyrl-CS"/>
        </w:rPr>
      </w:pPr>
      <w:r>
        <w:rPr>
          <w:lang w:val="sr-Cyrl-CS"/>
        </w:rPr>
        <w:t xml:space="preserve">Оптерећења су усвојена према спроведеној анализи, прописима и нормама. Прорачун на сеизмичка дејства урађен је према Правилнику о техничким нормативима за изградњу објеката високоградње у сеизмичким подручјима (Сл СФРЈ бр. 31/81, 49/82, 29/83, 21/88 и 52/90). </w:t>
      </w:r>
    </w:p>
    <w:p w:rsidR="003A368A" w:rsidRDefault="003A368A" w:rsidP="003A368A">
      <w:pPr>
        <w:ind w:right="-6"/>
        <w:jc w:val="both"/>
        <w:rPr>
          <w:lang w:val="sr-Cyrl-CS"/>
        </w:rPr>
      </w:pPr>
      <w:r>
        <w:rPr>
          <w:lang w:val="sr-Cyrl-CS"/>
        </w:rPr>
        <w:t>Сеизмички прорачун је урађен методом еквивалентног статичког оптерећења, одређивање хоризонталних сила према члану 21. Правилника урађено је модулом програмског пакета Тоwе</w:t>
      </w:r>
      <w:r>
        <w:t>r</w:t>
      </w:r>
      <w:r>
        <w:rPr>
          <w:lang w:val="sr-Cyrl-CS"/>
        </w:rPr>
        <w:t xml:space="preserve"> 7. </w:t>
      </w:r>
    </w:p>
    <w:p w:rsidR="003A368A" w:rsidRDefault="003A368A" w:rsidP="003A368A">
      <w:pPr>
        <w:ind w:right="-6"/>
        <w:jc w:val="both"/>
        <w:rPr>
          <w:lang w:val="sr-Cyrl-CS"/>
        </w:rPr>
      </w:pPr>
    </w:p>
    <w:p w:rsidR="003A368A" w:rsidRDefault="003A368A" w:rsidP="003A368A">
      <w:pPr>
        <w:pStyle w:val="Default"/>
        <w:jc w:val="both"/>
        <w:rPr>
          <w:i/>
          <w:u w:val="single"/>
        </w:rPr>
      </w:pPr>
      <w:r>
        <w:rPr>
          <w:i/>
          <w:u w:val="single"/>
        </w:rPr>
        <w:t xml:space="preserve">Параметри узети </w:t>
      </w:r>
      <w:r>
        <w:rPr>
          <w:i/>
          <w:u w:val="single"/>
          <w:lang w:val="sr-Cyrl-RS"/>
        </w:rPr>
        <w:t>у</w:t>
      </w:r>
      <w:r>
        <w:rPr>
          <w:i/>
          <w:u w:val="single"/>
        </w:rPr>
        <w:t xml:space="preserve"> прорачун</w:t>
      </w:r>
      <w:r>
        <w:rPr>
          <w:i/>
          <w:u w:val="single"/>
          <w:lang w:val="sr-Cyrl-RS"/>
        </w:rPr>
        <w:t>у</w:t>
      </w:r>
      <w:r>
        <w:rPr>
          <w:i/>
          <w:u w:val="single"/>
        </w:rPr>
        <w:t xml:space="preserve">: </w:t>
      </w:r>
    </w:p>
    <w:p w:rsidR="003A368A" w:rsidRDefault="003A368A" w:rsidP="003A368A">
      <w:pPr>
        <w:pStyle w:val="Default"/>
        <w:jc w:val="both"/>
      </w:pPr>
      <w:r>
        <w:t xml:space="preserve">(1) </w:t>
      </w:r>
      <w:r>
        <w:rPr>
          <w:lang w:val="sr-Cyrl-CS"/>
        </w:rPr>
        <w:t xml:space="preserve">Према сеизмичкој карти за повратни период од 500 год. Врање се налази у </w:t>
      </w:r>
      <w:r>
        <w:t>IXI</w:t>
      </w:r>
      <w:r>
        <w:rPr>
          <w:lang w:val="sr-Cyrl-CS"/>
        </w:rPr>
        <w:t xml:space="preserve"> сеизмичкој зони са коефицијентом сеизмичности к</w:t>
      </w:r>
      <w:r>
        <w:rPr>
          <w:vertAlign w:val="subscript"/>
          <w:lang w:val="sr-Latn-CS"/>
        </w:rPr>
        <w:t>s</w:t>
      </w:r>
      <w:r>
        <w:rPr>
          <w:lang w:val="sr-Latn-CS"/>
        </w:rPr>
        <w:t>= 0.1</w:t>
      </w:r>
      <w:r>
        <w:rPr>
          <w:lang w:val="sr-Cyrl-CS"/>
        </w:rPr>
        <w:t xml:space="preserve">. </w:t>
      </w:r>
    </w:p>
    <w:p w:rsidR="003A368A" w:rsidRDefault="003A368A" w:rsidP="003A368A">
      <w:pPr>
        <w:pStyle w:val="Default"/>
        <w:jc w:val="both"/>
      </w:pPr>
      <w:r>
        <w:t xml:space="preserve">(2) коефицијент динамичности према геотехничком елаборату, категорија терена II, Кd према Правилнику члан 25 </w:t>
      </w:r>
    </w:p>
    <w:p w:rsidR="003A368A" w:rsidRDefault="003A368A" w:rsidP="003A368A">
      <w:pPr>
        <w:pStyle w:val="Default"/>
        <w:jc w:val="both"/>
        <w:rPr>
          <w:lang w:val="sr-Cyrl-RS"/>
        </w:rPr>
      </w:pPr>
      <w:r>
        <w:t>(3) коефицијент категорије објекта, Правилник члан 4 (</w:t>
      </w:r>
      <w:r>
        <w:rPr>
          <w:b/>
          <w:lang w:val="sr-Cyrl-RS"/>
        </w:rPr>
        <w:t>Стамбене зграде</w:t>
      </w:r>
      <w:r>
        <w:rPr>
          <w:lang w:val="sr-Cyrl-RS"/>
        </w:rPr>
        <w:t>, хотели, ресторани</w:t>
      </w:r>
      <w:r>
        <w:t xml:space="preserve">...) </w:t>
      </w:r>
      <w:r>
        <w:rPr>
          <w:lang w:val="sr-Cyrl-RS"/>
        </w:rPr>
        <w:t>:</w:t>
      </w:r>
    </w:p>
    <w:p w:rsidR="003A368A" w:rsidRDefault="003A368A" w:rsidP="003A368A">
      <w:pPr>
        <w:pStyle w:val="Default"/>
        <w:jc w:val="both"/>
      </w:pPr>
      <w:r>
        <w:t>Ko = 1.</w:t>
      </w:r>
      <w:r>
        <w:rPr>
          <w:lang w:val="sr-Cyrl-RS"/>
        </w:rPr>
        <w:t>0</w:t>
      </w:r>
      <w:r>
        <w:t xml:space="preserve"> </w:t>
      </w:r>
    </w:p>
    <w:p w:rsidR="003A368A" w:rsidRDefault="003A368A" w:rsidP="003A368A">
      <w:pPr>
        <w:pStyle w:val="Default"/>
        <w:jc w:val="both"/>
        <w:rPr>
          <w:lang w:val="sr-Cyrl-RS"/>
        </w:rPr>
      </w:pPr>
      <w:r>
        <w:t xml:space="preserve">(4) коефицијент дуктилитета и пригушења, Правилник члан 27 (све савремене конструкције од армираног бетона) </w:t>
      </w:r>
      <w:r>
        <w:rPr>
          <w:lang w:val="sr-Cyrl-RS"/>
        </w:rPr>
        <w:t>:</w:t>
      </w:r>
    </w:p>
    <w:p w:rsidR="003A368A" w:rsidRDefault="003A368A" w:rsidP="003A368A">
      <w:pPr>
        <w:jc w:val="both"/>
        <w:rPr>
          <w:lang w:val="sr-Cyrl-RS"/>
        </w:rPr>
      </w:pPr>
      <w:r>
        <w:t>Kp = 1.0</w:t>
      </w:r>
    </w:p>
    <w:p w:rsidR="003A368A" w:rsidRDefault="003A368A" w:rsidP="003A368A">
      <w:pPr>
        <w:jc w:val="both"/>
        <w:rPr>
          <w:lang w:val="sr-Cyrl-RS"/>
        </w:rPr>
      </w:pPr>
    </w:p>
    <w:p w:rsidR="003A368A" w:rsidRDefault="003A368A" w:rsidP="003A368A">
      <w:pPr>
        <w:jc w:val="both"/>
        <w:rPr>
          <w:lang w:val="sr-Cyrl-CS"/>
        </w:rPr>
      </w:pPr>
      <w:r>
        <w:rPr>
          <w:lang w:val="sr-Cyrl-RS"/>
        </w:rPr>
        <w:t xml:space="preserve">Максимална хоризонтална померања објекта су мања од допуштених правилником </w:t>
      </w:r>
      <w:r>
        <w:rPr>
          <w:lang w:val="sr-Latn-CS"/>
        </w:rPr>
        <w:t>H/600</w:t>
      </w:r>
      <w:r>
        <w:rPr>
          <w:lang w:val="sr-Cyrl-RS"/>
        </w:rPr>
        <w:t xml:space="preserve"> за еластично понашање конструкције. </w:t>
      </w:r>
    </w:p>
    <w:p w:rsidR="003A368A" w:rsidRDefault="003A368A" w:rsidP="003A368A">
      <w:pPr>
        <w:ind w:right="-6"/>
        <w:jc w:val="both"/>
        <w:rPr>
          <w:lang w:val="sr-Cyrl-CS"/>
        </w:rPr>
      </w:pPr>
    </w:p>
    <w:p w:rsidR="003A368A" w:rsidRDefault="003A368A" w:rsidP="003A368A">
      <w:pPr>
        <w:jc w:val="both"/>
        <w:rPr>
          <w:rFonts w:eastAsia="ArialMT"/>
          <w:b/>
          <w:color w:val="000000"/>
          <w:lang w:val="sr-Cyrl-CS" w:eastAsia="sr-Latn-RS"/>
        </w:rPr>
      </w:pPr>
      <w:r>
        <w:rPr>
          <w:rFonts w:eastAsia="ArialMT"/>
          <w:b/>
          <w:color w:val="000000"/>
          <w:lang w:val="sr-Cyrl-CS" w:eastAsia="sr-Latn-RS"/>
        </w:rPr>
        <w:t>3. ОПИС КОНСТРУКТИВНОГ СИСТЕМА</w:t>
      </w:r>
    </w:p>
    <w:p w:rsidR="003A368A" w:rsidRDefault="003A368A" w:rsidP="003A368A">
      <w:pPr>
        <w:ind w:right="-6"/>
        <w:jc w:val="both"/>
      </w:pPr>
    </w:p>
    <w:p w:rsidR="003A368A" w:rsidRDefault="003A368A" w:rsidP="003A368A">
      <w:pPr>
        <w:ind w:right="-6"/>
        <w:jc w:val="both"/>
        <w:rPr>
          <w:lang w:val="sr-Cyrl-RS" w:eastAsia="en-US"/>
        </w:rPr>
      </w:pPr>
      <w:r>
        <w:rPr>
          <w:lang w:val="sr-Cyrl-RS" w:eastAsia="en-US"/>
        </w:rPr>
        <w:t>Конструктивни систем је мешовит и састоји се од аб стубова распоређених у растерима и аб платана. Платна обезбеђују бочну стабилност објекта у оба правца.</w:t>
      </w:r>
    </w:p>
    <w:p w:rsidR="003A368A" w:rsidRDefault="003A368A" w:rsidP="003A368A">
      <w:pPr>
        <w:ind w:right="-6"/>
        <w:jc w:val="both"/>
        <w:rPr>
          <w:lang w:val="sr-Cyrl-RS" w:eastAsia="en-US"/>
        </w:rPr>
      </w:pPr>
    </w:p>
    <w:p w:rsidR="003A368A" w:rsidRDefault="003A368A" w:rsidP="003A368A">
      <w:pPr>
        <w:ind w:right="-6"/>
        <w:jc w:val="both"/>
      </w:pPr>
      <w:r>
        <w:rPr>
          <w:lang w:val="sr-Cyrl-CS"/>
        </w:rPr>
        <w:t xml:space="preserve">Међуспратне конструкције су пуне аб плоче дебљине 18 цм. Плоче преносе оптерећења на аб платна и аб греде  димензија 20 </w:t>
      </w:r>
      <w:r>
        <w:t>x</w:t>
      </w:r>
      <w:r>
        <w:rPr>
          <w:lang w:val="sr-Cyrl-CS"/>
        </w:rPr>
        <w:t>40, 20</w:t>
      </w:r>
      <w:r>
        <w:t>x</w:t>
      </w:r>
      <w:r>
        <w:rPr>
          <w:lang w:val="sr-Cyrl-CS"/>
        </w:rPr>
        <w:t>45, 25</w:t>
      </w:r>
      <w:r>
        <w:t>x</w:t>
      </w:r>
      <w:r>
        <w:rPr>
          <w:lang w:val="sr-Cyrl-CS"/>
        </w:rPr>
        <w:t xml:space="preserve">45 </w:t>
      </w:r>
      <w:r>
        <w:rPr>
          <w:lang w:val="sr-Cyrl-RS"/>
        </w:rPr>
        <w:t>и</w:t>
      </w:r>
      <w:r>
        <w:rPr>
          <w:lang w:val="sr-Cyrl-CS"/>
        </w:rPr>
        <w:t xml:space="preserve"> 25</w:t>
      </w:r>
      <w:r>
        <w:t>x</w:t>
      </w:r>
      <w:r>
        <w:rPr>
          <w:lang w:val="sr-Cyrl-RS"/>
        </w:rPr>
        <w:t>55</w:t>
      </w:r>
      <w:r>
        <w:rPr>
          <w:lang w:val="sr-Cyrl-CS"/>
        </w:rPr>
        <w:t xml:space="preserve"> цм ослоњене на  стубове и аб зидове. Плоче су пројектоване тако да прихвате сва вертикална оптерећења којим</w:t>
      </w:r>
      <w:r>
        <w:t>a</w:t>
      </w:r>
      <w:r>
        <w:rPr>
          <w:lang w:val="sr-Cyrl-CS"/>
        </w:rPr>
        <w:t xml:space="preserve"> су изложене и да учествују у заједничком раду са вертикалним носећим елементима за разне случајеве хоризонталних оптерећења. </w:t>
      </w:r>
    </w:p>
    <w:p w:rsidR="003A368A" w:rsidRDefault="003A368A" w:rsidP="003A368A">
      <w:pPr>
        <w:tabs>
          <w:tab w:val="left" w:pos="0"/>
        </w:tabs>
        <w:jc w:val="both"/>
        <w:rPr>
          <w:rFonts w:eastAsia="ArialMT"/>
          <w:color w:val="000000"/>
          <w:lang w:val="sr-Cyrl-CS" w:eastAsia="sr-Latn-RS"/>
        </w:rPr>
      </w:pPr>
      <w:r>
        <w:rPr>
          <w:rFonts w:eastAsia="ArialMT"/>
          <w:color w:val="000000"/>
          <w:lang w:val="sr-Cyrl-CS" w:eastAsia="sr-Latn-RS"/>
        </w:rPr>
        <w:t>Прорачун међуспратних конструкицја је извршен за утицај гравитационог оптерећења. Интезитети оптерећења су одређени у анализи оптерећења. Додатна оптерећења међуспратних конструкција услед тежина подова, плафона и сталне опреме, као и повремена оптерећења нанета су као површинска, док су оптерећења од преградних и фасадних зидова нанета као линијска.</w:t>
      </w:r>
    </w:p>
    <w:p w:rsidR="003A368A" w:rsidRDefault="003A368A" w:rsidP="003A368A">
      <w:pPr>
        <w:ind w:right="-6"/>
        <w:jc w:val="both"/>
        <w:rPr>
          <w:lang w:val="sr-Cyrl-CS"/>
        </w:rPr>
      </w:pPr>
      <w:r>
        <w:rPr>
          <w:lang w:val="sr-Cyrl-CS"/>
        </w:rPr>
        <w:t>Димензије стубова су 20</w:t>
      </w:r>
      <w:r>
        <w:t>x</w:t>
      </w:r>
      <w:r>
        <w:rPr>
          <w:lang w:val="sr-Cyrl-CS"/>
        </w:rPr>
        <w:t xml:space="preserve">50, 20/70, 25/70 и 25/90 цм. Дебљине зидова су д=20, 25 и 16 цм. </w:t>
      </w:r>
    </w:p>
    <w:p w:rsidR="003A368A" w:rsidRDefault="003A368A" w:rsidP="003A368A">
      <w:pPr>
        <w:ind w:right="-6"/>
        <w:jc w:val="both"/>
        <w:rPr>
          <w:lang w:val="sr-Cyrl-CS"/>
        </w:rPr>
      </w:pPr>
      <w:r>
        <w:rPr>
          <w:lang w:val="sr-Cyrl-CS"/>
        </w:rPr>
        <w:t>Плоча тавана је армирано бетонска, делимично изломљена, а кровна конструкција је дрвена. Кровни покривач је пластифициран поцинковани челични лим, дебљине 0.7 мм.</w:t>
      </w:r>
    </w:p>
    <w:p w:rsidR="003A368A" w:rsidRDefault="003A368A" w:rsidP="003A368A">
      <w:pPr>
        <w:ind w:right="-6"/>
        <w:jc w:val="both"/>
        <w:rPr>
          <w:color w:val="FF0000"/>
        </w:rPr>
      </w:pPr>
    </w:p>
    <w:p w:rsidR="003A368A" w:rsidRDefault="003A368A" w:rsidP="003A368A">
      <w:pPr>
        <w:tabs>
          <w:tab w:val="left" w:pos="0"/>
        </w:tabs>
        <w:jc w:val="both"/>
        <w:rPr>
          <w:rFonts w:eastAsia="ArialMT"/>
          <w:b/>
          <w:lang w:val="sr-Cyrl-CS" w:eastAsia="sr-Latn-RS"/>
        </w:rPr>
      </w:pPr>
      <w:r>
        <w:rPr>
          <w:rFonts w:eastAsia="ArialMT"/>
          <w:b/>
          <w:lang w:val="sr-Cyrl-CS" w:eastAsia="sr-Latn-RS"/>
        </w:rPr>
        <w:t>4. ТЕМЕЉНА КОНСТРУКЦИЈА</w:t>
      </w:r>
    </w:p>
    <w:p w:rsidR="003A368A" w:rsidRDefault="003A368A" w:rsidP="003A368A">
      <w:pPr>
        <w:ind w:right="-6"/>
        <w:jc w:val="both"/>
      </w:pPr>
    </w:p>
    <w:p w:rsidR="003A368A" w:rsidRDefault="003A368A" w:rsidP="003A368A">
      <w:pPr>
        <w:jc w:val="both"/>
        <w:rPr>
          <w:lang w:val="sr-Cyrl-CS"/>
        </w:rPr>
      </w:pPr>
      <w:r>
        <w:t>Објек</w:t>
      </w:r>
      <w:r>
        <w:rPr>
          <w:lang w:val="sr-Cyrl-RS"/>
        </w:rPr>
        <w:t>а</w:t>
      </w:r>
      <w:r>
        <w:t>т</w:t>
      </w:r>
      <w:r>
        <w:rPr>
          <w:lang w:val="sr-Cyrl-RS"/>
        </w:rPr>
        <w:t>и су</w:t>
      </w:r>
      <w:r>
        <w:t xml:space="preserve"> фундиран</w:t>
      </w:r>
      <w:r>
        <w:rPr>
          <w:lang w:val="sr-Cyrl-RS"/>
        </w:rPr>
        <w:t>и</w:t>
      </w:r>
      <w:r>
        <w:t xml:space="preserve"> плитко, на т</w:t>
      </w:r>
      <w:r>
        <w:rPr>
          <w:lang w:val="sr-Cyrl-RS"/>
        </w:rPr>
        <w:t>емељним тракама,  д=40 цм. Начин фундирања и д</w:t>
      </w:r>
      <w:r>
        <w:rPr>
          <w:lang w:val="sr-Cyrl-CS"/>
        </w:rPr>
        <w:t xml:space="preserve">имензије темеља усвојени су према препорукама датим у геотехничком елаборату. </w:t>
      </w:r>
      <w:r>
        <w:rPr>
          <w:i/>
          <w:lang w:val="sr-Cyrl-CS"/>
        </w:rPr>
        <w:t>Елаборат о геотехничким условима изградње</w:t>
      </w:r>
      <w:r>
        <w:rPr>
          <w:lang w:val="sr-Cyrl-CS"/>
        </w:rPr>
        <w:t xml:space="preserve"> урадио је СИ ЦИП.</w:t>
      </w:r>
    </w:p>
    <w:p w:rsidR="003A368A" w:rsidRDefault="003A368A" w:rsidP="003A368A">
      <w:pPr>
        <w:jc w:val="both"/>
        <w:rPr>
          <w:lang w:val="sr-Cyrl-RS"/>
        </w:rPr>
      </w:pPr>
      <w:r>
        <w:rPr>
          <w:lang w:val="sr-Cyrl-RS"/>
        </w:rPr>
        <w:t>Дубина фундирања износи минимално 1.6 м, обзиром да је терен у паду.</w:t>
      </w:r>
    </w:p>
    <w:p w:rsidR="003A368A" w:rsidRDefault="003A368A" w:rsidP="003A368A">
      <w:pPr>
        <w:jc w:val="both"/>
        <w:rPr>
          <w:color w:val="FF0000"/>
          <w:lang w:val="sr-Cyrl-RS"/>
        </w:rPr>
      </w:pPr>
      <w:r>
        <w:rPr>
          <w:lang w:val="sr-Cyrl-CS"/>
        </w:rPr>
        <w:t xml:space="preserve">Ниво подземне воде је знатно дубље од пројектовне коте фундирања (на дубини од 4.30-7.30m од површине терена). </w:t>
      </w:r>
    </w:p>
    <w:p w:rsidR="003A368A" w:rsidRDefault="003A368A" w:rsidP="003A368A">
      <w:pPr>
        <w:jc w:val="both"/>
        <w:rPr>
          <w:lang w:val="sr-Cyrl-CS"/>
        </w:rPr>
      </w:pPr>
      <w:r>
        <w:rPr>
          <w:lang w:val="sr-Cyrl-CS"/>
        </w:rPr>
        <w:t xml:space="preserve">Испод темеља урадити слој мршавог бетона мин. дебљине 10цм. </w:t>
      </w:r>
    </w:p>
    <w:p w:rsidR="003A368A" w:rsidRDefault="003A368A" w:rsidP="003A368A">
      <w:pPr>
        <w:jc w:val="both"/>
        <w:rPr>
          <w:lang w:val="sr-Cyrl-RS"/>
        </w:rPr>
      </w:pPr>
    </w:p>
    <w:p w:rsidR="003A368A" w:rsidRDefault="003A368A" w:rsidP="003A368A">
      <w:pPr>
        <w:jc w:val="both"/>
        <w:rPr>
          <w:lang w:val="sr-Cyrl-CS"/>
        </w:rPr>
      </w:pPr>
      <w:r>
        <w:rPr>
          <w:lang w:val="sr-Cyrl-CS"/>
        </w:rPr>
        <w:t>Издвојене су следеће литолошке средине и комплекси:</w:t>
      </w:r>
    </w:p>
    <w:p w:rsidR="003A368A" w:rsidRDefault="003A368A" w:rsidP="003A368A">
      <w:pPr>
        <w:jc w:val="both"/>
        <w:rPr>
          <w:lang w:val="sr-Cyrl-CS"/>
        </w:rPr>
      </w:pPr>
      <w:r>
        <w:rPr>
          <w:lang w:val="sr-Cyrl-CS"/>
        </w:rPr>
        <w:t xml:space="preserve">а) </w:t>
      </w:r>
      <w:r>
        <w:rPr>
          <w:lang w:val="sr-Cyrl-RS"/>
        </w:rPr>
        <w:t>Седименти савремене старости - насип</w:t>
      </w:r>
    </w:p>
    <w:p w:rsidR="003A368A" w:rsidRDefault="003A368A" w:rsidP="003A368A">
      <w:pPr>
        <w:jc w:val="both"/>
        <w:rPr>
          <w:lang w:val="sr-Cyrl-RS"/>
        </w:rPr>
      </w:pPr>
      <w:r>
        <w:rPr>
          <w:lang w:val="sr-Cyrl-CS"/>
        </w:rPr>
        <w:t xml:space="preserve">б) </w:t>
      </w:r>
      <w:r>
        <w:rPr>
          <w:lang w:val="sr-Cyrl-RS"/>
        </w:rPr>
        <w:t>Плиоценски седименти</w:t>
      </w:r>
    </w:p>
    <w:p w:rsidR="003A368A" w:rsidRDefault="003A368A" w:rsidP="003A368A">
      <w:pPr>
        <w:jc w:val="both"/>
        <w:rPr>
          <w:lang w:val="sr-Cyrl-CS"/>
        </w:rPr>
      </w:pPr>
    </w:p>
    <w:p w:rsidR="003A368A" w:rsidRDefault="003A368A" w:rsidP="003A368A">
      <w:pPr>
        <w:jc w:val="both"/>
        <w:rPr>
          <w:lang w:val="sr-Cyrl-CS"/>
        </w:rPr>
      </w:pPr>
      <w:r>
        <w:rPr>
          <w:b/>
          <w:lang w:val="sl-SI"/>
        </w:rPr>
        <w:t>Нас</w:t>
      </w:r>
      <w:r>
        <w:rPr>
          <w:b/>
          <w:lang w:val="sr-Cyrl-RS"/>
        </w:rPr>
        <w:t>ип</w:t>
      </w:r>
      <w:r>
        <w:rPr>
          <w:b/>
          <w:lang w:val="sl-SI"/>
        </w:rPr>
        <w:t xml:space="preserve"> (</w:t>
      </w:r>
      <w:r>
        <w:rPr>
          <w:b/>
          <w:bCs/>
          <w:lang w:val="sl-SI"/>
        </w:rPr>
        <w:t>n</w:t>
      </w:r>
      <w:r>
        <w:rPr>
          <w:b/>
          <w:lang w:val="sl-SI"/>
        </w:rPr>
        <w:t>)</w:t>
      </w:r>
      <w:r>
        <w:rPr>
          <w:lang w:val="sl-SI"/>
        </w:rPr>
        <w:t xml:space="preserve"> изграђује површински део терена</w:t>
      </w:r>
      <w:r>
        <w:rPr>
          <w:lang w:val="sr-Cyrl-RS"/>
        </w:rPr>
        <w:t>,</w:t>
      </w:r>
      <w:r>
        <w:rPr>
          <w:lang w:val="ru-RU"/>
        </w:rPr>
        <w:t xml:space="preserve"> </w:t>
      </w:r>
      <w:r>
        <w:rPr>
          <w:lang w:val="sr-Cyrl-RS"/>
        </w:rPr>
        <w:t>дебљине 0.7-2.3</w:t>
      </w:r>
      <w:r>
        <w:t>m</w:t>
      </w:r>
      <w:r>
        <w:rPr>
          <w:lang w:val="sr-Cyrl-RS"/>
        </w:rPr>
        <w:t>, хетерогеног састава. Изграђен од земљаног материјала са грађевинским шутом, шљунком и органским отпацима. Променљивих, претежно неповољних физичко-механичких својстава.</w:t>
      </w:r>
    </w:p>
    <w:p w:rsidR="003A368A" w:rsidRDefault="003A368A" w:rsidP="003A368A">
      <w:pPr>
        <w:jc w:val="both"/>
        <w:rPr>
          <w:lang w:val="sr-Cyrl-CS"/>
        </w:rPr>
      </w:pPr>
    </w:p>
    <w:p w:rsidR="003A368A" w:rsidRDefault="003A368A" w:rsidP="003A368A">
      <w:pPr>
        <w:jc w:val="both"/>
        <w:rPr>
          <w:lang w:val="sr-Cyrl-CS"/>
        </w:rPr>
      </w:pPr>
      <w:r>
        <w:rPr>
          <w:b/>
          <w:lang w:val="sr-Cyrl-CS"/>
        </w:rPr>
        <w:t xml:space="preserve">Лапоровите глине деградиране </w:t>
      </w:r>
      <w:r>
        <w:rPr>
          <w:b/>
          <w:lang w:val="sr-Cyrl-RS" w:eastAsia="en-US"/>
        </w:rPr>
        <w:t>(</w:t>
      </w:r>
      <w:r>
        <w:rPr>
          <w:b/>
          <w:lang w:eastAsia="en-US"/>
        </w:rPr>
        <w:t>PlLg</w:t>
      </w:r>
      <w:r>
        <w:rPr>
          <w:b/>
          <w:lang w:val="sr-Cyrl-RS" w:eastAsia="en-US"/>
        </w:rPr>
        <w:t>*)</w:t>
      </w:r>
      <w:r>
        <w:rPr>
          <w:lang w:val="sr-Cyrl-RS" w:eastAsia="en-US"/>
        </w:rPr>
        <w:t xml:space="preserve"> </w:t>
      </w:r>
      <w:r>
        <w:rPr>
          <w:lang w:val="sr-Cyrl-CS"/>
        </w:rPr>
        <w:t xml:space="preserve">су прашиновито-глиновитог састава, са присуством калцијум карбоната и хидроксидима гвожђа и мангана. Приповршински делови су издељени мрежом прслина и пукотина, дуж којих се дроби у полиедре </w:t>
      </w:r>
      <w:r>
        <w:t>cm</w:t>
      </w:r>
      <w:r>
        <w:rPr>
          <w:lang w:val="sr-Cyrl-CS"/>
        </w:rPr>
        <w:t xml:space="preserve"> димензија, добре носивости.</w:t>
      </w:r>
    </w:p>
    <w:p w:rsidR="003A368A" w:rsidRDefault="003A368A" w:rsidP="003A368A">
      <w:pPr>
        <w:jc w:val="both"/>
        <w:rPr>
          <w:lang w:val="sr-Cyrl-CS"/>
        </w:rPr>
      </w:pPr>
    </w:p>
    <w:p w:rsidR="003A368A" w:rsidRDefault="003A368A" w:rsidP="003A368A">
      <w:pPr>
        <w:jc w:val="both"/>
        <w:rPr>
          <w:b/>
          <w:lang w:val="sr-Cyrl-CS"/>
        </w:rPr>
      </w:pPr>
      <w:r>
        <w:rPr>
          <w:b/>
          <w:lang w:val="sr-Cyrl-CS"/>
        </w:rPr>
        <w:t xml:space="preserve">Лапоровите глине </w:t>
      </w:r>
      <w:r>
        <w:rPr>
          <w:b/>
          <w:lang w:val="sr-Cyrl-RS" w:eastAsia="en-US"/>
        </w:rPr>
        <w:t>(</w:t>
      </w:r>
      <w:r>
        <w:rPr>
          <w:b/>
          <w:lang w:eastAsia="en-US"/>
        </w:rPr>
        <w:t>PlLg</w:t>
      </w:r>
      <w:r>
        <w:rPr>
          <w:b/>
          <w:lang w:val="sr-Cyrl-RS" w:eastAsia="en-US"/>
        </w:rPr>
        <w:t xml:space="preserve">) </w:t>
      </w:r>
      <w:r>
        <w:rPr>
          <w:lang w:val="sr-Cyrl-RS" w:eastAsia="en-US"/>
        </w:rPr>
        <w:t>су</w:t>
      </w:r>
      <w:r>
        <w:rPr>
          <w:b/>
          <w:lang w:val="sr-Cyrl-RS" w:eastAsia="en-US"/>
        </w:rPr>
        <w:t xml:space="preserve"> </w:t>
      </w:r>
      <w:r>
        <w:rPr>
          <w:lang w:val="sr-Cyrl-RS" w:eastAsia="en-US"/>
        </w:rPr>
        <w:t xml:space="preserve">прашинасте, шкољкастог прелома, тврде, високопластичне, слабо стишљиве, сивоплаве до зеленкасте боје, добро носиве. </w:t>
      </w:r>
    </w:p>
    <w:p w:rsidR="003A368A" w:rsidRDefault="003A368A" w:rsidP="003A368A">
      <w:pPr>
        <w:jc w:val="both"/>
        <w:rPr>
          <w:lang w:val="sr-Cyrl-CS"/>
        </w:rPr>
      </w:pPr>
    </w:p>
    <w:p w:rsidR="003A368A" w:rsidRDefault="003A368A" w:rsidP="003A368A">
      <w:pPr>
        <w:jc w:val="both"/>
        <w:rPr>
          <w:lang w:val="sr-Cyrl-CS"/>
        </w:rPr>
      </w:pPr>
      <w:r>
        <w:rPr>
          <w:lang w:val="sr-Cyrl-CS"/>
        </w:rPr>
        <w:t>Објекти ће се фундирати на темељним тракама димензија 1</w:t>
      </w:r>
      <w:r>
        <w:rPr>
          <w:lang w:val="ru-RU"/>
        </w:rPr>
        <w:t>.2</w:t>
      </w:r>
      <w:r>
        <w:rPr>
          <w:lang w:val="sr-Cyrl-CS"/>
        </w:rPr>
        <w:t>0</w:t>
      </w:r>
      <w:r>
        <w:rPr>
          <w:lang w:val="ru-RU"/>
        </w:rPr>
        <w:t xml:space="preserve">; </w:t>
      </w:r>
      <w:r>
        <w:rPr>
          <w:lang w:val="sr-Cyrl-CS"/>
        </w:rPr>
        <w:t>1</w:t>
      </w:r>
      <w:r>
        <w:rPr>
          <w:lang w:val="ru-RU"/>
        </w:rPr>
        <w:t>.8</w:t>
      </w:r>
      <w:r>
        <w:rPr>
          <w:lang w:val="sr-Cyrl-CS"/>
        </w:rPr>
        <w:t>0</w:t>
      </w:r>
      <w:r>
        <w:rPr>
          <w:lang w:val="ru-RU"/>
        </w:rPr>
        <w:t>; 2.50; 3.30</w:t>
      </w:r>
      <w:r>
        <w:rPr>
          <w:lang w:val="sr-Latn-RS"/>
        </w:rPr>
        <w:t xml:space="preserve"> m.</w:t>
      </w:r>
    </w:p>
    <w:p w:rsidR="003A368A" w:rsidRDefault="003A368A" w:rsidP="003A368A">
      <w:pPr>
        <w:jc w:val="both"/>
        <w:rPr>
          <w:lang w:val="sr-Cyrl-CS"/>
        </w:rPr>
      </w:pPr>
      <w:r>
        <w:rPr>
          <w:lang w:val="sr-Cyrl-RS"/>
        </w:rPr>
        <w:t>Препорука је да се земљани радови изводе у периоду мањих атмосферских падавина.</w:t>
      </w:r>
    </w:p>
    <w:p w:rsidR="003A368A" w:rsidRDefault="003A368A" w:rsidP="003A368A">
      <w:pPr>
        <w:jc w:val="both"/>
        <w:rPr>
          <w:lang w:val="sr-Cyrl-CS"/>
        </w:rPr>
      </w:pPr>
    </w:p>
    <w:p w:rsidR="003A368A" w:rsidRDefault="003A368A" w:rsidP="003A368A">
      <w:pPr>
        <w:jc w:val="both"/>
        <w:rPr>
          <w:lang w:val="sr-Cyrl-CS"/>
        </w:rPr>
      </w:pPr>
      <w:r>
        <w:rPr>
          <w:lang w:val="sr-Cyrl-CS"/>
        </w:rPr>
        <w:t xml:space="preserve">Према </w:t>
      </w:r>
      <w:r>
        <w:rPr>
          <w:lang w:val="sr-Cyrl-CS"/>
        </w:rPr>
        <w:sym w:font="Symbol" w:char="F0B2"/>
      </w:r>
      <w:r>
        <w:rPr>
          <w:lang w:val="sr-Cyrl-CS"/>
        </w:rPr>
        <w:t>Правилнику о техничким нормативима за изградњу објеката високоградње у сеизмичким подручјима</w:t>
      </w:r>
      <w:r>
        <w:rPr>
          <w:lang w:val="sr-Cyrl-CS"/>
        </w:rPr>
        <w:sym w:font="Symbol" w:char="F0B2"/>
      </w:r>
      <w:r>
        <w:rPr>
          <w:lang w:val="sr-Cyrl-CS"/>
        </w:rPr>
        <w:t xml:space="preserve"> (сл.лист СФРЈ 31/81), као и његовој каснијој  измени и допуни (сл.лист СФРЈ 52/90), за објекте </w:t>
      </w:r>
      <w:r>
        <w:t>II</w:t>
      </w:r>
      <w:r>
        <w:rPr>
          <w:lang w:val="sr-Cyrl-CS"/>
        </w:rPr>
        <w:t xml:space="preserve"> и </w:t>
      </w:r>
      <w:r>
        <w:t>III</w:t>
      </w:r>
      <w:r>
        <w:rPr>
          <w:lang w:val="sr-Cyrl-CS"/>
        </w:rPr>
        <w:t xml:space="preserve"> категорије, када је у питању </w:t>
      </w:r>
      <w:r>
        <w:rPr>
          <w:lang w:val="sr-Cyrl-CS"/>
        </w:rPr>
        <w:lastRenderedPageBreak/>
        <w:t>сеизмичност терена, важи олеата сеизмолошке карте која се односи на повратни период земљотреса од 500 година, на којој се истражни простор налази у зони I</w:t>
      </w:r>
      <w:r>
        <w:rPr>
          <w:lang w:val="sr-Latn-RS"/>
        </w:rPr>
        <w:t>X</w:t>
      </w:r>
      <w:r>
        <w:rPr>
          <w:lang w:val="sr-Cyrl-CS"/>
        </w:rPr>
        <w:t xml:space="preserve">  степена сеизмичке скале МСК-1964. године.</w:t>
      </w:r>
    </w:p>
    <w:p w:rsidR="003A368A" w:rsidRDefault="003A368A" w:rsidP="003A368A">
      <w:pPr>
        <w:jc w:val="both"/>
        <w:rPr>
          <w:lang w:val="sr-Cyrl-CS"/>
        </w:rPr>
      </w:pPr>
    </w:p>
    <w:p w:rsidR="003A368A" w:rsidRDefault="003A368A" w:rsidP="003A368A">
      <w:pPr>
        <w:jc w:val="both"/>
        <w:rPr>
          <w:lang w:val="sr-Cyrl-CS"/>
        </w:rPr>
      </w:pPr>
    </w:p>
    <w:p w:rsidR="003A368A" w:rsidRDefault="003A368A" w:rsidP="003A368A">
      <w:pPr>
        <w:jc w:val="both"/>
        <w:rPr>
          <w:sz w:val="22"/>
          <w:lang w:val="sr-Cyrl-RS"/>
        </w:rPr>
      </w:pPr>
      <w:r>
        <w:rPr>
          <w:sz w:val="22"/>
          <w:lang w:val="sr-Cyrl-RS"/>
        </w:rPr>
        <w:t>Резултати спроведених геотехничких прорачуна:</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456"/>
        <w:gridCol w:w="1099"/>
        <w:gridCol w:w="1800"/>
        <w:gridCol w:w="1858"/>
        <w:gridCol w:w="1622"/>
      </w:tblGrid>
      <w:tr w:rsidR="003A368A" w:rsidTr="003A368A">
        <w:trPr>
          <w:trHeight w:val="580"/>
          <w:tblHeader/>
          <w:jc w:val="center"/>
        </w:trPr>
        <w:tc>
          <w:tcPr>
            <w:tcW w:w="1642" w:type="dxa"/>
            <w:tcBorders>
              <w:top w:val="double" w:sz="4" w:space="0" w:color="auto"/>
              <w:left w:val="double" w:sz="4" w:space="0" w:color="auto"/>
              <w:bottom w:val="double" w:sz="4" w:space="0" w:color="auto"/>
              <w:right w:val="double" w:sz="4" w:space="0" w:color="auto"/>
            </w:tcBorders>
            <w:vAlign w:val="center"/>
            <w:hideMark/>
          </w:tcPr>
          <w:p w:rsidR="003A368A" w:rsidRDefault="003A368A">
            <w:pPr>
              <w:pStyle w:val="tabelatxt"/>
              <w:rPr>
                <w:b/>
                <w:lang w:eastAsia="en-US"/>
              </w:rPr>
            </w:pPr>
            <w:r>
              <w:rPr>
                <w:b/>
                <w:lang w:eastAsia="en-US"/>
              </w:rPr>
              <w:t>темељ</w:t>
            </w:r>
          </w:p>
        </w:tc>
        <w:tc>
          <w:tcPr>
            <w:tcW w:w="1558" w:type="dxa"/>
            <w:tcBorders>
              <w:top w:val="double" w:sz="4" w:space="0" w:color="auto"/>
              <w:left w:val="double" w:sz="4" w:space="0" w:color="auto"/>
              <w:bottom w:val="double" w:sz="4" w:space="0" w:color="auto"/>
              <w:right w:val="single" w:sz="4" w:space="0" w:color="auto"/>
            </w:tcBorders>
            <w:vAlign w:val="center"/>
            <w:hideMark/>
          </w:tcPr>
          <w:p w:rsidR="003A368A" w:rsidRDefault="003A368A">
            <w:pPr>
              <w:pStyle w:val="tabelatxt"/>
              <w:rPr>
                <w:b/>
                <w:lang w:eastAsia="en-US"/>
              </w:rPr>
            </w:pPr>
            <w:r>
              <w:rPr>
                <w:b/>
                <w:lang w:eastAsia="en-US"/>
              </w:rPr>
              <w:t xml:space="preserve">B x L </w:t>
            </w:r>
          </w:p>
          <w:p w:rsidR="003A368A" w:rsidRDefault="003A368A">
            <w:pPr>
              <w:pStyle w:val="tabelatxt"/>
              <w:rPr>
                <w:b/>
                <w:lang w:eastAsia="en-US"/>
              </w:rPr>
            </w:pPr>
            <w:r>
              <w:rPr>
                <w:b/>
                <w:lang w:eastAsia="en-US"/>
              </w:rPr>
              <w:t>(m)</w:t>
            </w:r>
          </w:p>
        </w:tc>
        <w:tc>
          <w:tcPr>
            <w:tcW w:w="1165" w:type="dxa"/>
            <w:tcBorders>
              <w:top w:val="double" w:sz="4" w:space="0" w:color="auto"/>
              <w:left w:val="single" w:sz="4" w:space="0" w:color="auto"/>
              <w:bottom w:val="double" w:sz="4" w:space="0" w:color="auto"/>
              <w:right w:val="single" w:sz="4" w:space="0" w:color="auto"/>
            </w:tcBorders>
            <w:vAlign w:val="center"/>
            <w:hideMark/>
          </w:tcPr>
          <w:p w:rsidR="003A368A" w:rsidRDefault="003A368A">
            <w:pPr>
              <w:pStyle w:val="tabelatxt"/>
              <w:rPr>
                <w:b/>
                <w:lang w:val="en-US" w:eastAsia="en-US"/>
              </w:rPr>
            </w:pPr>
            <w:r>
              <w:rPr>
                <w:b/>
                <w:lang w:eastAsia="en-US"/>
              </w:rPr>
              <w:t>Df</w:t>
            </w:r>
            <w:r>
              <w:rPr>
                <w:b/>
                <w:vertAlign w:val="subscript"/>
                <w:lang w:val="en-US" w:eastAsia="en-US"/>
              </w:rPr>
              <w:t>ef</w:t>
            </w:r>
          </w:p>
          <w:p w:rsidR="003A368A" w:rsidRDefault="003A368A">
            <w:pPr>
              <w:pStyle w:val="tabelatxt"/>
              <w:rPr>
                <w:b/>
                <w:lang w:eastAsia="en-US"/>
              </w:rPr>
            </w:pPr>
            <w:r>
              <w:rPr>
                <w:b/>
                <w:lang w:eastAsia="en-US"/>
              </w:rPr>
              <w:t>(m)</w:t>
            </w:r>
          </w:p>
        </w:tc>
        <w:tc>
          <w:tcPr>
            <w:tcW w:w="1874" w:type="dxa"/>
            <w:tcBorders>
              <w:top w:val="double" w:sz="4" w:space="0" w:color="auto"/>
              <w:left w:val="single" w:sz="4" w:space="0" w:color="auto"/>
              <w:bottom w:val="double" w:sz="4" w:space="0" w:color="auto"/>
              <w:right w:val="single" w:sz="4" w:space="0" w:color="auto"/>
            </w:tcBorders>
            <w:hideMark/>
          </w:tcPr>
          <w:p w:rsidR="003A368A" w:rsidRDefault="003A368A">
            <w:pPr>
              <w:pStyle w:val="tabelatxt"/>
              <w:rPr>
                <w:b/>
                <w:sz w:val="20"/>
                <w:lang w:eastAsia="en-US"/>
              </w:rPr>
            </w:pPr>
            <w:r>
              <w:rPr>
                <w:b/>
                <w:sz w:val="20"/>
                <w:lang w:eastAsia="en-US"/>
              </w:rPr>
              <w:t>макс. контактни притисак</w:t>
            </w:r>
          </w:p>
          <w:p w:rsidR="003A368A" w:rsidRDefault="003A368A">
            <w:pPr>
              <w:pStyle w:val="tabelatxt"/>
              <w:rPr>
                <w:b/>
                <w:lang w:eastAsia="en-US"/>
              </w:rPr>
            </w:pPr>
            <w:r>
              <w:rPr>
                <w:b/>
                <w:lang w:eastAsia="en-US"/>
              </w:rPr>
              <w:t>q (kPa)</w:t>
            </w:r>
          </w:p>
        </w:tc>
        <w:tc>
          <w:tcPr>
            <w:tcW w:w="1897" w:type="dxa"/>
            <w:tcBorders>
              <w:top w:val="double" w:sz="4" w:space="0" w:color="auto"/>
              <w:left w:val="single" w:sz="4" w:space="0" w:color="auto"/>
              <w:bottom w:val="double" w:sz="4" w:space="0" w:color="auto"/>
              <w:right w:val="single" w:sz="4" w:space="0" w:color="auto"/>
            </w:tcBorders>
            <w:vAlign w:val="center"/>
            <w:hideMark/>
          </w:tcPr>
          <w:p w:rsidR="003A368A" w:rsidRDefault="003A368A">
            <w:pPr>
              <w:pStyle w:val="tabelatxt"/>
              <w:rPr>
                <w:b/>
                <w:lang w:eastAsia="en-US"/>
              </w:rPr>
            </w:pPr>
            <w:r>
              <w:rPr>
                <w:b/>
                <w:lang w:eastAsia="en-US"/>
              </w:rPr>
              <w:t>дозвољено оптерећење</w:t>
            </w:r>
          </w:p>
          <w:p w:rsidR="003A368A" w:rsidRDefault="003A368A">
            <w:pPr>
              <w:pStyle w:val="tabelatxt"/>
              <w:rPr>
                <w:b/>
                <w:lang w:eastAsia="en-US"/>
              </w:rPr>
            </w:pPr>
            <w:r>
              <w:rPr>
                <w:b/>
                <w:lang w:eastAsia="en-US"/>
              </w:rPr>
              <w:t>q</w:t>
            </w:r>
            <w:r>
              <w:rPr>
                <w:b/>
                <w:vertAlign w:val="subscript"/>
                <w:lang w:eastAsia="en-US"/>
              </w:rPr>
              <w:t>a</w:t>
            </w:r>
            <w:r>
              <w:rPr>
                <w:b/>
                <w:lang w:eastAsia="en-US"/>
              </w:rPr>
              <w:t xml:space="preserve"> (kPa)</w:t>
            </w:r>
          </w:p>
        </w:tc>
        <w:tc>
          <w:tcPr>
            <w:tcW w:w="1683" w:type="dxa"/>
            <w:tcBorders>
              <w:top w:val="double" w:sz="4" w:space="0" w:color="auto"/>
              <w:left w:val="single" w:sz="4" w:space="0" w:color="auto"/>
              <w:bottom w:val="double" w:sz="4" w:space="0" w:color="auto"/>
              <w:right w:val="double" w:sz="4" w:space="0" w:color="auto"/>
            </w:tcBorders>
            <w:vAlign w:val="center"/>
            <w:hideMark/>
          </w:tcPr>
          <w:p w:rsidR="003A368A" w:rsidRDefault="003A368A">
            <w:pPr>
              <w:pStyle w:val="tabelatxt"/>
              <w:rPr>
                <w:b/>
                <w:lang w:eastAsia="en-US"/>
              </w:rPr>
            </w:pPr>
            <w:r>
              <w:rPr>
                <w:b/>
                <w:lang w:eastAsia="en-US"/>
              </w:rPr>
              <w:t xml:space="preserve">слегање </w:t>
            </w:r>
          </w:p>
          <w:p w:rsidR="003A368A" w:rsidRDefault="003A368A">
            <w:pPr>
              <w:pStyle w:val="tabelatxt"/>
              <w:rPr>
                <w:b/>
                <w:lang w:eastAsia="en-US"/>
              </w:rPr>
            </w:pPr>
            <w:r>
              <w:rPr>
                <w:b/>
                <w:lang w:eastAsia="en-US"/>
              </w:rPr>
              <w:t>s (mm)</w:t>
            </w:r>
          </w:p>
        </w:tc>
      </w:tr>
      <w:tr w:rsidR="003A368A" w:rsidTr="003A368A">
        <w:trPr>
          <w:trHeight w:val="454"/>
          <w:jc w:val="center"/>
        </w:trPr>
        <w:tc>
          <w:tcPr>
            <w:tcW w:w="1642" w:type="dxa"/>
            <w:tcBorders>
              <w:top w:val="double" w:sz="4" w:space="0" w:color="auto"/>
              <w:left w:val="double" w:sz="4" w:space="0" w:color="auto"/>
              <w:bottom w:val="single" w:sz="4" w:space="0" w:color="auto"/>
              <w:right w:val="double" w:sz="4" w:space="0" w:color="auto"/>
            </w:tcBorders>
            <w:vAlign w:val="center"/>
            <w:hideMark/>
          </w:tcPr>
          <w:p w:rsidR="003A368A" w:rsidRDefault="003A368A">
            <w:pPr>
              <w:jc w:val="center"/>
              <w:rPr>
                <w:b/>
                <w:bCs/>
                <w:color w:val="000000"/>
                <w:sz w:val="22"/>
                <w:szCs w:val="22"/>
              </w:rPr>
            </w:pPr>
            <w:r>
              <w:rPr>
                <w:b/>
                <w:bCs/>
                <w:color w:val="000000"/>
                <w:sz w:val="22"/>
                <w:szCs w:val="22"/>
                <w:lang w:val="sr-Cyrl-BA" w:eastAsia="en-US"/>
              </w:rPr>
              <w:t>трака</w:t>
            </w:r>
          </w:p>
        </w:tc>
        <w:tc>
          <w:tcPr>
            <w:tcW w:w="1558" w:type="dxa"/>
            <w:tcBorders>
              <w:top w:val="double" w:sz="4" w:space="0" w:color="auto"/>
              <w:left w:val="double" w:sz="4" w:space="0" w:color="auto"/>
              <w:bottom w:val="single" w:sz="4" w:space="0" w:color="auto"/>
              <w:right w:val="single" w:sz="4" w:space="0" w:color="auto"/>
            </w:tcBorders>
            <w:vAlign w:val="center"/>
            <w:hideMark/>
          </w:tcPr>
          <w:p w:rsidR="003A368A" w:rsidRDefault="003A368A">
            <w:pPr>
              <w:jc w:val="center"/>
              <w:rPr>
                <w:color w:val="000000"/>
                <w:sz w:val="22"/>
                <w:szCs w:val="22"/>
                <w:lang w:val="sr-Cyrl-RS"/>
              </w:rPr>
            </w:pPr>
            <w:r>
              <w:rPr>
                <w:color w:val="000000"/>
                <w:sz w:val="22"/>
                <w:szCs w:val="22"/>
                <w:lang w:val="sr-Cyrl-RS"/>
              </w:rPr>
              <w:t>1.20</w:t>
            </w:r>
          </w:p>
        </w:tc>
        <w:tc>
          <w:tcPr>
            <w:tcW w:w="1165" w:type="dxa"/>
            <w:tcBorders>
              <w:top w:val="double" w:sz="4" w:space="0" w:color="auto"/>
              <w:left w:val="single" w:sz="4" w:space="0" w:color="auto"/>
              <w:bottom w:val="single" w:sz="4" w:space="0" w:color="auto"/>
              <w:right w:val="single" w:sz="4" w:space="0" w:color="auto"/>
            </w:tcBorders>
            <w:vAlign w:val="center"/>
            <w:hideMark/>
          </w:tcPr>
          <w:p w:rsidR="003A368A" w:rsidRDefault="003A368A">
            <w:pPr>
              <w:jc w:val="center"/>
              <w:rPr>
                <w:color w:val="000000"/>
                <w:sz w:val="22"/>
                <w:szCs w:val="22"/>
              </w:rPr>
            </w:pPr>
            <w:r>
              <w:rPr>
                <w:color w:val="000000"/>
                <w:sz w:val="22"/>
                <w:szCs w:val="22"/>
                <w:lang w:val="sr-Cyrl-BA" w:eastAsia="en-US"/>
              </w:rPr>
              <w:t>1.6</w:t>
            </w:r>
          </w:p>
        </w:tc>
        <w:tc>
          <w:tcPr>
            <w:tcW w:w="1874" w:type="dxa"/>
            <w:tcBorders>
              <w:top w:val="double" w:sz="4" w:space="0" w:color="auto"/>
              <w:left w:val="single" w:sz="4" w:space="0" w:color="auto"/>
              <w:bottom w:val="single" w:sz="4" w:space="0" w:color="auto"/>
              <w:right w:val="single" w:sz="4" w:space="0" w:color="auto"/>
            </w:tcBorders>
            <w:vAlign w:val="center"/>
            <w:hideMark/>
          </w:tcPr>
          <w:p w:rsidR="003A368A" w:rsidRDefault="003A368A">
            <w:pPr>
              <w:pStyle w:val="tabelatxt"/>
              <w:rPr>
                <w:lang w:eastAsia="en-US"/>
              </w:rPr>
            </w:pPr>
            <w:r>
              <w:rPr>
                <w:lang w:eastAsia="en-US"/>
              </w:rPr>
              <w:t>160</w:t>
            </w:r>
          </w:p>
        </w:tc>
        <w:tc>
          <w:tcPr>
            <w:tcW w:w="1897" w:type="dxa"/>
            <w:tcBorders>
              <w:top w:val="double" w:sz="4" w:space="0" w:color="auto"/>
              <w:left w:val="single" w:sz="4" w:space="0" w:color="auto"/>
              <w:bottom w:val="single" w:sz="4" w:space="0" w:color="auto"/>
              <w:right w:val="single" w:sz="4" w:space="0" w:color="auto"/>
            </w:tcBorders>
            <w:vAlign w:val="center"/>
            <w:hideMark/>
          </w:tcPr>
          <w:p w:rsidR="003A368A" w:rsidRDefault="003A368A">
            <w:pPr>
              <w:pStyle w:val="tabelatxt"/>
              <w:rPr>
                <w:lang w:eastAsia="en-US"/>
              </w:rPr>
            </w:pPr>
            <w:r>
              <w:rPr>
                <w:lang w:eastAsia="en-US"/>
              </w:rPr>
              <w:t>170</w:t>
            </w:r>
          </w:p>
        </w:tc>
        <w:tc>
          <w:tcPr>
            <w:tcW w:w="1683" w:type="dxa"/>
            <w:tcBorders>
              <w:top w:val="double" w:sz="4" w:space="0" w:color="auto"/>
              <w:left w:val="single" w:sz="4" w:space="0" w:color="auto"/>
              <w:bottom w:val="single" w:sz="4" w:space="0" w:color="auto"/>
              <w:right w:val="double" w:sz="4" w:space="0" w:color="auto"/>
            </w:tcBorders>
            <w:vAlign w:val="center"/>
            <w:hideMark/>
          </w:tcPr>
          <w:p w:rsidR="003A368A" w:rsidRDefault="003A368A">
            <w:pPr>
              <w:pStyle w:val="tabelatxt"/>
              <w:rPr>
                <w:lang w:eastAsia="en-US"/>
              </w:rPr>
            </w:pPr>
            <w:r>
              <w:rPr>
                <w:lang w:eastAsia="en-US"/>
              </w:rPr>
              <w:t>16</w:t>
            </w:r>
            <w:r>
              <w:rPr>
                <w:lang w:val="en-US" w:eastAsia="en-US"/>
              </w:rPr>
              <w:t>.</w:t>
            </w:r>
            <w:r>
              <w:rPr>
                <w:lang w:eastAsia="en-US"/>
              </w:rPr>
              <w:t>3</w:t>
            </w:r>
          </w:p>
        </w:tc>
      </w:tr>
      <w:tr w:rsidR="003A368A" w:rsidTr="003A368A">
        <w:trPr>
          <w:trHeight w:val="454"/>
          <w:jc w:val="center"/>
        </w:trPr>
        <w:tc>
          <w:tcPr>
            <w:tcW w:w="1642" w:type="dxa"/>
            <w:tcBorders>
              <w:top w:val="single" w:sz="4" w:space="0" w:color="auto"/>
              <w:left w:val="double" w:sz="4" w:space="0" w:color="auto"/>
              <w:bottom w:val="single" w:sz="4" w:space="0" w:color="auto"/>
              <w:right w:val="double" w:sz="4" w:space="0" w:color="auto"/>
            </w:tcBorders>
            <w:vAlign w:val="center"/>
            <w:hideMark/>
          </w:tcPr>
          <w:p w:rsidR="003A368A" w:rsidRDefault="003A368A">
            <w:pPr>
              <w:jc w:val="center"/>
              <w:rPr>
                <w:b/>
                <w:bCs/>
                <w:color w:val="000000"/>
                <w:sz w:val="22"/>
                <w:szCs w:val="22"/>
              </w:rPr>
            </w:pPr>
            <w:r>
              <w:rPr>
                <w:b/>
                <w:bCs/>
                <w:color w:val="000000"/>
                <w:sz w:val="22"/>
                <w:szCs w:val="22"/>
                <w:lang w:val="sr-Cyrl-BA" w:eastAsia="en-US"/>
              </w:rPr>
              <w:t>трака</w:t>
            </w:r>
          </w:p>
        </w:tc>
        <w:tc>
          <w:tcPr>
            <w:tcW w:w="1558" w:type="dxa"/>
            <w:tcBorders>
              <w:top w:val="single" w:sz="4" w:space="0" w:color="auto"/>
              <w:left w:val="double" w:sz="4" w:space="0" w:color="auto"/>
              <w:bottom w:val="single" w:sz="4" w:space="0" w:color="auto"/>
              <w:right w:val="single" w:sz="4" w:space="0" w:color="auto"/>
            </w:tcBorders>
            <w:vAlign w:val="center"/>
            <w:hideMark/>
          </w:tcPr>
          <w:p w:rsidR="003A368A" w:rsidRDefault="003A368A">
            <w:pPr>
              <w:jc w:val="center"/>
              <w:rPr>
                <w:color w:val="000000"/>
                <w:sz w:val="22"/>
                <w:szCs w:val="22"/>
              </w:rPr>
            </w:pPr>
            <w:r>
              <w:rPr>
                <w:color w:val="000000"/>
                <w:sz w:val="22"/>
                <w:szCs w:val="22"/>
                <w:lang w:val="sr-Cyrl-RS" w:eastAsia="en-US"/>
              </w:rPr>
              <w:t>1.80</w:t>
            </w:r>
          </w:p>
        </w:tc>
        <w:tc>
          <w:tcPr>
            <w:tcW w:w="1165" w:type="dxa"/>
            <w:tcBorders>
              <w:top w:val="single" w:sz="4" w:space="0" w:color="auto"/>
              <w:left w:val="single" w:sz="4" w:space="0" w:color="auto"/>
              <w:bottom w:val="single" w:sz="4" w:space="0" w:color="auto"/>
              <w:right w:val="single" w:sz="4" w:space="0" w:color="auto"/>
            </w:tcBorders>
            <w:vAlign w:val="center"/>
            <w:hideMark/>
          </w:tcPr>
          <w:p w:rsidR="003A368A" w:rsidRDefault="003A368A">
            <w:pPr>
              <w:jc w:val="center"/>
              <w:rPr>
                <w:color w:val="000000"/>
                <w:sz w:val="22"/>
                <w:szCs w:val="22"/>
              </w:rPr>
            </w:pPr>
            <w:r>
              <w:rPr>
                <w:color w:val="000000"/>
                <w:sz w:val="22"/>
                <w:szCs w:val="22"/>
                <w:lang w:val="sr-Cyrl-BA" w:eastAsia="en-US"/>
              </w:rPr>
              <w:t>1.6</w:t>
            </w:r>
          </w:p>
        </w:tc>
        <w:tc>
          <w:tcPr>
            <w:tcW w:w="1874" w:type="dxa"/>
            <w:tcBorders>
              <w:top w:val="single" w:sz="4" w:space="0" w:color="auto"/>
              <w:left w:val="single" w:sz="4" w:space="0" w:color="auto"/>
              <w:bottom w:val="single" w:sz="4" w:space="0" w:color="auto"/>
              <w:right w:val="single" w:sz="4" w:space="0" w:color="auto"/>
            </w:tcBorders>
            <w:vAlign w:val="center"/>
            <w:hideMark/>
          </w:tcPr>
          <w:p w:rsidR="003A368A" w:rsidRDefault="003A368A">
            <w:pPr>
              <w:pStyle w:val="tabelatxt"/>
              <w:rPr>
                <w:lang w:eastAsia="en-US"/>
              </w:rPr>
            </w:pPr>
            <w:r>
              <w:rPr>
                <w:lang w:eastAsia="en-US"/>
              </w:rPr>
              <w:t>160</w:t>
            </w:r>
          </w:p>
        </w:tc>
        <w:tc>
          <w:tcPr>
            <w:tcW w:w="1897" w:type="dxa"/>
            <w:tcBorders>
              <w:top w:val="single" w:sz="4" w:space="0" w:color="auto"/>
              <w:left w:val="single" w:sz="4" w:space="0" w:color="auto"/>
              <w:bottom w:val="single" w:sz="4" w:space="0" w:color="auto"/>
              <w:right w:val="single" w:sz="4" w:space="0" w:color="auto"/>
            </w:tcBorders>
            <w:vAlign w:val="center"/>
            <w:hideMark/>
          </w:tcPr>
          <w:p w:rsidR="003A368A" w:rsidRDefault="003A368A">
            <w:pPr>
              <w:pStyle w:val="tabelatxt"/>
              <w:rPr>
                <w:lang w:eastAsia="en-US"/>
              </w:rPr>
            </w:pPr>
            <w:r>
              <w:rPr>
                <w:lang w:eastAsia="en-US"/>
              </w:rPr>
              <w:t>174</w:t>
            </w:r>
          </w:p>
        </w:tc>
        <w:tc>
          <w:tcPr>
            <w:tcW w:w="1683" w:type="dxa"/>
            <w:tcBorders>
              <w:top w:val="single" w:sz="4" w:space="0" w:color="auto"/>
              <w:left w:val="single" w:sz="4" w:space="0" w:color="auto"/>
              <w:bottom w:val="single" w:sz="4" w:space="0" w:color="auto"/>
              <w:right w:val="double" w:sz="4" w:space="0" w:color="auto"/>
            </w:tcBorders>
            <w:vAlign w:val="center"/>
            <w:hideMark/>
          </w:tcPr>
          <w:p w:rsidR="003A368A" w:rsidRDefault="003A368A">
            <w:pPr>
              <w:pStyle w:val="tabelatxt"/>
              <w:rPr>
                <w:lang w:eastAsia="en-US"/>
              </w:rPr>
            </w:pPr>
            <w:r>
              <w:rPr>
                <w:lang w:eastAsia="en-US"/>
              </w:rPr>
              <w:t>18</w:t>
            </w:r>
            <w:r>
              <w:rPr>
                <w:lang w:val="en-US" w:eastAsia="en-US"/>
              </w:rPr>
              <w:t>.</w:t>
            </w:r>
            <w:r>
              <w:rPr>
                <w:lang w:eastAsia="en-US"/>
              </w:rPr>
              <w:t>1</w:t>
            </w:r>
          </w:p>
        </w:tc>
      </w:tr>
      <w:tr w:rsidR="003A368A" w:rsidTr="003A368A">
        <w:trPr>
          <w:trHeight w:val="454"/>
          <w:jc w:val="center"/>
        </w:trPr>
        <w:tc>
          <w:tcPr>
            <w:tcW w:w="1642" w:type="dxa"/>
            <w:tcBorders>
              <w:top w:val="single" w:sz="4" w:space="0" w:color="auto"/>
              <w:left w:val="double" w:sz="4" w:space="0" w:color="auto"/>
              <w:bottom w:val="single" w:sz="4" w:space="0" w:color="auto"/>
              <w:right w:val="double" w:sz="4" w:space="0" w:color="auto"/>
            </w:tcBorders>
            <w:vAlign w:val="center"/>
            <w:hideMark/>
          </w:tcPr>
          <w:p w:rsidR="003A368A" w:rsidRDefault="003A368A">
            <w:pPr>
              <w:jc w:val="center"/>
              <w:rPr>
                <w:b/>
                <w:bCs/>
                <w:color w:val="000000"/>
                <w:sz w:val="22"/>
                <w:szCs w:val="22"/>
              </w:rPr>
            </w:pPr>
            <w:r>
              <w:rPr>
                <w:b/>
                <w:bCs/>
                <w:color w:val="000000"/>
                <w:sz w:val="22"/>
                <w:szCs w:val="22"/>
                <w:lang w:val="sr-Cyrl-BA" w:eastAsia="en-US"/>
              </w:rPr>
              <w:t>трака</w:t>
            </w:r>
          </w:p>
        </w:tc>
        <w:tc>
          <w:tcPr>
            <w:tcW w:w="1558" w:type="dxa"/>
            <w:tcBorders>
              <w:top w:val="single" w:sz="4" w:space="0" w:color="auto"/>
              <w:left w:val="double" w:sz="4" w:space="0" w:color="auto"/>
              <w:bottom w:val="single" w:sz="4" w:space="0" w:color="auto"/>
              <w:right w:val="single" w:sz="4" w:space="0" w:color="auto"/>
            </w:tcBorders>
            <w:vAlign w:val="center"/>
            <w:hideMark/>
          </w:tcPr>
          <w:p w:rsidR="003A368A" w:rsidRDefault="003A368A">
            <w:pPr>
              <w:jc w:val="center"/>
              <w:rPr>
                <w:color w:val="000000"/>
                <w:sz w:val="22"/>
                <w:szCs w:val="22"/>
              </w:rPr>
            </w:pPr>
            <w:r>
              <w:rPr>
                <w:color w:val="000000"/>
                <w:sz w:val="22"/>
                <w:szCs w:val="22"/>
                <w:lang w:val="sr-Cyrl-RS" w:eastAsia="en-US"/>
              </w:rPr>
              <w:t>2.50</w:t>
            </w:r>
          </w:p>
        </w:tc>
        <w:tc>
          <w:tcPr>
            <w:tcW w:w="1165" w:type="dxa"/>
            <w:tcBorders>
              <w:top w:val="single" w:sz="4" w:space="0" w:color="auto"/>
              <w:left w:val="single" w:sz="4" w:space="0" w:color="auto"/>
              <w:bottom w:val="single" w:sz="4" w:space="0" w:color="auto"/>
              <w:right w:val="single" w:sz="4" w:space="0" w:color="auto"/>
            </w:tcBorders>
            <w:vAlign w:val="center"/>
            <w:hideMark/>
          </w:tcPr>
          <w:p w:rsidR="003A368A" w:rsidRDefault="003A368A">
            <w:pPr>
              <w:jc w:val="center"/>
              <w:rPr>
                <w:color w:val="000000"/>
                <w:sz w:val="22"/>
                <w:szCs w:val="22"/>
              </w:rPr>
            </w:pPr>
            <w:r>
              <w:rPr>
                <w:color w:val="000000"/>
                <w:sz w:val="22"/>
                <w:szCs w:val="22"/>
                <w:lang w:val="sr-Cyrl-BA" w:eastAsia="en-US"/>
              </w:rPr>
              <w:t>1.6</w:t>
            </w:r>
          </w:p>
        </w:tc>
        <w:tc>
          <w:tcPr>
            <w:tcW w:w="1874" w:type="dxa"/>
            <w:tcBorders>
              <w:top w:val="single" w:sz="4" w:space="0" w:color="auto"/>
              <w:left w:val="single" w:sz="4" w:space="0" w:color="auto"/>
              <w:bottom w:val="single" w:sz="4" w:space="0" w:color="auto"/>
              <w:right w:val="single" w:sz="4" w:space="0" w:color="auto"/>
            </w:tcBorders>
            <w:vAlign w:val="center"/>
            <w:hideMark/>
          </w:tcPr>
          <w:p w:rsidR="003A368A" w:rsidRDefault="003A368A">
            <w:pPr>
              <w:pStyle w:val="tabelatxt"/>
              <w:rPr>
                <w:lang w:eastAsia="en-US"/>
              </w:rPr>
            </w:pPr>
            <w:r>
              <w:rPr>
                <w:lang w:eastAsia="en-US"/>
              </w:rPr>
              <w:t>160</w:t>
            </w:r>
          </w:p>
        </w:tc>
        <w:tc>
          <w:tcPr>
            <w:tcW w:w="1897" w:type="dxa"/>
            <w:tcBorders>
              <w:top w:val="single" w:sz="4" w:space="0" w:color="auto"/>
              <w:left w:val="single" w:sz="4" w:space="0" w:color="auto"/>
              <w:bottom w:val="single" w:sz="4" w:space="0" w:color="auto"/>
              <w:right w:val="single" w:sz="4" w:space="0" w:color="auto"/>
            </w:tcBorders>
            <w:vAlign w:val="center"/>
            <w:hideMark/>
          </w:tcPr>
          <w:p w:rsidR="003A368A" w:rsidRDefault="003A368A">
            <w:pPr>
              <w:pStyle w:val="tabelatxt"/>
              <w:rPr>
                <w:lang w:val="en-US" w:eastAsia="en-US"/>
              </w:rPr>
            </w:pPr>
            <w:r>
              <w:rPr>
                <w:lang w:val="en-US" w:eastAsia="en-US"/>
              </w:rPr>
              <w:t>176</w:t>
            </w:r>
          </w:p>
        </w:tc>
        <w:tc>
          <w:tcPr>
            <w:tcW w:w="1683" w:type="dxa"/>
            <w:tcBorders>
              <w:top w:val="single" w:sz="4" w:space="0" w:color="auto"/>
              <w:left w:val="single" w:sz="4" w:space="0" w:color="auto"/>
              <w:bottom w:val="single" w:sz="4" w:space="0" w:color="auto"/>
              <w:right w:val="double" w:sz="4" w:space="0" w:color="auto"/>
            </w:tcBorders>
            <w:vAlign w:val="center"/>
            <w:hideMark/>
          </w:tcPr>
          <w:p w:rsidR="003A368A" w:rsidRDefault="003A368A">
            <w:pPr>
              <w:pStyle w:val="tabelatxt"/>
              <w:rPr>
                <w:lang w:eastAsia="en-US"/>
              </w:rPr>
            </w:pPr>
            <w:r>
              <w:rPr>
                <w:lang w:eastAsia="en-US"/>
              </w:rPr>
              <w:t>19</w:t>
            </w:r>
            <w:r>
              <w:rPr>
                <w:lang w:val="en-US" w:eastAsia="en-US"/>
              </w:rPr>
              <w:t>.</w:t>
            </w:r>
            <w:r>
              <w:rPr>
                <w:lang w:eastAsia="en-US"/>
              </w:rPr>
              <w:t>8</w:t>
            </w:r>
          </w:p>
        </w:tc>
      </w:tr>
      <w:tr w:rsidR="003A368A" w:rsidTr="003A368A">
        <w:trPr>
          <w:trHeight w:val="454"/>
          <w:jc w:val="center"/>
        </w:trPr>
        <w:tc>
          <w:tcPr>
            <w:tcW w:w="1642" w:type="dxa"/>
            <w:tcBorders>
              <w:top w:val="single" w:sz="4" w:space="0" w:color="auto"/>
              <w:left w:val="double" w:sz="4" w:space="0" w:color="auto"/>
              <w:bottom w:val="single" w:sz="4" w:space="0" w:color="auto"/>
              <w:right w:val="double" w:sz="4" w:space="0" w:color="auto"/>
            </w:tcBorders>
            <w:vAlign w:val="center"/>
            <w:hideMark/>
          </w:tcPr>
          <w:p w:rsidR="003A368A" w:rsidRDefault="003A368A">
            <w:pPr>
              <w:jc w:val="center"/>
              <w:rPr>
                <w:b/>
                <w:bCs/>
                <w:color w:val="000000"/>
                <w:sz w:val="22"/>
                <w:szCs w:val="22"/>
              </w:rPr>
            </w:pPr>
            <w:r>
              <w:rPr>
                <w:b/>
                <w:bCs/>
                <w:color w:val="000000"/>
                <w:sz w:val="22"/>
                <w:szCs w:val="22"/>
                <w:lang w:val="sr-Cyrl-BA" w:eastAsia="en-US"/>
              </w:rPr>
              <w:t>трака</w:t>
            </w:r>
          </w:p>
        </w:tc>
        <w:tc>
          <w:tcPr>
            <w:tcW w:w="1558" w:type="dxa"/>
            <w:tcBorders>
              <w:top w:val="single" w:sz="4" w:space="0" w:color="auto"/>
              <w:left w:val="double" w:sz="4" w:space="0" w:color="auto"/>
              <w:bottom w:val="single" w:sz="4" w:space="0" w:color="auto"/>
              <w:right w:val="single" w:sz="4" w:space="0" w:color="auto"/>
            </w:tcBorders>
            <w:vAlign w:val="center"/>
            <w:hideMark/>
          </w:tcPr>
          <w:p w:rsidR="003A368A" w:rsidRDefault="003A368A">
            <w:pPr>
              <w:jc w:val="center"/>
              <w:rPr>
                <w:color w:val="000000"/>
                <w:sz w:val="22"/>
                <w:szCs w:val="22"/>
              </w:rPr>
            </w:pPr>
            <w:r>
              <w:rPr>
                <w:color w:val="000000"/>
                <w:sz w:val="22"/>
                <w:szCs w:val="22"/>
                <w:lang w:val="sr-Cyrl-RS" w:eastAsia="en-US"/>
              </w:rPr>
              <w:t>3.30</w:t>
            </w:r>
          </w:p>
        </w:tc>
        <w:tc>
          <w:tcPr>
            <w:tcW w:w="1165" w:type="dxa"/>
            <w:tcBorders>
              <w:top w:val="single" w:sz="4" w:space="0" w:color="auto"/>
              <w:left w:val="single" w:sz="4" w:space="0" w:color="auto"/>
              <w:bottom w:val="single" w:sz="4" w:space="0" w:color="auto"/>
              <w:right w:val="single" w:sz="4" w:space="0" w:color="auto"/>
            </w:tcBorders>
            <w:vAlign w:val="center"/>
            <w:hideMark/>
          </w:tcPr>
          <w:p w:rsidR="003A368A" w:rsidRDefault="003A368A">
            <w:pPr>
              <w:jc w:val="center"/>
              <w:rPr>
                <w:color w:val="000000"/>
                <w:sz w:val="22"/>
                <w:szCs w:val="22"/>
              </w:rPr>
            </w:pPr>
            <w:r>
              <w:rPr>
                <w:color w:val="000000"/>
                <w:sz w:val="22"/>
                <w:szCs w:val="22"/>
                <w:lang w:val="sr-Cyrl-BA" w:eastAsia="en-US"/>
              </w:rPr>
              <w:t>1.6</w:t>
            </w:r>
          </w:p>
        </w:tc>
        <w:tc>
          <w:tcPr>
            <w:tcW w:w="1874" w:type="dxa"/>
            <w:tcBorders>
              <w:top w:val="single" w:sz="4" w:space="0" w:color="auto"/>
              <w:left w:val="single" w:sz="4" w:space="0" w:color="auto"/>
              <w:bottom w:val="single" w:sz="4" w:space="0" w:color="auto"/>
              <w:right w:val="single" w:sz="4" w:space="0" w:color="auto"/>
            </w:tcBorders>
            <w:vAlign w:val="center"/>
            <w:hideMark/>
          </w:tcPr>
          <w:p w:rsidR="003A368A" w:rsidRDefault="003A368A">
            <w:pPr>
              <w:pStyle w:val="tabelatxt"/>
              <w:rPr>
                <w:lang w:eastAsia="en-US"/>
              </w:rPr>
            </w:pPr>
            <w:r>
              <w:rPr>
                <w:lang w:eastAsia="en-US"/>
              </w:rPr>
              <w:t>160</w:t>
            </w:r>
          </w:p>
        </w:tc>
        <w:tc>
          <w:tcPr>
            <w:tcW w:w="1897" w:type="dxa"/>
            <w:tcBorders>
              <w:top w:val="single" w:sz="4" w:space="0" w:color="auto"/>
              <w:left w:val="single" w:sz="4" w:space="0" w:color="auto"/>
              <w:bottom w:val="single" w:sz="4" w:space="0" w:color="auto"/>
              <w:right w:val="single" w:sz="4" w:space="0" w:color="auto"/>
            </w:tcBorders>
            <w:vAlign w:val="center"/>
            <w:hideMark/>
          </w:tcPr>
          <w:p w:rsidR="003A368A" w:rsidRDefault="003A368A">
            <w:pPr>
              <w:pStyle w:val="tabelatxt"/>
              <w:rPr>
                <w:lang w:eastAsia="en-US"/>
              </w:rPr>
            </w:pPr>
            <w:r>
              <w:rPr>
                <w:lang w:eastAsia="en-US"/>
              </w:rPr>
              <w:t>167</w:t>
            </w:r>
          </w:p>
        </w:tc>
        <w:tc>
          <w:tcPr>
            <w:tcW w:w="1683" w:type="dxa"/>
            <w:tcBorders>
              <w:top w:val="single" w:sz="4" w:space="0" w:color="auto"/>
              <w:left w:val="single" w:sz="4" w:space="0" w:color="auto"/>
              <w:bottom w:val="single" w:sz="4" w:space="0" w:color="auto"/>
              <w:right w:val="double" w:sz="4" w:space="0" w:color="auto"/>
            </w:tcBorders>
            <w:vAlign w:val="center"/>
            <w:hideMark/>
          </w:tcPr>
          <w:p w:rsidR="003A368A" w:rsidRDefault="003A368A">
            <w:pPr>
              <w:pStyle w:val="tabelatxt"/>
              <w:rPr>
                <w:lang w:eastAsia="en-US"/>
              </w:rPr>
            </w:pPr>
            <w:r>
              <w:rPr>
                <w:lang w:eastAsia="en-US"/>
              </w:rPr>
              <w:t>22</w:t>
            </w:r>
            <w:r>
              <w:rPr>
                <w:lang w:val="en-US" w:eastAsia="en-US"/>
              </w:rPr>
              <w:t>.</w:t>
            </w:r>
            <w:r>
              <w:rPr>
                <w:lang w:eastAsia="en-US"/>
              </w:rPr>
              <w:t>3</w:t>
            </w:r>
          </w:p>
        </w:tc>
      </w:tr>
      <w:tr w:rsidR="003A368A" w:rsidTr="003A368A">
        <w:trPr>
          <w:trHeight w:val="454"/>
          <w:jc w:val="center"/>
        </w:trPr>
        <w:tc>
          <w:tcPr>
            <w:tcW w:w="1642" w:type="dxa"/>
            <w:tcBorders>
              <w:top w:val="single" w:sz="4" w:space="0" w:color="auto"/>
              <w:left w:val="double" w:sz="4" w:space="0" w:color="auto"/>
              <w:bottom w:val="double" w:sz="4" w:space="0" w:color="auto"/>
              <w:right w:val="double" w:sz="4" w:space="0" w:color="auto"/>
            </w:tcBorders>
            <w:vAlign w:val="center"/>
            <w:hideMark/>
          </w:tcPr>
          <w:p w:rsidR="003A368A" w:rsidRDefault="003A368A">
            <w:pPr>
              <w:jc w:val="center"/>
              <w:rPr>
                <w:b/>
                <w:bCs/>
                <w:color w:val="000000"/>
                <w:sz w:val="22"/>
                <w:szCs w:val="22"/>
              </w:rPr>
            </w:pPr>
            <w:r>
              <w:rPr>
                <w:b/>
                <w:bCs/>
                <w:color w:val="000000"/>
                <w:sz w:val="22"/>
                <w:szCs w:val="22"/>
                <w:lang w:eastAsia="en-US"/>
              </w:rPr>
              <w:t>плоча</w:t>
            </w:r>
          </w:p>
        </w:tc>
        <w:tc>
          <w:tcPr>
            <w:tcW w:w="1558" w:type="dxa"/>
            <w:tcBorders>
              <w:top w:val="single" w:sz="4" w:space="0" w:color="auto"/>
              <w:left w:val="double" w:sz="4" w:space="0" w:color="auto"/>
              <w:bottom w:val="double" w:sz="4" w:space="0" w:color="auto"/>
              <w:right w:val="single" w:sz="4" w:space="0" w:color="auto"/>
            </w:tcBorders>
            <w:vAlign w:val="center"/>
            <w:hideMark/>
          </w:tcPr>
          <w:p w:rsidR="003A368A" w:rsidRDefault="003A368A">
            <w:pPr>
              <w:jc w:val="center"/>
              <w:rPr>
                <w:color w:val="000000"/>
                <w:sz w:val="22"/>
                <w:szCs w:val="22"/>
                <w:lang w:val="sr-Cyrl-RS"/>
              </w:rPr>
            </w:pPr>
            <w:r>
              <w:rPr>
                <w:color w:val="000000"/>
                <w:sz w:val="22"/>
                <w:szCs w:val="22"/>
                <w:lang w:val="sr-Cyrl-RS" w:eastAsia="en-US"/>
              </w:rPr>
              <w:t>8</w:t>
            </w:r>
            <w:r>
              <w:rPr>
                <w:color w:val="000000"/>
                <w:sz w:val="22"/>
                <w:szCs w:val="22"/>
                <w:lang w:eastAsia="en-US"/>
              </w:rPr>
              <w:t>.</w:t>
            </w:r>
            <w:r>
              <w:rPr>
                <w:color w:val="000000"/>
                <w:sz w:val="22"/>
                <w:szCs w:val="22"/>
                <w:lang w:val="sr-Cyrl-RS" w:eastAsia="en-US"/>
              </w:rPr>
              <w:t>1</w:t>
            </w:r>
            <w:r>
              <w:rPr>
                <w:color w:val="000000"/>
                <w:sz w:val="22"/>
                <w:szCs w:val="22"/>
                <w:lang w:eastAsia="en-US"/>
              </w:rPr>
              <w:t xml:space="preserve"> x </w:t>
            </w:r>
            <w:r>
              <w:rPr>
                <w:color w:val="000000"/>
                <w:sz w:val="22"/>
                <w:szCs w:val="22"/>
                <w:lang w:val="sr-Cyrl-RS" w:eastAsia="en-US"/>
              </w:rPr>
              <w:t>11</w:t>
            </w:r>
            <w:r>
              <w:rPr>
                <w:color w:val="000000"/>
                <w:sz w:val="22"/>
                <w:szCs w:val="22"/>
                <w:lang w:eastAsia="en-US"/>
              </w:rPr>
              <w:t>.</w:t>
            </w:r>
            <w:r>
              <w:rPr>
                <w:color w:val="000000"/>
                <w:sz w:val="22"/>
                <w:szCs w:val="22"/>
                <w:lang w:val="sr-Cyrl-RS" w:eastAsia="en-US"/>
              </w:rPr>
              <w:t>1</w:t>
            </w:r>
          </w:p>
        </w:tc>
        <w:tc>
          <w:tcPr>
            <w:tcW w:w="1165" w:type="dxa"/>
            <w:tcBorders>
              <w:top w:val="single" w:sz="4" w:space="0" w:color="auto"/>
              <w:left w:val="single" w:sz="4" w:space="0" w:color="auto"/>
              <w:bottom w:val="double" w:sz="4" w:space="0" w:color="auto"/>
              <w:right w:val="single" w:sz="4" w:space="0" w:color="auto"/>
            </w:tcBorders>
            <w:vAlign w:val="center"/>
            <w:hideMark/>
          </w:tcPr>
          <w:p w:rsidR="003A368A" w:rsidRDefault="003A368A">
            <w:pPr>
              <w:jc w:val="center"/>
              <w:rPr>
                <w:color w:val="000000"/>
                <w:sz w:val="22"/>
                <w:szCs w:val="22"/>
                <w:lang w:val="sr-Cyrl-RS"/>
              </w:rPr>
            </w:pPr>
            <w:r>
              <w:rPr>
                <w:color w:val="000000"/>
                <w:sz w:val="22"/>
                <w:szCs w:val="22"/>
                <w:lang w:val="sr-Cyrl-RS" w:eastAsia="en-US"/>
              </w:rPr>
              <w:t>1.6</w:t>
            </w:r>
          </w:p>
        </w:tc>
        <w:tc>
          <w:tcPr>
            <w:tcW w:w="1874" w:type="dxa"/>
            <w:tcBorders>
              <w:top w:val="single" w:sz="4" w:space="0" w:color="auto"/>
              <w:left w:val="single" w:sz="4" w:space="0" w:color="auto"/>
              <w:bottom w:val="double" w:sz="4" w:space="0" w:color="auto"/>
              <w:right w:val="single" w:sz="4" w:space="0" w:color="auto"/>
            </w:tcBorders>
            <w:vAlign w:val="center"/>
            <w:hideMark/>
          </w:tcPr>
          <w:p w:rsidR="003A368A" w:rsidRDefault="003A368A">
            <w:pPr>
              <w:pStyle w:val="tabelatxt"/>
              <w:rPr>
                <w:lang w:eastAsia="en-US"/>
              </w:rPr>
            </w:pPr>
            <w:r>
              <w:rPr>
                <w:lang w:eastAsia="en-US"/>
              </w:rPr>
              <w:t>150</w:t>
            </w:r>
          </w:p>
        </w:tc>
        <w:tc>
          <w:tcPr>
            <w:tcW w:w="1897" w:type="dxa"/>
            <w:tcBorders>
              <w:top w:val="single" w:sz="4" w:space="0" w:color="auto"/>
              <w:left w:val="single" w:sz="4" w:space="0" w:color="auto"/>
              <w:bottom w:val="double" w:sz="4" w:space="0" w:color="auto"/>
              <w:right w:val="single" w:sz="4" w:space="0" w:color="auto"/>
            </w:tcBorders>
            <w:vAlign w:val="center"/>
            <w:hideMark/>
          </w:tcPr>
          <w:p w:rsidR="003A368A" w:rsidRDefault="003A368A">
            <w:pPr>
              <w:pStyle w:val="tabelatxt"/>
              <w:rPr>
                <w:lang w:eastAsia="en-US"/>
              </w:rPr>
            </w:pPr>
            <w:r>
              <w:rPr>
                <w:lang w:eastAsia="en-US"/>
              </w:rPr>
              <w:t>210</w:t>
            </w:r>
          </w:p>
        </w:tc>
        <w:tc>
          <w:tcPr>
            <w:tcW w:w="1683" w:type="dxa"/>
            <w:tcBorders>
              <w:top w:val="single" w:sz="4" w:space="0" w:color="auto"/>
              <w:left w:val="single" w:sz="4" w:space="0" w:color="auto"/>
              <w:bottom w:val="double" w:sz="4" w:space="0" w:color="auto"/>
              <w:right w:val="double" w:sz="4" w:space="0" w:color="auto"/>
            </w:tcBorders>
            <w:vAlign w:val="center"/>
            <w:hideMark/>
          </w:tcPr>
          <w:p w:rsidR="003A368A" w:rsidRDefault="003A368A">
            <w:pPr>
              <w:pStyle w:val="tabelatxt"/>
              <w:rPr>
                <w:lang w:eastAsia="en-US"/>
              </w:rPr>
            </w:pPr>
            <w:r>
              <w:rPr>
                <w:lang w:eastAsia="en-US"/>
              </w:rPr>
              <w:t>68</w:t>
            </w:r>
          </w:p>
        </w:tc>
      </w:tr>
    </w:tbl>
    <w:p w:rsidR="003A368A" w:rsidRDefault="003A368A" w:rsidP="003A368A">
      <w:pPr>
        <w:jc w:val="both"/>
      </w:pPr>
    </w:p>
    <w:p w:rsidR="003A368A" w:rsidRDefault="003A368A" w:rsidP="003A368A">
      <w:pPr>
        <w:jc w:val="both"/>
        <w:rPr>
          <w:bCs/>
          <w:lang w:val="sr-Cyrl-RS"/>
        </w:rPr>
      </w:pPr>
      <w:r>
        <w:rPr>
          <w:bCs/>
          <w:lang w:val="sr-Cyrl-RS"/>
        </w:rPr>
        <w:t xml:space="preserve">Максимални рачунски напон у темељима је мањи од дозвољеног, па је искључена могућност да дође до пролома тла. Слегање је такође у границама дозвољених вредности, према Правилнику о техничким нормативима за кохерентна тла. Нешто веће слегање се очекује на месту где су због близине аб темељних трака формиране мање темељне плоче. Због тога је Геотехничким елаборатом предвиђено осматрање објекта и  праћење слегања приликом извођења објекта. </w:t>
      </w:r>
    </w:p>
    <w:p w:rsidR="003A368A" w:rsidRDefault="003A368A" w:rsidP="003A368A">
      <w:pPr>
        <w:jc w:val="both"/>
        <w:rPr>
          <w:color w:val="FF0000"/>
        </w:rPr>
      </w:pPr>
    </w:p>
    <w:p w:rsidR="003A368A" w:rsidRDefault="003A368A" w:rsidP="003A368A">
      <w:pPr>
        <w:jc w:val="both"/>
        <w:rPr>
          <w:lang w:val="sr-Cyrl-CS"/>
        </w:rPr>
      </w:pPr>
      <w:r>
        <w:rPr>
          <w:lang w:val="sr-Cyrl-CS"/>
        </w:rPr>
        <w:t>Коефицијент постељице К=8000 је усвојен на основу увида у изведена геотехничка испитивања, као и на основу емпиријског искуства пројектаната (табела са приближним вредностима коефицијента постељице за поједине врсте тла).</w:t>
      </w:r>
    </w:p>
    <w:p w:rsidR="003A368A" w:rsidRDefault="003A368A" w:rsidP="003A368A">
      <w:pPr>
        <w:jc w:val="both"/>
        <w:rPr>
          <w:color w:val="FF0000"/>
          <w:lang w:val="sr-Cyrl-CS"/>
        </w:rPr>
      </w:pPr>
    </w:p>
    <w:p w:rsidR="003A368A" w:rsidRDefault="003A368A" w:rsidP="003A368A">
      <w:pPr>
        <w:jc w:val="both"/>
        <w:rPr>
          <w:lang w:val="sr-Cyrl-RS"/>
        </w:rPr>
      </w:pPr>
      <w:r>
        <w:rPr>
          <w:lang w:val="sr-Cyrl-RS"/>
        </w:rPr>
        <w:t>Приликом градње пројектваног објекта, неопходно је после изградње прве етаже поставити репере и снимити "нулто стање" у циљу праћења слегања, како у току градње прве етаже тако редовно на свакој следећој етажи. По завршетку објекта снимање вршити на свака 3 месеца у трајању мин. 2 године.</w:t>
      </w:r>
    </w:p>
    <w:p w:rsidR="003A368A" w:rsidRDefault="003A368A" w:rsidP="003A368A">
      <w:pPr>
        <w:jc w:val="both"/>
        <w:rPr>
          <w:lang w:val="sr-Cyrl-CS"/>
        </w:rPr>
      </w:pPr>
    </w:p>
    <w:p w:rsidR="003A368A" w:rsidRDefault="003A368A" w:rsidP="003A368A">
      <w:pPr>
        <w:jc w:val="both"/>
      </w:pPr>
      <w:r>
        <w:rPr>
          <w:lang w:val="sr-Cyrl-CS"/>
        </w:rPr>
        <w:t xml:space="preserve">Након извођења плоче приземља извршити насипање око објекта пробраном земљом из ископа, уз збијање, а прилазне конструкције изводити тек након завршетка изградње објекта. </w:t>
      </w:r>
      <w:r>
        <w:rPr>
          <w:lang w:val="sr-Cyrl-RS"/>
        </w:rPr>
        <w:t>Испод прилазних конструкција тло набити до М</w:t>
      </w:r>
      <w:r>
        <w:t>s</w:t>
      </w:r>
      <w:r>
        <w:rPr>
          <w:lang w:val="sr-Cyrl-RS"/>
        </w:rPr>
        <w:t xml:space="preserve">= 15 000 </w:t>
      </w:r>
      <w:r>
        <w:t>kN/m</w:t>
      </w:r>
      <w:r>
        <w:rPr>
          <w:vertAlign w:val="superscript"/>
        </w:rPr>
        <w:t>2</w:t>
      </w:r>
      <w:r>
        <w:t>.</w:t>
      </w:r>
    </w:p>
    <w:p w:rsidR="003A368A" w:rsidRDefault="003A368A" w:rsidP="003A368A">
      <w:pPr>
        <w:jc w:val="both"/>
        <w:rPr>
          <w:color w:val="FF0000"/>
          <w:lang w:val="sr-Cyrl-CS"/>
        </w:rPr>
      </w:pPr>
    </w:p>
    <w:p w:rsidR="003A368A" w:rsidRDefault="003A368A" w:rsidP="003A368A">
      <w:pPr>
        <w:jc w:val="both"/>
        <w:rPr>
          <w:color w:val="FF0000"/>
          <w:lang w:val="sr-Cyrl-CS"/>
        </w:rPr>
      </w:pPr>
    </w:p>
    <w:p w:rsidR="003A368A" w:rsidRDefault="003A368A" w:rsidP="003A368A">
      <w:pPr>
        <w:jc w:val="both"/>
        <w:rPr>
          <w:color w:val="FF0000"/>
          <w:lang w:val="sr-Cyrl-CS"/>
        </w:rPr>
      </w:pPr>
    </w:p>
    <w:p w:rsidR="003A368A" w:rsidRDefault="003A368A" w:rsidP="003A368A">
      <w:pPr>
        <w:jc w:val="both"/>
        <w:rPr>
          <w:b/>
          <w:lang w:val="sr-Cyrl-CS"/>
        </w:rPr>
      </w:pPr>
      <w:r>
        <w:rPr>
          <w:b/>
          <w:lang w:val="sr-Cyrl-CS"/>
        </w:rPr>
        <w:t>5. ИЗБОР МАТЕРИЈАЛА ЗА КОНСТРУКЦИЈУ</w:t>
      </w:r>
    </w:p>
    <w:p w:rsidR="003A368A" w:rsidRDefault="003A368A" w:rsidP="003A368A">
      <w:pPr>
        <w:jc w:val="both"/>
        <w:rPr>
          <w:lang w:val="sr-Cyrl-CS"/>
        </w:rPr>
      </w:pPr>
    </w:p>
    <w:p w:rsidR="003A368A" w:rsidRDefault="003A368A" w:rsidP="003A368A">
      <w:pPr>
        <w:pStyle w:val="Default"/>
        <w:spacing w:after="140"/>
        <w:jc w:val="both"/>
      </w:pPr>
      <w:r>
        <w:t xml:space="preserve">Темељна </w:t>
      </w:r>
      <w:r>
        <w:rPr>
          <w:lang w:val="sr-Cyrl-RS"/>
        </w:rPr>
        <w:t>конструкција, с</w:t>
      </w:r>
      <w:r>
        <w:t>ви стубови и зидови</w:t>
      </w:r>
      <w:r>
        <w:rPr>
          <w:lang w:val="sr-Cyrl-RS"/>
        </w:rPr>
        <w:t>, с</w:t>
      </w:r>
      <w:r>
        <w:t>ве греде и међуспратне конструкције</w:t>
      </w:r>
      <w:r>
        <w:rPr>
          <w:lang w:val="sr-Cyrl-RS"/>
        </w:rPr>
        <w:t xml:space="preserve">   су</w:t>
      </w:r>
      <w:r>
        <w:t xml:space="preserve"> од армираног бетона марке МБ30 према ПБАБ 87, односно одговарајуће класе према SRPS U.M1.021:1997, SRPS EN 13670-1:2010, EN 206-1:2000 у свему према техничким спецификацијама</w:t>
      </w:r>
      <w:r>
        <w:rPr>
          <w:lang w:val="sr-Cyrl-RS"/>
        </w:rPr>
        <w:t>. А</w:t>
      </w:r>
      <w:r>
        <w:t xml:space="preserve">рмира се у два ортогонална правца ребрастом арматуром </w:t>
      </w:r>
      <w:r>
        <w:rPr>
          <w:lang w:val="sr-Cyrl-RS"/>
        </w:rPr>
        <w:t>Б</w:t>
      </w:r>
      <w:r>
        <w:t xml:space="preserve">500 у свему према техничким спецификацијама. </w:t>
      </w:r>
    </w:p>
    <w:p w:rsidR="003A368A" w:rsidRDefault="003A368A" w:rsidP="003A368A">
      <w:pPr>
        <w:pStyle w:val="Default"/>
        <w:jc w:val="both"/>
        <w:rPr>
          <w:b/>
          <w:u w:val="single"/>
          <w:lang w:val="sr-Cyrl-RS"/>
        </w:rPr>
      </w:pPr>
      <w:r>
        <w:rPr>
          <w:b/>
          <w:u w:val="single"/>
        </w:rPr>
        <w:t xml:space="preserve">Напомена: </w:t>
      </w:r>
    </w:p>
    <w:p w:rsidR="003A368A" w:rsidRDefault="003A368A" w:rsidP="003A368A">
      <w:pPr>
        <w:pStyle w:val="Default"/>
        <w:jc w:val="both"/>
        <w:rPr>
          <w:lang w:val="sr-Cyrl-RS"/>
        </w:rPr>
      </w:pPr>
      <w:r>
        <w:lastRenderedPageBreak/>
        <w:t xml:space="preserve">Статички прорачун је урађен према важећем Правилнику о техничким нормативима за бетон и армирани бетон, ПБАБ 87 (Сл. СФРЈ бр. 11/1987). </w:t>
      </w:r>
    </w:p>
    <w:p w:rsidR="003A368A" w:rsidRDefault="003A368A" w:rsidP="003A368A">
      <w:pPr>
        <w:pStyle w:val="Default"/>
        <w:jc w:val="both"/>
        <w:rPr>
          <w:lang w:val="sr-Cyrl-RS"/>
        </w:rPr>
      </w:pPr>
    </w:p>
    <w:p w:rsidR="003A368A" w:rsidRDefault="003A368A" w:rsidP="003A368A">
      <w:pPr>
        <w:jc w:val="both"/>
        <w:rPr>
          <w:lang w:val="sr-Cyrl-CS"/>
        </w:rPr>
      </w:pPr>
      <w:r>
        <w:rPr>
          <w:lang w:val="sr-Cyrl-CS"/>
        </w:rPr>
        <w:t xml:space="preserve">Комплетан прорачун урађен је </w:t>
      </w:r>
      <w:r>
        <w:rPr>
          <w:lang w:val="sr-Latn-CS"/>
        </w:rPr>
        <w:t>Radimpex-o</w:t>
      </w:r>
      <w:r>
        <w:rPr>
          <w:lang w:val="sr-Cyrl-CS"/>
        </w:rPr>
        <w:t xml:space="preserve">вим програмом </w:t>
      </w:r>
      <w:r>
        <w:t>TOWER</w:t>
      </w:r>
      <w:r>
        <w:rPr>
          <w:lang w:val="sr-Cyrl-CS"/>
        </w:rPr>
        <w:t xml:space="preserve"> за који ЦИП има лиценцу. Прорачун и димензионисање плоча урађен је у раванским 2д моделима за гравитационо оптерећење, док су прорачуни греда, стубова, сеизмичких зидова и темељне плоче урађени за цео 3д модел и то за комплетну шему оптерећења. </w:t>
      </w:r>
    </w:p>
    <w:p w:rsidR="003A368A" w:rsidRDefault="003A368A" w:rsidP="003A368A">
      <w:pPr>
        <w:jc w:val="both"/>
        <w:rPr>
          <w:lang w:val="sr-Cyrl-CS"/>
        </w:rPr>
      </w:pPr>
    </w:p>
    <w:p w:rsidR="003A368A" w:rsidRDefault="003A368A" w:rsidP="003A368A">
      <w:pPr>
        <w:jc w:val="both"/>
        <w:rPr>
          <w:lang w:val="sr-Cyrl-CS"/>
        </w:rPr>
      </w:pPr>
    </w:p>
    <w:p w:rsidR="003A368A" w:rsidRDefault="003A368A" w:rsidP="003A368A">
      <w:pPr>
        <w:jc w:val="both"/>
        <w:rPr>
          <w:lang w:val="sr-Cyrl-CS"/>
        </w:rPr>
      </w:pPr>
    </w:p>
    <w:p w:rsidR="003A368A" w:rsidRDefault="003A368A" w:rsidP="003A368A">
      <w:pPr>
        <w:jc w:val="both"/>
        <w:rPr>
          <w:u w:val="single"/>
          <w:lang w:val="sr-Cyrl-CS"/>
        </w:rPr>
      </w:pPr>
      <w:r>
        <w:rPr>
          <w:u w:val="single"/>
          <w:lang w:val="sr-Cyrl-CS"/>
        </w:rPr>
        <w:t>Преградни зидови</w:t>
      </w:r>
    </w:p>
    <w:p w:rsidR="003A368A" w:rsidRDefault="003A368A" w:rsidP="003A368A">
      <w:pPr>
        <w:jc w:val="both"/>
        <w:rPr>
          <w:u w:val="single"/>
          <w:lang w:val="sr-Cyrl-CS"/>
        </w:rPr>
      </w:pPr>
    </w:p>
    <w:p w:rsidR="003A368A" w:rsidRDefault="003A368A" w:rsidP="003A368A">
      <w:pPr>
        <w:jc w:val="both"/>
        <w:rPr>
          <w:lang w:val="sr-Cyrl-CS"/>
        </w:rPr>
      </w:pPr>
      <w:r>
        <w:rPr>
          <w:lang w:val="sr-Cyrl-CS"/>
        </w:rPr>
        <w:t>На местима где су предвиђени зидове од опеке, или гитер блокова, материјал и зидање ускладити са важећим правилником за зидане конструкције.</w:t>
      </w:r>
    </w:p>
    <w:p w:rsidR="003A368A" w:rsidRDefault="003A368A" w:rsidP="003A368A">
      <w:pPr>
        <w:jc w:val="both"/>
        <w:rPr>
          <w:lang w:val="sr-Cyrl-CS"/>
        </w:rPr>
      </w:pPr>
      <w:r>
        <w:rPr>
          <w:lang w:val="sr-Cyrl-CS"/>
        </w:rPr>
        <w:t>Вертикалне серклаже изводити заједно са са зиданим зидом након извођења носеће конструкције, а пре скидања подупирача за предметну етажу.</w:t>
      </w:r>
    </w:p>
    <w:p w:rsidR="003A368A" w:rsidRDefault="003A368A" w:rsidP="003A368A">
      <w:pPr>
        <w:jc w:val="both"/>
        <w:rPr>
          <w:lang w:val="sr-Cyrl-CS"/>
        </w:rPr>
      </w:pPr>
      <w:r>
        <w:rPr>
          <w:lang w:val="sr-Cyrl-CS"/>
        </w:rPr>
        <w:t>Зидови дебљине 25 и 19 цм зидани од блокова морају имати вертикалне серклаже дебљине зида на слободним крајевима, на местима сучељавања као и на дужинама већим од 5-6м.</w:t>
      </w:r>
    </w:p>
    <w:p w:rsidR="003A368A" w:rsidRDefault="003A368A" w:rsidP="003A368A">
      <w:pPr>
        <w:jc w:val="both"/>
        <w:rPr>
          <w:color w:val="FF0000"/>
        </w:rPr>
      </w:pPr>
    </w:p>
    <w:p w:rsidR="003A368A" w:rsidRDefault="003A368A" w:rsidP="003A368A">
      <w:pPr>
        <w:jc w:val="both"/>
        <w:rPr>
          <w:color w:val="FF0000"/>
        </w:rPr>
      </w:pPr>
    </w:p>
    <w:p w:rsidR="003A368A" w:rsidRDefault="003A368A" w:rsidP="003A368A">
      <w:pPr>
        <w:jc w:val="both"/>
        <w:rPr>
          <w:color w:val="FF0000"/>
        </w:rPr>
      </w:pPr>
    </w:p>
    <w:p w:rsidR="003A368A" w:rsidRDefault="003A368A" w:rsidP="003A368A">
      <w:pPr>
        <w:jc w:val="both"/>
        <w:rPr>
          <w:color w:val="FF0000"/>
        </w:rPr>
      </w:pPr>
    </w:p>
    <w:p w:rsidR="003A368A" w:rsidRDefault="003A368A" w:rsidP="003A368A">
      <w:pPr>
        <w:jc w:val="both"/>
        <w:rPr>
          <w:color w:val="FF0000"/>
        </w:rPr>
      </w:pPr>
    </w:p>
    <w:p w:rsidR="003A368A" w:rsidRDefault="003A368A" w:rsidP="003A368A">
      <w:pPr>
        <w:jc w:val="both"/>
        <w:rPr>
          <w:color w:val="FF0000"/>
        </w:rPr>
      </w:pPr>
    </w:p>
    <w:p w:rsidR="003A368A" w:rsidRDefault="003A368A" w:rsidP="003A368A">
      <w:pPr>
        <w:jc w:val="both"/>
        <w:rPr>
          <w:color w:val="FF0000"/>
          <w:lang w:val="sr-Cyrl-CS"/>
        </w:rPr>
      </w:pPr>
    </w:p>
    <w:p w:rsidR="00772581" w:rsidRDefault="003A368A" w:rsidP="003A368A">
      <w:r>
        <w:rPr>
          <w:lang w:val="ru-RU"/>
        </w:rPr>
        <w:t xml:space="preserve">Београд, </w:t>
      </w:r>
      <w:r>
        <w:rPr>
          <w:lang w:val="sr-Cyrl-CS"/>
        </w:rPr>
        <w:t xml:space="preserve">август  </w:t>
      </w:r>
      <w:r>
        <w:rPr>
          <w:lang w:val="ru-RU"/>
        </w:rPr>
        <w:t>20</w:t>
      </w:r>
      <w:r>
        <w:rPr>
          <w:lang w:val="sr-Cyrl-CS"/>
        </w:rPr>
        <w:t>18</w:t>
      </w:r>
      <w:r>
        <w:rPr>
          <w:lang w:val="ru-RU"/>
        </w:rPr>
        <w:t>.</w:t>
      </w:r>
      <w:bookmarkStart w:id="0" w:name="_GoBack"/>
      <w:bookmarkEnd w:id="0"/>
    </w:p>
    <w:sectPr w:rsidR="00772581" w:rsidSect="00B5654B">
      <w:pgSz w:w="11906" w:h="16838" w:code="9"/>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altName w:val="MS Mincho"/>
    <w:panose1 w:val="00000000000000000000"/>
    <w:charset w:val="8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68A"/>
    <w:rsid w:val="003A368A"/>
    <w:rsid w:val="00772581"/>
    <w:rsid w:val="00B5654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68A"/>
    <w:pPr>
      <w:spacing w:after="0" w:line="240" w:lineRule="auto"/>
    </w:pPr>
    <w:rPr>
      <w:rFonts w:ascii="Arial" w:eastAsia="Times New Roman" w:hAnsi="Arial" w:cs="Arial"/>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A368A"/>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tabelatxtChar">
    <w:name w:val="_tabela_txt Char"/>
    <w:link w:val="tabelatxt"/>
    <w:locked/>
    <w:rsid w:val="003A368A"/>
    <w:rPr>
      <w:rFonts w:ascii="Arial" w:hAnsi="Arial" w:cs="Arial"/>
      <w:lang w:val="sr-Cyrl-RS" w:eastAsia="zh-CN"/>
    </w:rPr>
  </w:style>
  <w:style w:type="paragraph" w:customStyle="1" w:styleId="tabelatxt">
    <w:name w:val="_tabela_txt"/>
    <w:basedOn w:val="NoSpacing"/>
    <w:link w:val="tabelatxtChar"/>
    <w:qFormat/>
    <w:rsid w:val="003A368A"/>
    <w:pPr>
      <w:jc w:val="center"/>
    </w:pPr>
    <w:rPr>
      <w:rFonts w:eastAsiaTheme="minorHAnsi"/>
      <w:sz w:val="22"/>
      <w:szCs w:val="22"/>
      <w:lang w:val="sr-Cyrl-RS"/>
    </w:rPr>
  </w:style>
  <w:style w:type="paragraph" w:styleId="NoSpacing">
    <w:name w:val="No Spacing"/>
    <w:uiPriority w:val="1"/>
    <w:qFormat/>
    <w:rsid w:val="003A368A"/>
    <w:pPr>
      <w:spacing w:after="0" w:line="240" w:lineRule="auto"/>
    </w:pPr>
    <w:rPr>
      <w:rFonts w:ascii="Arial" w:eastAsia="Times New Roman" w:hAnsi="Arial" w:cs="Arial"/>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68A"/>
    <w:pPr>
      <w:spacing w:after="0" w:line="240" w:lineRule="auto"/>
    </w:pPr>
    <w:rPr>
      <w:rFonts w:ascii="Arial" w:eastAsia="Times New Roman" w:hAnsi="Arial" w:cs="Arial"/>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A368A"/>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tabelatxtChar">
    <w:name w:val="_tabela_txt Char"/>
    <w:link w:val="tabelatxt"/>
    <w:locked/>
    <w:rsid w:val="003A368A"/>
    <w:rPr>
      <w:rFonts w:ascii="Arial" w:hAnsi="Arial" w:cs="Arial"/>
      <w:lang w:val="sr-Cyrl-RS" w:eastAsia="zh-CN"/>
    </w:rPr>
  </w:style>
  <w:style w:type="paragraph" w:customStyle="1" w:styleId="tabelatxt">
    <w:name w:val="_tabela_txt"/>
    <w:basedOn w:val="NoSpacing"/>
    <w:link w:val="tabelatxtChar"/>
    <w:qFormat/>
    <w:rsid w:val="003A368A"/>
    <w:pPr>
      <w:jc w:val="center"/>
    </w:pPr>
    <w:rPr>
      <w:rFonts w:eastAsiaTheme="minorHAnsi"/>
      <w:sz w:val="22"/>
      <w:szCs w:val="22"/>
      <w:lang w:val="sr-Cyrl-RS"/>
    </w:rPr>
  </w:style>
  <w:style w:type="paragraph" w:styleId="NoSpacing">
    <w:name w:val="No Spacing"/>
    <w:uiPriority w:val="1"/>
    <w:qFormat/>
    <w:rsid w:val="003A368A"/>
    <w:pPr>
      <w:spacing w:after="0" w:line="240" w:lineRule="auto"/>
    </w:pPr>
    <w:rPr>
      <w:rFonts w:ascii="Arial" w:eastAsia="Times New Roman" w:hAnsi="Arial" w:cs="Arial"/>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83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1566</Words>
  <Characters>8932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Mirjana Lazic</dc:creator>
  <cp:lastModifiedBy>Mirjana Lazic</cp:lastModifiedBy>
  <cp:revision>1</cp:revision>
  <dcterms:created xsi:type="dcterms:W3CDTF">2018-08-21T07:49:00Z</dcterms:created>
  <dcterms:modified xsi:type="dcterms:W3CDTF">2018-08-21T07:50:00Z</dcterms:modified>
</cp:coreProperties>
</file>