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7" w:rsidRDefault="00437FC6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  <w:lang w:val="sr-Cyrl-RS"/>
        </w:rPr>
        <w:t xml:space="preserve"> </w:t>
      </w:r>
      <w:r w:rsidR="006522AE"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1560"/>
        <w:gridCol w:w="967"/>
        <w:gridCol w:w="374"/>
        <w:gridCol w:w="374"/>
        <w:gridCol w:w="372"/>
        <w:gridCol w:w="375"/>
        <w:gridCol w:w="458"/>
        <w:gridCol w:w="6"/>
      </w:tblGrid>
      <w:tr w:rsidR="009F3447" w:rsidTr="00300030">
        <w:trPr>
          <w:gridAfter w:val="1"/>
          <w:wAfter w:w="6" w:type="dxa"/>
          <w:trHeight w:val="278"/>
        </w:trPr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Pr="006A011C" w:rsidRDefault="001D4117">
            <w:pPr>
              <w:ind w:left="44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6A011C">
              <w:rPr>
                <w:rFonts w:ascii="Times New Roman" w:eastAsia="Times New Roman" w:hAnsi="Times New Roman" w:cs="Times New Roman"/>
                <w:b/>
                <w:sz w:val="16"/>
                <w:lang w:val="sr-Cyrl-RS"/>
              </w:rPr>
              <w:t>а</w:t>
            </w:r>
          </w:p>
        </w:tc>
      </w:tr>
      <w:tr w:rsidR="009F3447" w:rsidTr="00300030">
        <w:trPr>
          <w:gridAfter w:val="1"/>
          <w:wAfter w:w="6" w:type="dxa"/>
          <w:trHeight w:val="303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47" w:rsidRDefault="006522AE">
            <w:pPr>
              <w:ind w:left="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Default="006522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Pr="00300030" w:rsidRDefault="006522AE">
            <w:pPr>
              <w:spacing w:after="20"/>
              <w:ind w:left="152"/>
              <w:jc w:val="center"/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00030" w:rsidRPr="00300030" w:rsidRDefault="006522AE" w:rsidP="0030003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      САОБРАЋАЈА И ИНФРАСТРУКТУРЕ </w:t>
            </w:r>
            <w:r w:rsidR="00300030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F3447" w:rsidRDefault="00300030" w:rsidP="00300030">
            <w:pPr>
              <w:ind w:left="30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0E79E6" w:rsidP="003000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  <w:p w:rsidR="009F3447" w:rsidRDefault="006522AE" w:rsidP="0030003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9F3447" w:rsidRDefault="006522AE" w:rsidP="00300030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00030" w:rsidRDefault="00300030" w:rsidP="00300030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9F3447" w:rsidRDefault="00300030" w:rsidP="00300030">
            <w:pPr>
              <w:ind w:left="50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9F3447" w:rsidTr="00300030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1034ED">
        <w:trPr>
          <w:gridAfter w:val="1"/>
          <w:wAfter w:w="6" w:type="dxa"/>
          <w:trHeight w:val="68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 w:rsidP="005F49FA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7685A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погребнa</w:t>
            </w:r>
            <w:r w:rsidR="005F49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делатност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9B539B" w:rsidP="00300030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F3447" w:rsidTr="001034ED">
        <w:trPr>
          <w:gridAfter w:val="1"/>
          <w:wAfter w:w="6" w:type="dxa"/>
          <w:trHeight w:val="1622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0" w:rsidRDefault="006522AE" w:rsidP="00A11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оквиру </w:t>
            </w:r>
            <w:r w:rsidR="005F49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врши: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Преузимање и превоз посмртних остатака од места смрти, односно места на коме се налази умрла особа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коме постоје прописани услови за смештај и чување покојника)</w:t>
            </w:r>
            <w:r w:rsidR="00300030"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Организације сахране и испраћаја са прибављањем потребне документације за организацију превоза и сахрањивања;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Чување посмртних остатака у расхладном уређају</w:t>
            </w:r>
            <w:r w:rsidR="00300030"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Припремање покојника за сахрану.</w:t>
            </w:r>
          </w:p>
          <w:p w:rsidR="009F3447" w:rsidRDefault="009F3447" w:rsidP="00D90F07">
            <w:pPr>
              <w:ind w:left="502"/>
              <w:jc w:val="center"/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07" w:rsidRDefault="00D90F07" w:rsidP="00D90F07">
            <w:pPr>
              <w:jc w:val="center"/>
              <w:rPr>
                <w:rFonts w:ascii="Webdings" w:eastAsia="Webdings" w:hAnsi="Webdings" w:cs="Webdings"/>
              </w:rPr>
            </w:pPr>
          </w:p>
          <w:p w:rsidR="00300030" w:rsidRPr="003838F8" w:rsidRDefault="006522AE" w:rsidP="00D90F0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3838F8" w:rsidP="00D90F0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838F8" w:rsidRDefault="003838F8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Default="003838F8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D90F0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D90F07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D90F07" w:rsidRDefault="00D90F07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D90F07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3838F8" w:rsidP="00D90F07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9F3447" w:rsidRDefault="009F3447" w:rsidP="00D90F07">
            <w:pPr>
              <w:ind w:left="44"/>
              <w:jc w:val="center"/>
            </w:pPr>
          </w:p>
        </w:tc>
      </w:tr>
      <w:tr w:rsidR="009F3447" w:rsidTr="00300030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Default="006522AE" w:rsidP="005702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</w:tc>
      </w:tr>
      <w:tr w:rsidR="001A59DC" w:rsidTr="00D00DE7">
        <w:trPr>
          <w:gridAfter w:val="1"/>
          <w:wAfter w:w="6" w:type="dxa"/>
          <w:trHeight w:val="745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D3334D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A59D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A59DC" w:rsidRDefault="001A59DC" w:rsidP="001A59D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1034ED">
        <w:trPr>
          <w:gridAfter w:val="1"/>
          <w:wAfter w:w="6" w:type="dxa"/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D3334D" w:rsidP="001A59D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радо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1034ED">
        <w:trPr>
          <w:gridAfter w:val="1"/>
          <w:wAfter w:w="6" w:type="dxa"/>
          <w:trHeight w:val="152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D3334D" w:rsidP="001A59D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0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17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1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D90F07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1A59DC" w:rsidP="001A59DC">
            <w:pPr>
              <w:spacing w:after="18"/>
            </w:pPr>
            <w: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034ED" w:rsidTr="001034ED">
        <w:trPr>
          <w:gridAfter w:val="1"/>
          <w:wAfter w:w="6" w:type="dxa"/>
          <w:trHeight w:val="569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ED" w:rsidRDefault="001034ED" w:rsidP="001034ED">
            <w:pPr>
              <w:spacing w:after="18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ПОГРЕБНА ДЕЛАТНОСТ</w:t>
            </w:r>
          </w:p>
        </w:tc>
      </w:tr>
      <w:tr w:rsidR="001034ED" w:rsidTr="001034ED">
        <w:trPr>
          <w:gridAfter w:val="1"/>
          <w:wAfter w:w="6" w:type="dxa"/>
          <w:trHeight w:val="6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ED" w:rsidRDefault="001034ED" w:rsidP="001034E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6.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делатност донето решење о испуњености услова за обављање комуналне делатности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комуналним отпадом?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4ED" w:rsidRDefault="001034ED" w:rsidP="001034ED">
            <w:pPr>
              <w:spacing w:after="1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9F3447">
        <w:trPr>
          <w:trHeight w:val="560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Default="006522AE" w:rsidP="001034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ПРАВА И ОБАВЕЗЕ ВРШИЛАЦА КОМУНАЛНЕ Д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</w:tc>
      </w:tr>
      <w:tr w:rsidR="009F3447" w:rsidTr="001034ED">
        <w:trPr>
          <w:trHeight w:val="120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5072FE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="00F7685A">
              <w:rPr>
                <w:rFonts w:ascii="Times New Roman" w:eastAsia="Times New Roman" w:hAnsi="Times New Roman" w:cs="Times New Roman"/>
                <w:sz w:val="24"/>
              </w:rPr>
              <w:t>писала</w:t>
            </w:r>
            <w:proofErr w:type="spellEnd"/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7685A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7685A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>...?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F3447" w:rsidRDefault="006522AE" w:rsidP="00E7746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E2243C" w:rsidP="00E77464">
            <w:pPr>
              <w:ind w:left="1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7464" w:rsidTr="00E77464">
        <w:trPr>
          <w:trHeight w:val="110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5072FE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034ED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1034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034ED"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 w:rsidR="001034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034ED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="00F7685A">
              <w:rPr>
                <w:rFonts w:ascii="Times New Roman" w:eastAsia="Times New Roman" w:hAnsi="Times New Roman" w:cs="Times New Roman"/>
                <w:sz w:val="24"/>
              </w:rPr>
              <w:t>ављања</w:t>
            </w:r>
            <w:proofErr w:type="spellEnd"/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7685A">
              <w:rPr>
                <w:rFonts w:ascii="Times New Roman" w:eastAsia="Times New Roman" w:hAnsi="Times New Roman" w:cs="Times New Roman"/>
                <w:sz w:val="24"/>
              </w:rPr>
              <w:t>погребне</w:t>
            </w:r>
            <w:proofErr w:type="spellEnd"/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7685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1D685D" w:rsidRDefault="001D685D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685D" w:rsidRPr="00E77464" w:rsidRDefault="001D685D" w:rsidP="00E77464">
            <w:pPr>
              <w:ind w:left="364" w:hanging="360"/>
              <w:jc w:val="both"/>
            </w:pPr>
          </w:p>
        </w:tc>
      </w:tr>
      <w:tr w:rsidR="00E77464" w:rsidTr="001034ED">
        <w:trPr>
          <w:trHeight w:val="703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5072FE" w:rsidP="001034ED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2243C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Да-4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1034ED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5072FE" w:rsidP="001034ED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1034ED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1034E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1034ED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1034E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погребне делатности</w:t>
            </w:r>
            <w:r w:rsidR="001034ED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2243C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034E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525191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E77464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5072F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</w:p>
          <w:p w:rsidR="00E77464" w:rsidRPr="00E77464" w:rsidRDefault="000D6A77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корисника комуналне услуге:</w:t>
            </w:r>
          </w:p>
          <w:p w:rsidR="00E77464" w:rsidRPr="00961004" w:rsidRDefault="00E77464" w:rsidP="00E77464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="001034E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</w:t>
            </w:r>
          </w:p>
          <w:p w:rsidR="00E77464" w:rsidRPr="00E77464" w:rsidRDefault="00E77464" w:rsidP="00E774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</w:rPr>
            </w:pP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E77464" w:rsidTr="001034ED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E77464" w:rsidP="00D3334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072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1034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10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1034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2243C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1034ED" w:rsidTr="00664034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ED" w:rsidRDefault="001034ED" w:rsidP="005072FE">
            <w:pPr>
              <w:spacing w:after="25"/>
              <w:ind w:right="6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ПРОМЕНА ЦЕНА КОМУНАЛНЕ УСЛУГЕ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ПОГРЕНЕ ДЕЛАТНОСТИ</w:t>
            </w:r>
          </w:p>
        </w:tc>
      </w:tr>
      <w:tr w:rsidR="00D3334D" w:rsidTr="001034ED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D" w:rsidRDefault="005072FE" w:rsidP="0050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делетности,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D" w:rsidRDefault="00E2243C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3334D">
              <w:rPr>
                <w:rFonts w:ascii="Webdings" w:eastAsia="Webdings" w:hAnsi="Webdings" w:cs="Webdings"/>
              </w:rPr>
              <w:t></w:t>
            </w:r>
            <w:r w:rsidR="00D3334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3334D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334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3334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3334D">
              <w:rPr>
                <w:rFonts w:ascii="Webdings" w:eastAsia="Webdings" w:hAnsi="Webdings" w:cs="Webdings"/>
              </w:rPr>
              <w:t></w:t>
            </w:r>
            <w:r w:rsidR="00D3334D">
              <w:rPr>
                <w:rFonts w:ascii="Times New Roman" w:eastAsia="Times New Roman" w:hAnsi="Times New Roman" w:cs="Times New Roman"/>
              </w:rPr>
              <w:t xml:space="preserve">  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D3334D" w:rsidTr="00CE69B9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D3334D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072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Навести који надлежни орган јединице локалне самоуправе даје сагласност на</w:t>
            </w:r>
          </w:p>
          <w:p w:rsidR="00D3334D" w:rsidRDefault="000D6A77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промену цене комуналне услуге погребна делатност?</w:t>
            </w:r>
          </w:p>
          <w:p w:rsidR="00D3334D" w:rsidRDefault="00D3334D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334D" w:rsidRDefault="00D3334D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</w:p>
        </w:tc>
      </w:tr>
      <w:tr w:rsidR="00D3334D" w:rsidTr="001034ED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D" w:rsidRDefault="005072FE" w:rsidP="0050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пружање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потрошача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  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D" w:rsidRDefault="00E2243C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3334D">
              <w:rPr>
                <w:rFonts w:ascii="Webdings" w:eastAsia="Webdings" w:hAnsi="Webdings" w:cs="Webdings"/>
              </w:rPr>
              <w:t></w:t>
            </w:r>
            <w:r w:rsidR="00D3334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3334D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3334D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334D">
              <w:rPr>
                <w:rFonts w:ascii="Webdings" w:eastAsia="Webdings" w:hAnsi="Webdings" w:cs="Webdings"/>
              </w:rPr>
              <w:t></w:t>
            </w:r>
            <w:r w:rsidR="00D3334D">
              <w:rPr>
                <w:rFonts w:ascii="Times New Roman" w:eastAsia="Times New Roman" w:hAnsi="Times New Roman" w:cs="Times New Roman"/>
              </w:rPr>
              <w:t xml:space="preserve">  </w:t>
            </w:r>
            <w:r w:rsidR="00D3334D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BD3AC5" w:rsidTr="001034ED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5" w:rsidRDefault="00BD3AC5" w:rsidP="00BD3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 постоје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утврђене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плаћају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субвенционирану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C5" w:rsidRDefault="00BD3AC5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E77464" w:rsidTr="001034ED">
        <w:trPr>
          <w:trHeight w:val="96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BD3AC5" w:rsidP="005072FE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0F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јединица локалне самоуправе вршиоцу комуналне делатности погребна делатност доставила спис</w:t>
            </w:r>
            <w:r w:rsidR="005072F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ак и податке корисника који</w:t>
            </w:r>
            <w:r w:rsidR="00D90F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плаћају субвенционирану цену </w:t>
            </w:r>
            <w:r w:rsidR="005072F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за ову </w:t>
            </w:r>
            <w:r w:rsidR="00D90F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комуналне услуге?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2243C" w:rsidP="00E77464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385CDB">
              <w:rPr>
                <w:rFonts w:ascii="Times New Roman" w:eastAsia="Times New Roman" w:hAnsi="Times New Roman" w:cs="Times New Roman"/>
                <w:sz w:val="24"/>
              </w:rPr>
              <w:t>Да-1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</w:tbl>
    <w:p w:rsidR="000D6A77" w:rsidRDefault="000D6A77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</w:rPr>
      </w:pPr>
    </w:p>
    <w:p w:rsidR="006522AE" w:rsidRDefault="006522AE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0D6A77" w:rsidRPr="00F7685A" w:rsidRDefault="000D6A77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6522AE" w:rsidTr="005F20A1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90F07" w:rsidP="005F20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385CDB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</w:tbl>
    <w:p w:rsidR="000D6A77" w:rsidRDefault="000D6A77" w:rsidP="00F7685A">
      <w:pPr>
        <w:spacing w:after="194"/>
        <w:ind w:left="7"/>
        <w:jc w:val="center"/>
        <w:rPr>
          <w:rFonts w:ascii="Times New Roman" w:eastAsia="Times New Roman" w:hAnsi="Times New Roman" w:cs="Times New Roman"/>
          <w:b/>
        </w:rPr>
      </w:pPr>
    </w:p>
    <w:p w:rsidR="001D756B" w:rsidRDefault="006522AE" w:rsidP="00F7685A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tbl>
      <w:tblPr>
        <w:tblStyle w:val="TableGrid"/>
        <w:tblW w:w="3399" w:type="dxa"/>
        <w:tblInd w:w="2816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9B539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9B539B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1D756B">
              <w:rPr>
                <w:rFonts w:ascii="Times New Roman" w:eastAsia="Times New Roman" w:hAnsi="Times New Roman" w:cs="Times New Roman"/>
                <w:b/>
              </w:rPr>
              <w:t>-2</w:t>
            </w:r>
            <w:r w:rsidR="009B539B">
              <w:rPr>
                <w:rFonts w:ascii="Times New Roman" w:eastAsia="Times New Roman" w:hAnsi="Times New Roman" w:cs="Times New Roman"/>
                <w:b/>
                <w:lang w:val="sr-Cyrl-RS"/>
              </w:rPr>
              <w:t>9</w:t>
            </w:r>
          </w:p>
        </w:tc>
      </w:tr>
      <w:tr w:rsidR="006522AE" w:rsidTr="005F20A1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385CDB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9B539B">
              <w:rPr>
                <w:rFonts w:ascii="Times New Roman" w:eastAsia="Times New Roman" w:hAnsi="Times New Roman" w:cs="Times New Roman"/>
                <w:b/>
              </w:rPr>
              <w:t>-23</w:t>
            </w:r>
          </w:p>
        </w:tc>
      </w:tr>
      <w:tr w:rsidR="006522AE" w:rsidTr="005F20A1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385CDB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-17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385CDB" w:rsidP="009B539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3334D"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385CDB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D6A77" w:rsidRDefault="002C3114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</w:t>
      </w:r>
      <w:r w:rsidR="001D756B" w:rsidRPr="001D756B"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:rsidR="000D6A77" w:rsidRDefault="000D6A77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A71E3C" w:rsidRDefault="00A71E3C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A71E3C" w:rsidRDefault="00A71E3C" w:rsidP="00A71E3C">
      <w:pPr>
        <w:spacing w:after="38"/>
        <w:ind w:left="-5" w:hanging="10"/>
        <w:rPr>
          <w:rFonts w:ascii="Times New Roman" w:eastAsia="Times New Roman" w:hAnsi="Times New Roman" w:cs="Times New Roman"/>
          <w:b/>
          <w:lang w:val="sr-Cyrl-RS"/>
        </w:rPr>
      </w:pPr>
    </w:p>
    <w:p w:rsidR="002C3114" w:rsidRDefault="00A71E3C" w:rsidP="002C3114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D6A7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ПРИСУТНО ЛИЦЕ</w:t>
      </w:r>
      <w:r w:rsidR="000D6A7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DE27FA"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 w:rsidR="000D6A77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 w:rsidR="001D756B" w:rsidRPr="001D756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D756B" w:rsidRPr="001D756B">
        <w:rPr>
          <w:rFonts w:ascii="Times New Roman" w:eastAsia="Times New Roman" w:hAnsi="Times New Roman" w:cs="Times New Roman"/>
          <w:b/>
        </w:rPr>
        <w:t xml:space="preserve"> </w:t>
      </w:r>
      <w:r w:rsidR="002C3114">
        <w:rPr>
          <w:rFonts w:ascii="Times New Roman" w:eastAsia="Times New Roman" w:hAnsi="Times New Roman" w:cs="Times New Roman"/>
          <w:b/>
        </w:rPr>
        <w:t xml:space="preserve">РЕПУБЛИЧКИ </w:t>
      </w:r>
    </w:p>
    <w:p w:rsidR="001D756B" w:rsidRPr="001D756B" w:rsidRDefault="00DE27FA" w:rsidP="00A71E3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="00A71E3C">
        <w:rPr>
          <w:rFonts w:ascii="Times New Roman" w:eastAsia="Times New Roman" w:hAnsi="Times New Roman" w:cs="Times New Roman"/>
          <w:b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>КОМУНАЛНИ</w:t>
      </w:r>
      <w:r w:rsidR="002C3114">
        <w:rPr>
          <w:rFonts w:ascii="Times New Roman" w:eastAsia="Times New Roman" w:hAnsi="Times New Roman" w:cs="Times New Roman"/>
          <w:b/>
        </w:rPr>
        <w:t xml:space="preserve"> </w:t>
      </w:r>
      <w:r w:rsidR="00A71E3C">
        <w:rPr>
          <w:rFonts w:ascii="Times New Roman" w:eastAsia="Times New Roman" w:hAnsi="Times New Roman" w:cs="Times New Roman"/>
          <w:b/>
        </w:rPr>
        <w:t xml:space="preserve">ИНСПЕКТОР </w:t>
      </w:r>
      <w:r w:rsidR="00A71E3C">
        <w:rPr>
          <w:rFonts w:ascii="Times New Roman" w:eastAsia="Times New Roman" w:hAnsi="Times New Roman" w:cs="Times New Roman"/>
          <w:b/>
        </w:rPr>
        <w:tab/>
        <w:t xml:space="preserve"> </w:t>
      </w:r>
      <w:r w:rsidR="00A71E3C">
        <w:rPr>
          <w:rFonts w:ascii="Times New Roman" w:eastAsia="Times New Roman" w:hAnsi="Times New Roman" w:cs="Times New Roman"/>
          <w:b/>
        </w:rPr>
        <w:tab/>
      </w:r>
      <w:r w:rsidR="001D756B" w:rsidRPr="001D756B">
        <w:rPr>
          <w:rFonts w:ascii="Times New Roman" w:eastAsia="Times New Roman" w:hAnsi="Times New Roman" w:cs="Times New Roman"/>
          <w:b/>
        </w:rPr>
        <w:t xml:space="preserve"> </w:t>
      </w:r>
    </w:p>
    <w:p w:rsidR="009F3447" w:rsidRPr="002C3114" w:rsidRDefault="001D756B" w:rsidP="002C3114">
      <w:pPr>
        <w:spacing w:after="158"/>
      </w:pPr>
      <w:r w:rsidRPr="001D756B">
        <w:rPr>
          <w:rFonts w:ascii="Times New Roman" w:eastAsia="Times New Roman" w:hAnsi="Times New Roman" w:cs="Times New Roman"/>
        </w:rPr>
        <w:t xml:space="preserve"> </w:t>
      </w:r>
      <w:r w:rsidRPr="00D77D6C">
        <w:rPr>
          <w:rFonts w:ascii="Times New Roman" w:eastAsia="Times New Roman" w:hAnsi="Times New Roman" w:cs="Times New Roman"/>
          <w:b/>
        </w:rPr>
        <w:t>____________________                       М.П.</w:t>
      </w:r>
      <w:r w:rsidRPr="001D756B">
        <w:rPr>
          <w:rFonts w:ascii="Times New Roman" w:eastAsia="Times New Roman" w:hAnsi="Times New Roman" w:cs="Times New Roman"/>
        </w:rPr>
        <w:t xml:space="preserve">                  </w:t>
      </w:r>
      <w:r w:rsidRPr="001D756B">
        <w:rPr>
          <w:rFonts w:ascii="Times New Roman" w:eastAsia="Times New Roman" w:hAnsi="Times New Roman" w:cs="Times New Roman"/>
          <w:lang w:val="sr-Cyrl-RS"/>
        </w:rPr>
        <w:t xml:space="preserve">      </w:t>
      </w:r>
      <w:r w:rsidRPr="001D756B">
        <w:rPr>
          <w:rFonts w:ascii="Times New Roman" w:eastAsia="Times New Roman" w:hAnsi="Times New Roman" w:cs="Times New Roman"/>
        </w:rPr>
        <w:t xml:space="preserve">  </w:t>
      </w:r>
      <w:r w:rsidR="002C3114">
        <w:rPr>
          <w:rFonts w:ascii="Times New Roman" w:eastAsia="Times New Roman" w:hAnsi="Times New Roman" w:cs="Times New Roman"/>
        </w:rPr>
        <w:t xml:space="preserve">      ________________________</w:t>
      </w:r>
    </w:p>
    <w:sectPr w:rsidR="009F3447" w:rsidRPr="002C3114" w:rsidSect="00D77D6C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3D"/>
    <w:multiLevelType w:val="hybridMultilevel"/>
    <w:tmpl w:val="C9C2D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A14"/>
    <w:multiLevelType w:val="hybridMultilevel"/>
    <w:tmpl w:val="1BA856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34285"/>
    <w:multiLevelType w:val="hybridMultilevel"/>
    <w:tmpl w:val="6C465650"/>
    <w:lvl w:ilvl="0" w:tplc="90F8E6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4E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5C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346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F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C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1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677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0B2C"/>
    <w:multiLevelType w:val="hybridMultilevel"/>
    <w:tmpl w:val="13EEEA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 w15:restartNumberingAfterBreak="0">
    <w:nsid w:val="59276A30"/>
    <w:multiLevelType w:val="hybridMultilevel"/>
    <w:tmpl w:val="12A6C3BA"/>
    <w:lvl w:ilvl="0" w:tplc="4CB403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3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FF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E50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14C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AB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EC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25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11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631FC"/>
    <w:multiLevelType w:val="hybridMultilevel"/>
    <w:tmpl w:val="182A481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87393"/>
    <w:multiLevelType w:val="hybridMultilevel"/>
    <w:tmpl w:val="F1BC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7"/>
    <w:rsid w:val="00052774"/>
    <w:rsid w:val="000C7E34"/>
    <w:rsid w:val="000D6A77"/>
    <w:rsid w:val="000E79E6"/>
    <w:rsid w:val="001034ED"/>
    <w:rsid w:val="001A59DC"/>
    <w:rsid w:val="001D4117"/>
    <w:rsid w:val="001D685D"/>
    <w:rsid w:val="001D756B"/>
    <w:rsid w:val="002C3114"/>
    <w:rsid w:val="00300030"/>
    <w:rsid w:val="00305326"/>
    <w:rsid w:val="003838F8"/>
    <w:rsid w:val="00385CDB"/>
    <w:rsid w:val="00437FC6"/>
    <w:rsid w:val="005072FE"/>
    <w:rsid w:val="005702A8"/>
    <w:rsid w:val="005F49FA"/>
    <w:rsid w:val="005F5DAC"/>
    <w:rsid w:val="006522AE"/>
    <w:rsid w:val="006A011C"/>
    <w:rsid w:val="00783C90"/>
    <w:rsid w:val="009B539B"/>
    <w:rsid w:val="009F3447"/>
    <w:rsid w:val="00A114A0"/>
    <w:rsid w:val="00A71E3C"/>
    <w:rsid w:val="00BD3AC5"/>
    <w:rsid w:val="00D3334D"/>
    <w:rsid w:val="00D77D6C"/>
    <w:rsid w:val="00D90F07"/>
    <w:rsid w:val="00DE27FA"/>
    <w:rsid w:val="00E2243C"/>
    <w:rsid w:val="00E77464"/>
    <w:rsid w:val="00F44F9B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8649-0AF3-46D6-8D28-260BCDE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13</cp:revision>
  <cp:lastPrinted>2017-05-10T10:32:00Z</cp:lastPrinted>
  <dcterms:created xsi:type="dcterms:W3CDTF">2017-05-09T17:03:00Z</dcterms:created>
  <dcterms:modified xsi:type="dcterms:W3CDTF">2017-07-08T12:30:00Z</dcterms:modified>
</cp:coreProperties>
</file>