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14" w:tblpY="-350"/>
        <w:tblW w:w="0" w:type="auto"/>
        <w:tblLook w:val="01E0" w:firstRow="1" w:lastRow="1" w:firstColumn="1" w:lastColumn="1" w:noHBand="0" w:noVBand="0"/>
      </w:tblPr>
      <w:tblGrid>
        <w:gridCol w:w="4953"/>
      </w:tblGrid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9B1C7B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r-Cyrl-CS" w:eastAsia="sr-Cyrl-CS"/>
              </w:rPr>
              <w:drawing>
                <wp:inline distT="0" distB="0" distL="0" distR="0" wp14:anchorId="799404BB" wp14:editId="3E867F88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Број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5B6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404-02-82/5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/2018-02</w:t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.06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.2018. </w:t>
            </w: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године</w:t>
            </w:r>
          </w:p>
        </w:tc>
      </w:tr>
      <w:tr w:rsidR="001C7F43" w:rsidRPr="009B1C7B" w:rsidTr="001C7F43">
        <w:trPr>
          <w:trHeight w:val="257"/>
        </w:trPr>
        <w:tc>
          <w:tcPr>
            <w:tcW w:w="4953" w:type="dxa"/>
            <w:vAlign w:val="center"/>
          </w:tcPr>
          <w:p w:rsidR="001C7F43" w:rsidRPr="00ED78C2" w:rsidRDefault="001C7F43" w:rsidP="001C7F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B33546" w:rsidRDefault="00B33546" w:rsidP="00B335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412" w:rsidRDefault="00993412" w:rsidP="00B335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412" w:rsidRDefault="00993412" w:rsidP="00B335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412" w:rsidRPr="009B1C7B" w:rsidRDefault="00993412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993412" w:rsidRPr="009B1C7B" w:rsidRDefault="00993412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993412" w:rsidRPr="009B1C7B" w:rsidRDefault="00993412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993412" w:rsidRPr="009B1C7B" w:rsidRDefault="00993412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993412" w:rsidRDefault="00993412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842290" w:rsidRPr="009B1C7B" w:rsidRDefault="00842290" w:rsidP="00993412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995B6F" w:rsidRPr="00CA0FDC" w:rsidRDefault="00995B6F" w:rsidP="00995B6F">
      <w:pPr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995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конкурсне документације за јавну набавку – </w:t>
      </w:r>
      <w:r w:rsidRPr="00CA0FDC">
        <w:rPr>
          <w:rFonts w:ascii="Times New Roman" w:eastAsia="Times New Roman" w:hAnsi="Times New Roman" w:cs="Times New Roman"/>
          <w:sz w:val="24"/>
          <w:szCs w:val="24"/>
          <w:lang w:val="sr-Cyrl-CS"/>
        </w:rPr>
        <w:t>Израда пројектне документације по ЦЕОП у оквиру Колубарског регионалног вишенаменског система за водоснабдевање „Стубо – Ровни“</w:t>
      </w:r>
    </w:p>
    <w:p w:rsidR="00995B6F" w:rsidRPr="00995B6F" w:rsidRDefault="00995B6F" w:rsidP="0099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95B6F" w:rsidRPr="00995B6F" w:rsidRDefault="00995B6F" w:rsidP="00995B6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95B6F" w:rsidRPr="00995B6F" w:rsidRDefault="00995B6F" w:rsidP="00995B6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95B6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ДОПУНА КОНКУРСНЕ ДОКУМЕНТАЦИЈЕ БРОЈ 1</w:t>
      </w:r>
    </w:p>
    <w:p w:rsidR="00995B6F" w:rsidRPr="00995B6F" w:rsidRDefault="00995B6F" w:rsidP="00995B6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95B6F" w:rsidRPr="00995B6F" w:rsidRDefault="00995B6F" w:rsidP="00995B6F">
      <w:pPr>
        <w:keepNext/>
        <w:tabs>
          <w:tab w:val="left" w:pos="567"/>
        </w:tabs>
        <w:spacing w:before="120" w:after="120" w:line="276" w:lineRule="auto"/>
        <w:ind w:left="930" w:right="720"/>
        <w:contextualSpacing/>
        <w:jc w:val="both"/>
        <w:rPr>
          <w:rFonts w:ascii="Calibri" w:eastAsia="Malgun Gothic" w:hAnsi="Calibri" w:cs="Times New Roman"/>
          <w:b/>
          <w:color w:val="000000"/>
          <w:lang w:val="sr-Cyrl-RS"/>
        </w:rPr>
      </w:pPr>
    </w:p>
    <w:p w:rsidR="00995B6F" w:rsidRDefault="00995B6F" w:rsidP="00995B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1.</w:t>
      </w: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A0FD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На страни </w:t>
      </w:r>
      <w:r w:rsidR="00CA0FDC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60</w:t>
      </w:r>
      <w:r w:rsidR="00CA0FD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од </w:t>
      </w:r>
      <w:r w:rsidR="00CA0FDC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121</w:t>
      </w: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мења се следећи текст:</w:t>
      </w:r>
    </w:p>
    <w:p w:rsidR="00842290" w:rsidRDefault="00842290" w:rsidP="00995B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540" w:type="dxa"/>
        <w:tblInd w:w="85" w:type="dxa"/>
        <w:tblCellMar>
          <w:top w:w="111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8572"/>
      </w:tblGrid>
      <w:tr w:rsidR="00CA0FDC" w:rsidRPr="00CA0FDC" w:rsidTr="00CA0FDC">
        <w:trPr>
          <w:trHeight w:val="3902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FDC" w:rsidRPr="00CA0FDC" w:rsidRDefault="00CA0FDC" w:rsidP="00CA0FDC">
            <w:pPr>
              <w:spacing w:after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Доказ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CA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DC" w:rsidRPr="00CA0FDC" w:rsidRDefault="00CA0FDC" w:rsidP="00CA0FDC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закључених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свом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меморандуму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потписану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печатирану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следећим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елементима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A0FDC" w:rsidRPr="00CA0FDC" w:rsidRDefault="00CA0FDC" w:rsidP="00CA0FDC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наступања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извршене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квалитетно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уговореном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уговорена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учеш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сврхе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proofErr w:type="gram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користити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A0FDC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995B6F" w:rsidRPr="00995B6F" w:rsidRDefault="00995B6F" w:rsidP="0099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95B6F" w:rsidRPr="00995B6F" w:rsidRDefault="00995B6F" w:rsidP="0099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95B6F" w:rsidRDefault="00995B6F" w:rsidP="0099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 да сада </w:t>
      </w:r>
      <w:r w:rsidRPr="00995B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измењен текст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, гласи:</w:t>
      </w:r>
    </w:p>
    <w:p w:rsidR="00CA0FDC" w:rsidRPr="00995B6F" w:rsidRDefault="00CA0FDC" w:rsidP="0099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540" w:type="dxa"/>
        <w:tblInd w:w="85" w:type="dxa"/>
        <w:tblCellMar>
          <w:top w:w="111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8572"/>
      </w:tblGrid>
      <w:tr w:rsidR="00CA0FDC" w:rsidRPr="00CA0FDC" w:rsidTr="00046A60">
        <w:trPr>
          <w:trHeight w:val="779"/>
        </w:trPr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FDC" w:rsidRPr="00CA0FDC" w:rsidRDefault="00CA0FDC" w:rsidP="00CC1307">
            <w:pPr>
              <w:spacing w:after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Доказ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CA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DC" w:rsidRPr="00CA0FDC" w:rsidRDefault="00CA0FDC" w:rsidP="00CC1307">
            <w:pPr>
              <w:spacing w:after="45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закључених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Обрасцу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предвиђеном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њиховим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обрасцима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такве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морају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имати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достављени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наступања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извршене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квалитетно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уговореном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уговорена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учеш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сврхе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proofErr w:type="gram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користити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0FDC" w:rsidRPr="00CA0FDC" w:rsidRDefault="00CA0FDC" w:rsidP="00CC1307">
            <w:pPr>
              <w:numPr>
                <w:ilvl w:val="0"/>
                <w:numId w:val="4"/>
              </w:numPr>
              <w:spacing w:after="0" w:line="240" w:lineRule="auto"/>
              <w:ind w:left="342" w:hanging="18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FD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CA0F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046A60" w:rsidRDefault="00046A60" w:rsidP="0004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046A60" w:rsidRDefault="00046A60" w:rsidP="0004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2</w:t>
      </w: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На страни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121</w:t>
      </w:r>
      <w:r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мења се следећи текст:</w:t>
      </w:r>
    </w:p>
    <w:p w:rsidR="00046A60" w:rsidRDefault="00046A60" w:rsidP="0004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A60" w:rsidRPr="00046A60" w:rsidRDefault="00046A60" w:rsidP="0004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ЈП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регионалног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вишенаментског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хидросистема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Стубо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Ровни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„Колубара“ Ваљево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нвеститора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реализацији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израде пројектне документације за постројење за пречишћавање воде за пиће</w:t>
      </w:r>
      <w:r w:rsidRPr="00046A60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sr-Cyrl-CS"/>
        </w:rPr>
        <w:t xml:space="preserve">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„Пећина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“ Ваљево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046A60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 21</w:t>
      </w:r>
      <w:proofErr w:type="gram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) 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135.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72/09, 81/09 -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, 64/10, 24/11, 121/12, 42/13, 50/13, 98/13, 132/14 и 145/14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6A60" w:rsidRPr="00046A60" w:rsidRDefault="00046A60" w:rsidP="0004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A60" w:rsidRPr="00046A60" w:rsidRDefault="00046A60" w:rsidP="0004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 да сада </w:t>
      </w:r>
      <w:r w:rsidRPr="00995B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измењен текст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, гласи:</w:t>
      </w:r>
    </w:p>
    <w:p w:rsidR="00046A60" w:rsidRPr="00046A60" w:rsidRDefault="00046A60" w:rsidP="0004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A60" w:rsidRPr="00046A60" w:rsidRDefault="00046A60" w:rsidP="0004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ЈП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регионалног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вишенаментског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хидросистема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Стубо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Ровни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„Колубара“ Ваљево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нвеститора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реализацији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израде пројектне документације магистралних цевовода чисте воде за деонице: од резервоара „Оштриковац“ до општине Уб и од резервоара „ Оштриковац“ до општине Лајковац и Лазаревац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046A60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 21</w:t>
      </w:r>
      <w:proofErr w:type="gram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) 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135.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72/09, 81/09 -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, 64/10, 24/11, 121/12, 42/13, 50/13, 98/13, 132/14 и 145/14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6A60" w:rsidRPr="00046A60" w:rsidRDefault="00046A60" w:rsidP="0004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A60" w:rsidRDefault="00842290" w:rsidP="0004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3</w:t>
      </w:r>
      <w:r w:rsidR="00046A60"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r w:rsidR="00046A60"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46A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На страни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10</w:t>
      </w:r>
      <w:r w:rsidR="00046A60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4</w:t>
      </w:r>
      <w:r w:rsidR="00046A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од </w:t>
      </w:r>
      <w:r w:rsidR="00046A60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121</w:t>
      </w:r>
      <w:r w:rsidR="00046A60" w:rsidRPr="00995B6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46A60"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мења се следећи текст:</w:t>
      </w:r>
    </w:p>
    <w:p w:rsidR="00046A60" w:rsidRPr="00046A60" w:rsidRDefault="00046A60" w:rsidP="00046A60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842290" w:rsidRPr="00046A60" w:rsidRDefault="00842290" w:rsidP="0084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ЈП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регионалног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вишенаментског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хидросистема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Стубо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Ровни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„Колубара“ Ваљево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нвеститора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реализацији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израде пројектне документације за постројење за пречишћавање воде за пиће</w:t>
      </w:r>
      <w:r w:rsidRPr="00046A60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sr-Cyrl-CS"/>
        </w:rPr>
        <w:t xml:space="preserve">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„Пећина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“ Ваљево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046A60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 21</w:t>
      </w:r>
      <w:proofErr w:type="gram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) 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135.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72/09, 81/09 -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, 64/10, 24/11, 121/12, 42/13, 50/13, 98/13, 132/14 и 145/14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95B6F" w:rsidRDefault="00995B6F" w:rsidP="00995B6F">
      <w:pPr>
        <w:tabs>
          <w:tab w:val="center" w:pos="48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842290" w:rsidRDefault="00842290" w:rsidP="00995B6F">
      <w:pPr>
        <w:tabs>
          <w:tab w:val="center" w:pos="48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bookmarkStart w:id="0" w:name="_GoBack"/>
      <w:bookmarkEnd w:id="0"/>
    </w:p>
    <w:p w:rsidR="00842290" w:rsidRPr="00046A60" w:rsidRDefault="00842290" w:rsidP="00842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 да сада </w:t>
      </w:r>
      <w:r w:rsidRPr="00995B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измењен текст</w:t>
      </w:r>
      <w:r w:rsidRPr="00995B6F">
        <w:rPr>
          <w:rFonts w:ascii="Times New Roman" w:eastAsia="Times New Roman" w:hAnsi="Times New Roman" w:cs="Times New Roman"/>
          <w:sz w:val="24"/>
          <w:szCs w:val="24"/>
          <w:lang w:val="sr-Cyrl-CS"/>
        </w:rPr>
        <w:t>, гласи:</w:t>
      </w:r>
    </w:p>
    <w:p w:rsidR="00842290" w:rsidRPr="00046A60" w:rsidRDefault="00842290" w:rsidP="00842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42290" w:rsidRPr="00046A60" w:rsidRDefault="00842290" w:rsidP="0084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ЈП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регионалног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вишенаментског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хидросистема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Стубо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Ровни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„Колубара“ Ваљево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нвеститора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реализацији </w:t>
      </w:r>
      <w:r w:rsidRPr="0004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израде </w:t>
      </w:r>
      <w:r w:rsidRPr="008422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пројектне документације магистралног цевовода чисте воде за деоницу од пројектоване Пумпе станица „ Мионица“ до општине Љиг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046A60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 21</w:t>
      </w:r>
      <w:proofErr w:type="gram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) 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135.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72/09, 81/09 -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, 64/10, 24/11, 121/12, 42/13, 50/13, 98/13, 132/14 и 145/14 у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6A60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046A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42290" w:rsidRPr="00995B6F" w:rsidRDefault="00842290" w:rsidP="00995B6F">
      <w:pPr>
        <w:tabs>
          <w:tab w:val="center" w:pos="48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sectPr w:rsidR="00842290" w:rsidRPr="00995B6F" w:rsidSect="00A0288D">
      <w:footerReference w:type="default" r:id="rId9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DF" w:rsidRDefault="00CE03DF" w:rsidP="00455744">
      <w:pPr>
        <w:spacing w:after="0" w:line="240" w:lineRule="auto"/>
      </w:pPr>
      <w:r>
        <w:separator/>
      </w:r>
    </w:p>
  </w:endnote>
  <w:endnote w:type="continuationSeparator" w:id="0">
    <w:p w:rsidR="00CE03DF" w:rsidRDefault="00CE03DF" w:rsidP="0045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887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744" w:rsidRDefault="00455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2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5744" w:rsidRDefault="00455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DF" w:rsidRDefault="00CE03DF" w:rsidP="00455744">
      <w:pPr>
        <w:spacing w:after="0" w:line="240" w:lineRule="auto"/>
      </w:pPr>
      <w:r>
        <w:separator/>
      </w:r>
    </w:p>
  </w:footnote>
  <w:footnote w:type="continuationSeparator" w:id="0">
    <w:p w:rsidR="00CE03DF" w:rsidRDefault="00CE03DF" w:rsidP="00455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A89"/>
    <w:multiLevelType w:val="hybridMultilevel"/>
    <w:tmpl w:val="A8CABE6C"/>
    <w:lvl w:ilvl="0" w:tplc="F00A433E">
      <w:start w:val="1"/>
      <w:numFmt w:val="bullet"/>
      <w:lvlText w:val="-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F81806">
      <w:start w:val="1"/>
      <w:numFmt w:val="bullet"/>
      <w:lvlText w:val="o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C0E0">
      <w:start w:val="1"/>
      <w:numFmt w:val="bullet"/>
      <w:lvlText w:val="▪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CEA4A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E57F6">
      <w:start w:val="1"/>
      <w:numFmt w:val="bullet"/>
      <w:lvlText w:val="o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00860">
      <w:start w:val="1"/>
      <w:numFmt w:val="bullet"/>
      <w:lvlText w:val="▪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03B5A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44182">
      <w:start w:val="1"/>
      <w:numFmt w:val="bullet"/>
      <w:lvlText w:val="o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EE312">
      <w:start w:val="1"/>
      <w:numFmt w:val="bullet"/>
      <w:lvlText w:val="▪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8409A"/>
    <w:multiLevelType w:val="hybridMultilevel"/>
    <w:tmpl w:val="494E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744C"/>
    <w:multiLevelType w:val="hybridMultilevel"/>
    <w:tmpl w:val="DD049B1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1022849"/>
    <w:multiLevelType w:val="hybridMultilevel"/>
    <w:tmpl w:val="78F4BC32"/>
    <w:lvl w:ilvl="0" w:tplc="57888C2A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4CD4E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C75E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05282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AFBA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CB882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8D79C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AD57E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0E38C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8A"/>
    <w:rsid w:val="00001FA2"/>
    <w:rsid w:val="00013B08"/>
    <w:rsid w:val="0002128C"/>
    <w:rsid w:val="00021C10"/>
    <w:rsid w:val="00026074"/>
    <w:rsid w:val="0003137C"/>
    <w:rsid w:val="00040207"/>
    <w:rsid w:val="0004270B"/>
    <w:rsid w:val="00046A60"/>
    <w:rsid w:val="0005175E"/>
    <w:rsid w:val="00053B35"/>
    <w:rsid w:val="00065B95"/>
    <w:rsid w:val="000666B2"/>
    <w:rsid w:val="00067DA6"/>
    <w:rsid w:val="00074554"/>
    <w:rsid w:val="00090C2A"/>
    <w:rsid w:val="000911E4"/>
    <w:rsid w:val="0009157E"/>
    <w:rsid w:val="000B22A5"/>
    <w:rsid w:val="000B5CAE"/>
    <w:rsid w:val="000D0B73"/>
    <w:rsid w:val="000D7D43"/>
    <w:rsid w:val="000E66EA"/>
    <w:rsid w:val="000F7B53"/>
    <w:rsid w:val="001062A6"/>
    <w:rsid w:val="00115D04"/>
    <w:rsid w:val="00125066"/>
    <w:rsid w:val="00126894"/>
    <w:rsid w:val="00130FE1"/>
    <w:rsid w:val="00142930"/>
    <w:rsid w:val="00156A63"/>
    <w:rsid w:val="00164D49"/>
    <w:rsid w:val="00176693"/>
    <w:rsid w:val="00190FF2"/>
    <w:rsid w:val="00193106"/>
    <w:rsid w:val="00195BE6"/>
    <w:rsid w:val="001B0B69"/>
    <w:rsid w:val="001B65F5"/>
    <w:rsid w:val="001B6911"/>
    <w:rsid w:val="001C7727"/>
    <w:rsid w:val="001C7F43"/>
    <w:rsid w:val="001D7DA2"/>
    <w:rsid w:val="001E055D"/>
    <w:rsid w:val="001E4ECC"/>
    <w:rsid w:val="001F4F35"/>
    <w:rsid w:val="001F5162"/>
    <w:rsid w:val="001F6AB9"/>
    <w:rsid w:val="00204C10"/>
    <w:rsid w:val="00206E81"/>
    <w:rsid w:val="00212280"/>
    <w:rsid w:val="00216348"/>
    <w:rsid w:val="0023297E"/>
    <w:rsid w:val="00233F45"/>
    <w:rsid w:val="00235435"/>
    <w:rsid w:val="00242F83"/>
    <w:rsid w:val="00246929"/>
    <w:rsid w:val="002608CD"/>
    <w:rsid w:val="00261F7B"/>
    <w:rsid w:val="002676C1"/>
    <w:rsid w:val="002801CC"/>
    <w:rsid w:val="002811AE"/>
    <w:rsid w:val="002838C3"/>
    <w:rsid w:val="00287C15"/>
    <w:rsid w:val="00294E41"/>
    <w:rsid w:val="002A2E6A"/>
    <w:rsid w:val="002A46EB"/>
    <w:rsid w:val="002A7354"/>
    <w:rsid w:val="002B1356"/>
    <w:rsid w:val="002C3501"/>
    <w:rsid w:val="002F3C35"/>
    <w:rsid w:val="002F61BD"/>
    <w:rsid w:val="00317FCB"/>
    <w:rsid w:val="003269ED"/>
    <w:rsid w:val="00327120"/>
    <w:rsid w:val="00343BB9"/>
    <w:rsid w:val="00343C1A"/>
    <w:rsid w:val="003449B7"/>
    <w:rsid w:val="0035176C"/>
    <w:rsid w:val="003619A8"/>
    <w:rsid w:val="00380CAC"/>
    <w:rsid w:val="00384A08"/>
    <w:rsid w:val="00385309"/>
    <w:rsid w:val="00393C4E"/>
    <w:rsid w:val="00397018"/>
    <w:rsid w:val="003A1E79"/>
    <w:rsid w:val="003A3B66"/>
    <w:rsid w:val="003B2878"/>
    <w:rsid w:val="003B6C5B"/>
    <w:rsid w:val="003B7668"/>
    <w:rsid w:val="003C18E9"/>
    <w:rsid w:val="003D3FE7"/>
    <w:rsid w:val="003E54DF"/>
    <w:rsid w:val="003F4492"/>
    <w:rsid w:val="003F76F5"/>
    <w:rsid w:val="00407FA0"/>
    <w:rsid w:val="00410A33"/>
    <w:rsid w:val="00411564"/>
    <w:rsid w:val="00433E54"/>
    <w:rsid w:val="0043460E"/>
    <w:rsid w:val="004407C5"/>
    <w:rsid w:val="004526C3"/>
    <w:rsid w:val="00455744"/>
    <w:rsid w:val="0046170D"/>
    <w:rsid w:val="00464BD1"/>
    <w:rsid w:val="00471A1A"/>
    <w:rsid w:val="0047665D"/>
    <w:rsid w:val="004827DB"/>
    <w:rsid w:val="004829F2"/>
    <w:rsid w:val="004858CD"/>
    <w:rsid w:val="004969AE"/>
    <w:rsid w:val="00497CB5"/>
    <w:rsid w:val="004C3635"/>
    <w:rsid w:val="004C4591"/>
    <w:rsid w:val="004C695E"/>
    <w:rsid w:val="004D1042"/>
    <w:rsid w:val="004E5AE1"/>
    <w:rsid w:val="004F4373"/>
    <w:rsid w:val="00504CA8"/>
    <w:rsid w:val="00511E4A"/>
    <w:rsid w:val="00512C05"/>
    <w:rsid w:val="00521F1C"/>
    <w:rsid w:val="005309AC"/>
    <w:rsid w:val="00533ADB"/>
    <w:rsid w:val="00535AF1"/>
    <w:rsid w:val="00540DA5"/>
    <w:rsid w:val="0054451D"/>
    <w:rsid w:val="00553402"/>
    <w:rsid w:val="00557413"/>
    <w:rsid w:val="00562447"/>
    <w:rsid w:val="00563168"/>
    <w:rsid w:val="005669B6"/>
    <w:rsid w:val="00567591"/>
    <w:rsid w:val="00571638"/>
    <w:rsid w:val="0057388C"/>
    <w:rsid w:val="00573D24"/>
    <w:rsid w:val="00585435"/>
    <w:rsid w:val="0059516A"/>
    <w:rsid w:val="005A303A"/>
    <w:rsid w:val="005B478C"/>
    <w:rsid w:val="005C11B3"/>
    <w:rsid w:val="005C421C"/>
    <w:rsid w:val="005E6D84"/>
    <w:rsid w:val="005F037F"/>
    <w:rsid w:val="006033F0"/>
    <w:rsid w:val="00635B27"/>
    <w:rsid w:val="00646F1C"/>
    <w:rsid w:val="0065583B"/>
    <w:rsid w:val="006625B7"/>
    <w:rsid w:val="006656FB"/>
    <w:rsid w:val="00690EC8"/>
    <w:rsid w:val="0069296D"/>
    <w:rsid w:val="006B56A2"/>
    <w:rsid w:val="006C25D0"/>
    <w:rsid w:val="006D1B2B"/>
    <w:rsid w:val="006D5C07"/>
    <w:rsid w:val="006D768A"/>
    <w:rsid w:val="006E67F4"/>
    <w:rsid w:val="007003AE"/>
    <w:rsid w:val="00707853"/>
    <w:rsid w:val="00714EF9"/>
    <w:rsid w:val="0071676F"/>
    <w:rsid w:val="0072567C"/>
    <w:rsid w:val="00747E48"/>
    <w:rsid w:val="0075614E"/>
    <w:rsid w:val="00765FCC"/>
    <w:rsid w:val="00766466"/>
    <w:rsid w:val="00785B95"/>
    <w:rsid w:val="007879EE"/>
    <w:rsid w:val="00795EDD"/>
    <w:rsid w:val="00797FBA"/>
    <w:rsid w:val="007B0B4C"/>
    <w:rsid w:val="007B0E7D"/>
    <w:rsid w:val="007C2321"/>
    <w:rsid w:val="007D1FF1"/>
    <w:rsid w:val="007D6FFC"/>
    <w:rsid w:val="007D7CB7"/>
    <w:rsid w:val="007E10A6"/>
    <w:rsid w:val="007F16B0"/>
    <w:rsid w:val="007F3399"/>
    <w:rsid w:val="00824DC7"/>
    <w:rsid w:val="008322A5"/>
    <w:rsid w:val="00833A93"/>
    <w:rsid w:val="00837AAC"/>
    <w:rsid w:val="00842290"/>
    <w:rsid w:val="00844995"/>
    <w:rsid w:val="008505FF"/>
    <w:rsid w:val="008533FA"/>
    <w:rsid w:val="00853752"/>
    <w:rsid w:val="0085687F"/>
    <w:rsid w:val="0086468C"/>
    <w:rsid w:val="008664BA"/>
    <w:rsid w:val="00876540"/>
    <w:rsid w:val="0088503E"/>
    <w:rsid w:val="00891E64"/>
    <w:rsid w:val="00892D34"/>
    <w:rsid w:val="00895C06"/>
    <w:rsid w:val="0089721D"/>
    <w:rsid w:val="008A090B"/>
    <w:rsid w:val="008B1675"/>
    <w:rsid w:val="008C147F"/>
    <w:rsid w:val="008C3D84"/>
    <w:rsid w:val="008C5C15"/>
    <w:rsid w:val="008C6478"/>
    <w:rsid w:val="008D2A16"/>
    <w:rsid w:val="008F2DB0"/>
    <w:rsid w:val="008F5371"/>
    <w:rsid w:val="00907E54"/>
    <w:rsid w:val="00931EDE"/>
    <w:rsid w:val="00940C5E"/>
    <w:rsid w:val="00945DCE"/>
    <w:rsid w:val="00947B76"/>
    <w:rsid w:val="009500AE"/>
    <w:rsid w:val="00955062"/>
    <w:rsid w:val="009570F0"/>
    <w:rsid w:val="00963B18"/>
    <w:rsid w:val="00971441"/>
    <w:rsid w:val="00993045"/>
    <w:rsid w:val="00993412"/>
    <w:rsid w:val="00995B6F"/>
    <w:rsid w:val="009B1142"/>
    <w:rsid w:val="009C2974"/>
    <w:rsid w:val="009E7BE0"/>
    <w:rsid w:val="00A0288D"/>
    <w:rsid w:val="00A15B49"/>
    <w:rsid w:val="00A16883"/>
    <w:rsid w:val="00A25853"/>
    <w:rsid w:val="00A53CB2"/>
    <w:rsid w:val="00A56429"/>
    <w:rsid w:val="00A76777"/>
    <w:rsid w:val="00A801B7"/>
    <w:rsid w:val="00A822EE"/>
    <w:rsid w:val="00A8381C"/>
    <w:rsid w:val="00A85128"/>
    <w:rsid w:val="00A97621"/>
    <w:rsid w:val="00AA62A6"/>
    <w:rsid w:val="00AB190D"/>
    <w:rsid w:val="00AB1BD1"/>
    <w:rsid w:val="00AC1BD9"/>
    <w:rsid w:val="00AD41FB"/>
    <w:rsid w:val="00AE022A"/>
    <w:rsid w:val="00AE3EF4"/>
    <w:rsid w:val="00B166CD"/>
    <w:rsid w:val="00B1678C"/>
    <w:rsid w:val="00B33546"/>
    <w:rsid w:val="00B337F2"/>
    <w:rsid w:val="00B47CFF"/>
    <w:rsid w:val="00B66121"/>
    <w:rsid w:val="00B85238"/>
    <w:rsid w:val="00B96597"/>
    <w:rsid w:val="00B97706"/>
    <w:rsid w:val="00BB635D"/>
    <w:rsid w:val="00BB7569"/>
    <w:rsid w:val="00BD137A"/>
    <w:rsid w:val="00BD5832"/>
    <w:rsid w:val="00BE5591"/>
    <w:rsid w:val="00BE6BC0"/>
    <w:rsid w:val="00BE7F5D"/>
    <w:rsid w:val="00BF140A"/>
    <w:rsid w:val="00BF42D6"/>
    <w:rsid w:val="00C0081E"/>
    <w:rsid w:val="00C04271"/>
    <w:rsid w:val="00C11114"/>
    <w:rsid w:val="00C126C6"/>
    <w:rsid w:val="00C16A79"/>
    <w:rsid w:val="00C17089"/>
    <w:rsid w:val="00C2713A"/>
    <w:rsid w:val="00C27934"/>
    <w:rsid w:val="00C30E12"/>
    <w:rsid w:val="00C32AAF"/>
    <w:rsid w:val="00C35129"/>
    <w:rsid w:val="00C35B72"/>
    <w:rsid w:val="00C45E78"/>
    <w:rsid w:val="00C45F29"/>
    <w:rsid w:val="00C51100"/>
    <w:rsid w:val="00C622BE"/>
    <w:rsid w:val="00C85E37"/>
    <w:rsid w:val="00C9322A"/>
    <w:rsid w:val="00C95F62"/>
    <w:rsid w:val="00CA0FDC"/>
    <w:rsid w:val="00CA2550"/>
    <w:rsid w:val="00CA3492"/>
    <w:rsid w:val="00CB2DC4"/>
    <w:rsid w:val="00CB2DDA"/>
    <w:rsid w:val="00CC15AF"/>
    <w:rsid w:val="00CC6334"/>
    <w:rsid w:val="00CC70CC"/>
    <w:rsid w:val="00CD04F6"/>
    <w:rsid w:val="00CE03DF"/>
    <w:rsid w:val="00CE5166"/>
    <w:rsid w:val="00CF37E1"/>
    <w:rsid w:val="00CF392B"/>
    <w:rsid w:val="00CF39DC"/>
    <w:rsid w:val="00D14528"/>
    <w:rsid w:val="00D21A7F"/>
    <w:rsid w:val="00D40A82"/>
    <w:rsid w:val="00D531B3"/>
    <w:rsid w:val="00D56C73"/>
    <w:rsid w:val="00D66D88"/>
    <w:rsid w:val="00D735B4"/>
    <w:rsid w:val="00D92E65"/>
    <w:rsid w:val="00D95119"/>
    <w:rsid w:val="00DA3F8D"/>
    <w:rsid w:val="00DB0D54"/>
    <w:rsid w:val="00DB6B90"/>
    <w:rsid w:val="00DC31B6"/>
    <w:rsid w:val="00DC3CAC"/>
    <w:rsid w:val="00DC3F19"/>
    <w:rsid w:val="00DE6122"/>
    <w:rsid w:val="00E04D89"/>
    <w:rsid w:val="00E13196"/>
    <w:rsid w:val="00E25C3C"/>
    <w:rsid w:val="00E344E7"/>
    <w:rsid w:val="00E43602"/>
    <w:rsid w:val="00E55C46"/>
    <w:rsid w:val="00E57D73"/>
    <w:rsid w:val="00E81513"/>
    <w:rsid w:val="00E87D58"/>
    <w:rsid w:val="00E91D36"/>
    <w:rsid w:val="00EA0183"/>
    <w:rsid w:val="00EC21B9"/>
    <w:rsid w:val="00EC434D"/>
    <w:rsid w:val="00ED5228"/>
    <w:rsid w:val="00F32516"/>
    <w:rsid w:val="00F524F5"/>
    <w:rsid w:val="00F535FF"/>
    <w:rsid w:val="00F600CA"/>
    <w:rsid w:val="00F61E4A"/>
    <w:rsid w:val="00F81E94"/>
    <w:rsid w:val="00F83549"/>
    <w:rsid w:val="00FA5A29"/>
    <w:rsid w:val="00FB264A"/>
    <w:rsid w:val="00FB2E02"/>
    <w:rsid w:val="00FD4DFF"/>
    <w:rsid w:val="00FE3175"/>
    <w:rsid w:val="00FF046F"/>
    <w:rsid w:val="00FF0FA7"/>
    <w:rsid w:val="00FF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814D"/>
  <w15:docId w15:val="{0259B0A8-F1FC-4F77-AE22-D117CC23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9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44"/>
  </w:style>
  <w:style w:type="paragraph" w:styleId="Footer">
    <w:name w:val="footer"/>
    <w:basedOn w:val="Normal"/>
    <w:link w:val="FooterChar"/>
    <w:uiPriority w:val="99"/>
    <w:unhideWhenUsed/>
    <w:rsid w:val="00455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2992F-80ED-4B62-96B1-FA15DAC8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Milosavljević</dc:creator>
  <cp:lastModifiedBy>Irena Delić</cp:lastModifiedBy>
  <cp:revision>3</cp:revision>
  <cp:lastPrinted>2018-06-18T11:07:00Z</cp:lastPrinted>
  <dcterms:created xsi:type="dcterms:W3CDTF">2018-06-18T11:10:00Z</dcterms:created>
  <dcterms:modified xsi:type="dcterms:W3CDTF">2018-06-18T11:23:00Z</dcterms:modified>
</cp:coreProperties>
</file>