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E4" w:rsidRDefault="006035E4" w:rsidP="006035E4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6035E4" w:rsidRDefault="006035E4" w:rsidP="006035E4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6035E4" w:rsidRDefault="006035E4" w:rsidP="006035E4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6035E4" w:rsidTr="00F80D3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6035E4" w:rsidTr="00F80D3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Pr="00233A08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P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35E4" w:rsidRPr="006035E4" w:rsidRDefault="006035E4" w:rsidP="006035E4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</w:pPr>
            <w:r w:rsidRPr="006035E4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Извођење додатних радова на изградњи јавне железничке пруге од постојеће пруге </w:t>
            </w:r>
            <w:r w:rsidRPr="006035E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Смедерево – Мала Крсна до терминала за расуте и генералне терете Луке Смедерево – </w:t>
            </w:r>
            <w:r w:rsidR="000F1B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CS"/>
              </w:rPr>
              <w:t>друга</w:t>
            </w:r>
            <w:r w:rsidRPr="006035E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фаза. </w:t>
            </w:r>
            <w:r w:rsidRPr="006035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6035E4" w:rsidRPr="006035E4" w:rsidRDefault="006035E4" w:rsidP="006035E4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</w:pPr>
            <w:r w:rsidRPr="006035E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набавки: Радови на изградњи </w:t>
            </w:r>
            <w:r w:rsidRPr="006035E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035E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железничке </w:t>
            </w:r>
            <w:r w:rsidRPr="006035E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пруге -45234100.</w:t>
            </w:r>
          </w:p>
          <w:p w:rsidR="006035E4" w:rsidRDefault="006035E4" w:rsidP="00F80D3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1BB5" w:rsidRPr="000F1BB5" w:rsidRDefault="000F1BB5" w:rsidP="000F1BB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Разлози за примену</w:t>
            </w:r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Предметна јавна набавка се спроводи у преговарачком поступку</w:t>
            </w:r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подзаконским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актима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уређују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1BB5" w:rsidRPr="000F1BB5" w:rsidRDefault="000F1BB5" w:rsidP="000F1B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садржан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члану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36. </w:t>
            </w:r>
            <w:proofErr w:type="spellStart"/>
            <w:proofErr w:type="gram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5)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прописује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додатних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услуга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радова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нису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укључени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пројекат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првобитан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јавној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набавци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непредвидљивих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околности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неопходни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извршење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јавној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набавци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условом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закључи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првобитним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добављачем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укупна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вредност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свих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додатних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услуга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радова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непредвиђени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радови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већа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15%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укупне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вредности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закљученог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закључења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протекло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="000F1BB5" w:rsidRPr="000F1BB5" w:rsidRDefault="000F1BB5" w:rsidP="000F1B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(1)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такве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додатне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услуге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радови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раздвојити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у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техничком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економском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погледу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јавној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набавци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проузрокују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несразмерно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велике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техничке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тешкоће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несразмерно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велики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трошкови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наручиоца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F1BB5" w:rsidRPr="000F1BB5" w:rsidRDefault="000F1BB5" w:rsidP="000F1B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(2)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такве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услуге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радови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наручилац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могао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набавити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одвојено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извршења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неопходни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извршење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првобитног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уговора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јавној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набавци</w:t>
            </w:r>
            <w:proofErr w:type="spellEnd"/>
            <w:r w:rsidRPr="000F1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0F1BB5" w:rsidRPr="000F1BB5" w:rsidRDefault="000F1BB5" w:rsidP="000F1BB5">
            <w:pPr>
              <w:suppressAutoHyphens/>
              <w:spacing w:after="20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0F1BB5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Наручилац је </w:t>
            </w:r>
            <w:r w:rsidRPr="000F1BB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RS" w:eastAsia="ar-SA"/>
              </w:rPr>
              <w:t xml:space="preserve">дана 12.6.2019. </w:t>
            </w:r>
            <w:r w:rsidRPr="000F1BB5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године поднео захтев за мишљење о основаности примене преговарачког поступка без објављивања позива за подношење понуда Управи за јавне </w:t>
            </w:r>
            <w:r w:rsidRPr="000F1BB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RS" w:eastAsia="ar-SA"/>
              </w:rPr>
              <w:t xml:space="preserve">набавке број 404-02-121/2019-02, и допуну образложења, дана 26.07.2019. године, број 404-02-101/1/2019-02 и добио </w:t>
            </w:r>
            <w:r w:rsidRPr="000F1BB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 xml:space="preserve">позитивно мишљење Управе за јавне набавке број 404-02-2848/19 од 31.07.2019. године, у коме је наведено да су испуњени услови за примену </w:t>
            </w:r>
            <w:r w:rsidRPr="000F1BB5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преговарачког поступка без објављивања позива за подношење понуда, сагласно члану 36. став 1. тачка 5) Закона.</w:t>
            </w:r>
          </w:p>
          <w:p w:rsidR="006035E4" w:rsidRPr="00607A19" w:rsidRDefault="006035E4" w:rsidP="00F80D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E4" w:rsidRDefault="006035E4" w:rsidP="006035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6035E4" w:rsidTr="00F80D33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Pr="00233A08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1BB5" w:rsidRPr="000F1BB5" w:rsidRDefault="006035E4" w:rsidP="000F1BB5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035E4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           Позив за учествовање у овом преговарачком поступку упућен </w:t>
            </w:r>
            <w:r w:rsidR="000F1BB5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је</w:t>
            </w:r>
            <w:r w:rsidRPr="006035E4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Г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рупи понуђача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чији је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носилац посла STRABAG d.o.o. Beograd,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Београд,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ул.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Милутина Миланковића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бр. 3б, ПИБ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101328839,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матични број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07189826 кога заступа Драган Павелић;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>Привредно друштво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>,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 xml:space="preserve">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>члан групе понуђача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 xml:space="preserve">, VOJVODINAPUT-PANČEVO ,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>Панчево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 xml:space="preserve">,ул.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 xml:space="preserve">Жарка Зрењанина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 xml:space="preserve">бр.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>12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>, ПИБ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 xml:space="preserve"> 101055994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Latn-CS" w:eastAsia="sr-Latn-CS"/>
              </w:rPr>
              <w:t xml:space="preserve"> матични број </w:t>
            </w:r>
            <w:r w:rsidR="000F1BB5" w:rsidRPr="000F1BB5">
              <w:rPr>
                <w:rFonts w:ascii="Times New Roman" w:eastAsiaTheme="minorHAnsi" w:hAnsi="Times New Roman" w:cstheme="minorBidi"/>
                <w:sz w:val="24"/>
                <w:szCs w:val="24"/>
                <w:lang w:val="sr-Cyrl-CS" w:eastAsia="sr-Latn-CS"/>
              </w:rPr>
              <w:t>08129126, кога заступају директори Драган Ршумовић и Новембар Стојановић;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STRABAG AG,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Аустрија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ул. Ortenburgerstrabe,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бр. 27, 98000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Spittal an der Drau,ПИБ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022/4246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матични број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FN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61689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w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кога заступају прокуристи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Gunther </w:t>
            </w:r>
            <w:proofErr w:type="spellStart"/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Hartweger</w:t>
            </w:r>
            <w:proofErr w:type="spellEnd"/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</w:t>
            </w:r>
            <w:proofErr w:type="spellEnd"/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Erwin </w:t>
            </w:r>
            <w:proofErr w:type="spellStart"/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Wurzer</w:t>
            </w:r>
            <w:proofErr w:type="spellEnd"/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и STRABAG AG OGRANAK ZA GRAĐEVINSKE POSLOVE,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Нови Беград, Милутина Миланковића 3б, ПИБ 104603319, матични број 29501483,Институт Михајло Пупин ДОО Београд, Волгина 15, ПИБ 100008310, матични број 07014694, кога заступа директор Владан Батановић;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TPA ZA OBEZBEĐENJE KVALITETA I INOVACIJE DOO BEOGRAD,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Србија,  Панчево, Ул. Милутина Миланковића бр.3Б, ПИБ 104812220, матични број 20244607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које заступа директор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Душан Коцић;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АТМ БГ д.о.о. Нови Београд, Булевар Михајла Пупина 127, ПИБ 100829748,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0F1BB5" w:rsidRPr="000F1BB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матични број 07745729, кога заступа директор Милан Петровић.</w:t>
            </w:r>
          </w:p>
          <w:p w:rsidR="006035E4" w:rsidRDefault="006035E4" w:rsidP="00F80D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B5" w:rsidRDefault="000F1BB5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BB5" w:rsidRDefault="000F1BB5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3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6035E4" w:rsidTr="00F80D33">
        <w:trPr>
          <w:trHeight w:val="294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1027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35E4" w:rsidRDefault="006035E4" w:rsidP="00F80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понуде истиче </w:t>
            </w:r>
            <w:r w:rsidR="000F1B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="00D54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</w:t>
            </w:r>
            <w:r w:rsidR="000F1B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</w:t>
            </w:r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10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часова. Отварање понуде одржаће се дана </w:t>
            </w:r>
            <w:r w:rsidR="000F1B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</w:t>
            </w:r>
            <w:r w:rsidR="00D54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</w:t>
            </w:r>
            <w:r w:rsidR="000F1B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</w:t>
            </w:r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10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,30 часова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Немањина 22-26, спрат 11, канцеларија </w:t>
            </w:r>
            <w:r w:rsidR="00687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Преговарачки поступак спровешће се дана </w:t>
            </w:r>
            <w:r w:rsidR="000F1B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="00D54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</w:t>
            </w:r>
            <w:r w:rsidR="000F1B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.2019</w:t>
            </w:r>
            <w:bookmarkStart w:id="0" w:name="_GoBack"/>
            <w:bookmarkEnd w:id="0"/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11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часова,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22-26, спрат 11, канцеларија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5E4" w:rsidRDefault="006035E4" w:rsidP="006035E4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E4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1BB5"/>
    <w:rsid w:val="000F4353"/>
    <w:rsid w:val="000F6100"/>
    <w:rsid w:val="001004BF"/>
    <w:rsid w:val="001007FD"/>
    <w:rsid w:val="00102CE5"/>
    <w:rsid w:val="00104C0F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10784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51B48"/>
    <w:rsid w:val="00352D59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5B3B"/>
    <w:rsid w:val="0040355E"/>
    <w:rsid w:val="0041407D"/>
    <w:rsid w:val="00414AB2"/>
    <w:rsid w:val="00425CED"/>
    <w:rsid w:val="00427ECF"/>
    <w:rsid w:val="00432908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35E4"/>
    <w:rsid w:val="00604174"/>
    <w:rsid w:val="006046AD"/>
    <w:rsid w:val="00606A36"/>
    <w:rsid w:val="00607361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6210E"/>
    <w:rsid w:val="00663FED"/>
    <w:rsid w:val="00664DFC"/>
    <w:rsid w:val="00667045"/>
    <w:rsid w:val="00670269"/>
    <w:rsid w:val="0067151F"/>
    <w:rsid w:val="00672ED8"/>
    <w:rsid w:val="00677634"/>
    <w:rsid w:val="00687457"/>
    <w:rsid w:val="006927AA"/>
    <w:rsid w:val="006A12AE"/>
    <w:rsid w:val="006A211A"/>
    <w:rsid w:val="006A2272"/>
    <w:rsid w:val="006B0B6C"/>
    <w:rsid w:val="006B19B3"/>
    <w:rsid w:val="006B5789"/>
    <w:rsid w:val="006B7B76"/>
    <w:rsid w:val="006C2872"/>
    <w:rsid w:val="006C3FFB"/>
    <w:rsid w:val="006C450B"/>
    <w:rsid w:val="006D22F4"/>
    <w:rsid w:val="006D6A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37782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4331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266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3116A"/>
    <w:rsid w:val="00C32ADE"/>
    <w:rsid w:val="00C33FA9"/>
    <w:rsid w:val="00C460BE"/>
    <w:rsid w:val="00C47A74"/>
    <w:rsid w:val="00C50DE4"/>
    <w:rsid w:val="00C545C1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1F2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62F4"/>
    <w:rsid w:val="00E2019A"/>
    <w:rsid w:val="00E2100E"/>
    <w:rsid w:val="00E21F92"/>
    <w:rsid w:val="00E30EC5"/>
    <w:rsid w:val="00E31A44"/>
    <w:rsid w:val="00E336F0"/>
    <w:rsid w:val="00E33948"/>
    <w:rsid w:val="00E47E5D"/>
    <w:rsid w:val="00E5043D"/>
    <w:rsid w:val="00E52B32"/>
    <w:rsid w:val="00E5311C"/>
    <w:rsid w:val="00E53462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22F1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22F71-D9D5-49C8-A30A-2DD8E3A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E4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6035E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6035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2018-09-28T12:28:00Z</dcterms:created>
  <dcterms:modified xsi:type="dcterms:W3CDTF">2019-09-30T14:30:00Z</dcterms:modified>
</cp:coreProperties>
</file>