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799D9" w14:textId="77777777" w:rsidR="00463E16" w:rsidRPr="005F63B3" w:rsidRDefault="00463E16" w:rsidP="00B83F30">
      <w:pPr>
        <w:pStyle w:val="Default"/>
        <w:ind w:left="720"/>
        <w:jc w:val="center"/>
        <w:outlineLvl w:val="0"/>
        <w:rPr>
          <w:b/>
          <w:color w:val="000000" w:themeColor="text1"/>
          <w:lang w:val="sr-Cyrl-CS"/>
        </w:rPr>
      </w:pPr>
    </w:p>
    <w:p w14:paraId="6565F58B" w14:textId="77777777" w:rsidR="008E4725" w:rsidRPr="005F63B3" w:rsidRDefault="008E4725" w:rsidP="00B83F30">
      <w:pPr>
        <w:pStyle w:val="Default"/>
        <w:ind w:left="720"/>
        <w:jc w:val="center"/>
        <w:outlineLvl w:val="0"/>
        <w:rPr>
          <w:b/>
          <w:color w:val="000000" w:themeColor="text1"/>
          <w:lang w:val="ru-RU"/>
        </w:rPr>
      </w:pPr>
    </w:p>
    <w:tbl>
      <w:tblPr>
        <w:tblW w:w="5036" w:type="dxa"/>
        <w:tblInd w:w="720" w:type="dxa"/>
        <w:tblLook w:val="04A0" w:firstRow="1" w:lastRow="0" w:firstColumn="1" w:lastColumn="0" w:noHBand="0" w:noVBand="1"/>
      </w:tblPr>
      <w:tblGrid>
        <w:gridCol w:w="5036"/>
      </w:tblGrid>
      <w:tr w:rsidR="00B83F30" w:rsidRPr="005F63B3" w14:paraId="759AF903" w14:textId="77777777" w:rsidTr="00B83F30">
        <w:tc>
          <w:tcPr>
            <w:tcW w:w="5036" w:type="dxa"/>
            <w:hideMark/>
          </w:tcPr>
          <w:tbl>
            <w:tblPr>
              <w:tblpPr w:leftFromText="180" w:rightFromText="180" w:bottomFromText="20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5F63B3" w:rsidRPr="005F63B3" w14:paraId="25FB3230" w14:textId="77777777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14:paraId="1389BBED" w14:textId="77777777" w:rsidR="00E4488B" w:rsidRPr="005F63B3" w:rsidRDefault="00E4488B" w:rsidP="00FD7F97">
                  <w:pPr>
                    <w:jc w:val="center"/>
                    <w:rPr>
                      <w:rFonts w:eastAsia="MS Mincho"/>
                      <w:color w:val="000000" w:themeColor="text1"/>
                      <w:lang w:val="sr-Cyrl-CS"/>
                    </w:rPr>
                  </w:pPr>
                  <w:r w:rsidRPr="005F63B3">
                    <w:rPr>
                      <w:rFonts w:eastAsia="MS Mincho"/>
                      <w:noProof/>
                      <w:color w:val="000000" w:themeColor="text1"/>
                      <w:lang w:val="en-US"/>
                    </w:rPr>
                    <w:drawing>
                      <wp:inline distT="0" distB="0" distL="0" distR="0" wp14:anchorId="61E27DB5" wp14:editId="48FD740D">
                        <wp:extent cx="647700" cy="9429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63B3" w:rsidRPr="005F63B3" w14:paraId="7ECF7A57" w14:textId="77777777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14:paraId="30C13308" w14:textId="77777777" w:rsidR="00E4488B" w:rsidRPr="005F63B3" w:rsidRDefault="00E4488B" w:rsidP="00FD7F97">
                  <w:pPr>
                    <w:jc w:val="center"/>
                    <w:rPr>
                      <w:rFonts w:eastAsia="MS Mincho"/>
                      <w:b/>
                      <w:color w:val="000000" w:themeColor="text1"/>
                      <w:lang w:val="sr-Cyrl-CS"/>
                    </w:rPr>
                  </w:pPr>
                  <w:r w:rsidRPr="005F63B3">
                    <w:rPr>
                      <w:rFonts w:eastAsia="MS Mincho"/>
                      <w:b/>
                      <w:color w:val="000000" w:themeColor="text1"/>
                      <w:lang w:val="sr-Cyrl-CS"/>
                    </w:rPr>
                    <w:t>Република Србија</w:t>
                  </w:r>
                </w:p>
              </w:tc>
            </w:tr>
            <w:tr w:rsidR="005F63B3" w:rsidRPr="005F63B3" w14:paraId="162657FB" w14:textId="77777777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14:paraId="789563E6" w14:textId="77777777" w:rsidR="00E4488B" w:rsidRPr="005F63B3" w:rsidRDefault="00E4488B" w:rsidP="00FD7F97">
                  <w:pPr>
                    <w:ind w:right="-193"/>
                    <w:rPr>
                      <w:rFonts w:eastAsia="MS Mincho"/>
                      <w:b/>
                      <w:color w:val="000000" w:themeColor="text1"/>
                      <w:lang w:val="sr-Cyrl-CS"/>
                    </w:rPr>
                  </w:pPr>
                  <w:r w:rsidRPr="005F63B3">
                    <w:rPr>
                      <w:rFonts w:eastAsia="MS Mincho"/>
                      <w:b/>
                      <w:color w:val="000000" w:themeColor="text1"/>
                      <w:lang w:val="sr-Cyrl-CS"/>
                    </w:rPr>
                    <w:t>МИНИСТАРСТВО ГРАЂЕВИНАРСТВА,</w:t>
                  </w:r>
                </w:p>
              </w:tc>
            </w:tr>
            <w:tr w:rsidR="005F63B3" w:rsidRPr="005F63B3" w14:paraId="12E9DE4E" w14:textId="77777777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14:paraId="580A018A" w14:textId="77777777" w:rsidR="00E4488B" w:rsidRPr="005F63B3" w:rsidRDefault="00E4488B" w:rsidP="00FD7F97">
                  <w:pPr>
                    <w:jc w:val="center"/>
                    <w:rPr>
                      <w:rFonts w:eastAsia="MS Mincho"/>
                      <w:b/>
                      <w:color w:val="000000" w:themeColor="text1"/>
                      <w:lang w:val="sr-Cyrl-CS"/>
                    </w:rPr>
                  </w:pPr>
                  <w:r w:rsidRPr="005F63B3">
                    <w:rPr>
                      <w:rFonts w:eastAsia="MS Mincho"/>
                      <w:b/>
                      <w:color w:val="000000" w:themeColor="text1"/>
                      <w:lang w:val="sr-Cyrl-CS"/>
                    </w:rPr>
                    <w:t>САОБРАЋАЈА И ИНФРАСТРУКТУРЕ</w:t>
                  </w:r>
                </w:p>
              </w:tc>
            </w:tr>
            <w:tr w:rsidR="005F63B3" w:rsidRPr="005F63B3" w14:paraId="39D1591C" w14:textId="77777777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14:paraId="310221A4" w14:textId="77777777" w:rsidR="00E4488B" w:rsidRPr="005F63B3" w:rsidRDefault="00E4488B" w:rsidP="00BA3136">
                  <w:pPr>
                    <w:jc w:val="center"/>
                    <w:rPr>
                      <w:rFonts w:eastAsia="MS Mincho"/>
                      <w:color w:val="000000" w:themeColor="text1"/>
                      <w:lang w:val="sr-Cyrl-RS"/>
                    </w:rPr>
                  </w:pPr>
                  <w:r w:rsidRPr="005F63B3">
                    <w:rPr>
                      <w:rFonts w:eastAsia="MS Mincho"/>
                      <w:color w:val="000000" w:themeColor="text1"/>
                      <w:lang w:val="sr-Cyrl-CS"/>
                    </w:rPr>
                    <w:t>Број</w:t>
                  </w:r>
                  <w:r w:rsidRPr="005F63B3">
                    <w:rPr>
                      <w:rFonts w:eastAsia="MS Mincho"/>
                      <w:color w:val="000000" w:themeColor="text1"/>
                      <w:lang w:val="sr-Cyrl-RS"/>
                    </w:rPr>
                    <w:t xml:space="preserve">: </w:t>
                  </w:r>
                  <w:r w:rsidR="008A2630" w:rsidRPr="005F63B3">
                    <w:rPr>
                      <w:color w:val="000000" w:themeColor="text1"/>
                    </w:rPr>
                    <w:t>404-02</w:t>
                  </w:r>
                  <w:r w:rsidR="00AC7A62" w:rsidRPr="005F63B3">
                    <w:rPr>
                      <w:color w:val="000000" w:themeColor="text1"/>
                    </w:rPr>
                    <w:t>-</w:t>
                  </w:r>
                  <w:r w:rsidR="00C836F4" w:rsidRPr="005F63B3">
                    <w:rPr>
                      <w:color w:val="000000" w:themeColor="text1"/>
                    </w:rPr>
                    <w:t>1</w:t>
                  </w:r>
                  <w:r w:rsidR="008A2630" w:rsidRPr="005F63B3">
                    <w:rPr>
                      <w:color w:val="000000" w:themeColor="text1"/>
                    </w:rPr>
                    <w:t>30</w:t>
                  </w:r>
                  <w:r w:rsidR="00AC7A62" w:rsidRPr="005F63B3">
                    <w:rPr>
                      <w:color w:val="000000" w:themeColor="text1"/>
                    </w:rPr>
                    <w:t>/</w:t>
                  </w:r>
                  <w:r w:rsidR="003F1288" w:rsidRPr="005F63B3">
                    <w:rPr>
                      <w:color w:val="000000" w:themeColor="text1"/>
                    </w:rPr>
                    <w:t>1</w:t>
                  </w:r>
                  <w:r w:rsidR="00673818" w:rsidRPr="005F63B3">
                    <w:rPr>
                      <w:color w:val="000000" w:themeColor="text1"/>
                    </w:rPr>
                    <w:t>6</w:t>
                  </w:r>
                  <w:r w:rsidR="00AC7A62" w:rsidRPr="005F63B3">
                    <w:rPr>
                      <w:color w:val="000000" w:themeColor="text1"/>
                    </w:rPr>
                    <w:t>/2017-02</w:t>
                  </w:r>
                </w:p>
              </w:tc>
            </w:tr>
            <w:tr w:rsidR="005F63B3" w:rsidRPr="005F63B3" w14:paraId="521D8D24" w14:textId="77777777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14:paraId="2F545A6B" w14:textId="47476EE3" w:rsidR="00E4488B" w:rsidRPr="005F63B3" w:rsidRDefault="00E4488B" w:rsidP="008D0C37">
                  <w:pPr>
                    <w:jc w:val="center"/>
                    <w:rPr>
                      <w:rFonts w:eastAsia="MS Mincho"/>
                      <w:color w:val="000000" w:themeColor="text1"/>
                      <w:lang w:val="sr-Cyrl-RS"/>
                    </w:rPr>
                  </w:pPr>
                  <w:r w:rsidRPr="005F63B3">
                    <w:rPr>
                      <w:rFonts w:eastAsia="MS Mincho"/>
                      <w:color w:val="000000" w:themeColor="text1"/>
                      <w:lang w:val="sr-Cyrl-CS"/>
                    </w:rPr>
                    <w:t>Датум</w:t>
                  </w:r>
                  <w:r w:rsidRPr="005F63B3">
                    <w:rPr>
                      <w:rFonts w:eastAsia="MS Mincho"/>
                      <w:color w:val="000000" w:themeColor="text1"/>
                      <w:lang w:val="sr-Cyrl-RS"/>
                    </w:rPr>
                    <w:t xml:space="preserve">: </w:t>
                  </w:r>
                  <w:r w:rsidR="004644FE" w:rsidRPr="005F63B3">
                    <w:rPr>
                      <w:rFonts w:eastAsia="MS Mincho"/>
                      <w:color w:val="000000" w:themeColor="text1"/>
                      <w:lang w:val="sr-Cyrl-CS"/>
                    </w:rPr>
                    <w:t>1</w:t>
                  </w:r>
                  <w:r w:rsidR="008D0C37">
                    <w:rPr>
                      <w:rFonts w:eastAsia="MS Mincho"/>
                      <w:color w:val="000000" w:themeColor="text1"/>
                      <w:lang w:val="en-US"/>
                    </w:rPr>
                    <w:t>3</w:t>
                  </w:r>
                  <w:bookmarkStart w:id="0" w:name="_GoBack"/>
                  <w:bookmarkEnd w:id="0"/>
                  <w:r w:rsidR="003F1288" w:rsidRPr="005F63B3">
                    <w:rPr>
                      <w:rFonts w:eastAsia="MS Mincho"/>
                      <w:color w:val="000000" w:themeColor="text1"/>
                      <w:lang w:val="en-US"/>
                    </w:rPr>
                    <w:t>.11</w:t>
                  </w:r>
                  <w:r w:rsidR="00657546" w:rsidRPr="005F63B3">
                    <w:rPr>
                      <w:rFonts w:eastAsia="MS Mincho"/>
                      <w:color w:val="000000" w:themeColor="text1"/>
                      <w:lang w:val="sr-Cyrl-CS"/>
                    </w:rPr>
                    <w:t>.2017</w:t>
                  </w:r>
                  <w:r w:rsidRPr="005F63B3">
                    <w:rPr>
                      <w:rFonts w:eastAsia="MS Mincho"/>
                      <w:color w:val="000000" w:themeColor="text1"/>
                      <w:lang w:val="sr-Cyrl-RS"/>
                    </w:rPr>
                    <w:t>. године</w:t>
                  </w:r>
                </w:p>
              </w:tc>
            </w:tr>
            <w:tr w:rsidR="005F63B3" w:rsidRPr="005F63B3" w14:paraId="25DAE6D1" w14:textId="77777777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14:paraId="52BC88DA" w14:textId="77777777" w:rsidR="00E4488B" w:rsidRPr="005F63B3" w:rsidRDefault="00E4488B" w:rsidP="00FD7F97">
                  <w:pPr>
                    <w:jc w:val="center"/>
                    <w:rPr>
                      <w:rFonts w:eastAsia="MS Mincho"/>
                      <w:color w:val="000000" w:themeColor="text1"/>
                      <w:lang w:val="sr-Cyrl-CS"/>
                    </w:rPr>
                  </w:pPr>
                  <w:r w:rsidRPr="005F63B3">
                    <w:rPr>
                      <w:rFonts w:eastAsia="MS Mincho"/>
                      <w:color w:val="000000" w:themeColor="text1"/>
                      <w:lang w:val="sr-Cyrl-CS"/>
                    </w:rPr>
                    <w:t>Немањина 22-26, Београд</w:t>
                  </w:r>
                </w:p>
              </w:tc>
            </w:tr>
          </w:tbl>
          <w:p w14:paraId="59D5AEAD" w14:textId="77777777" w:rsidR="00E4488B" w:rsidRPr="005F63B3" w:rsidRDefault="00E4488B" w:rsidP="00FD7F97">
            <w:pPr>
              <w:rPr>
                <w:color w:val="000000" w:themeColor="text1"/>
              </w:rPr>
            </w:pPr>
          </w:p>
        </w:tc>
      </w:tr>
    </w:tbl>
    <w:p w14:paraId="554FE3F2" w14:textId="77777777" w:rsidR="000B05CD" w:rsidRPr="005F63B3" w:rsidRDefault="000B05CD" w:rsidP="00B83F30">
      <w:pPr>
        <w:spacing w:after="120"/>
        <w:ind w:left="1140"/>
        <w:jc w:val="both"/>
        <w:rPr>
          <w:color w:val="000000" w:themeColor="text1"/>
          <w:lang w:val="sr-Cyrl-CS"/>
        </w:rPr>
      </w:pPr>
    </w:p>
    <w:p w14:paraId="74E89E7E" w14:textId="77777777" w:rsidR="000B05CD" w:rsidRPr="005F63B3" w:rsidRDefault="000B05CD" w:rsidP="00B83F30">
      <w:pPr>
        <w:spacing w:after="120"/>
        <w:ind w:left="1140"/>
        <w:jc w:val="both"/>
        <w:rPr>
          <w:color w:val="000000" w:themeColor="text1"/>
          <w:lang w:val="sr-Cyrl-CS"/>
        </w:rPr>
      </w:pPr>
    </w:p>
    <w:p w14:paraId="1B1530FA" w14:textId="77777777" w:rsidR="00DD3AF2" w:rsidRPr="005F63B3" w:rsidRDefault="00DD3AF2" w:rsidP="00B83F30">
      <w:pPr>
        <w:ind w:left="720"/>
        <w:jc w:val="both"/>
        <w:rPr>
          <w:color w:val="000000" w:themeColor="text1"/>
          <w:lang w:val="sr-Cyrl-CS"/>
        </w:rPr>
      </w:pPr>
      <w:r w:rsidRPr="005F63B3">
        <w:rPr>
          <w:color w:val="000000" w:themeColor="text1"/>
          <w:lang w:val="sr-Cyrl-CS"/>
        </w:rPr>
        <w:t>У складу са чланом 63. став 2. и став 3. Закона о јавним набавкама („Службени гласник Републике Србије“, бр. 124/12, 14/</w:t>
      </w:r>
      <w:r w:rsidR="005A37BD" w:rsidRPr="005F63B3">
        <w:rPr>
          <w:color w:val="000000" w:themeColor="text1"/>
          <w:lang w:val="sr-Cyrl-CS"/>
        </w:rPr>
        <w:t>15 и 68/15), објављујемо следећe</w:t>
      </w:r>
      <w:r w:rsidRPr="005F63B3">
        <w:rPr>
          <w:color w:val="000000" w:themeColor="text1"/>
          <w:lang w:val="sr-Cyrl-CS"/>
        </w:rPr>
        <w:t xml:space="preserve"> одговор</w:t>
      </w:r>
      <w:r w:rsidR="005A37BD" w:rsidRPr="005F63B3">
        <w:rPr>
          <w:color w:val="000000" w:themeColor="text1"/>
          <w:lang w:val="en-US"/>
        </w:rPr>
        <w:t>e</w:t>
      </w:r>
      <w:r w:rsidRPr="005F63B3">
        <w:rPr>
          <w:color w:val="000000" w:themeColor="text1"/>
          <w:lang w:val="sr-Cyrl-CS"/>
        </w:rPr>
        <w:t xml:space="preserve">, за јавну набавку – </w:t>
      </w:r>
      <w:r w:rsidRPr="005F63B3">
        <w:rPr>
          <w:color w:val="000000" w:themeColor="text1"/>
          <w:lang w:val="ru-RU"/>
        </w:rPr>
        <w:t>Услуге надзорног органа (инжињера) за реализацију Комерцијалног уговора о пројектовању и извођењу радова на изградњи аутопута Е-763 деоница Сурчин – Обреновац</w:t>
      </w:r>
      <w:r w:rsidRPr="005F63B3">
        <w:rPr>
          <w:color w:val="000000" w:themeColor="text1"/>
          <w:lang w:val="sr-Latn-CS"/>
        </w:rPr>
        <w:t xml:space="preserve">, </w:t>
      </w:r>
      <w:r w:rsidRPr="005F63B3">
        <w:rPr>
          <w:rFonts w:eastAsia="Arial"/>
          <w:bCs/>
          <w:color w:val="000000" w:themeColor="text1"/>
        </w:rPr>
        <w:t>Б</w:t>
      </w:r>
      <w:r w:rsidRPr="005F63B3">
        <w:rPr>
          <w:rFonts w:eastAsia="Arial"/>
          <w:bCs/>
          <w:color w:val="000000" w:themeColor="text1"/>
          <w:spacing w:val="-1"/>
        </w:rPr>
        <w:t>ро</w:t>
      </w:r>
      <w:r w:rsidRPr="005F63B3">
        <w:rPr>
          <w:rFonts w:eastAsia="Arial"/>
          <w:bCs/>
          <w:color w:val="000000" w:themeColor="text1"/>
        </w:rPr>
        <w:t>ј</w:t>
      </w:r>
      <w:r w:rsidRPr="005F63B3">
        <w:rPr>
          <w:rFonts w:eastAsia="Arial"/>
          <w:bCs/>
          <w:color w:val="000000" w:themeColor="text1"/>
          <w:spacing w:val="2"/>
          <w:lang w:val="sr-Latn-RS"/>
        </w:rPr>
        <w:t xml:space="preserve"> </w:t>
      </w:r>
      <w:r w:rsidRPr="005F63B3">
        <w:rPr>
          <w:rFonts w:eastAsia="Arial"/>
          <w:bCs/>
          <w:color w:val="000000" w:themeColor="text1"/>
          <w:spacing w:val="1"/>
        </w:rPr>
        <w:t>ј</w:t>
      </w:r>
      <w:r w:rsidRPr="005F63B3">
        <w:rPr>
          <w:rFonts w:eastAsia="Arial"/>
          <w:bCs/>
          <w:color w:val="000000" w:themeColor="text1"/>
          <w:spacing w:val="-3"/>
        </w:rPr>
        <w:t>а</w:t>
      </w:r>
      <w:r w:rsidRPr="005F63B3">
        <w:rPr>
          <w:rFonts w:eastAsia="Arial"/>
          <w:bCs/>
          <w:color w:val="000000" w:themeColor="text1"/>
        </w:rPr>
        <w:t>в</w:t>
      </w:r>
      <w:r w:rsidRPr="005F63B3">
        <w:rPr>
          <w:rFonts w:eastAsia="Arial"/>
          <w:bCs/>
          <w:color w:val="000000" w:themeColor="text1"/>
          <w:spacing w:val="1"/>
        </w:rPr>
        <w:t>н</w:t>
      </w:r>
      <w:r w:rsidRPr="005F63B3">
        <w:rPr>
          <w:rFonts w:eastAsia="Arial"/>
          <w:bCs/>
          <w:color w:val="000000" w:themeColor="text1"/>
        </w:rPr>
        <w:t>е</w:t>
      </w:r>
      <w:r w:rsidRPr="005F63B3">
        <w:rPr>
          <w:rFonts w:eastAsia="Arial"/>
          <w:bCs/>
          <w:color w:val="000000" w:themeColor="text1"/>
          <w:spacing w:val="-1"/>
          <w:lang w:val="sr-Latn-RS"/>
        </w:rPr>
        <w:t xml:space="preserve"> </w:t>
      </w:r>
      <w:r w:rsidRPr="005F63B3">
        <w:rPr>
          <w:rFonts w:eastAsia="Arial"/>
          <w:bCs/>
          <w:color w:val="000000" w:themeColor="text1"/>
          <w:spacing w:val="-2"/>
        </w:rPr>
        <w:t>н</w:t>
      </w:r>
      <w:r w:rsidRPr="005F63B3">
        <w:rPr>
          <w:rFonts w:eastAsia="Arial"/>
          <w:bCs/>
          <w:color w:val="000000" w:themeColor="text1"/>
        </w:rPr>
        <w:t>а</w:t>
      </w:r>
      <w:r w:rsidRPr="005F63B3">
        <w:rPr>
          <w:rFonts w:eastAsia="Arial"/>
          <w:bCs/>
          <w:color w:val="000000" w:themeColor="text1"/>
          <w:spacing w:val="-1"/>
        </w:rPr>
        <w:t>б</w:t>
      </w:r>
      <w:r w:rsidRPr="005F63B3">
        <w:rPr>
          <w:rFonts w:eastAsia="Arial"/>
          <w:bCs/>
          <w:color w:val="000000" w:themeColor="text1"/>
        </w:rPr>
        <w:t>а</w:t>
      </w:r>
      <w:r w:rsidRPr="005F63B3">
        <w:rPr>
          <w:rFonts w:eastAsia="Arial"/>
          <w:bCs/>
          <w:color w:val="000000" w:themeColor="text1"/>
          <w:spacing w:val="-3"/>
        </w:rPr>
        <w:t>в</w:t>
      </w:r>
      <w:r w:rsidRPr="005F63B3">
        <w:rPr>
          <w:rFonts w:eastAsia="Arial"/>
          <w:bCs/>
          <w:color w:val="000000" w:themeColor="text1"/>
          <w:spacing w:val="1"/>
        </w:rPr>
        <w:t>к</w:t>
      </w:r>
      <w:r w:rsidRPr="005F63B3">
        <w:rPr>
          <w:rFonts w:eastAsia="Arial"/>
          <w:bCs/>
          <w:color w:val="000000" w:themeColor="text1"/>
        </w:rPr>
        <w:t>е</w:t>
      </w:r>
      <w:r w:rsidRPr="005F63B3">
        <w:rPr>
          <w:rFonts w:eastAsia="Arial"/>
          <w:bCs/>
          <w:color w:val="000000" w:themeColor="text1"/>
          <w:lang w:val="sr-Latn-RS"/>
        </w:rPr>
        <w:t>:</w:t>
      </w:r>
      <w:r w:rsidRPr="005F63B3">
        <w:rPr>
          <w:rFonts w:eastAsia="Arial"/>
          <w:bCs/>
          <w:color w:val="000000" w:themeColor="text1"/>
          <w:spacing w:val="1"/>
          <w:lang w:val="sr-Latn-RS"/>
        </w:rPr>
        <w:t xml:space="preserve"> 13/2017</w:t>
      </w:r>
      <w:r w:rsidRPr="005F63B3">
        <w:rPr>
          <w:rFonts w:eastAsia="Arial"/>
          <w:color w:val="000000" w:themeColor="text1"/>
          <w:lang w:val="sr-Latn-RS"/>
        </w:rPr>
        <w:t>,</w:t>
      </w:r>
      <w:r w:rsidR="005A37BD" w:rsidRPr="005F63B3">
        <w:rPr>
          <w:color w:val="000000" w:themeColor="text1"/>
          <w:lang w:val="sr-Cyrl-CS"/>
        </w:rPr>
        <w:t xml:space="preserve"> на питањ</w:t>
      </w:r>
      <w:r w:rsidR="005A37BD" w:rsidRPr="005F63B3">
        <w:rPr>
          <w:color w:val="000000" w:themeColor="text1"/>
          <w:lang w:val="en-US"/>
        </w:rPr>
        <w:t>a</w:t>
      </w:r>
      <w:r w:rsidRPr="005F63B3">
        <w:rPr>
          <w:color w:val="000000" w:themeColor="text1"/>
          <w:lang w:val="sr-Cyrl-CS"/>
        </w:rPr>
        <w:t>:</w:t>
      </w:r>
    </w:p>
    <w:p w14:paraId="17049B33" w14:textId="77777777" w:rsidR="00DD3AF2" w:rsidRPr="005F63B3" w:rsidRDefault="00DD3AF2" w:rsidP="00B83F30">
      <w:pPr>
        <w:ind w:left="720"/>
        <w:jc w:val="both"/>
        <w:rPr>
          <w:color w:val="000000" w:themeColor="text1"/>
          <w:lang w:val="sr-Cyrl-CS"/>
        </w:rPr>
      </w:pPr>
    </w:p>
    <w:p w14:paraId="26C2A5BB" w14:textId="77777777" w:rsidR="00673818" w:rsidRPr="005F63B3" w:rsidRDefault="00673818" w:rsidP="00B83F30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ind w:left="720"/>
        <w:jc w:val="center"/>
        <w:rPr>
          <w:b/>
          <w:color w:val="000000" w:themeColor="text1"/>
          <w:lang w:val="sr-Cyrl-CS"/>
        </w:rPr>
      </w:pPr>
    </w:p>
    <w:p w14:paraId="145CC53D" w14:textId="77777777" w:rsidR="00673818" w:rsidRPr="005F63B3" w:rsidRDefault="00673818" w:rsidP="00B83F30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ind w:left="720"/>
        <w:jc w:val="center"/>
        <w:rPr>
          <w:b/>
          <w:color w:val="000000" w:themeColor="text1"/>
          <w:lang w:val="sr-Cyrl-CS"/>
        </w:rPr>
      </w:pPr>
      <w:r w:rsidRPr="005F63B3">
        <w:rPr>
          <w:b/>
          <w:color w:val="000000" w:themeColor="text1"/>
          <w:lang w:val="sr-Cyrl-CS"/>
        </w:rPr>
        <w:t>ПОЈАШЊЕЊЕ  КОНКУРСНЕ ДОКУМЕНТАЦИЈЕ БРОЈ 8</w:t>
      </w:r>
    </w:p>
    <w:p w14:paraId="46076185" w14:textId="77777777" w:rsidR="00673818" w:rsidRPr="005F63B3" w:rsidRDefault="00673818" w:rsidP="00B83F30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ind w:left="720"/>
        <w:jc w:val="center"/>
        <w:rPr>
          <w:b/>
          <w:color w:val="000000" w:themeColor="text1"/>
          <w:lang w:val="sr-Cyrl-CS"/>
        </w:rPr>
      </w:pPr>
    </w:p>
    <w:p w14:paraId="2434F32D" w14:textId="77777777" w:rsidR="00366015" w:rsidRPr="005F63B3" w:rsidRDefault="00366015" w:rsidP="00B83F30">
      <w:pPr>
        <w:ind w:left="720"/>
        <w:rPr>
          <w:b/>
          <w:color w:val="000000" w:themeColor="text1"/>
          <w:lang w:val="sr-Cyrl-CS"/>
        </w:rPr>
      </w:pPr>
    </w:p>
    <w:p w14:paraId="1E61C03E" w14:textId="77777777" w:rsidR="00366015" w:rsidRPr="005F63B3" w:rsidRDefault="00366015" w:rsidP="00B83F30">
      <w:pPr>
        <w:ind w:left="720"/>
        <w:jc w:val="both"/>
        <w:rPr>
          <w:b/>
          <w:color w:val="000000" w:themeColor="text1"/>
          <w:lang w:val="sr-Cyrl-CS"/>
        </w:rPr>
      </w:pPr>
      <w:r w:rsidRPr="005F63B3">
        <w:rPr>
          <w:b/>
          <w:color w:val="000000" w:themeColor="text1"/>
          <w:lang w:val="sr-Cyrl-CS"/>
        </w:rPr>
        <w:t>Дана 06.10.2017. године Министарство грађевинарства,  саобраћаја и инфраструктуре објавило је конкурсну документацију у виду Јанве набавке 13/17 које се односи на услуге надзорног органа (инжињера) за реализацију Комерцијалног уговора о пројектовању и извођенју радова на изградњи аутопута Е-763 деоница Сурчин-Обреновац.</w:t>
      </w:r>
    </w:p>
    <w:p w14:paraId="2718DB86" w14:textId="77777777" w:rsidR="00366015" w:rsidRPr="005F63B3" w:rsidRDefault="00366015" w:rsidP="00B83F30">
      <w:pPr>
        <w:ind w:left="720"/>
        <w:jc w:val="both"/>
        <w:rPr>
          <w:b/>
          <w:color w:val="000000" w:themeColor="text1"/>
          <w:lang w:val="sr-Cyrl-CS"/>
        </w:rPr>
      </w:pPr>
    </w:p>
    <w:p w14:paraId="7FAA64B7" w14:textId="77777777" w:rsidR="00366015" w:rsidRPr="005F63B3" w:rsidRDefault="00366015" w:rsidP="00B83F30">
      <w:pPr>
        <w:ind w:left="720"/>
        <w:jc w:val="both"/>
        <w:rPr>
          <w:b/>
          <w:color w:val="000000" w:themeColor="text1"/>
          <w:lang w:val="sr-Cyrl-CS"/>
        </w:rPr>
      </w:pPr>
    </w:p>
    <w:p w14:paraId="46E6B3CC" w14:textId="77777777" w:rsidR="00366015" w:rsidRPr="005F63B3" w:rsidRDefault="00366015" w:rsidP="00B83F30">
      <w:pPr>
        <w:ind w:left="720"/>
        <w:jc w:val="both"/>
        <w:rPr>
          <w:b/>
          <w:color w:val="000000" w:themeColor="text1"/>
          <w:lang w:val="sr-Cyrl-CS"/>
        </w:rPr>
      </w:pPr>
      <w:r w:rsidRPr="005F63B3">
        <w:rPr>
          <w:b/>
          <w:color w:val="000000" w:themeColor="text1"/>
          <w:lang w:val="sr-Cyrl-CS"/>
        </w:rPr>
        <w:t xml:space="preserve">Увидом у целокупну документацију тачније страну 54 у делу који се односи на Упутство понуђачима како да сачине понуду у делу где је назначено следеће :“ </w:t>
      </w:r>
      <w:r w:rsidRPr="005F63B3">
        <w:rPr>
          <w:color w:val="000000" w:themeColor="text1"/>
        </w:rPr>
        <w:t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</w:t>
      </w:r>
    </w:p>
    <w:p w14:paraId="1B8C6191" w14:textId="77777777" w:rsidR="00366015" w:rsidRPr="005F63B3" w:rsidRDefault="00366015" w:rsidP="00B83F30">
      <w:pPr>
        <w:numPr>
          <w:ilvl w:val="0"/>
          <w:numId w:val="10"/>
        </w:numPr>
        <w:tabs>
          <w:tab w:val="clear" w:pos="0"/>
          <w:tab w:val="num" w:pos="720"/>
        </w:tabs>
        <w:suppressAutoHyphens/>
        <w:ind w:left="1440"/>
        <w:jc w:val="both"/>
        <w:rPr>
          <w:rFonts w:eastAsia="Arial Unicode MS"/>
          <w:bCs/>
          <w:i/>
          <w:iCs/>
          <w:color w:val="000000" w:themeColor="text1"/>
        </w:rPr>
      </w:pPr>
      <w:r w:rsidRPr="005F63B3">
        <w:rPr>
          <w:rFonts w:eastAsia="TimesNewRomanPSMT"/>
          <w:bCs/>
          <w:color w:val="000000" w:themeColor="text1"/>
        </w:rPr>
        <w:t>Понуда мора да садржи:Попуњене, потписане и оверене обрасце од 1 до 10;</w:t>
      </w:r>
    </w:p>
    <w:p w14:paraId="7387C3F3" w14:textId="77777777" w:rsidR="00366015" w:rsidRPr="005F63B3" w:rsidRDefault="00366015" w:rsidP="00B83F30">
      <w:pPr>
        <w:numPr>
          <w:ilvl w:val="0"/>
          <w:numId w:val="10"/>
        </w:numPr>
        <w:tabs>
          <w:tab w:val="clear" w:pos="0"/>
          <w:tab w:val="num" w:pos="720"/>
        </w:tabs>
        <w:suppressAutoHyphens/>
        <w:ind w:left="1440"/>
        <w:jc w:val="both"/>
        <w:rPr>
          <w:rFonts w:eastAsia="Arial Unicode MS"/>
          <w:bCs/>
          <w:i/>
          <w:iCs/>
          <w:color w:val="000000" w:themeColor="text1"/>
        </w:rPr>
      </w:pPr>
      <w:r w:rsidRPr="005F63B3">
        <w:rPr>
          <w:rFonts w:eastAsia="Arial Unicode MS"/>
          <w:bCs/>
          <w:iCs/>
          <w:color w:val="000000" w:themeColor="text1"/>
        </w:rPr>
        <w:t>Попуњен, потписан и оверен образац понуде;</w:t>
      </w:r>
    </w:p>
    <w:p w14:paraId="3A753E09" w14:textId="77777777" w:rsidR="00366015" w:rsidRPr="005F63B3" w:rsidRDefault="00366015" w:rsidP="00B83F30">
      <w:pPr>
        <w:numPr>
          <w:ilvl w:val="0"/>
          <w:numId w:val="10"/>
        </w:numPr>
        <w:tabs>
          <w:tab w:val="clear" w:pos="0"/>
          <w:tab w:val="num" w:pos="720"/>
        </w:tabs>
        <w:suppressAutoHyphens/>
        <w:ind w:left="1440"/>
        <w:jc w:val="both"/>
        <w:rPr>
          <w:rFonts w:eastAsia="Arial Unicode MS"/>
          <w:bCs/>
          <w:i/>
          <w:iCs/>
          <w:color w:val="000000" w:themeColor="text1"/>
        </w:rPr>
      </w:pPr>
      <w:r w:rsidRPr="005F63B3">
        <w:rPr>
          <w:rFonts w:eastAsia="Arial Unicode MS"/>
          <w:bCs/>
          <w:iCs/>
          <w:color w:val="000000" w:themeColor="text1"/>
        </w:rPr>
        <w:t>Попуњен, потписан и оверен модел уговора;</w:t>
      </w:r>
    </w:p>
    <w:p w14:paraId="3ED9A361" w14:textId="77777777" w:rsidR="00366015" w:rsidRPr="005F63B3" w:rsidRDefault="00366015" w:rsidP="00B83F30">
      <w:pPr>
        <w:numPr>
          <w:ilvl w:val="0"/>
          <w:numId w:val="10"/>
        </w:numPr>
        <w:tabs>
          <w:tab w:val="clear" w:pos="0"/>
          <w:tab w:val="num" w:pos="720"/>
        </w:tabs>
        <w:suppressAutoHyphens/>
        <w:ind w:left="1440"/>
        <w:jc w:val="both"/>
        <w:rPr>
          <w:rFonts w:eastAsia="Arial Unicode MS"/>
          <w:bCs/>
          <w:i/>
          <w:iCs/>
          <w:color w:val="000000" w:themeColor="text1"/>
        </w:rPr>
      </w:pPr>
      <w:r w:rsidRPr="005F63B3">
        <w:rPr>
          <w:rFonts w:eastAsia="Arial Unicode MS"/>
          <w:bCs/>
          <w:iCs/>
          <w:color w:val="000000" w:themeColor="text1"/>
        </w:rPr>
        <w:t>Попуњен, потписан и</w:t>
      </w:r>
      <w:r w:rsidR="00673818" w:rsidRPr="005F63B3">
        <w:rPr>
          <w:rFonts w:eastAsia="Arial Unicode MS"/>
          <w:bCs/>
          <w:iCs/>
          <w:color w:val="000000" w:themeColor="text1"/>
        </w:rPr>
        <w:t xml:space="preserve"> </w:t>
      </w:r>
      <w:r w:rsidRPr="005F63B3">
        <w:rPr>
          <w:rFonts w:eastAsia="Arial Unicode MS"/>
          <w:bCs/>
          <w:iCs/>
          <w:color w:val="000000" w:themeColor="text1"/>
        </w:rPr>
        <w:t>оверен образац структуре цене;</w:t>
      </w:r>
    </w:p>
    <w:p w14:paraId="3E5D9E59" w14:textId="77777777" w:rsidR="00366015" w:rsidRPr="005F63B3" w:rsidRDefault="00366015" w:rsidP="00B83F30">
      <w:pPr>
        <w:numPr>
          <w:ilvl w:val="0"/>
          <w:numId w:val="10"/>
        </w:numPr>
        <w:tabs>
          <w:tab w:val="clear" w:pos="0"/>
          <w:tab w:val="num" w:pos="720"/>
        </w:tabs>
        <w:suppressAutoHyphens/>
        <w:ind w:left="1440"/>
        <w:jc w:val="both"/>
        <w:rPr>
          <w:rFonts w:eastAsia="Arial Unicode MS"/>
          <w:bCs/>
          <w:i/>
          <w:iCs/>
          <w:color w:val="000000" w:themeColor="text1"/>
        </w:rPr>
      </w:pPr>
      <w:r w:rsidRPr="005F63B3">
        <w:rPr>
          <w:rFonts w:eastAsia="Arial Unicode MS"/>
          <w:bCs/>
          <w:iCs/>
          <w:color w:val="000000" w:themeColor="text1"/>
        </w:rPr>
        <w:t>Попуњен, потписан и оверен образаца изјаве о независној понуди;</w:t>
      </w:r>
    </w:p>
    <w:p w14:paraId="28909B91" w14:textId="77777777" w:rsidR="00366015" w:rsidRPr="005F63B3" w:rsidRDefault="00366015" w:rsidP="00B83F30">
      <w:pPr>
        <w:numPr>
          <w:ilvl w:val="0"/>
          <w:numId w:val="10"/>
        </w:numPr>
        <w:tabs>
          <w:tab w:val="clear" w:pos="0"/>
          <w:tab w:val="num" w:pos="720"/>
        </w:tabs>
        <w:suppressAutoHyphens/>
        <w:spacing w:after="120"/>
        <w:ind w:left="1434" w:hanging="357"/>
        <w:jc w:val="both"/>
        <w:rPr>
          <w:rFonts w:eastAsia="Arial Unicode MS"/>
          <w:bCs/>
          <w:iCs/>
          <w:color w:val="000000" w:themeColor="text1"/>
        </w:rPr>
      </w:pPr>
      <w:r w:rsidRPr="005F63B3">
        <w:rPr>
          <w:rFonts w:eastAsia="Arial Unicode MS"/>
          <w:bCs/>
          <w:iCs/>
          <w:color w:val="000000" w:themeColor="text1"/>
        </w:rPr>
        <w:t>Попуњен, потписан и оверен образац изјаве о поштовању обавеза из чл. 75. ст. 2. Закона о јавним набавкама.</w:t>
      </w:r>
      <w:r w:rsidRPr="005F63B3">
        <w:rPr>
          <w:rFonts w:eastAsia="Arial Unicode MS"/>
          <w:bCs/>
          <w:iCs/>
          <w:color w:val="000000" w:themeColor="text1"/>
          <w:lang w:val="sr-Cyrl-CS"/>
        </w:rPr>
        <w:t>“</w:t>
      </w:r>
    </w:p>
    <w:p w14:paraId="4EACDE58" w14:textId="77777777" w:rsidR="00366015" w:rsidRPr="005F63B3" w:rsidRDefault="00366015" w:rsidP="00B83F30">
      <w:pPr>
        <w:ind w:left="720"/>
        <w:rPr>
          <w:b/>
          <w:color w:val="000000" w:themeColor="text1"/>
          <w:lang w:val="sr-Cyrl-CS"/>
        </w:rPr>
      </w:pPr>
    </w:p>
    <w:p w14:paraId="58DAB98C" w14:textId="11637D99" w:rsidR="00366015" w:rsidRPr="005F63B3" w:rsidRDefault="00673818" w:rsidP="00B83F30">
      <w:pPr>
        <w:ind w:left="720"/>
        <w:jc w:val="both"/>
        <w:rPr>
          <w:b/>
          <w:color w:val="000000" w:themeColor="text1"/>
          <w:lang w:val="sr-Cyrl-CS"/>
        </w:rPr>
      </w:pPr>
      <w:r w:rsidRPr="005F63B3">
        <w:rPr>
          <w:b/>
          <w:color w:val="000000" w:themeColor="text1"/>
          <w:lang w:val="en-US"/>
        </w:rPr>
        <w:t xml:space="preserve">1) </w:t>
      </w:r>
      <w:r w:rsidR="00366015" w:rsidRPr="005F63B3">
        <w:rPr>
          <w:b/>
          <w:color w:val="000000" w:themeColor="text1"/>
          <w:lang w:val="sr-Cyrl-CS"/>
        </w:rPr>
        <w:t>У наведеном делу Институт за испитивање материјала није мога да пронађе образац 10 те да ли би сте били у могућности да нам исти доставите, про</w:t>
      </w:r>
      <w:r w:rsidR="008B46C5">
        <w:rPr>
          <w:b/>
          <w:color w:val="000000" w:themeColor="text1"/>
          <w:lang w:val="sr-Cyrl-CS"/>
        </w:rPr>
        <w:t xml:space="preserve">мените или доставите конкурсну </w:t>
      </w:r>
      <w:r w:rsidR="00366015" w:rsidRPr="005F63B3">
        <w:rPr>
          <w:b/>
          <w:color w:val="000000" w:themeColor="text1"/>
          <w:lang w:val="sr-Cyrl-CS"/>
        </w:rPr>
        <w:t>документацију?</w:t>
      </w:r>
    </w:p>
    <w:p w14:paraId="5A0D190F" w14:textId="77777777" w:rsidR="00366015" w:rsidRPr="005F63B3" w:rsidRDefault="00366015" w:rsidP="00B83F30">
      <w:pPr>
        <w:ind w:left="720"/>
        <w:jc w:val="both"/>
        <w:rPr>
          <w:b/>
          <w:color w:val="000000" w:themeColor="text1"/>
          <w:lang w:val="sr-Cyrl-CS"/>
        </w:rPr>
      </w:pPr>
    </w:p>
    <w:p w14:paraId="43872F30" w14:textId="77777777" w:rsidR="00366015" w:rsidRPr="005F63B3" w:rsidRDefault="00366015" w:rsidP="00B83F30">
      <w:pPr>
        <w:ind w:left="720"/>
        <w:jc w:val="both"/>
        <w:rPr>
          <w:b/>
          <w:color w:val="000000" w:themeColor="text1"/>
          <w:lang w:val="sr-Cyrl-CS"/>
        </w:rPr>
      </w:pPr>
      <w:r w:rsidRPr="005F63B3">
        <w:rPr>
          <w:b/>
          <w:color w:val="000000" w:themeColor="text1"/>
          <w:lang w:val="sr-Cyrl-CS"/>
        </w:rPr>
        <w:t>Одговор:</w:t>
      </w:r>
      <w:r w:rsidRPr="005F63B3">
        <w:rPr>
          <w:color w:val="000000" w:themeColor="text1"/>
          <w:lang w:val="sr-Cyrl-CS"/>
        </w:rPr>
        <w:t xml:space="preserve"> У конкурсној документацији су достављени обрасци од 1 до 9, у складу са тим и Понуда мора да садржи попуњене, потписане и оверене обрасце од 1 до 9.</w:t>
      </w:r>
    </w:p>
    <w:p w14:paraId="342A1D01" w14:textId="77777777" w:rsidR="00366015" w:rsidRPr="005F63B3" w:rsidRDefault="00366015" w:rsidP="00B83F30">
      <w:pPr>
        <w:ind w:left="720"/>
        <w:jc w:val="both"/>
        <w:rPr>
          <w:b/>
          <w:color w:val="000000" w:themeColor="text1"/>
          <w:lang w:val="sr-Cyrl-CS"/>
        </w:rPr>
      </w:pPr>
    </w:p>
    <w:p w14:paraId="4EA77DAA" w14:textId="77777777" w:rsidR="00366015" w:rsidRPr="005F63B3" w:rsidRDefault="00366015" w:rsidP="00B83F30">
      <w:pPr>
        <w:suppressAutoHyphens/>
        <w:ind w:left="720"/>
        <w:jc w:val="both"/>
        <w:rPr>
          <w:b/>
          <w:color w:val="000000" w:themeColor="text1"/>
          <w:lang w:val="sr-Cyrl-CS"/>
        </w:rPr>
      </w:pPr>
    </w:p>
    <w:p w14:paraId="0A8CB57B" w14:textId="7777777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  <w:lang w:val="sr-Cyrl-CS"/>
        </w:rPr>
      </w:pPr>
      <w:r w:rsidRPr="005F63B3">
        <w:rPr>
          <w:b/>
          <w:color w:val="000000" w:themeColor="text1"/>
          <w:lang w:val="sr-Cyrl-CS"/>
        </w:rPr>
        <w:t xml:space="preserve">2)) На истој страни у истом делу тачније тачком 4 где пише:“ </w:t>
      </w:r>
      <w:r w:rsidRPr="005F63B3">
        <w:rPr>
          <w:rFonts w:eastAsia="Arial Unicode MS"/>
          <w:bCs/>
          <w:iCs/>
          <w:color w:val="000000" w:themeColor="text1"/>
        </w:rPr>
        <w:t>Попуњен, потписан и оверен образац структуре цене;</w:t>
      </w:r>
      <w:r w:rsidRPr="005F63B3">
        <w:rPr>
          <w:rFonts w:eastAsia="Arial Unicode MS"/>
          <w:bCs/>
          <w:iCs/>
          <w:color w:val="000000" w:themeColor="text1"/>
          <w:lang w:val="sr-Cyrl-CS"/>
        </w:rPr>
        <w:t xml:space="preserve"> „ </w:t>
      </w:r>
      <w:r w:rsidRPr="005F63B3">
        <w:rPr>
          <w:rFonts w:eastAsia="Arial Unicode MS"/>
          <w:b/>
          <w:bCs/>
          <w:iCs/>
          <w:color w:val="000000" w:themeColor="text1"/>
          <w:lang w:val="sr-Cyrl-CS"/>
        </w:rPr>
        <w:t>наведен образац нисмо нашли у конкурсној документацији те ако сте у могућности исти да нам доставите, измените конкурсну документацију или нас усмерите где се иста налази?</w:t>
      </w:r>
      <w:r w:rsidRPr="005F63B3">
        <w:rPr>
          <w:rFonts w:eastAsia="Arial Unicode MS"/>
          <w:b/>
          <w:bCs/>
          <w:iCs/>
          <w:color w:val="000000" w:themeColor="text1"/>
          <w:lang w:val="sr-Cyrl-CS"/>
        </w:rPr>
        <w:br/>
      </w:r>
    </w:p>
    <w:p w14:paraId="531AF78A" w14:textId="77777777" w:rsidR="00366015" w:rsidRPr="005F63B3" w:rsidRDefault="00366015" w:rsidP="00B83F30">
      <w:pPr>
        <w:ind w:left="720"/>
        <w:jc w:val="both"/>
        <w:rPr>
          <w:color w:val="000000" w:themeColor="text1"/>
          <w:sz w:val="20"/>
          <w:szCs w:val="20"/>
          <w:lang w:val="en-US"/>
        </w:rPr>
      </w:pPr>
      <w:r w:rsidRPr="005F63B3">
        <w:rPr>
          <w:b/>
          <w:color w:val="000000" w:themeColor="text1"/>
          <w:lang w:val="sr-Cyrl-CS"/>
        </w:rPr>
        <w:t xml:space="preserve">Одговор: </w:t>
      </w:r>
      <w:r w:rsidRPr="005F63B3">
        <w:rPr>
          <w:color w:val="000000" w:themeColor="text1"/>
          <w:lang w:val="sr-Cyrl-CS"/>
        </w:rPr>
        <w:t xml:space="preserve">Одговор на ово питање дат је појашњењем од 26.10.2017. године на питање број 4 и гласи </w:t>
      </w:r>
      <w:r w:rsidRPr="005F63B3">
        <w:rPr>
          <w:b/>
          <w:color w:val="000000" w:themeColor="text1"/>
          <w:lang w:val="sr-Cyrl-CS"/>
        </w:rPr>
        <w:t>„</w:t>
      </w:r>
      <w:r w:rsidRPr="005F63B3">
        <w:rPr>
          <w:rFonts w:eastAsia="MS Mincho"/>
          <w:iCs/>
          <w:color w:val="000000" w:themeColor="text1"/>
          <w:lang w:val="sr-Cyrl-CS"/>
        </w:rPr>
        <w:t>У Члану 61 Закона о јавним набавкама је наведено да Конкурсна документација сходно врсти поступка и природи предмета јавне набавке садржи и Образац структуре понуђене цене, са упутством како да се попуни; С обзиром да је у Конкурсној документацији у Тачки 9 Упутстава Понуђачима како да саставе понуду, као и Члану 4 Модела Уговора наведено да се плаћање врши сразмерно проценту реализације изведених и фактурисаних радова над којима је извршен стручни надзор, Наручилац је сходно врсти поступка и природи предмета уместо Обрасца структуре понуђене цене у Конкурсној документацији доставио Табелу ангажовања стручног надзора са упутством како да се попуни“.</w:t>
      </w:r>
    </w:p>
    <w:p w14:paraId="4C974A64" w14:textId="7777777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  <w:lang w:val="sr-Cyrl-CS"/>
        </w:rPr>
      </w:pPr>
    </w:p>
    <w:p w14:paraId="630DAF53" w14:textId="7777777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  <w:lang w:val="sr-Cyrl-CS"/>
        </w:rPr>
      </w:pPr>
    </w:p>
    <w:p w14:paraId="1F0BEA8E" w14:textId="7777777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  <w:lang w:val="sr-Cyrl-CS"/>
        </w:rPr>
      </w:pPr>
      <w:r w:rsidRPr="005F63B3">
        <w:rPr>
          <w:rFonts w:eastAsia="Arial Unicode MS"/>
          <w:b/>
          <w:bCs/>
          <w:iCs/>
          <w:color w:val="000000" w:themeColor="text1"/>
          <w:lang w:val="sr-Cyrl-CS"/>
        </w:rPr>
        <w:t xml:space="preserve">3) Изменама и допунама конкурсне документације број 2(1)  од 25.10.2017. године објављене 27.10.2017. године на сајту </w:t>
      </w:r>
      <w:r w:rsidRPr="005F63B3">
        <w:rPr>
          <w:rFonts w:eastAsia="Arial Unicode MS"/>
          <w:b/>
          <w:bCs/>
          <w:iCs/>
          <w:color w:val="000000" w:themeColor="text1"/>
        </w:rPr>
        <w:t xml:space="preserve"> mgsi.gov.rs</w:t>
      </w:r>
      <w:r w:rsidRPr="005F63B3">
        <w:rPr>
          <w:rFonts w:eastAsia="Arial Unicode MS"/>
          <w:b/>
          <w:bCs/>
          <w:iCs/>
          <w:color w:val="000000" w:themeColor="text1"/>
          <w:lang w:val="sr-Cyrl-CS"/>
        </w:rPr>
        <w:t xml:space="preserve"> измењене су образци банкарских гаранција.</w:t>
      </w:r>
    </w:p>
    <w:p w14:paraId="2732168A" w14:textId="7777777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  <w:lang w:val="sr-Cyrl-CS"/>
        </w:rPr>
      </w:pPr>
    </w:p>
    <w:p w14:paraId="47977483" w14:textId="7777777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  <w:lang w:val="sr-Cyrl-CS"/>
        </w:rPr>
      </w:pPr>
    </w:p>
    <w:p w14:paraId="185DB144" w14:textId="7777777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  <w:lang w:val="sr-Cyrl-CS"/>
        </w:rPr>
      </w:pPr>
      <w:r w:rsidRPr="005F63B3">
        <w:rPr>
          <w:rFonts w:eastAsia="Arial Unicode MS"/>
          <w:b/>
          <w:bCs/>
          <w:iCs/>
          <w:color w:val="000000" w:themeColor="text1"/>
          <w:lang w:val="sr-Cyrl-CS"/>
        </w:rPr>
        <w:t>Како је до тог дана прошло 21 дан од дана објављивања тендера а до истека рока је остало недовољно времена јер је за одлуку банке неопходно 20 дана, те овим путем молимо да продужите рок за достављање понуда који је примерен а не краћи  од  додатних 15 дана ради прибављања захтеваног  изменама и допунама број 2(1).</w:t>
      </w:r>
    </w:p>
    <w:p w14:paraId="5D6631DA" w14:textId="7777777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  <w:lang w:val="sr-Cyrl-CS"/>
        </w:rPr>
      </w:pPr>
    </w:p>
    <w:p w14:paraId="34936238" w14:textId="3BC874D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  <w:lang w:val="sr-Cyrl-CS"/>
        </w:rPr>
      </w:pPr>
      <w:r w:rsidRPr="005F63B3">
        <w:rPr>
          <w:b/>
          <w:color w:val="000000" w:themeColor="text1"/>
          <w:lang w:val="sr-Cyrl-CS"/>
        </w:rPr>
        <w:t xml:space="preserve">Одговор: </w:t>
      </w:r>
      <w:r w:rsidRPr="005F63B3">
        <w:rPr>
          <w:color w:val="000000" w:themeColor="text1"/>
          <w:lang w:val="sr-Cyrl-CS"/>
        </w:rPr>
        <w:t xml:space="preserve">Измена КД је извршена у </w:t>
      </w:r>
      <w:r w:rsidR="00732729" w:rsidRPr="005F63B3">
        <w:rPr>
          <w:color w:val="000000" w:themeColor="text1"/>
          <w:lang w:val="sr-Cyrl-CS"/>
        </w:rPr>
        <w:t>з</w:t>
      </w:r>
      <w:r w:rsidRPr="005F63B3">
        <w:rPr>
          <w:color w:val="000000" w:themeColor="text1"/>
          <w:lang w:val="sr-Cyrl-CS"/>
        </w:rPr>
        <w:t>аконском року</w:t>
      </w:r>
      <w:r w:rsidR="00732729" w:rsidRPr="005F63B3">
        <w:rPr>
          <w:color w:val="000000" w:themeColor="text1"/>
          <w:lang w:val="sr-Cyrl-CS"/>
        </w:rPr>
        <w:t>,</w:t>
      </w:r>
      <w:r w:rsidRPr="005F63B3">
        <w:rPr>
          <w:color w:val="000000" w:themeColor="text1"/>
          <w:lang w:val="sr-Cyrl-CS"/>
        </w:rPr>
        <w:t xml:space="preserve"> тако да се рок за достављање понуда не продужва.</w:t>
      </w:r>
    </w:p>
    <w:p w14:paraId="152BD903" w14:textId="7777777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  <w:lang w:val="sr-Cyrl-CS"/>
        </w:rPr>
      </w:pPr>
    </w:p>
    <w:p w14:paraId="4E30F353" w14:textId="538C7655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  <w:lang w:val="sr-Cyrl-CS"/>
        </w:rPr>
      </w:pPr>
      <w:r w:rsidRPr="005F63B3">
        <w:rPr>
          <w:rFonts w:eastAsia="Arial Unicode MS"/>
          <w:b/>
          <w:bCs/>
          <w:iCs/>
          <w:color w:val="000000" w:themeColor="text1"/>
          <w:lang w:val="sr-Cyrl-CS"/>
        </w:rPr>
        <w:t>4) У  конкурсној документацији наводи се да за испуњ</w:t>
      </w:r>
      <w:r w:rsidR="008B46C5">
        <w:rPr>
          <w:rFonts w:eastAsia="Arial Unicode MS"/>
          <w:b/>
          <w:bCs/>
          <w:iCs/>
          <w:color w:val="000000" w:themeColor="text1"/>
          <w:lang w:val="sr-Cyrl-CS"/>
        </w:rPr>
        <w:t xml:space="preserve">ење обавезних и додатних услова </w:t>
      </w:r>
      <w:r w:rsidRPr="005F63B3">
        <w:rPr>
          <w:rFonts w:eastAsia="Arial Unicode MS"/>
          <w:b/>
          <w:bCs/>
          <w:iCs/>
          <w:color w:val="000000" w:themeColor="text1"/>
          <w:lang w:val="sr-Cyrl-CS"/>
        </w:rPr>
        <w:t>за дока</w:t>
      </w:r>
      <w:r w:rsidR="008B46C5">
        <w:rPr>
          <w:rFonts w:eastAsia="Arial Unicode MS"/>
          <w:b/>
          <w:bCs/>
          <w:iCs/>
          <w:color w:val="000000" w:themeColor="text1"/>
          <w:lang w:val="sr-Cyrl-CS"/>
        </w:rPr>
        <w:t xml:space="preserve">зивање референци неопоходни су </w:t>
      </w:r>
      <w:r w:rsidRPr="005F63B3">
        <w:rPr>
          <w:rFonts w:eastAsia="Arial Unicode MS"/>
          <w:b/>
          <w:bCs/>
          <w:iCs/>
          <w:color w:val="000000" w:themeColor="text1"/>
          <w:lang w:val="sr-Cyrl-CS"/>
        </w:rPr>
        <w:t xml:space="preserve">пројекти изградње/реконструкције државних  путева </w:t>
      </w:r>
      <w:r w:rsidRPr="005F63B3">
        <w:rPr>
          <w:rFonts w:eastAsia="Arial Unicode MS"/>
          <w:b/>
          <w:bCs/>
          <w:iCs/>
          <w:color w:val="000000" w:themeColor="text1"/>
        </w:rPr>
        <w:t xml:space="preserve">I </w:t>
      </w:r>
      <w:r w:rsidRPr="005F63B3">
        <w:rPr>
          <w:rFonts w:eastAsia="Arial Unicode MS"/>
          <w:b/>
          <w:bCs/>
          <w:iCs/>
          <w:color w:val="000000" w:themeColor="text1"/>
          <w:lang w:val="sr-Cyrl-CS"/>
        </w:rPr>
        <w:t xml:space="preserve">и </w:t>
      </w:r>
      <w:r w:rsidRPr="005F63B3">
        <w:rPr>
          <w:rFonts w:eastAsia="Arial Unicode MS"/>
          <w:b/>
          <w:bCs/>
          <w:iCs/>
          <w:color w:val="000000" w:themeColor="text1"/>
        </w:rPr>
        <w:t xml:space="preserve">II </w:t>
      </w:r>
      <w:r w:rsidRPr="005F63B3">
        <w:rPr>
          <w:rFonts w:eastAsia="Arial Unicode MS"/>
          <w:b/>
          <w:bCs/>
          <w:iCs/>
          <w:color w:val="000000" w:themeColor="text1"/>
          <w:u w:val="single"/>
          <w:lang w:val="sr-Cyrl-CS"/>
        </w:rPr>
        <w:t xml:space="preserve">окончаних </w:t>
      </w:r>
      <w:r w:rsidRPr="005F63B3">
        <w:rPr>
          <w:rFonts w:eastAsia="Arial Unicode MS"/>
          <w:b/>
          <w:bCs/>
          <w:iCs/>
          <w:color w:val="000000" w:themeColor="text1"/>
          <w:lang w:val="sr-Cyrl-CS"/>
        </w:rPr>
        <w:t>у последњих 5 или 10 година.</w:t>
      </w:r>
    </w:p>
    <w:p w14:paraId="46F38993" w14:textId="7777777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</w:rPr>
      </w:pPr>
    </w:p>
    <w:p w14:paraId="07F19EC1" w14:textId="7777777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  <w:lang w:val="sr-Cyrl-CS"/>
        </w:rPr>
      </w:pPr>
      <w:r w:rsidRPr="005F63B3">
        <w:rPr>
          <w:rFonts w:eastAsia="Arial Unicode MS"/>
          <w:b/>
          <w:bCs/>
          <w:iCs/>
          <w:color w:val="000000" w:themeColor="text1"/>
          <w:lang w:val="sr-Cyrl-CS"/>
        </w:rPr>
        <w:lastRenderedPageBreak/>
        <w:t>Да ли се као окончани пројекат може сматрати да посао који има позитиван извештај о извршеном техничком прегледу изведених радова на изградњи?</w:t>
      </w:r>
    </w:p>
    <w:p w14:paraId="5B63F720" w14:textId="7777777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  <w:lang w:val="sr-Cyrl-CS"/>
        </w:rPr>
      </w:pPr>
    </w:p>
    <w:p w14:paraId="250C7C7D" w14:textId="725C36F0" w:rsidR="00366015" w:rsidRPr="005F63B3" w:rsidRDefault="00366015" w:rsidP="00B83F30">
      <w:pPr>
        <w:suppressAutoHyphens/>
        <w:ind w:left="720"/>
        <w:jc w:val="both"/>
        <w:rPr>
          <w:b/>
          <w:color w:val="000000" w:themeColor="text1"/>
          <w:lang w:val="sr-Cyrl-CS"/>
        </w:rPr>
      </w:pPr>
      <w:r w:rsidRPr="005F63B3">
        <w:rPr>
          <w:b/>
          <w:color w:val="000000" w:themeColor="text1"/>
          <w:lang w:val="sr-Cyrl-CS"/>
        </w:rPr>
        <w:t>Одговор</w:t>
      </w:r>
      <w:r w:rsidRPr="005F63B3">
        <w:rPr>
          <w:color w:val="000000" w:themeColor="text1"/>
          <w:lang w:val="sr-Cyrl-CS"/>
        </w:rPr>
        <w:t xml:space="preserve">: Као окончан пројекат не може се сматрати </w:t>
      </w:r>
      <w:r w:rsidRPr="005F63B3">
        <w:rPr>
          <w:rFonts w:eastAsia="Arial Unicode MS"/>
          <w:bCs/>
          <w:iCs/>
          <w:color w:val="000000" w:themeColor="text1"/>
          <w:lang w:val="sr-Cyrl-CS"/>
        </w:rPr>
        <w:t xml:space="preserve">позитиван извештај о извршеном техничком прегледу изведених радова на изградњи. </w:t>
      </w:r>
      <w:r w:rsidR="004145A9" w:rsidRPr="005F63B3">
        <w:rPr>
          <w:color w:val="000000" w:themeColor="text1"/>
          <w:lang w:val="sr-Cyrl-CS"/>
        </w:rPr>
        <w:t>Тражене су потврде Наручиоца.</w:t>
      </w:r>
    </w:p>
    <w:p w14:paraId="6B109688" w14:textId="7777777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  <w:lang w:val="sr-Cyrl-CS"/>
        </w:rPr>
      </w:pPr>
    </w:p>
    <w:p w14:paraId="766BD86A" w14:textId="77777777" w:rsidR="00366015" w:rsidRPr="005F63B3" w:rsidRDefault="00366015" w:rsidP="00B83F30">
      <w:pPr>
        <w:suppressAutoHyphens/>
        <w:ind w:left="720"/>
        <w:jc w:val="both"/>
        <w:rPr>
          <w:rFonts w:eastAsia="Arial Unicode MS"/>
          <w:b/>
          <w:bCs/>
          <w:iCs/>
          <w:color w:val="000000" w:themeColor="text1"/>
        </w:rPr>
      </w:pPr>
      <w:r w:rsidRPr="005F63B3">
        <w:rPr>
          <w:rFonts w:eastAsia="Arial Unicode MS"/>
          <w:b/>
          <w:bCs/>
          <w:iCs/>
          <w:color w:val="000000" w:themeColor="text1"/>
          <w:lang w:val="sr-Cyrl-CS"/>
        </w:rPr>
        <w:t xml:space="preserve">Те, да ли се извештај о извршеном техничком прегледу може сматрати истоврсно као </w:t>
      </w:r>
      <w:r w:rsidRPr="005F63B3">
        <w:rPr>
          <w:rFonts w:eastAsia="Arial Unicode MS"/>
          <w:b/>
          <w:bCs/>
          <w:iCs/>
          <w:color w:val="000000" w:themeColor="text1"/>
        </w:rPr>
        <w:t>perfomance setrificate</w:t>
      </w:r>
      <w:r w:rsidRPr="005F63B3">
        <w:rPr>
          <w:rFonts w:eastAsia="Arial Unicode MS"/>
          <w:b/>
          <w:bCs/>
          <w:iCs/>
          <w:color w:val="000000" w:themeColor="text1"/>
          <w:lang w:val="sr-Cyrl-CS"/>
        </w:rPr>
        <w:t xml:space="preserve"> за уговоре који су под </w:t>
      </w:r>
      <w:r w:rsidRPr="005F63B3">
        <w:rPr>
          <w:rFonts w:eastAsia="Arial Unicode MS"/>
          <w:b/>
          <w:bCs/>
          <w:iCs/>
          <w:color w:val="000000" w:themeColor="text1"/>
          <w:lang w:val="en-US"/>
        </w:rPr>
        <w:t xml:space="preserve">FIDIC </w:t>
      </w:r>
      <w:r w:rsidRPr="005F63B3">
        <w:rPr>
          <w:rFonts w:eastAsia="Arial Unicode MS"/>
          <w:b/>
          <w:bCs/>
          <w:iCs/>
          <w:color w:val="000000" w:themeColor="text1"/>
          <w:lang w:val="sr-Cyrl-CS"/>
        </w:rPr>
        <w:t>регулативом?</w:t>
      </w:r>
    </w:p>
    <w:p w14:paraId="225A41D6" w14:textId="77777777" w:rsidR="00366015" w:rsidRPr="005F63B3" w:rsidRDefault="00366015" w:rsidP="00B83F30">
      <w:pPr>
        <w:suppressAutoHyphens/>
        <w:ind w:left="720"/>
        <w:jc w:val="both"/>
        <w:rPr>
          <w:b/>
          <w:color w:val="000000" w:themeColor="text1"/>
          <w:lang w:val="sr-Cyrl-CS"/>
        </w:rPr>
      </w:pPr>
    </w:p>
    <w:p w14:paraId="7B9C74CC" w14:textId="613ABF94" w:rsidR="00366015" w:rsidRPr="005F63B3" w:rsidRDefault="00366015" w:rsidP="00B83F30">
      <w:pPr>
        <w:suppressAutoHyphens/>
        <w:ind w:left="720"/>
        <w:jc w:val="both"/>
        <w:rPr>
          <w:rFonts w:cs="Arial"/>
          <w:b/>
          <w:color w:val="000000" w:themeColor="text1"/>
          <w:lang w:val="sr-Cyrl-CS"/>
        </w:rPr>
      </w:pPr>
      <w:r w:rsidRPr="005F63B3">
        <w:rPr>
          <w:b/>
          <w:color w:val="000000" w:themeColor="text1"/>
          <w:lang w:val="sr-Cyrl-CS"/>
        </w:rPr>
        <w:t>Одговор</w:t>
      </w:r>
      <w:r w:rsidRPr="005F63B3">
        <w:rPr>
          <w:color w:val="000000" w:themeColor="text1"/>
          <w:lang w:val="sr-Cyrl-CS"/>
        </w:rPr>
        <w:t>:</w:t>
      </w:r>
      <w:r w:rsidRPr="005F63B3">
        <w:rPr>
          <w:rFonts w:eastAsia="Arial Unicode MS"/>
          <w:bCs/>
          <w:iCs/>
          <w:color w:val="000000" w:themeColor="text1"/>
          <w:lang w:val="sr-Cyrl-RS"/>
        </w:rPr>
        <w:t xml:space="preserve"> </w:t>
      </w:r>
      <w:r w:rsidRPr="005F63B3">
        <w:rPr>
          <w:rFonts w:eastAsia="Arial Unicode MS"/>
          <w:bCs/>
          <w:iCs/>
          <w:color w:val="000000" w:themeColor="text1"/>
          <w:lang w:val="sr-Cyrl-CS"/>
        </w:rPr>
        <w:t>Извештај о извршеном техничком прегледу</w:t>
      </w:r>
      <w:r w:rsidRPr="005F63B3">
        <w:rPr>
          <w:rFonts w:eastAsia="Arial Unicode MS"/>
          <w:bCs/>
          <w:iCs/>
          <w:color w:val="000000" w:themeColor="text1"/>
          <w:lang w:val="sr-Cyrl-RS"/>
        </w:rPr>
        <w:t xml:space="preserve"> </w:t>
      </w:r>
      <w:r w:rsidRPr="005F63B3">
        <w:rPr>
          <w:rFonts w:eastAsia="Arial Unicode MS"/>
          <w:bCs/>
          <w:iCs/>
          <w:color w:val="000000" w:themeColor="text1"/>
          <w:u w:val="single"/>
          <w:lang w:val="sr-Cyrl-RS"/>
        </w:rPr>
        <w:t>не може</w:t>
      </w:r>
      <w:r w:rsidRPr="005F63B3">
        <w:rPr>
          <w:rFonts w:eastAsia="Arial Unicode MS"/>
          <w:bCs/>
          <w:iCs/>
          <w:color w:val="000000" w:themeColor="text1"/>
          <w:lang w:val="sr-Cyrl-RS"/>
        </w:rPr>
        <w:t xml:space="preserve"> </w:t>
      </w:r>
      <w:r w:rsidR="004145A9" w:rsidRPr="005F63B3">
        <w:rPr>
          <w:rFonts w:eastAsia="Arial Unicode MS"/>
          <w:bCs/>
          <w:iCs/>
          <w:color w:val="000000" w:themeColor="text1"/>
          <w:lang w:val="sr-Cyrl-RS"/>
        </w:rPr>
        <w:t xml:space="preserve">се </w:t>
      </w:r>
      <w:r w:rsidRPr="005F63B3">
        <w:rPr>
          <w:rFonts w:eastAsia="Arial Unicode MS"/>
          <w:bCs/>
          <w:iCs/>
          <w:color w:val="000000" w:themeColor="text1"/>
          <w:lang w:val="sr-Cyrl-RS"/>
        </w:rPr>
        <w:t>сматрати</w:t>
      </w:r>
      <w:r w:rsidR="004145A9" w:rsidRPr="005F63B3">
        <w:rPr>
          <w:rFonts w:eastAsia="Arial Unicode MS"/>
          <w:bCs/>
          <w:iCs/>
          <w:color w:val="000000" w:themeColor="text1"/>
          <w:lang w:val="sr-Cyrl-RS"/>
        </w:rPr>
        <w:t xml:space="preserve"> истоврсно</w:t>
      </w:r>
      <w:r w:rsidRPr="005F63B3">
        <w:rPr>
          <w:rFonts w:eastAsia="Arial Unicode MS"/>
          <w:bCs/>
          <w:iCs/>
          <w:color w:val="000000" w:themeColor="text1"/>
          <w:lang w:val="sr-Cyrl-RS"/>
        </w:rPr>
        <w:t xml:space="preserve"> као Потврда о добром извршењу (</w:t>
      </w:r>
      <w:r w:rsidRPr="005F63B3">
        <w:rPr>
          <w:rFonts w:eastAsia="Arial Unicode MS"/>
          <w:bCs/>
          <w:iCs/>
          <w:color w:val="000000" w:themeColor="text1"/>
        </w:rPr>
        <w:t>Perfomance Cetrificate</w:t>
      </w:r>
      <w:r w:rsidRPr="005F63B3">
        <w:rPr>
          <w:rFonts w:eastAsia="Arial Unicode MS"/>
          <w:bCs/>
          <w:iCs/>
          <w:color w:val="000000" w:themeColor="text1"/>
          <w:lang w:val="sr-Cyrl-RS"/>
        </w:rPr>
        <w:t>) за уговоре закључене по</w:t>
      </w:r>
      <w:r w:rsidRPr="005F63B3">
        <w:rPr>
          <w:rFonts w:eastAsia="Arial Unicode MS"/>
          <w:bCs/>
          <w:iCs/>
          <w:color w:val="000000" w:themeColor="text1"/>
          <w:lang w:val="en-US"/>
        </w:rPr>
        <w:t xml:space="preserve"> FIDIC</w:t>
      </w:r>
      <w:r w:rsidR="004145A9" w:rsidRPr="005F63B3">
        <w:rPr>
          <w:rFonts w:eastAsia="Arial Unicode MS"/>
          <w:bCs/>
          <w:iCs/>
          <w:color w:val="000000" w:themeColor="text1"/>
          <w:lang w:val="sr-Cyrl-RS"/>
        </w:rPr>
        <w:t xml:space="preserve"> регулативи.</w:t>
      </w:r>
    </w:p>
    <w:p w14:paraId="3C39AFF1" w14:textId="77777777" w:rsidR="00366015" w:rsidRPr="005F63B3" w:rsidRDefault="00366015" w:rsidP="00B83F30">
      <w:pPr>
        <w:suppressAutoHyphens/>
        <w:ind w:left="720"/>
        <w:jc w:val="both"/>
        <w:rPr>
          <w:rFonts w:cs="Arial"/>
          <w:b/>
          <w:color w:val="000000" w:themeColor="text1"/>
          <w:lang w:val="sr-Cyrl-CS"/>
        </w:rPr>
      </w:pPr>
    </w:p>
    <w:p w14:paraId="0C1F97E1" w14:textId="77777777" w:rsidR="00366015" w:rsidRPr="005F63B3" w:rsidRDefault="00366015" w:rsidP="00673818">
      <w:pPr>
        <w:suppressAutoHyphens/>
        <w:jc w:val="both"/>
        <w:rPr>
          <w:rFonts w:eastAsia="Arial Unicode MS" w:cs="Arial"/>
          <w:b/>
          <w:bCs/>
          <w:iCs/>
          <w:color w:val="000000" w:themeColor="text1"/>
          <w:lang w:val="sr-Cyrl-CS"/>
        </w:rPr>
      </w:pPr>
    </w:p>
    <w:p w14:paraId="331258B9" w14:textId="77777777" w:rsidR="009858EB" w:rsidRPr="005F63B3" w:rsidRDefault="009858EB" w:rsidP="00673818">
      <w:pPr>
        <w:spacing w:after="120"/>
        <w:ind w:left="420"/>
        <w:jc w:val="both"/>
        <w:rPr>
          <w:b/>
          <w:color w:val="000000" w:themeColor="text1"/>
          <w:lang w:val="sr-Cyrl-CS"/>
        </w:rPr>
      </w:pPr>
    </w:p>
    <w:sectPr w:rsidR="009858EB" w:rsidRPr="005F63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A1107" w14:textId="77777777" w:rsidR="004A279B" w:rsidRDefault="004A279B" w:rsidP="00DE589C">
      <w:r>
        <w:separator/>
      </w:r>
    </w:p>
  </w:endnote>
  <w:endnote w:type="continuationSeparator" w:id="0">
    <w:p w14:paraId="65173BBA" w14:textId="77777777" w:rsidR="004A279B" w:rsidRDefault="004A279B" w:rsidP="00DE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6303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06E49" w14:textId="691B4778" w:rsidR="00BD0F8B" w:rsidRDefault="00BD0F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E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E3A5FC" w14:textId="77777777" w:rsidR="001C479B" w:rsidRDefault="001C4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199CD" w14:textId="77777777" w:rsidR="004A279B" w:rsidRDefault="004A279B" w:rsidP="00DE589C">
      <w:r>
        <w:separator/>
      </w:r>
    </w:p>
  </w:footnote>
  <w:footnote w:type="continuationSeparator" w:id="0">
    <w:p w14:paraId="6354AAD2" w14:textId="77777777" w:rsidR="004A279B" w:rsidRDefault="004A279B" w:rsidP="00DE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B37784"/>
    <w:multiLevelType w:val="hybridMultilevel"/>
    <w:tmpl w:val="13D2DEEC"/>
    <w:lvl w:ilvl="0" w:tplc="C128B1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3494"/>
    <w:multiLevelType w:val="hybridMultilevel"/>
    <w:tmpl w:val="C3F65EE8"/>
    <w:lvl w:ilvl="0" w:tplc="603089A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2F45"/>
    <w:multiLevelType w:val="hybridMultilevel"/>
    <w:tmpl w:val="913ACE72"/>
    <w:lvl w:ilvl="0" w:tplc="F4B2EF3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D2AB1"/>
    <w:multiLevelType w:val="hybridMultilevel"/>
    <w:tmpl w:val="831C62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E0A"/>
    <w:multiLevelType w:val="hybridMultilevel"/>
    <w:tmpl w:val="3326962A"/>
    <w:lvl w:ilvl="0" w:tplc="92A08A1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53AB6"/>
    <w:multiLevelType w:val="hybridMultilevel"/>
    <w:tmpl w:val="5140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D72B4"/>
    <w:multiLevelType w:val="hybridMultilevel"/>
    <w:tmpl w:val="913ACE72"/>
    <w:lvl w:ilvl="0" w:tplc="F4B2EF3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66E9B"/>
    <w:multiLevelType w:val="hybridMultilevel"/>
    <w:tmpl w:val="66846F8E"/>
    <w:lvl w:ilvl="0" w:tplc="4EE04CE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36A81"/>
    <w:multiLevelType w:val="hybridMultilevel"/>
    <w:tmpl w:val="E92CF8BA"/>
    <w:lvl w:ilvl="0" w:tplc="7F72D1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8"/>
        <w:szCs w:val="18"/>
      </w:rPr>
    </w:lvl>
    <w:lvl w:ilvl="1" w:tplc="0C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022849"/>
    <w:multiLevelType w:val="hybridMultilevel"/>
    <w:tmpl w:val="78F4BC32"/>
    <w:lvl w:ilvl="0" w:tplc="57888C2A">
      <w:start w:val="1"/>
      <w:numFmt w:val="bullet"/>
      <w:lvlText w:val="-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94CD4E">
      <w:start w:val="1"/>
      <w:numFmt w:val="bullet"/>
      <w:lvlText w:val="o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4C75E">
      <w:start w:val="1"/>
      <w:numFmt w:val="bullet"/>
      <w:lvlText w:val="▪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05282">
      <w:start w:val="1"/>
      <w:numFmt w:val="bullet"/>
      <w:lvlText w:val="•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6AFBA">
      <w:start w:val="1"/>
      <w:numFmt w:val="bullet"/>
      <w:lvlText w:val="o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CB882">
      <w:start w:val="1"/>
      <w:numFmt w:val="bullet"/>
      <w:lvlText w:val="▪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8D79C">
      <w:start w:val="1"/>
      <w:numFmt w:val="bullet"/>
      <w:lvlText w:val="•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AD57E">
      <w:start w:val="1"/>
      <w:numFmt w:val="bullet"/>
      <w:lvlText w:val="o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0E38C">
      <w:start w:val="1"/>
      <w:numFmt w:val="bullet"/>
      <w:lvlText w:val="▪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82"/>
    <w:rsid w:val="0000638E"/>
    <w:rsid w:val="00062DB2"/>
    <w:rsid w:val="000812DB"/>
    <w:rsid w:val="000B05CD"/>
    <w:rsid w:val="000D6A7A"/>
    <w:rsid w:val="000E5EC7"/>
    <w:rsid w:val="000F0021"/>
    <w:rsid w:val="000F270B"/>
    <w:rsid w:val="0015119A"/>
    <w:rsid w:val="0016306C"/>
    <w:rsid w:val="001A3561"/>
    <w:rsid w:val="001C479B"/>
    <w:rsid w:val="001E0091"/>
    <w:rsid w:val="001F242E"/>
    <w:rsid w:val="00205CA1"/>
    <w:rsid w:val="00227269"/>
    <w:rsid w:val="00255E50"/>
    <w:rsid w:val="002564B9"/>
    <w:rsid w:val="00261895"/>
    <w:rsid w:val="00280E80"/>
    <w:rsid w:val="002D5BFC"/>
    <w:rsid w:val="003057B7"/>
    <w:rsid w:val="0033652D"/>
    <w:rsid w:val="0033660E"/>
    <w:rsid w:val="00366015"/>
    <w:rsid w:val="00366E70"/>
    <w:rsid w:val="003B1406"/>
    <w:rsid w:val="003D7AAA"/>
    <w:rsid w:val="003F1288"/>
    <w:rsid w:val="004145A9"/>
    <w:rsid w:val="00463E16"/>
    <w:rsid w:val="004644FE"/>
    <w:rsid w:val="0049584E"/>
    <w:rsid w:val="00495B10"/>
    <w:rsid w:val="004A279B"/>
    <w:rsid w:val="004A57E5"/>
    <w:rsid w:val="004D4295"/>
    <w:rsid w:val="004F77E7"/>
    <w:rsid w:val="0050330E"/>
    <w:rsid w:val="005205AF"/>
    <w:rsid w:val="0053784E"/>
    <w:rsid w:val="00546592"/>
    <w:rsid w:val="005532C2"/>
    <w:rsid w:val="00560397"/>
    <w:rsid w:val="00563D4D"/>
    <w:rsid w:val="005A37BD"/>
    <w:rsid w:val="005A3D9D"/>
    <w:rsid w:val="005A66A7"/>
    <w:rsid w:val="005B487B"/>
    <w:rsid w:val="005E43E1"/>
    <w:rsid w:val="005F63B3"/>
    <w:rsid w:val="006205E8"/>
    <w:rsid w:val="00631363"/>
    <w:rsid w:val="00656E9D"/>
    <w:rsid w:val="00657546"/>
    <w:rsid w:val="00664CFB"/>
    <w:rsid w:val="00673818"/>
    <w:rsid w:val="00700632"/>
    <w:rsid w:val="00705618"/>
    <w:rsid w:val="00732729"/>
    <w:rsid w:val="00755C97"/>
    <w:rsid w:val="007C0A7C"/>
    <w:rsid w:val="007D2922"/>
    <w:rsid w:val="007D5903"/>
    <w:rsid w:val="007E356B"/>
    <w:rsid w:val="007E6032"/>
    <w:rsid w:val="007F0059"/>
    <w:rsid w:val="00836A0B"/>
    <w:rsid w:val="0085477B"/>
    <w:rsid w:val="00866642"/>
    <w:rsid w:val="00872769"/>
    <w:rsid w:val="0088388F"/>
    <w:rsid w:val="008A2630"/>
    <w:rsid w:val="008A2B66"/>
    <w:rsid w:val="008A47C8"/>
    <w:rsid w:val="008B46C5"/>
    <w:rsid w:val="008B5AFF"/>
    <w:rsid w:val="008D0C37"/>
    <w:rsid w:val="008E4725"/>
    <w:rsid w:val="00953F24"/>
    <w:rsid w:val="009858EB"/>
    <w:rsid w:val="00987640"/>
    <w:rsid w:val="009C311A"/>
    <w:rsid w:val="009C5749"/>
    <w:rsid w:val="009F1DD0"/>
    <w:rsid w:val="009F22BD"/>
    <w:rsid w:val="009F686C"/>
    <w:rsid w:val="00A31C58"/>
    <w:rsid w:val="00A73B05"/>
    <w:rsid w:val="00A832C2"/>
    <w:rsid w:val="00A86F6A"/>
    <w:rsid w:val="00A97E4A"/>
    <w:rsid w:val="00AA7DBE"/>
    <w:rsid w:val="00AC6BEB"/>
    <w:rsid w:val="00AC7A62"/>
    <w:rsid w:val="00B07FF2"/>
    <w:rsid w:val="00B12F2B"/>
    <w:rsid w:val="00B20D98"/>
    <w:rsid w:val="00B32169"/>
    <w:rsid w:val="00B4642A"/>
    <w:rsid w:val="00B83F30"/>
    <w:rsid w:val="00B939D8"/>
    <w:rsid w:val="00BA3136"/>
    <w:rsid w:val="00BD0F8B"/>
    <w:rsid w:val="00BD4D57"/>
    <w:rsid w:val="00BD51ED"/>
    <w:rsid w:val="00C221C9"/>
    <w:rsid w:val="00C27BF2"/>
    <w:rsid w:val="00C3367A"/>
    <w:rsid w:val="00C33A6D"/>
    <w:rsid w:val="00C445D6"/>
    <w:rsid w:val="00C5459D"/>
    <w:rsid w:val="00C761AB"/>
    <w:rsid w:val="00C8094A"/>
    <w:rsid w:val="00C836F4"/>
    <w:rsid w:val="00C83742"/>
    <w:rsid w:val="00C94543"/>
    <w:rsid w:val="00CA1C57"/>
    <w:rsid w:val="00CA2682"/>
    <w:rsid w:val="00D57635"/>
    <w:rsid w:val="00D8108D"/>
    <w:rsid w:val="00D87685"/>
    <w:rsid w:val="00DD3AF2"/>
    <w:rsid w:val="00DD6ECA"/>
    <w:rsid w:val="00DE589C"/>
    <w:rsid w:val="00E00F5E"/>
    <w:rsid w:val="00E175BB"/>
    <w:rsid w:val="00E20374"/>
    <w:rsid w:val="00E20498"/>
    <w:rsid w:val="00E3715A"/>
    <w:rsid w:val="00E434C8"/>
    <w:rsid w:val="00E4488B"/>
    <w:rsid w:val="00E75683"/>
    <w:rsid w:val="00E94F77"/>
    <w:rsid w:val="00E96791"/>
    <w:rsid w:val="00EA7C34"/>
    <w:rsid w:val="00EF1B75"/>
    <w:rsid w:val="00F053A1"/>
    <w:rsid w:val="00F51688"/>
    <w:rsid w:val="00F87C1D"/>
    <w:rsid w:val="00FC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3BED"/>
  <w15:docId w15:val="{8790AA62-5C27-46BB-9790-569EBB10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221C9"/>
    <w:rPr>
      <w:color w:val="0000FF"/>
      <w:u w:val="single"/>
    </w:rPr>
  </w:style>
  <w:style w:type="paragraph" w:styleId="NoSpacing">
    <w:name w:val="No Spacing"/>
    <w:qFormat/>
    <w:rsid w:val="00C221C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qFormat/>
    <w:rsid w:val="00C22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C22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C221C9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C221C9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">
    <w:name w:val="Body Text Indent"/>
    <w:aliases w:val="Style2 Char"/>
    <w:basedOn w:val="Normal"/>
    <w:link w:val="BodyTextIndentChar"/>
    <w:rsid w:val="0050330E"/>
    <w:pPr>
      <w:spacing w:after="120" w:line="270" w:lineRule="atLeast"/>
      <w:ind w:left="283"/>
    </w:pPr>
    <w:rPr>
      <w:sz w:val="23"/>
      <w:szCs w:val="20"/>
    </w:rPr>
  </w:style>
  <w:style w:type="character" w:customStyle="1" w:styleId="BodyTextIndentChar">
    <w:name w:val="Body Text Indent Char"/>
    <w:aliases w:val="Style2 Char Char"/>
    <w:basedOn w:val="DefaultParagraphFont"/>
    <w:link w:val="BodyTextIndent"/>
    <w:rsid w:val="0050330E"/>
    <w:rPr>
      <w:rFonts w:ascii="Times New Roman" w:eastAsia="Times New Roman" w:hAnsi="Times New Roman" w:cs="Times New Roman"/>
      <w:sz w:val="23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5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89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E5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89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7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79B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ParagraphChar">
    <w:name w:val="List Paragraph Char"/>
    <w:link w:val="ListParagraph"/>
    <w:locked/>
    <w:rsid w:val="000F270B"/>
    <w:rPr>
      <w:rFonts w:ascii="Calibri" w:eastAsia="Calibri" w:hAnsi="Calibri" w:cs="Times New Roman"/>
    </w:rPr>
  </w:style>
  <w:style w:type="character" w:customStyle="1" w:styleId="style91">
    <w:name w:val="style91"/>
    <w:rsid w:val="00E3715A"/>
    <w:rPr>
      <w:rFonts w:ascii="Arial" w:hAnsi="Arial" w:cs="Arial" w:hint="default"/>
      <w:color w:val="003366"/>
    </w:rPr>
  </w:style>
  <w:style w:type="paragraph" w:customStyle="1" w:styleId="Normal1">
    <w:name w:val="Normal1"/>
    <w:basedOn w:val="Normal"/>
    <w:rsid w:val="005A37BD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3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8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81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81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Jelena Ćirović</cp:lastModifiedBy>
  <cp:revision>7</cp:revision>
  <cp:lastPrinted>2017-11-08T09:27:00Z</cp:lastPrinted>
  <dcterms:created xsi:type="dcterms:W3CDTF">2017-11-13T10:52:00Z</dcterms:created>
  <dcterms:modified xsi:type="dcterms:W3CDTF">2017-11-13T13:36:00Z</dcterms:modified>
</cp:coreProperties>
</file>