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FE12C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 xml:space="preserve">  </w:t>
            </w:r>
            <w:r w:rsidR="00AF2F2F" w:rsidRPr="00AF2F2F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МИНИСТАРСТВО ГРАЂЕВИНАРСТВА,</w:t>
            </w:r>
          </w:p>
        </w:tc>
      </w:tr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Број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D10">
              <w:rPr>
                <w:rFonts w:ascii="Times New Roman" w:hAnsi="Times New Roman" w:cs="Times New Roman"/>
                <w:sz w:val="24"/>
                <w:szCs w:val="24"/>
              </w:rPr>
              <w:t>404-02-56/5</w:t>
            </w:r>
            <w:bookmarkStart w:id="0" w:name="_GoBack"/>
            <w:bookmarkEnd w:id="0"/>
            <w:r w:rsidR="00A34E0D">
              <w:rPr>
                <w:rFonts w:ascii="Times New Roman" w:hAnsi="Times New Roman" w:cs="Times New Roman"/>
                <w:sz w:val="24"/>
                <w:szCs w:val="24"/>
              </w:rPr>
              <w:t>/2019-02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8B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.04.2019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године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AF2F2F" w:rsidRPr="00AF2F2F" w:rsidRDefault="00AF2F2F" w:rsidP="00AF2F2F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0917A5" w:rsidRDefault="000917A5" w:rsidP="00AF2F2F">
      <w:pPr>
        <w:tabs>
          <w:tab w:val="left" w:pos="426"/>
        </w:tabs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0917A5" w:rsidRDefault="000917A5" w:rsidP="00AF2F2F">
      <w:pPr>
        <w:tabs>
          <w:tab w:val="left" w:pos="426"/>
        </w:tabs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0917A5" w:rsidRDefault="000917A5" w:rsidP="00AF2F2F">
      <w:pPr>
        <w:tabs>
          <w:tab w:val="left" w:pos="426"/>
        </w:tabs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AF2F2F" w:rsidRPr="003E68BA" w:rsidRDefault="00AF2F2F" w:rsidP="00AF2F2F">
      <w:pPr>
        <w:tabs>
          <w:tab w:val="left" w:pos="426"/>
        </w:tabs>
        <w:jc w:val="both"/>
        <w:rPr>
          <w:rFonts w:ascii="Times New Roman" w:eastAsia="Arial" w:hAnsi="Times New Roman" w:cs="Times New Roman"/>
          <w:bCs/>
          <w:spacing w:val="1"/>
          <w:sz w:val="24"/>
          <w:szCs w:val="24"/>
          <w:lang w:val="sr-Latn-RS"/>
        </w:rPr>
      </w:pPr>
      <w:r w:rsidRPr="003E68BA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ПРЕДМЕТ:</w:t>
      </w:r>
      <w:r w:rsidRPr="003E68B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3E68BA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Појашњење конкурсне документације за </w:t>
      </w:r>
      <w:r w:rsidRPr="003E68BA">
        <w:rPr>
          <w:rFonts w:ascii="Times New Roman" w:eastAsia="MS Mincho" w:hAnsi="Times New Roman" w:cs="Times New Roman"/>
          <w:sz w:val="24"/>
          <w:szCs w:val="24"/>
        </w:rPr>
        <w:t>јавн</w:t>
      </w:r>
      <w:r w:rsidRPr="003E68BA">
        <w:rPr>
          <w:rFonts w:ascii="Times New Roman" w:eastAsia="MS Mincho" w:hAnsi="Times New Roman" w:cs="Times New Roman"/>
          <w:sz w:val="24"/>
          <w:szCs w:val="24"/>
          <w:lang w:val="sr-Cyrl-CS"/>
        </w:rPr>
        <w:t>у</w:t>
      </w:r>
      <w:r w:rsidRPr="003E68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E68BA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Pr="003E68BA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3E68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E68BA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најповољнијег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авио-превоза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проглашеним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инетересу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. 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Б</w:t>
      </w:r>
      <w:r w:rsidRPr="003E68BA">
        <w:rPr>
          <w:rFonts w:ascii="Times New Roman" w:eastAsia="Arial" w:hAnsi="Times New Roman" w:cs="Times New Roman"/>
          <w:bCs/>
          <w:spacing w:val="-1"/>
          <w:sz w:val="24"/>
          <w:szCs w:val="24"/>
          <w:lang w:val="en-GB"/>
        </w:rPr>
        <w:t>ро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ј</w:t>
      </w:r>
      <w:r w:rsidRPr="003E68BA">
        <w:rPr>
          <w:rFonts w:ascii="Times New Roman" w:eastAsia="Arial" w:hAnsi="Times New Roman" w:cs="Times New Roman"/>
          <w:bCs/>
          <w:spacing w:val="2"/>
          <w:sz w:val="24"/>
          <w:szCs w:val="24"/>
          <w:lang w:val="sr-Latn-RS"/>
        </w:rPr>
        <w:t xml:space="preserve"> </w:t>
      </w:r>
      <w:proofErr w:type="spellStart"/>
      <w:r w:rsidRPr="003E68BA">
        <w:rPr>
          <w:rFonts w:ascii="Times New Roman" w:eastAsia="Arial" w:hAnsi="Times New Roman" w:cs="Times New Roman"/>
          <w:bCs/>
          <w:spacing w:val="1"/>
          <w:sz w:val="24"/>
          <w:szCs w:val="24"/>
          <w:lang w:val="en-GB"/>
        </w:rPr>
        <w:t>ј</w:t>
      </w:r>
      <w:r w:rsidRPr="003E68BA">
        <w:rPr>
          <w:rFonts w:ascii="Times New Roman" w:eastAsia="Arial" w:hAnsi="Times New Roman" w:cs="Times New Roman"/>
          <w:bCs/>
          <w:spacing w:val="-3"/>
          <w:sz w:val="24"/>
          <w:szCs w:val="24"/>
          <w:lang w:val="en-GB"/>
        </w:rPr>
        <w:t>а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в</w:t>
      </w:r>
      <w:r w:rsidRPr="003E68BA">
        <w:rPr>
          <w:rFonts w:ascii="Times New Roman" w:eastAsia="Arial" w:hAnsi="Times New Roman" w:cs="Times New Roman"/>
          <w:bCs/>
          <w:spacing w:val="1"/>
          <w:sz w:val="24"/>
          <w:szCs w:val="24"/>
          <w:lang w:val="en-GB"/>
        </w:rPr>
        <w:t>н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е</w:t>
      </w:r>
      <w:proofErr w:type="spellEnd"/>
      <w:r w:rsidRPr="003E68BA">
        <w:rPr>
          <w:rFonts w:ascii="Times New Roman" w:eastAsia="Arial" w:hAnsi="Times New Roman" w:cs="Times New Roman"/>
          <w:bCs/>
          <w:spacing w:val="-1"/>
          <w:sz w:val="24"/>
          <w:szCs w:val="24"/>
          <w:lang w:val="sr-Latn-RS"/>
        </w:rPr>
        <w:t xml:space="preserve"> </w:t>
      </w:r>
      <w:proofErr w:type="spellStart"/>
      <w:r w:rsidRPr="003E68BA">
        <w:rPr>
          <w:rFonts w:ascii="Times New Roman" w:eastAsia="Arial" w:hAnsi="Times New Roman" w:cs="Times New Roman"/>
          <w:bCs/>
          <w:spacing w:val="-2"/>
          <w:sz w:val="24"/>
          <w:szCs w:val="24"/>
          <w:lang w:val="en-GB"/>
        </w:rPr>
        <w:t>н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а</w:t>
      </w:r>
      <w:r w:rsidRPr="003E68BA">
        <w:rPr>
          <w:rFonts w:ascii="Times New Roman" w:eastAsia="Arial" w:hAnsi="Times New Roman" w:cs="Times New Roman"/>
          <w:bCs/>
          <w:spacing w:val="-1"/>
          <w:sz w:val="24"/>
          <w:szCs w:val="24"/>
          <w:lang w:val="en-GB"/>
        </w:rPr>
        <w:t>б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а</w:t>
      </w:r>
      <w:r w:rsidRPr="003E68BA">
        <w:rPr>
          <w:rFonts w:ascii="Times New Roman" w:eastAsia="Arial" w:hAnsi="Times New Roman" w:cs="Times New Roman"/>
          <w:bCs/>
          <w:spacing w:val="-3"/>
          <w:sz w:val="24"/>
          <w:szCs w:val="24"/>
          <w:lang w:val="en-GB"/>
        </w:rPr>
        <w:t>в</w:t>
      </w:r>
      <w:r w:rsidRPr="003E68BA">
        <w:rPr>
          <w:rFonts w:ascii="Times New Roman" w:eastAsia="Arial" w:hAnsi="Times New Roman" w:cs="Times New Roman"/>
          <w:bCs/>
          <w:spacing w:val="1"/>
          <w:sz w:val="24"/>
          <w:szCs w:val="24"/>
          <w:lang w:val="en-GB"/>
        </w:rPr>
        <w:t>к</w:t>
      </w:r>
      <w:r w:rsidRPr="003E68BA">
        <w:rPr>
          <w:rFonts w:ascii="Times New Roman" w:eastAsia="Arial" w:hAnsi="Times New Roman" w:cs="Times New Roman"/>
          <w:bCs/>
          <w:sz w:val="24"/>
          <w:szCs w:val="24"/>
          <w:lang w:val="en-GB"/>
        </w:rPr>
        <w:t>е</w:t>
      </w:r>
      <w:proofErr w:type="spellEnd"/>
      <w:r w:rsidRPr="003E68BA">
        <w:rPr>
          <w:rFonts w:ascii="Times New Roman" w:eastAsia="Arial" w:hAnsi="Times New Roman" w:cs="Times New Roman"/>
          <w:bCs/>
          <w:sz w:val="24"/>
          <w:szCs w:val="24"/>
          <w:lang w:val="sr-Latn-RS"/>
        </w:rPr>
        <w:t>:</w:t>
      </w:r>
      <w:r w:rsidRPr="003E68BA">
        <w:rPr>
          <w:rFonts w:ascii="Times New Roman" w:eastAsia="Arial" w:hAnsi="Times New Roman" w:cs="Times New Roman"/>
          <w:bCs/>
          <w:spacing w:val="1"/>
          <w:sz w:val="24"/>
          <w:szCs w:val="24"/>
          <w:lang w:val="sr-Latn-RS"/>
        </w:rPr>
        <w:t xml:space="preserve"> 16/2019</w:t>
      </w:r>
    </w:p>
    <w:p w:rsidR="00AF2F2F" w:rsidRPr="003E68BA" w:rsidRDefault="00AF2F2F" w:rsidP="00AF2F2F">
      <w:pPr>
        <w:tabs>
          <w:tab w:val="left" w:pos="426"/>
        </w:tabs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</w:p>
    <w:p w:rsidR="00AF2F2F" w:rsidRPr="003E68BA" w:rsidRDefault="00AF2F2F" w:rsidP="00700674">
      <w:pPr>
        <w:jc w:val="both"/>
        <w:rPr>
          <w:rFonts w:ascii="Times New Roman" w:eastAsia="MS Mincho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eastAsia="MS Mincho" w:hAnsi="Times New Roman" w:cs="Times New Roman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AF2F2F" w:rsidRPr="003E68BA" w:rsidRDefault="00AF2F2F" w:rsidP="00AF2F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0674" w:rsidRPr="003E68BA" w:rsidRDefault="00AF2F2F" w:rsidP="003D7FDF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b/>
          <w:sz w:val="24"/>
          <w:szCs w:val="24"/>
          <w:lang w:val="sr-Cyrl-CS"/>
        </w:rPr>
        <w:t>ПИТАЊЕ БРОЈ 1</w:t>
      </w:r>
    </w:p>
    <w:p w:rsidR="00AF2F2F" w:rsidRPr="003E68BA" w:rsidRDefault="00AF2F2F" w:rsidP="003D7F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7FDF" w:rsidRDefault="003D7FDF" w:rsidP="003D7FDF">
      <w:pPr>
        <w:spacing w:after="541"/>
        <w:jc w:val="both"/>
        <w:rPr>
          <w:rFonts w:ascii="Times New Roman" w:hAnsi="Times New Roman" w:cs="Times New Roman"/>
          <w:sz w:val="24"/>
          <w:szCs w:val="24"/>
        </w:rPr>
      </w:pPr>
      <w:r w:rsidRPr="003E68B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Тендерске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“)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јединична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повратном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лету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исказана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просечни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оперативни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губитак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r w:rsidRPr="003E68BA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3E68BA">
        <w:rPr>
          <w:rFonts w:ascii="Times New Roman" w:hAnsi="Times New Roman" w:cs="Times New Roman"/>
          <w:i/>
          <w:sz w:val="24"/>
          <w:szCs w:val="24"/>
        </w:rPr>
        <w:t>укључује</w:t>
      </w:r>
      <w:proofErr w:type="spellEnd"/>
      <w:r w:rsidRPr="003E68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i/>
          <w:sz w:val="24"/>
          <w:szCs w:val="24"/>
        </w:rPr>
        <w:t>разумну</w:t>
      </w:r>
      <w:proofErr w:type="spellEnd"/>
      <w:r w:rsidRPr="003E68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i/>
          <w:sz w:val="24"/>
          <w:szCs w:val="24"/>
        </w:rPr>
        <w:t>добит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појасните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подразумевате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појмом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разумна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добит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>“.</w:t>
      </w:r>
    </w:p>
    <w:p w:rsidR="000917A5" w:rsidRPr="000917A5" w:rsidRDefault="000917A5" w:rsidP="003D7FDF">
      <w:pPr>
        <w:spacing w:after="541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917A5">
        <w:rPr>
          <w:rFonts w:ascii="Times New Roman" w:hAnsi="Times New Roman" w:cs="Times New Roman"/>
          <w:b/>
          <w:sz w:val="24"/>
          <w:szCs w:val="24"/>
          <w:lang w:val="sr-Cyrl-CS"/>
        </w:rPr>
        <w:t>ОДГОВОР БРОЈ 1</w:t>
      </w:r>
    </w:p>
    <w:p w:rsidR="004E7FAE" w:rsidRPr="003E68BA" w:rsidRDefault="004E7FAE" w:rsidP="004E7FAE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Према </w:t>
      </w:r>
      <w:r w:rsidRPr="003E68BA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УРЕДБИ о условима за проглашење линије у јавном интересу у ваздушном саобраћају „Службени гласник РС", број 6 од 01. фебруара 2019. </w:t>
      </w:r>
      <w:r w:rsidRPr="003E68BA">
        <w:rPr>
          <w:rFonts w:ascii="Times New Roman" w:hAnsi="Times New Roman" w:cs="Times New Roman"/>
          <w:bCs/>
          <w:sz w:val="24"/>
          <w:szCs w:val="24"/>
          <w:lang w:val="sr-Cyrl-CS"/>
        </w:rPr>
        <w:t>према Члану 2. тачка 3.</w:t>
      </w:r>
    </w:p>
    <w:p w:rsidR="004E7FAE" w:rsidRPr="003E68BA" w:rsidRDefault="004E7FAE" w:rsidP="004E7FAE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bCs/>
          <w:sz w:val="24"/>
          <w:szCs w:val="24"/>
          <w:lang w:val="sr-Cyrl-CS"/>
        </w:rPr>
        <w:t>„Р</w:t>
      </w:r>
      <w:r w:rsidRPr="003E68BA">
        <w:rPr>
          <w:rFonts w:ascii="Times New Roman" w:hAnsi="Times New Roman" w:cs="Times New Roman"/>
          <w:bCs/>
          <w:sz w:val="24"/>
          <w:szCs w:val="24"/>
          <w:lang w:val="sr-Latn-BA"/>
        </w:rPr>
        <w:t>азумна добит јесте стoпа принoсa нa улoжeни кaпитaл, узимајући у обзир и ниво ризика, кojу би, зa пeриoд у кojeм je у oбaвeзи да обавља авио-превоз на линији у јавном интересу у ваздушном саобраћају, oчeкивao авио-превозилац кojи пoслуje прeмa принципимa тржишнoг пoслoвaњa. Стoпa принoсa нa кaпитaл oзнaчaвa интeрну стoпу рeнтaбилнoсти привредног субјекта у цeлoкупнoм пeриoду трajaњa oвлaшћења, oднoснo интeрну стoпу принoсa нa улoжeни кaпитaл</w:t>
      </w:r>
      <w:r w:rsidRPr="003E68BA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:rsidR="004E7FAE" w:rsidRPr="003E68BA" w:rsidRDefault="004E7FAE" w:rsidP="004E7FA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CS"/>
        </w:rPr>
      </w:pPr>
    </w:p>
    <w:p w:rsidR="003D7FDF" w:rsidRPr="003E68BA" w:rsidRDefault="003D7FDF" w:rsidP="003D7FDF">
      <w:pPr>
        <w:pStyle w:val="Heading1"/>
        <w:spacing w:after="246"/>
        <w:ind w:left="0" w:firstLine="0"/>
        <w:jc w:val="both"/>
        <w:rPr>
          <w:color w:val="auto"/>
          <w:szCs w:val="24"/>
        </w:rPr>
      </w:pPr>
      <w:r w:rsidRPr="003E68BA">
        <w:rPr>
          <w:color w:val="auto"/>
          <w:szCs w:val="24"/>
        </w:rPr>
        <w:lastRenderedPageBreak/>
        <w:t>ПИТАЊЕ БРОЈ 2</w:t>
      </w:r>
    </w:p>
    <w:p w:rsidR="003D7FDF" w:rsidRPr="003E68BA" w:rsidRDefault="003D7FDF" w:rsidP="003D7F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Тендерске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1 у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последњој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колони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опција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кључно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особље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запослено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(ii)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ангажовано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молим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појасните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мисли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појмом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ангажован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каквим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тачно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закључи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кључним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особљем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>?</w:t>
      </w:r>
    </w:p>
    <w:p w:rsidR="003D7FDF" w:rsidRDefault="003D7FDF" w:rsidP="003D7F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17A5" w:rsidRDefault="000917A5" w:rsidP="000917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917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ОДГОВОР БРОЈ 2 </w:t>
      </w:r>
    </w:p>
    <w:p w:rsidR="000917A5" w:rsidRPr="000917A5" w:rsidRDefault="000917A5" w:rsidP="000917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7FDF" w:rsidRPr="003E68BA" w:rsidRDefault="003D7FDF" w:rsidP="003D7F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>Лица ангажована по уговору су лица са којима је понуђач закључио следеће уговоре у складу са Законом о раду:</w:t>
      </w:r>
    </w:p>
    <w:p w:rsidR="003D7FDF" w:rsidRPr="003E68BA" w:rsidRDefault="003D7FDF" w:rsidP="003D7FD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 о привременим и повременим пословима </w:t>
      </w:r>
    </w:p>
    <w:p w:rsidR="003D7FDF" w:rsidRPr="003E68BA" w:rsidRDefault="003D7FDF" w:rsidP="003D7FD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 о допунском раду или </w:t>
      </w:r>
    </w:p>
    <w:p w:rsidR="003D7FDF" w:rsidRPr="003E68BA" w:rsidRDefault="003D7FDF" w:rsidP="003D7FD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 о делу. </w:t>
      </w:r>
    </w:p>
    <w:p w:rsidR="003D7FDF" w:rsidRPr="003E68BA" w:rsidRDefault="003D7FDF" w:rsidP="003D7FDF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7FDF" w:rsidRPr="003E68BA" w:rsidRDefault="003D7FDF" w:rsidP="00CB754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 xml:space="preserve">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одбитку, односно ППП-ПД пријаве за месец који претходи месецу објаве позива за подношење понуда, оверену печатом и потписом овлашћеног лица понуђача, тако да се у тачки 4) прикажу наведена лица. </w:t>
      </w:r>
    </w:p>
    <w:p w:rsidR="003D7FDF" w:rsidRPr="003E68BA" w:rsidRDefault="003D7FDF" w:rsidP="003D7F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>За радно ангажоване по другим основама у складу са Законом о раду, уз уговор о радном ангажовању доставити  потврду о поднетој пријави-одјави осигурања (М образац или други одговарајући образац).</w:t>
      </w:r>
    </w:p>
    <w:p w:rsidR="003D7FDF" w:rsidRPr="003E68BA" w:rsidRDefault="003D7FDF" w:rsidP="003D7FDF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7FDF" w:rsidRPr="003E68BA" w:rsidRDefault="003D7FDF" w:rsidP="00CB754D">
      <w:pPr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>Потребно је да сви наведени уговори буду закључени пре подношења понуда.</w:t>
      </w:r>
    </w:p>
    <w:p w:rsidR="003D7FDF" w:rsidRPr="003E68BA" w:rsidRDefault="003D7FDF" w:rsidP="003D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FDF" w:rsidRPr="003E68BA" w:rsidRDefault="003D7FDF" w:rsidP="003D7FDF">
      <w:pPr>
        <w:pStyle w:val="Heading1"/>
        <w:spacing w:after="522"/>
        <w:ind w:left="0" w:firstLine="0"/>
        <w:jc w:val="both"/>
        <w:rPr>
          <w:color w:val="auto"/>
          <w:szCs w:val="24"/>
        </w:rPr>
      </w:pPr>
      <w:r w:rsidRPr="003E68BA">
        <w:rPr>
          <w:color w:val="auto"/>
          <w:szCs w:val="24"/>
        </w:rPr>
        <w:t>ПИТАЊЕ БРОЈ 3</w:t>
      </w:r>
    </w:p>
    <w:p w:rsidR="003D7FDF" w:rsidRDefault="003D7FDF" w:rsidP="003D7FDF">
      <w:pPr>
        <w:jc w:val="both"/>
        <w:rPr>
          <w:rFonts w:ascii="Times New Roman" w:hAnsi="Times New Roman" w:cs="Times New Roman"/>
          <w:sz w:val="24"/>
          <w:szCs w:val="24"/>
        </w:rPr>
      </w:pPr>
      <w:r w:rsidRPr="003E68B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прикаже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оперативног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трошка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превазилази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финансијску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оператативни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трошак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моћи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покривају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оперативни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трошак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(а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>)?</w:t>
      </w:r>
    </w:p>
    <w:p w:rsidR="000917A5" w:rsidRDefault="000917A5" w:rsidP="003D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7A5" w:rsidRPr="000917A5" w:rsidRDefault="000917A5" w:rsidP="003D7FDF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917A5">
        <w:rPr>
          <w:rFonts w:ascii="Times New Roman" w:hAnsi="Times New Roman" w:cs="Times New Roman"/>
          <w:b/>
          <w:sz w:val="24"/>
          <w:szCs w:val="24"/>
          <w:lang w:val="sr-Cyrl-CS"/>
        </w:rPr>
        <w:t>ОДГОВОР БРОЈ 3</w:t>
      </w:r>
    </w:p>
    <w:p w:rsidR="003D7FDF" w:rsidRPr="003E68BA" w:rsidRDefault="003D7FDF" w:rsidP="003D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7A5" w:rsidRDefault="003D7FDF" w:rsidP="000917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тендерској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E6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BA">
        <w:rPr>
          <w:rFonts w:ascii="Times New Roman" w:hAnsi="Times New Roman" w:cs="Times New Roman"/>
          <w:sz w:val="24"/>
          <w:szCs w:val="24"/>
        </w:rPr>
        <w:t>исплатити</w:t>
      </w:r>
      <w:proofErr w:type="spellEnd"/>
    </w:p>
    <w:p w:rsidR="000917A5" w:rsidRDefault="000917A5" w:rsidP="000917A5">
      <w:pPr>
        <w:jc w:val="both"/>
        <w:rPr>
          <w:szCs w:val="24"/>
        </w:rPr>
      </w:pPr>
    </w:p>
    <w:p w:rsidR="003D7FDF" w:rsidRPr="003E68BA" w:rsidRDefault="003D7FDF" w:rsidP="003D7FDF">
      <w:pPr>
        <w:pStyle w:val="Heading1"/>
        <w:spacing w:after="522"/>
        <w:ind w:left="0" w:firstLine="0"/>
        <w:jc w:val="both"/>
        <w:rPr>
          <w:color w:val="auto"/>
          <w:szCs w:val="24"/>
        </w:rPr>
      </w:pPr>
      <w:r w:rsidRPr="003E68BA">
        <w:rPr>
          <w:color w:val="auto"/>
          <w:szCs w:val="24"/>
        </w:rPr>
        <w:lastRenderedPageBreak/>
        <w:t>ПИТАЊЕ БРОЈ 4</w:t>
      </w:r>
    </w:p>
    <w:p w:rsidR="003D7FDF" w:rsidRDefault="003D7FDF" w:rsidP="003D7FDF">
      <w:pPr>
        <w:pStyle w:val="Heading1"/>
        <w:spacing w:after="522"/>
        <w:ind w:left="0" w:firstLine="0"/>
        <w:jc w:val="both"/>
        <w:rPr>
          <w:b w:val="0"/>
          <w:color w:val="auto"/>
          <w:szCs w:val="24"/>
        </w:rPr>
      </w:pPr>
      <w:proofErr w:type="spellStart"/>
      <w:r w:rsidRPr="003E68BA">
        <w:rPr>
          <w:b w:val="0"/>
          <w:color w:val="auto"/>
          <w:szCs w:val="24"/>
        </w:rPr>
        <w:t>Да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ли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ће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понуда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понуђача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који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има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свој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сопствени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Глобални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дистрибутивни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систем</w:t>
      </w:r>
      <w:proofErr w:type="spellEnd"/>
      <w:r w:rsidRPr="003E68BA">
        <w:rPr>
          <w:b w:val="0"/>
          <w:color w:val="auto"/>
          <w:szCs w:val="24"/>
        </w:rPr>
        <w:t xml:space="preserve"> (</w:t>
      </w:r>
      <w:proofErr w:type="spellStart"/>
      <w:r w:rsidRPr="003E68BA">
        <w:rPr>
          <w:b w:val="0"/>
          <w:color w:val="auto"/>
          <w:szCs w:val="24"/>
        </w:rPr>
        <w:t>који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је</w:t>
      </w:r>
      <w:proofErr w:type="spellEnd"/>
      <w:r w:rsidRPr="003E68BA">
        <w:rPr>
          <w:b w:val="0"/>
          <w:color w:val="auto"/>
          <w:szCs w:val="24"/>
        </w:rPr>
        <w:t xml:space="preserve"> у </w:t>
      </w:r>
      <w:proofErr w:type="spellStart"/>
      <w:r w:rsidRPr="003E68BA">
        <w:rPr>
          <w:b w:val="0"/>
          <w:color w:val="auto"/>
          <w:szCs w:val="24"/>
        </w:rPr>
        <w:t>власништву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понуђача</w:t>
      </w:r>
      <w:proofErr w:type="spellEnd"/>
      <w:r w:rsidRPr="003E68BA">
        <w:rPr>
          <w:b w:val="0"/>
          <w:color w:val="auto"/>
          <w:szCs w:val="24"/>
        </w:rPr>
        <w:t xml:space="preserve"> и </w:t>
      </w:r>
      <w:proofErr w:type="spellStart"/>
      <w:r w:rsidRPr="003E68BA">
        <w:rPr>
          <w:b w:val="0"/>
          <w:color w:val="auto"/>
          <w:szCs w:val="24"/>
        </w:rPr>
        <w:t>којим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управља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понуђач</w:t>
      </w:r>
      <w:proofErr w:type="spellEnd"/>
      <w:r w:rsidRPr="003E68BA">
        <w:rPr>
          <w:b w:val="0"/>
          <w:color w:val="auto"/>
          <w:szCs w:val="24"/>
        </w:rPr>
        <w:t xml:space="preserve">) </w:t>
      </w:r>
      <w:proofErr w:type="spellStart"/>
      <w:r w:rsidRPr="003E68BA">
        <w:rPr>
          <w:b w:val="0"/>
          <w:color w:val="auto"/>
          <w:szCs w:val="24"/>
        </w:rPr>
        <w:t>добити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број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пондера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као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има</w:t>
      </w:r>
      <w:proofErr w:type="spellEnd"/>
      <w:r w:rsidRPr="003E68BA">
        <w:rPr>
          <w:b w:val="0"/>
          <w:color w:val="auto"/>
          <w:szCs w:val="24"/>
        </w:rPr>
        <w:t xml:space="preserve"> 1оператера, </w:t>
      </w:r>
      <w:proofErr w:type="spellStart"/>
      <w:r w:rsidRPr="003E68BA">
        <w:rPr>
          <w:b w:val="0"/>
          <w:color w:val="auto"/>
          <w:szCs w:val="24"/>
        </w:rPr>
        <w:t>сходно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страни</w:t>
      </w:r>
      <w:proofErr w:type="spellEnd"/>
      <w:r w:rsidRPr="003E68BA">
        <w:rPr>
          <w:b w:val="0"/>
          <w:color w:val="auto"/>
          <w:szCs w:val="24"/>
        </w:rPr>
        <w:t xml:space="preserve"> 21 </w:t>
      </w:r>
      <w:proofErr w:type="spellStart"/>
      <w:r w:rsidRPr="003E68BA">
        <w:rPr>
          <w:b w:val="0"/>
          <w:color w:val="auto"/>
          <w:szCs w:val="24"/>
        </w:rPr>
        <w:t>Тендерске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документације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која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прописује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пондере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за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Глобални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дистрибутивни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систем</w:t>
      </w:r>
      <w:proofErr w:type="spellEnd"/>
      <w:r w:rsidRPr="003E68BA">
        <w:rPr>
          <w:b w:val="0"/>
          <w:color w:val="auto"/>
          <w:szCs w:val="24"/>
        </w:rPr>
        <w:t xml:space="preserve">, и </w:t>
      </w:r>
      <w:proofErr w:type="spellStart"/>
      <w:r w:rsidRPr="003E68BA">
        <w:rPr>
          <w:b w:val="0"/>
          <w:color w:val="auto"/>
          <w:szCs w:val="24"/>
        </w:rPr>
        <w:t>које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доказе</w:t>
      </w:r>
      <w:proofErr w:type="spellEnd"/>
      <w:r w:rsidRPr="003E68BA">
        <w:rPr>
          <w:b w:val="0"/>
          <w:color w:val="auto"/>
          <w:szCs w:val="24"/>
        </w:rPr>
        <w:t xml:space="preserve"> у </w:t>
      </w:r>
      <w:proofErr w:type="spellStart"/>
      <w:r w:rsidRPr="003E68BA">
        <w:rPr>
          <w:b w:val="0"/>
          <w:color w:val="auto"/>
          <w:szCs w:val="24"/>
        </w:rPr>
        <w:t>том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смислу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је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потребно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да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понуђач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достави</w:t>
      </w:r>
      <w:proofErr w:type="spellEnd"/>
      <w:r w:rsidRPr="003E68BA">
        <w:rPr>
          <w:b w:val="0"/>
          <w:color w:val="auto"/>
          <w:szCs w:val="24"/>
        </w:rPr>
        <w:t xml:space="preserve"> </w:t>
      </w:r>
      <w:proofErr w:type="spellStart"/>
      <w:r w:rsidRPr="003E68BA">
        <w:rPr>
          <w:b w:val="0"/>
          <w:color w:val="auto"/>
          <w:szCs w:val="24"/>
        </w:rPr>
        <w:t>Наручиоцу</w:t>
      </w:r>
      <w:proofErr w:type="spellEnd"/>
      <w:r w:rsidRPr="003E68BA">
        <w:rPr>
          <w:b w:val="0"/>
          <w:color w:val="auto"/>
          <w:szCs w:val="24"/>
        </w:rPr>
        <w:t xml:space="preserve"> у </w:t>
      </w:r>
      <w:proofErr w:type="spellStart"/>
      <w:r w:rsidRPr="003E68BA">
        <w:rPr>
          <w:b w:val="0"/>
          <w:color w:val="auto"/>
          <w:szCs w:val="24"/>
        </w:rPr>
        <w:t>понуди</w:t>
      </w:r>
      <w:proofErr w:type="spellEnd"/>
      <w:r w:rsidRPr="003E68BA">
        <w:rPr>
          <w:b w:val="0"/>
          <w:color w:val="auto"/>
          <w:szCs w:val="24"/>
        </w:rPr>
        <w:t>.</w:t>
      </w:r>
    </w:p>
    <w:p w:rsidR="000917A5" w:rsidRDefault="000917A5" w:rsidP="000917A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917A5">
        <w:rPr>
          <w:rFonts w:ascii="Times New Roman" w:hAnsi="Times New Roman" w:cs="Times New Roman"/>
          <w:b/>
          <w:sz w:val="24"/>
          <w:szCs w:val="24"/>
          <w:lang w:val="sr-Cyrl-CS"/>
        </w:rPr>
        <w:t>ОДГОВОР БРОЈ 4</w:t>
      </w:r>
    </w:p>
    <w:p w:rsidR="000917A5" w:rsidRPr="000917A5" w:rsidRDefault="000917A5" w:rsidP="000917A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E7FAE" w:rsidRPr="003E68BA" w:rsidRDefault="004E7FAE" w:rsidP="003D7F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 xml:space="preserve">Да. </w:t>
      </w:r>
    </w:p>
    <w:p w:rsidR="00AF2F2F" w:rsidRPr="003E68BA" w:rsidRDefault="004E7FAE" w:rsidP="003D7FDF">
      <w:pPr>
        <w:jc w:val="both"/>
        <w:rPr>
          <w:rFonts w:ascii="Times New Roman" w:hAnsi="Times New Roman" w:cs="Times New Roman"/>
          <w:caps/>
          <w:sz w:val="24"/>
          <w:szCs w:val="24"/>
          <w:lang w:val="sr-Cyrl-RS"/>
        </w:rPr>
      </w:pPr>
      <w:r w:rsidRPr="003E68BA">
        <w:rPr>
          <w:rFonts w:ascii="Times New Roman" w:hAnsi="Times New Roman" w:cs="Times New Roman"/>
          <w:sz w:val="24"/>
          <w:szCs w:val="24"/>
          <w:lang w:val="sr-Cyrl-CS"/>
        </w:rPr>
        <w:t xml:space="preserve">Понуђач је потребно да достави релевантне доказе којима се доказује власништво и управљање над </w:t>
      </w:r>
      <w:r w:rsidRPr="003E68BA">
        <w:rPr>
          <w:rFonts w:ascii="Times New Roman" w:hAnsi="Times New Roman" w:cs="Times New Roman"/>
          <w:sz w:val="24"/>
          <w:szCs w:val="24"/>
          <w:lang w:val="sr-Latn-BA"/>
        </w:rPr>
        <w:t>Глобални</w:t>
      </w:r>
      <w:r w:rsidRPr="003E68BA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3E68BA">
        <w:rPr>
          <w:rFonts w:ascii="Times New Roman" w:hAnsi="Times New Roman" w:cs="Times New Roman"/>
          <w:sz w:val="24"/>
          <w:szCs w:val="24"/>
          <w:lang w:val="sr-Latn-BA"/>
        </w:rPr>
        <w:t xml:space="preserve"> дистрибутивни</w:t>
      </w:r>
      <w:r w:rsidRPr="003E68BA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3E68BA">
        <w:rPr>
          <w:rFonts w:ascii="Times New Roman" w:hAnsi="Times New Roman" w:cs="Times New Roman"/>
          <w:sz w:val="24"/>
          <w:szCs w:val="24"/>
          <w:lang w:val="sr-Latn-BA"/>
        </w:rPr>
        <w:t xml:space="preserve"> систем</w:t>
      </w:r>
      <w:r w:rsidRPr="003E68BA">
        <w:rPr>
          <w:rFonts w:ascii="Times New Roman" w:hAnsi="Times New Roman" w:cs="Times New Roman"/>
          <w:sz w:val="24"/>
          <w:szCs w:val="24"/>
          <w:lang w:val="sr-Cyrl-CS"/>
        </w:rPr>
        <w:t>ом</w:t>
      </w:r>
    </w:p>
    <w:sectPr w:rsidR="00AF2F2F" w:rsidRPr="003E6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9C4"/>
    <w:multiLevelType w:val="multilevel"/>
    <w:tmpl w:val="0276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B9C6365"/>
    <w:multiLevelType w:val="hybridMultilevel"/>
    <w:tmpl w:val="EAB25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58B8"/>
    <w:multiLevelType w:val="hybridMultilevel"/>
    <w:tmpl w:val="971EE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E0E89"/>
    <w:multiLevelType w:val="hybridMultilevel"/>
    <w:tmpl w:val="7578E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74"/>
    <w:rsid w:val="00043379"/>
    <w:rsid w:val="000917A5"/>
    <w:rsid w:val="00111C05"/>
    <w:rsid w:val="00174D66"/>
    <w:rsid w:val="002B507E"/>
    <w:rsid w:val="00374F9E"/>
    <w:rsid w:val="003D4D10"/>
    <w:rsid w:val="003D7FDF"/>
    <w:rsid w:val="003E68BA"/>
    <w:rsid w:val="003E703C"/>
    <w:rsid w:val="004E7FAE"/>
    <w:rsid w:val="005F50DF"/>
    <w:rsid w:val="006A78BD"/>
    <w:rsid w:val="00700674"/>
    <w:rsid w:val="00761F62"/>
    <w:rsid w:val="007929DA"/>
    <w:rsid w:val="00806D6E"/>
    <w:rsid w:val="00886A15"/>
    <w:rsid w:val="00A3319E"/>
    <w:rsid w:val="00A34E0D"/>
    <w:rsid w:val="00AF2F2F"/>
    <w:rsid w:val="00B15A35"/>
    <w:rsid w:val="00CA5FD8"/>
    <w:rsid w:val="00CB754D"/>
    <w:rsid w:val="00CF09AF"/>
    <w:rsid w:val="00ED601C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6C89"/>
  <w15:chartTrackingRefBased/>
  <w15:docId w15:val="{23B69D7D-97F4-4F6A-BD85-125BA1FB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uiPriority w:val="9"/>
    <w:qFormat/>
    <w:rsid w:val="003D7FDF"/>
    <w:pPr>
      <w:keepNext/>
      <w:keepLines/>
      <w:spacing w:after="0" w:line="264" w:lineRule="auto"/>
      <w:ind w:left="106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74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6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7FDF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Milicevic</dc:creator>
  <cp:keywords/>
  <dc:description/>
  <cp:lastModifiedBy>Milica Milosavljević</cp:lastModifiedBy>
  <cp:revision>32</cp:revision>
  <cp:lastPrinted>2019-04-18T10:43:00Z</cp:lastPrinted>
  <dcterms:created xsi:type="dcterms:W3CDTF">2019-04-11T08:46:00Z</dcterms:created>
  <dcterms:modified xsi:type="dcterms:W3CDTF">2019-04-18T13:19:00Z</dcterms:modified>
</cp:coreProperties>
</file>