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noProof/>
                <w:kern w:val="0"/>
                <w:sz w:val="24"/>
                <w:szCs w:val="24"/>
                <w:lang w:val="sr-Cyrl-CS" w:eastAsia="sr-Cyrl-CS"/>
              </w:rPr>
              <w:drawing>
                <wp:inline distT="0" distB="0" distL="0" distR="0" wp14:anchorId="6C969F9F" wp14:editId="69768A0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8547B3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Република Србија</w:t>
            </w:r>
          </w:p>
        </w:tc>
      </w:tr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МИНИСТАРСТВО ГРАЂЕВИНАРСТВА,</w:t>
            </w:r>
          </w:p>
        </w:tc>
      </w:tr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САОБРАЋАЈА И ИНФРАСТРУКТУРЕ</w:t>
            </w:r>
          </w:p>
        </w:tc>
      </w:tr>
      <w:tr w:rsidR="0042562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</w:pP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  <w:t>Број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: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6E7381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404-02-111</w:t>
            </w:r>
            <w:r w:rsidR="00BD0EA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/7</w:t>
            </w:r>
            <w:r w:rsidR="005353A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/2017-02</w:t>
            </w:r>
          </w:p>
        </w:tc>
      </w:tr>
      <w:tr w:rsidR="0042562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BD0EA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</w:pP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  <w:t>Датум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: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842F8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2</w:t>
            </w:r>
            <w:r w:rsidR="00BD0EA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Latn-CS" w:eastAsia="en-US"/>
              </w:rPr>
              <w:t>7</w:t>
            </w:r>
            <w:r w:rsidR="00842F8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.10</w:t>
            </w:r>
            <w:r w:rsidR="005353A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.2017. </w:t>
            </w:r>
            <w:r w:rsidR="005353A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године</w:t>
            </w:r>
          </w:p>
        </w:tc>
      </w:tr>
      <w:tr w:rsidR="0042562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  <w:t>Немањина 22-26, Београд</w:t>
            </w:r>
          </w:p>
        </w:tc>
      </w:tr>
    </w:tbl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5187" w:rsidRDefault="004965C2" w:rsidP="00BD0EA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ПРЕДМЕТ: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Појашњење конкурсне документације за </w:t>
      </w:r>
      <w:r w:rsidR="00115187" w:rsidRPr="004468DC">
        <w:rPr>
          <w:rFonts w:ascii="Times New Roman" w:hAnsi="Times New Roman"/>
          <w:b/>
          <w:sz w:val="24"/>
          <w:szCs w:val="24"/>
          <w:lang w:val="sr-Cyrl-CS"/>
        </w:rPr>
        <w:t>извођење радова на</w:t>
      </w:r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5187" w:rsidRPr="004468DC">
        <w:rPr>
          <w:rFonts w:ascii="Times New Roman" w:hAnsi="Times New Roman"/>
          <w:b/>
          <w:bCs/>
          <w:sz w:val="24"/>
          <w:szCs w:val="24"/>
        </w:rPr>
        <w:t>изградњи</w:t>
      </w:r>
      <w:proofErr w:type="spellEnd"/>
      <w:r w:rsidR="00115187" w:rsidRPr="004468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>јавне железничке пруге</w:t>
      </w:r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5187" w:rsidRPr="004468DC">
        <w:rPr>
          <w:rFonts w:ascii="Times New Roman" w:hAnsi="Times New Roman"/>
          <w:b/>
          <w:bCs/>
          <w:sz w:val="24"/>
          <w:szCs w:val="24"/>
        </w:rPr>
        <w:t>од</w:t>
      </w:r>
      <w:proofErr w:type="spellEnd"/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постојеће </w:t>
      </w:r>
      <w:proofErr w:type="spellStart"/>
      <w:r w:rsidR="00115187" w:rsidRPr="004468DC">
        <w:rPr>
          <w:rFonts w:ascii="Times New Roman" w:hAnsi="Times New Roman"/>
          <w:b/>
          <w:bCs/>
          <w:sz w:val="24"/>
          <w:szCs w:val="24"/>
        </w:rPr>
        <w:t>пруге</w:t>
      </w:r>
      <w:proofErr w:type="spellEnd"/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>Смедерево-Мала Крсна до терминала за расуте и генералне терете Луке Смедерево,</w:t>
      </w:r>
      <w:r w:rsidR="00BD0EA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>прва фаза,</w:t>
      </w:r>
      <w:r w:rsidR="00115187" w:rsidRPr="004468DC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r w:rsidR="00115187" w:rsidRPr="004468D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број ЈН 26</w:t>
      </w:r>
      <w:r w:rsidR="00115187" w:rsidRPr="004468DC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/2017</w:t>
      </w:r>
    </w:p>
    <w:p w:rsidR="004468DC" w:rsidRPr="004468DC" w:rsidRDefault="004468DC" w:rsidP="004468D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965C2" w:rsidRPr="004468DC" w:rsidRDefault="004965C2" w:rsidP="004468DC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Предмер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Књига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11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Свеска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11.1 -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Архитектонско-грађевински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пројекат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станичне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зграде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железничка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станица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Смедерево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лука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1)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група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: 4.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Зидарски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позиција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4.9: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Набавка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материјала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израда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цементног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малтера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размере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1:3.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као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заштита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хидроизолације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у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опису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позиције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пише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обрачун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м2, а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наведена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јединица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мере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м3. 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јединица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мере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важећа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BD0EAC" w:rsidRPr="00BD0EAC" w:rsidRDefault="00BD0EAC" w:rsidP="00BD0EA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Одговор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Важећа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јединица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мере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 м2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2: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Предмер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Књига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11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Свеска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11.1 -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Архитектонско-грађевински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пројекат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станичне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зграде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железничка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станица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Смедерево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лука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1)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група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: 14.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Разни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позиција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14.4: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Набавка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постављање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табле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исписивањем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назива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објекта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у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свему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прописима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ову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врсту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јавног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обележавања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комад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1.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Молимо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Вас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доставите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цртеже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детаље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детаљан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опис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ове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табле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димензије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материјализацију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натпис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табли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светлећа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слободно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стојећа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0EAC" w:rsidRPr="00BD0EAC" w:rsidRDefault="00BD0EAC" w:rsidP="00BD0EA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Одговор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Табла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израђује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пластифицираног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алуминијумског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лима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табле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шрафе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челичну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конструкцију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цевастих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профила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преко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челичних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везних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елемената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Челични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везни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елементи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носе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две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табле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пластифицираног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алуминијумског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лима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дебљине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д= 3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мм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све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спојеве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обрадити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заштитити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таблу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поставити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рефлектујућу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фолију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све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челичне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елементе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бојити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бојом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метал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два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слоја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предходном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припремом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заштитом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антикорозивним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премазима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подлога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плава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RаІ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9006,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натпис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бела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RаІ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9003. (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предлог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цртежа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прилогу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).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Табла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није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светлећа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3: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Предмер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Књига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11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Свеска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11.1 -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Архитектонско-грађевински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пројекат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станичне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зграде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железничка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станица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Смедерево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лука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1)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група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: 14.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Разни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радови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позиција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14.5: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Набавка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материјала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израда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уградња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ознака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бројем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називом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просторије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комада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10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Молимо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додатна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појашњења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вези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димензија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материјализације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начина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монтаже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као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назива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натписа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треба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дати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понуду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D0EAC" w:rsidRPr="00FD2F06" w:rsidRDefault="00BD0EAC" w:rsidP="00BD0EA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Одговор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Цртеж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описом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прилогу</w:t>
      </w:r>
      <w:proofErr w:type="spellEnd"/>
      <w:r w:rsidR="006712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4: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Везано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ваш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одговор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број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7,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23.10.2017.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године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Извештајем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акредитоване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лабораторије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пробне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деонице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може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доказати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техничка</w:t>
      </w:r>
      <w:proofErr w:type="spellEnd"/>
      <w:proofErr w:type="gram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спецификација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потребну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збијеност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траженог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слоја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предмет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ове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јавне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набавке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где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доказано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опрема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укључујући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ваљак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24т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испунила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тражени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критеријум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степен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збијености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мин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98? 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Желимо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напоменемо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пробна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деоница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путу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вишег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ранга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него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што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путеви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оквиру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ове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јавне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набавке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0EAC" w:rsidRPr="00BD0EAC" w:rsidRDefault="00BD0EAC" w:rsidP="00BD0EA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Одговор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Прихвата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се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Извештај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акредитоване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лабораторије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као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доказ</w:t>
      </w:r>
      <w:proofErr w:type="spellEnd"/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5: У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делу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доказивања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2.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Додатни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услови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BD0EAC">
        <w:rPr>
          <w:rFonts w:ascii="Times New Roman" w:hAnsi="Times New Roman"/>
          <w:color w:val="000000" w:themeColor="text1"/>
          <w:sz w:val="24"/>
          <w:szCs w:val="24"/>
        </w:rPr>
        <w:t>5.Услов</w:t>
      </w:r>
      <w:proofErr w:type="gram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страни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21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105,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написано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понуђач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располаже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Опремом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монтажу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мостовских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носача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комплета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1, а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навели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сте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посебно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специјалну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оплату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ливење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делова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конструкције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лицу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места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потребном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скелом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аутодизалицу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кран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D0EAC" w:rsidRPr="00BD0EAC" w:rsidRDefault="00BD0EAC" w:rsidP="00BD0E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Шта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подразумевате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поред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горе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наведеног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налази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комплету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опреме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монтажу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мостовских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носача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која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потребна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предмет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ове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јавне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color w:val="000000" w:themeColor="text1"/>
          <w:sz w:val="24"/>
          <w:szCs w:val="24"/>
        </w:rPr>
        <w:t>набавке</w:t>
      </w:r>
      <w:proofErr w:type="spellEnd"/>
      <w:r w:rsidRPr="00BD0EAC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4965C2" w:rsidRPr="00BD0EAC" w:rsidRDefault="00BD0EAC" w:rsidP="00BD0EA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Одговор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Опрема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монтажу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мостовских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носача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подразумева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наведено</w:t>
      </w:r>
      <w:proofErr w:type="spellEnd"/>
      <w:r w:rsidRPr="00BD0EA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7381" w:rsidRPr="004468DC" w:rsidRDefault="006E7381" w:rsidP="004468DC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6E7381" w:rsidRPr="004468DC" w:rsidSect="004468DC">
      <w:footerReference w:type="default" r:id="rId9"/>
      <w:pgSz w:w="11906" w:h="16838" w:code="9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C7" w:rsidRDefault="00874BC7" w:rsidP="00D96119">
      <w:pPr>
        <w:spacing w:after="0" w:line="240" w:lineRule="auto"/>
      </w:pPr>
      <w:r>
        <w:separator/>
      </w:r>
    </w:p>
  </w:endnote>
  <w:endnote w:type="continuationSeparator" w:id="0">
    <w:p w:rsidR="00874BC7" w:rsidRDefault="00874BC7" w:rsidP="00D9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728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119" w:rsidRDefault="00D96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2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119" w:rsidRDefault="00D96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C7" w:rsidRDefault="00874BC7" w:rsidP="00D96119">
      <w:pPr>
        <w:spacing w:after="0" w:line="240" w:lineRule="auto"/>
      </w:pPr>
      <w:r>
        <w:separator/>
      </w:r>
    </w:p>
  </w:footnote>
  <w:footnote w:type="continuationSeparator" w:id="0">
    <w:p w:rsidR="00874BC7" w:rsidRDefault="00874BC7" w:rsidP="00D9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4E0"/>
    <w:multiLevelType w:val="hybridMultilevel"/>
    <w:tmpl w:val="A18AAD8E"/>
    <w:lvl w:ilvl="0" w:tplc="0C28D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2B0C"/>
    <w:multiLevelType w:val="hybridMultilevel"/>
    <w:tmpl w:val="4A7CE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E454C"/>
    <w:multiLevelType w:val="hybridMultilevel"/>
    <w:tmpl w:val="28D866FA"/>
    <w:lvl w:ilvl="0" w:tplc="87425C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3C1"/>
    <w:multiLevelType w:val="hybridMultilevel"/>
    <w:tmpl w:val="D33AD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5FEC"/>
    <w:multiLevelType w:val="hybridMultilevel"/>
    <w:tmpl w:val="550E8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D66"/>
    <w:multiLevelType w:val="hybridMultilevel"/>
    <w:tmpl w:val="AC801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55B5"/>
    <w:multiLevelType w:val="hybridMultilevel"/>
    <w:tmpl w:val="B06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3D5A"/>
    <w:multiLevelType w:val="hybridMultilevel"/>
    <w:tmpl w:val="9F9C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4140"/>
    <w:multiLevelType w:val="hybridMultilevel"/>
    <w:tmpl w:val="53AE8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545BB"/>
    <w:multiLevelType w:val="hybridMultilevel"/>
    <w:tmpl w:val="93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82CE4"/>
    <w:multiLevelType w:val="hybridMultilevel"/>
    <w:tmpl w:val="C0DC6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37AA7"/>
    <w:multiLevelType w:val="hybridMultilevel"/>
    <w:tmpl w:val="DAC2C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E45E6"/>
    <w:multiLevelType w:val="hybridMultilevel"/>
    <w:tmpl w:val="9CB8D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EE"/>
    <w:rsid w:val="00031C85"/>
    <w:rsid w:val="000426AB"/>
    <w:rsid w:val="00042DAF"/>
    <w:rsid w:val="000574F8"/>
    <w:rsid w:val="00062075"/>
    <w:rsid w:val="00071571"/>
    <w:rsid w:val="0008444D"/>
    <w:rsid w:val="000900C7"/>
    <w:rsid w:val="00090234"/>
    <w:rsid w:val="000919E4"/>
    <w:rsid w:val="000A6347"/>
    <w:rsid w:val="000A6DD4"/>
    <w:rsid w:val="000B2C87"/>
    <w:rsid w:val="000B4872"/>
    <w:rsid w:val="00105E63"/>
    <w:rsid w:val="00115187"/>
    <w:rsid w:val="0011565F"/>
    <w:rsid w:val="00134343"/>
    <w:rsid w:val="00146523"/>
    <w:rsid w:val="00153D67"/>
    <w:rsid w:val="001610F8"/>
    <w:rsid w:val="0016476C"/>
    <w:rsid w:val="00167F4F"/>
    <w:rsid w:val="00171923"/>
    <w:rsid w:val="0018027E"/>
    <w:rsid w:val="001823D2"/>
    <w:rsid w:val="001A14EB"/>
    <w:rsid w:val="001E7AD8"/>
    <w:rsid w:val="0020298D"/>
    <w:rsid w:val="00210464"/>
    <w:rsid w:val="00233815"/>
    <w:rsid w:val="00252B8E"/>
    <w:rsid w:val="002A4A36"/>
    <w:rsid w:val="002A50D6"/>
    <w:rsid w:val="002B6BEE"/>
    <w:rsid w:val="002D2FFF"/>
    <w:rsid w:val="002E2FAC"/>
    <w:rsid w:val="002E3743"/>
    <w:rsid w:val="002E4315"/>
    <w:rsid w:val="003145BC"/>
    <w:rsid w:val="00326DF5"/>
    <w:rsid w:val="00331B11"/>
    <w:rsid w:val="00332104"/>
    <w:rsid w:val="003373BA"/>
    <w:rsid w:val="003553B4"/>
    <w:rsid w:val="00362255"/>
    <w:rsid w:val="00364A1E"/>
    <w:rsid w:val="00372757"/>
    <w:rsid w:val="00382486"/>
    <w:rsid w:val="003C6504"/>
    <w:rsid w:val="003C7C77"/>
    <w:rsid w:val="003E020A"/>
    <w:rsid w:val="00407A78"/>
    <w:rsid w:val="00425628"/>
    <w:rsid w:val="00431BE8"/>
    <w:rsid w:val="0044268B"/>
    <w:rsid w:val="00445023"/>
    <w:rsid w:val="004468DC"/>
    <w:rsid w:val="0044780F"/>
    <w:rsid w:val="004514A6"/>
    <w:rsid w:val="0045327A"/>
    <w:rsid w:val="00470CED"/>
    <w:rsid w:val="00473BAB"/>
    <w:rsid w:val="00474D05"/>
    <w:rsid w:val="004965C2"/>
    <w:rsid w:val="004B3AE4"/>
    <w:rsid w:val="004E0970"/>
    <w:rsid w:val="00524168"/>
    <w:rsid w:val="005353A6"/>
    <w:rsid w:val="00541D9A"/>
    <w:rsid w:val="0055010D"/>
    <w:rsid w:val="00556FFF"/>
    <w:rsid w:val="00561F5C"/>
    <w:rsid w:val="00583BC5"/>
    <w:rsid w:val="0059064F"/>
    <w:rsid w:val="005925F8"/>
    <w:rsid w:val="005A5791"/>
    <w:rsid w:val="005A6DF3"/>
    <w:rsid w:val="005C33DF"/>
    <w:rsid w:val="005E0C1F"/>
    <w:rsid w:val="005E277D"/>
    <w:rsid w:val="00602479"/>
    <w:rsid w:val="006131AE"/>
    <w:rsid w:val="00630347"/>
    <w:rsid w:val="006307D3"/>
    <w:rsid w:val="006437BD"/>
    <w:rsid w:val="006446E4"/>
    <w:rsid w:val="00665A6F"/>
    <w:rsid w:val="0067127D"/>
    <w:rsid w:val="006869C1"/>
    <w:rsid w:val="006C26A8"/>
    <w:rsid w:val="006D5C95"/>
    <w:rsid w:val="006D786D"/>
    <w:rsid w:val="006E7381"/>
    <w:rsid w:val="007008B7"/>
    <w:rsid w:val="0073464E"/>
    <w:rsid w:val="00745CCD"/>
    <w:rsid w:val="00751C1B"/>
    <w:rsid w:val="0075316F"/>
    <w:rsid w:val="007664EC"/>
    <w:rsid w:val="007A3F36"/>
    <w:rsid w:val="007F5BAC"/>
    <w:rsid w:val="00830D10"/>
    <w:rsid w:val="00842934"/>
    <w:rsid w:val="00842F86"/>
    <w:rsid w:val="008538A9"/>
    <w:rsid w:val="008547B3"/>
    <w:rsid w:val="0086431A"/>
    <w:rsid w:val="00874BC7"/>
    <w:rsid w:val="008B519F"/>
    <w:rsid w:val="008C191A"/>
    <w:rsid w:val="008C5EF8"/>
    <w:rsid w:val="008E47B7"/>
    <w:rsid w:val="00920D9C"/>
    <w:rsid w:val="00936CDA"/>
    <w:rsid w:val="00944CF2"/>
    <w:rsid w:val="00955E0D"/>
    <w:rsid w:val="009560B7"/>
    <w:rsid w:val="0097218C"/>
    <w:rsid w:val="009A3BD6"/>
    <w:rsid w:val="009B20B2"/>
    <w:rsid w:val="009B3712"/>
    <w:rsid w:val="009C1D69"/>
    <w:rsid w:val="009C357B"/>
    <w:rsid w:val="009C74ED"/>
    <w:rsid w:val="00A012BD"/>
    <w:rsid w:val="00A05ED5"/>
    <w:rsid w:val="00A41F40"/>
    <w:rsid w:val="00A6779F"/>
    <w:rsid w:val="00A67CA0"/>
    <w:rsid w:val="00A72A2B"/>
    <w:rsid w:val="00A7357A"/>
    <w:rsid w:val="00AB0FDC"/>
    <w:rsid w:val="00AB2E62"/>
    <w:rsid w:val="00AB6093"/>
    <w:rsid w:val="00AC6E13"/>
    <w:rsid w:val="00AD01B0"/>
    <w:rsid w:val="00AD5301"/>
    <w:rsid w:val="00AD7CA1"/>
    <w:rsid w:val="00B076A8"/>
    <w:rsid w:val="00B101E5"/>
    <w:rsid w:val="00B122AE"/>
    <w:rsid w:val="00B66033"/>
    <w:rsid w:val="00B86D16"/>
    <w:rsid w:val="00BA0739"/>
    <w:rsid w:val="00BA09D3"/>
    <w:rsid w:val="00BA4BCE"/>
    <w:rsid w:val="00BB0CD3"/>
    <w:rsid w:val="00BB754F"/>
    <w:rsid w:val="00BC16E6"/>
    <w:rsid w:val="00BD0EAC"/>
    <w:rsid w:val="00BD1B33"/>
    <w:rsid w:val="00C62080"/>
    <w:rsid w:val="00C80B94"/>
    <w:rsid w:val="00C84349"/>
    <w:rsid w:val="00CA41B1"/>
    <w:rsid w:val="00CB130D"/>
    <w:rsid w:val="00CB366D"/>
    <w:rsid w:val="00CC0BFE"/>
    <w:rsid w:val="00CC640D"/>
    <w:rsid w:val="00CE1307"/>
    <w:rsid w:val="00CE7E8A"/>
    <w:rsid w:val="00CF3A9E"/>
    <w:rsid w:val="00CF576F"/>
    <w:rsid w:val="00CF5FE6"/>
    <w:rsid w:val="00D07303"/>
    <w:rsid w:val="00D23DA6"/>
    <w:rsid w:val="00D30375"/>
    <w:rsid w:val="00D32EEA"/>
    <w:rsid w:val="00D40774"/>
    <w:rsid w:val="00D52CBF"/>
    <w:rsid w:val="00D572E4"/>
    <w:rsid w:val="00D64262"/>
    <w:rsid w:val="00D81803"/>
    <w:rsid w:val="00D913A2"/>
    <w:rsid w:val="00D96119"/>
    <w:rsid w:val="00DA2378"/>
    <w:rsid w:val="00DE0819"/>
    <w:rsid w:val="00DE136B"/>
    <w:rsid w:val="00DE226C"/>
    <w:rsid w:val="00DF76F5"/>
    <w:rsid w:val="00E02569"/>
    <w:rsid w:val="00E16B3E"/>
    <w:rsid w:val="00E21D73"/>
    <w:rsid w:val="00E252DE"/>
    <w:rsid w:val="00E264E4"/>
    <w:rsid w:val="00E33C77"/>
    <w:rsid w:val="00E35A85"/>
    <w:rsid w:val="00E3608B"/>
    <w:rsid w:val="00E46C89"/>
    <w:rsid w:val="00E52D51"/>
    <w:rsid w:val="00E56DA4"/>
    <w:rsid w:val="00EA3F83"/>
    <w:rsid w:val="00EC51DF"/>
    <w:rsid w:val="00EE3107"/>
    <w:rsid w:val="00EF0E4B"/>
    <w:rsid w:val="00EF6EAB"/>
    <w:rsid w:val="00F000F8"/>
    <w:rsid w:val="00F03629"/>
    <w:rsid w:val="00F13E98"/>
    <w:rsid w:val="00F27958"/>
    <w:rsid w:val="00F330D0"/>
    <w:rsid w:val="00F35322"/>
    <w:rsid w:val="00F40108"/>
    <w:rsid w:val="00F50692"/>
    <w:rsid w:val="00F5343A"/>
    <w:rsid w:val="00F70356"/>
    <w:rsid w:val="00FA2F31"/>
    <w:rsid w:val="00FC1FF2"/>
    <w:rsid w:val="00FD2F06"/>
    <w:rsid w:val="00FE7373"/>
    <w:rsid w:val="00FE7DE7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8AF0"/>
  <w15:chartTrackingRefBased/>
  <w15:docId w15:val="{DE876F88-6D9F-4D08-A18C-1B12119F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78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Normal10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8"/>
    <w:rPr>
      <w:rFonts w:ascii="Segoe UI" w:eastAsia="Calibri" w:hAnsi="Segoe UI" w:cs="Segoe UI"/>
      <w:kern w:val="1"/>
      <w:sz w:val="18"/>
      <w:szCs w:val="18"/>
      <w:lang w:eastAsia="ar-SA"/>
    </w:rPr>
  </w:style>
  <w:style w:type="paragraph" w:customStyle="1" w:styleId="Normal2">
    <w:name w:val="Normal2"/>
    <w:basedOn w:val="Normal"/>
    <w:rsid w:val="0055010D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Char1CharCharCharCharCharChar">
    <w:name w:val="Char1 Char Char Char Char Char Char"/>
    <w:basedOn w:val="Normal"/>
    <w:semiHidden/>
    <w:rsid w:val="0055010D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55010D"/>
    <w:pPr>
      <w:suppressAutoHyphens w:val="0"/>
      <w:spacing w:after="0" w:line="240" w:lineRule="auto"/>
      <w:jc w:val="center"/>
    </w:pPr>
    <w:rPr>
      <w:rFonts w:ascii="YU C Times" w:eastAsia="Times New Roman" w:hAnsi="YU C Times"/>
      <w:b/>
      <w:bCs/>
      <w:kern w:val="0"/>
      <w:sz w:val="24"/>
      <w:szCs w:val="24"/>
      <w:lang w:eastAsia="en-US" w:bidi="he-IL"/>
    </w:rPr>
  </w:style>
  <w:style w:type="character" w:customStyle="1" w:styleId="TitleChar">
    <w:name w:val="Title Char"/>
    <w:basedOn w:val="DefaultParagraphFont"/>
    <w:link w:val="Title"/>
    <w:rsid w:val="0055010D"/>
    <w:rPr>
      <w:rFonts w:ascii="YU C Times" w:eastAsia="Times New Roman" w:hAnsi="YU C Times" w:cs="Times New Roman"/>
      <w:b/>
      <w:bCs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customStyle="1" w:styleId="Char1CharCharCharCharCharChar0">
    <w:name w:val="Char1 Char Char Char Char Char Char"/>
    <w:basedOn w:val="Normal"/>
    <w:semiHidden/>
    <w:rsid w:val="0011565F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rvps1">
    <w:name w:val="rvps1"/>
    <w:basedOn w:val="Normal"/>
    <w:rsid w:val="00CB366D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rvts3">
    <w:name w:val="rvts3"/>
    <w:rsid w:val="00CB366D"/>
    <w:rPr>
      <w:b w:val="0"/>
      <w:bCs w:val="0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025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05E63"/>
    <w:rPr>
      <w:rFonts w:ascii="Calibri" w:eastAsia="Calibri" w:hAnsi="Calibri" w:cs="Times New Roman"/>
      <w:kern w:val="1"/>
      <w:lang w:eastAsia="ar-SA"/>
    </w:rPr>
  </w:style>
  <w:style w:type="paragraph" w:styleId="NoSpacing">
    <w:name w:val="No Spacing"/>
    <w:qFormat/>
    <w:rsid w:val="003C7C7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5306-D7A0-4165-ABE7-83E4B9D9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Đurovic</dc:creator>
  <cp:keywords/>
  <dc:description/>
  <cp:lastModifiedBy>Irena Delić</cp:lastModifiedBy>
  <cp:revision>4</cp:revision>
  <cp:lastPrinted>2017-06-27T12:23:00Z</cp:lastPrinted>
  <dcterms:created xsi:type="dcterms:W3CDTF">2017-10-27T08:13:00Z</dcterms:created>
  <dcterms:modified xsi:type="dcterms:W3CDTF">2017-10-27T11:47:00Z</dcterms:modified>
</cp:coreProperties>
</file>