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E6" w:rsidRDefault="009C0626" w:rsidP="006644DB">
      <w:pPr>
        <w:spacing w:after="150" w:line="240" w:lineRule="auto"/>
      </w:pPr>
      <w:r>
        <w:rPr>
          <w:rFonts w:ascii="Arial"/>
          <w:color w:val="000000"/>
        </w:rPr>
        <w:t>﻿</w:t>
      </w:r>
      <w:r w:rsidR="006644DB">
        <w:t xml:space="preserve"> </w:t>
      </w:r>
    </w:p>
    <w:p w:rsidR="00415FE6" w:rsidRDefault="009C0626" w:rsidP="006644DB">
      <w:pPr>
        <w:spacing w:after="150" w:line="240" w:lineRule="auto"/>
        <w:jc w:val="center"/>
      </w:pPr>
      <w:r>
        <w:rPr>
          <w:b/>
          <w:color w:val="000000"/>
        </w:rPr>
        <w:t> 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73/10),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15FE6" w:rsidRDefault="009C0626" w:rsidP="006644DB">
      <w:pPr>
        <w:spacing w:after="150" w:line="240" w:lineRule="auto"/>
      </w:pPr>
      <w:r>
        <w:rPr>
          <w:color w:val="000000"/>
        </w:rPr>
        <w:t> </w:t>
      </w:r>
    </w:p>
    <w:p w:rsidR="00415FE6" w:rsidRDefault="009C0626" w:rsidP="006644DB">
      <w:pPr>
        <w:spacing w:after="0" w:line="240" w:lineRule="auto"/>
        <w:jc w:val="center"/>
      </w:pPr>
      <w:r>
        <w:rPr>
          <w:b/>
          <w:color w:val="000000"/>
        </w:rPr>
        <w:t>ПРАВИЛНИК</w:t>
      </w:r>
    </w:p>
    <w:p w:rsidR="00415FE6" w:rsidRDefault="009C0626" w:rsidP="006644DB">
      <w:pPr>
        <w:spacing w:after="150" w:line="24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пробне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вожње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бродова</w:t>
      </w:r>
      <w:proofErr w:type="spellEnd"/>
      <w:r>
        <w:rPr>
          <w:b/>
          <w:color w:val="000000"/>
        </w:rPr>
        <w:t xml:space="preserve"> и о </w:t>
      </w:r>
      <w:proofErr w:type="spellStart"/>
      <w:r>
        <w:rPr>
          <w:b/>
          <w:color w:val="000000"/>
        </w:rPr>
        <w:t>зонама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пловидбе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бродова</w:t>
      </w:r>
      <w:proofErr w:type="spellEnd"/>
    </w:p>
    <w:p w:rsidR="00415FE6" w:rsidRDefault="009C0626" w:rsidP="006644DB">
      <w:pPr>
        <w:spacing w:after="150" w:line="240" w:lineRule="auto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2012.</w:t>
      </w:r>
    </w:p>
    <w:p w:rsidR="00415FE6" w:rsidRDefault="009C0626" w:rsidP="006644DB">
      <w:pPr>
        <w:spacing w:after="150" w:line="240" w:lineRule="auto"/>
        <w:jc w:val="center"/>
      </w:pPr>
      <w:r>
        <w:rPr>
          <w:b/>
          <w:color w:val="000000"/>
        </w:rPr>
        <w:t> </w:t>
      </w:r>
    </w:p>
    <w:p w:rsidR="00415FE6" w:rsidRDefault="009C0626" w:rsidP="006644DB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Пробна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</w:t>
      </w:r>
      <w:r>
        <w:rPr>
          <w:color w:val="000000"/>
        </w:rPr>
        <w:t>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обнoве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преправке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редовног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20" w:line="240" w:lineRule="auto"/>
        <w:jc w:val="center"/>
      </w:pPr>
      <w:proofErr w:type="spellStart"/>
      <w:r>
        <w:rPr>
          <w:color w:val="000000"/>
        </w:rPr>
        <w:t>Чла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3.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110.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Зона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</w:t>
      </w:r>
      <w:r>
        <w:rPr>
          <w:color w:val="000000"/>
        </w:rPr>
        <w:t>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капетанији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72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Зоне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Лучка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капетанија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зони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налазe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lastRenderedPageBreak/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Бродом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заповедник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стажа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заповедника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>.</w:t>
      </w:r>
    </w:p>
    <w:p w:rsidR="00415FE6" w:rsidRDefault="009C0626" w:rsidP="006644DB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СРЈ”,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29/98).</w:t>
      </w:r>
    </w:p>
    <w:p w:rsidR="00415FE6" w:rsidRDefault="009C0626" w:rsidP="006644DB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415FE6" w:rsidRDefault="009C0626" w:rsidP="006644DB">
      <w:pPr>
        <w:spacing w:after="15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15FE6" w:rsidRDefault="009C0626" w:rsidP="006644DB">
      <w:pPr>
        <w:spacing w:after="150" w:line="240" w:lineRule="auto"/>
      </w:pPr>
      <w:r>
        <w:rPr>
          <w:color w:val="000000"/>
        </w:rPr>
        <w:t> </w:t>
      </w:r>
    </w:p>
    <w:p w:rsidR="00415FE6" w:rsidRDefault="009C0626" w:rsidP="006644DB">
      <w:pPr>
        <w:spacing w:after="150" w:line="240" w:lineRule="auto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110-00-00013/2012-01</w:t>
      </w:r>
    </w:p>
    <w:p w:rsidR="00415FE6" w:rsidRDefault="009C0626" w:rsidP="006644DB">
      <w:pPr>
        <w:spacing w:after="150" w:line="240" w:lineRule="auto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415FE6" w:rsidRDefault="009C0626" w:rsidP="006644DB">
      <w:pPr>
        <w:spacing w:after="150" w:line="240" w:lineRule="auto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415FE6" w:rsidRDefault="009C0626" w:rsidP="006644DB">
      <w:pPr>
        <w:spacing w:after="150" w:line="240" w:lineRule="auto"/>
        <w:jc w:val="right"/>
      </w:pPr>
      <w:proofErr w:type="spellStart"/>
      <w:r>
        <w:rPr>
          <w:b/>
          <w:color w:val="000000"/>
        </w:rPr>
        <w:t>Милутин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Мркоњић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  <w:bookmarkStart w:id="0" w:name="_GoBack"/>
      <w:bookmarkEnd w:id="0"/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6644DB" w:rsidRDefault="006644DB" w:rsidP="006644DB">
      <w:pPr>
        <w:spacing w:after="150" w:line="240" w:lineRule="auto"/>
        <w:jc w:val="right"/>
        <w:rPr>
          <w:color w:val="000000"/>
        </w:rPr>
      </w:pPr>
    </w:p>
    <w:p w:rsidR="00415FE6" w:rsidRDefault="009C0626" w:rsidP="006644DB">
      <w:pPr>
        <w:spacing w:after="150" w:line="240" w:lineRule="auto"/>
        <w:jc w:val="right"/>
      </w:pPr>
      <w:r>
        <w:rPr>
          <w:color w:val="000000"/>
        </w:rPr>
        <w:t> </w:t>
      </w:r>
    </w:p>
    <w:p w:rsidR="00415FE6" w:rsidRDefault="009C0626" w:rsidP="006644DB">
      <w:pPr>
        <w:spacing w:after="150" w:line="240" w:lineRule="auto"/>
        <w:jc w:val="right"/>
      </w:pPr>
      <w:r>
        <w:rPr>
          <w:b/>
          <w:color w:val="000000"/>
        </w:rPr>
        <w:lastRenderedPageBreak/>
        <w:t>ПРИЛОГ</w:t>
      </w:r>
    </w:p>
    <w:p w:rsidR="00415FE6" w:rsidRDefault="009C0626" w:rsidP="006644DB">
      <w:pPr>
        <w:spacing w:after="150" w:line="240" w:lineRule="auto"/>
        <w:jc w:val="right"/>
      </w:pPr>
      <w:r>
        <w:rPr>
          <w:color w:val="000000"/>
        </w:rPr>
        <w:t> </w:t>
      </w:r>
    </w:p>
    <w:p w:rsidR="00415FE6" w:rsidRDefault="009C0626" w:rsidP="006644DB">
      <w:pPr>
        <w:spacing w:after="120" w:line="240" w:lineRule="auto"/>
        <w:jc w:val="center"/>
      </w:pPr>
      <w:r>
        <w:rPr>
          <w:color w:val="000000"/>
        </w:rPr>
        <w:t>ЗОНЕ ПЛОВИДБЕ БРОДА У КОЈИМА СЕ ОБАВЉАЈУ ПРОБНЕ ВОЖЊЕ</w:t>
      </w:r>
    </w:p>
    <w:p w:rsidR="00415FE6" w:rsidRDefault="009C0626" w:rsidP="006644DB">
      <w:pPr>
        <w:spacing w:after="120" w:line="240" w:lineRule="auto"/>
        <w:jc w:val="center"/>
      </w:pPr>
      <w:r>
        <w:rPr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42"/>
        <w:gridCol w:w="1089"/>
        <w:gridCol w:w="1089"/>
        <w:gridCol w:w="2114"/>
        <w:gridCol w:w="2258"/>
      </w:tblGrid>
      <w:tr w:rsidR="00415FE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РЕКА ДУНАВ</w:t>
            </w: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Зона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  <w:r>
              <w:rPr>
                <w:color w:val="000000"/>
              </w:rPr>
              <w:t xml:space="preserve"> km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Расположива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деоници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дубини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2.5 m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Напомена</w:t>
            </w:r>
            <w:proofErr w:type="spellEnd"/>
          </w:p>
        </w:tc>
      </w:tr>
      <w:tr w:rsidR="00415FE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од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до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Апатин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1410.6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1408.6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370-460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потпуно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праволинијска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деоница</w:t>
            </w:r>
            <w:proofErr w:type="spellEnd"/>
          </w:p>
        </w:tc>
      </w:tr>
      <w:tr w:rsidR="00415FE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1399.0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1397.0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330-430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потпуно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праволинијска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деоница</w:t>
            </w:r>
            <w:proofErr w:type="spellEnd"/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1259.5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1261.0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300-450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потпуно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праволинијска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деоница</w:t>
            </w:r>
            <w:proofErr w:type="spellEnd"/>
          </w:p>
        </w:tc>
      </w:tr>
      <w:tr w:rsidR="00415FE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1245.0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1240.0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320-450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потпуно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праволинијска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деоница</w:t>
            </w:r>
            <w:proofErr w:type="spellEnd"/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1165.0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1162.0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минимум</w:t>
            </w:r>
            <w:proofErr w:type="spellEnd"/>
            <w:r>
              <w:rPr>
                <w:color w:val="000000"/>
              </w:rPr>
              <w:t xml:space="preserve"> 500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Голубац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1051.5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1049.5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минимум</w:t>
            </w:r>
            <w:proofErr w:type="spellEnd"/>
            <w:r>
              <w:rPr>
                <w:color w:val="000000"/>
              </w:rPr>
              <w:t xml:space="preserve"> 700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Доњи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Милановац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995.0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993.0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минимум</w:t>
            </w:r>
            <w:proofErr w:type="spellEnd"/>
            <w:r>
              <w:rPr>
                <w:color w:val="000000"/>
              </w:rPr>
              <w:t xml:space="preserve"> 800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Кладово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934.5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932.5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минимум</w:t>
            </w:r>
            <w:proofErr w:type="spellEnd"/>
            <w:r>
              <w:rPr>
                <w:color w:val="000000"/>
              </w:rPr>
              <w:t xml:space="preserve"> 650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Панчево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1158,0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1153,0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минимум</w:t>
            </w:r>
            <w:proofErr w:type="spellEnd"/>
            <w:r>
              <w:rPr>
                <w:color w:val="000000"/>
              </w:rPr>
              <w:t xml:space="preserve"> 400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РЕКА ТИСА</w:t>
            </w: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Зона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  <w:r>
              <w:rPr>
                <w:color w:val="000000"/>
              </w:rPr>
              <w:t xml:space="preserve"> km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Расположива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деоници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дубини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2.5 m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Напомена</w:t>
            </w:r>
            <w:proofErr w:type="spellEnd"/>
          </w:p>
        </w:tc>
      </w:tr>
      <w:tr w:rsidR="00415FE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од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до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Бечеј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70.0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68.0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135-210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Тител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8.6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6.6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180-240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РЕКА САВА</w:t>
            </w: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Зона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  <w:r>
              <w:rPr>
                <w:color w:val="000000"/>
              </w:rPr>
              <w:t xml:space="preserve"> km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Расположива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деоници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дубини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2.5 m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Напомена</w:t>
            </w:r>
            <w:proofErr w:type="spellEnd"/>
          </w:p>
        </w:tc>
      </w:tr>
      <w:tr w:rsidR="00415FE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од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proofErr w:type="spellStart"/>
            <w:r>
              <w:rPr>
                <w:color w:val="000000"/>
              </w:rPr>
              <w:t>до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E6" w:rsidRDefault="00415FE6" w:rsidP="006644DB">
            <w:pPr>
              <w:spacing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Мачванска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Митровица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143.0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141.0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200-260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  <w:tr w:rsidR="00415FE6">
        <w:trPr>
          <w:trHeight w:val="45"/>
          <w:tblCellSpacing w:w="0" w:type="auto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Бродотехника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14.8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  <w:jc w:val="center"/>
            </w:pPr>
            <w:r>
              <w:rPr>
                <w:color w:val="000000"/>
              </w:rPr>
              <w:t>12.8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9C0626" w:rsidP="006644DB">
            <w:pPr>
              <w:spacing w:after="150" w:line="240" w:lineRule="auto"/>
            </w:pPr>
            <w:r>
              <w:rPr>
                <w:color w:val="000000"/>
              </w:rPr>
              <w:t>350-450 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FE6" w:rsidRDefault="00415FE6" w:rsidP="006644DB">
            <w:pPr>
              <w:spacing w:after="0" w:line="240" w:lineRule="auto"/>
            </w:pPr>
          </w:p>
        </w:tc>
      </w:tr>
    </w:tbl>
    <w:p w:rsidR="009C0626" w:rsidRDefault="009C0626" w:rsidP="006644DB">
      <w:pPr>
        <w:spacing w:line="240" w:lineRule="auto"/>
      </w:pPr>
    </w:p>
    <w:sectPr w:rsidR="009C06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E6"/>
    <w:rsid w:val="00415FE6"/>
    <w:rsid w:val="006644DB"/>
    <w:rsid w:val="008D4CA3"/>
    <w:rsid w:val="009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B424"/>
  <w15:docId w15:val="{F9652063-5737-4A53-AEAB-D59E78B5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2018-01-22T13:19:00Z</dcterms:created>
  <dcterms:modified xsi:type="dcterms:W3CDTF">2018-01-22T13:20:00Z</dcterms:modified>
</cp:coreProperties>
</file>