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85" w:rsidRPr="00050E95" w:rsidRDefault="00050E95" w:rsidP="00050E95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95. став 11. Закона о путевима („Службени гласник РС”, бр. 41/18 и 95/18 – др. закон), на предлог Агенције за безбедност саобраћаја,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грађевинарства, саобраћаја и инфраструктуре доноси</w:t>
      </w:r>
    </w:p>
    <w:p w:rsidR="00087E85" w:rsidRPr="00050E95" w:rsidRDefault="00050E95" w:rsidP="0005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ПРАВИЛНИК</w:t>
      </w:r>
    </w:p>
    <w:p w:rsidR="00087E85" w:rsidRPr="00050E95" w:rsidRDefault="00050E95" w:rsidP="00050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ПРОГРАМУ СТРУЧНОГ ОСПОСОБЉАВАЊА И УСАВРШАВАЊА ЗНАЊА, НАЧИНУ ПОЛАГАЊА СТРУЧНОГ ИСПИТА И ИСПИТА ЗА ПРОВЕРУ ЗНАЊА И САДРЖИНИ И ИЗГЛЕДУ ЛИЦЕНЦЕ ЗА РЕВИЗОРА, ОДНОСНО ПРОВЕРАВАЧА</w:t>
      </w:r>
    </w:p>
    <w:p w:rsidR="00050E95" w:rsidRPr="00050E95" w:rsidRDefault="00050E95" w:rsidP="0005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(,,Службени гласник РС”, број 71/19)</w:t>
      </w:r>
    </w:p>
    <w:p w:rsidR="00B377E9" w:rsidRDefault="00B377E9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I. УВОДНЕ ОДРЕДБЕ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087E85" w:rsidRPr="00050E95" w:rsidRDefault="00050E95" w:rsidP="00050E95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Овим правилником прописују се ближи услови које мора испуњавати правно лице за спровођење програма стручног оспособљавања и усавршавања знања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програм стручног оспособљавања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програм обавезних облика стручног усавршавања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начин похађања програма стручног оспособљавања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начин полагања стручног испита и испита провере знања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рокови за одржавање програма стручног усавршавања, изглед и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садржинa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лиценце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II. УСЛОВИ КОЈЕ МОРА ИСПУЊАВАТИ ПРАВНО ЛИЦЕ ЗА СПРОВОЂЕЊЕ ПРОГРАМА СТРУЧНОГ ОСПОСОБЉАВАЊА И УСАВРШАВАЊА ЗНАЊА РЕВИЗОРА, ОДНОСНО ПРОВЕРАВАЧА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Агенција за безбедност саобраћаја (у даљем тексту: Агенција) може овластити правно лице које испуњава прописане услове да спроводи програме стручног оспособљавања и усавршавања знања за полагање стручног испита и испита провере знања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(у даљем тексту: правно лице), у складу са законом.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Услови за правно лице у погледу наставног кадра су: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има у радном односу на неодређено време са најмање 50% радног времена, најмање два доктора техничких наука из научне области безбедност друмског саобраћаја, односно из научне области путеви грађевинске струке, који имају искуство на пословима израде пројеката безбедности друмског саобраћаја и објављене радове на тему унапређења безбедности путева;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доктори наука из тачке 1) овог става имају практично искуство у спровођењу ревизије пројеката пута и провере безбедности саобраћаја на путу;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3) да најмање један доктор наука из тачке 1) овог става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поседујe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лиценцу одговорног пројектанта саобраћаја и саобраћајне сигнализације, односно одговорног пројектанта саобраћајница, издату од стране надлежног органа у Републици Србији;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да најмање један доктор наука из тачке 1) овог става поседује наставно или научно звање;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да доктори наука из тачке 1) овог става имају практично искуство предавача;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да лица из тачке 1) овог става нису правноснажно осуђивана за кривична дела која их чине недостојним за обављање послова обуке, а нарочито: тешка дела против безбедности јавног саобраћаја на путевима, преваре у осигурању, из група против живота и тела, против полне слободе, против привреде, из групе против здравља људи а у вези са опојним дрогама, против правног саобраћаја, против државних органа и против службене дужности, у последњих пет година.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Агенција или правно лице које спроводи програм стручног оспособљавања лица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усавршавање лица за полагање испита провере знања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за предавача наставног плана и програма, поред доктора наука из става 1. овог члана ангажује и друге лиценциране ревизоре са практичним искуством у ревизији пројеката пута и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провераваче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практичним искуством у провери безбедности саобраћаја на путу.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Услови за правно лице у погледу простора, опреме и наставних средстава за стручно оспособљавање кандидата су: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простор за спровођење програма садржи опремљену просторију за обуку у власништву правног лица или узету у закуп за потребе правног лица, за оспособљавање, односно усавршавање највише 30 кандидата, која мора да има: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радну површину од најмање 80 m</w:t>
      </w:r>
      <w:r w:rsidRPr="00050E9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RS"/>
        </w:rPr>
        <w:t>2</w:t>
      </w: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са ширином од најмање 8 m и то: радну површину по кандидату од најмање 2–2,5 m² и радну површину за предавача од најмање 20 m²;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(2) висину од најмање 2,5 m;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школску таблу и друга аудиовизуелна наставна средства (бела табла за писање са одговарајућим маркерима и механизмом за окретање блокова папира, компјутер, LCD пројектор и платно или монитор одговарајуће величине) за приказивање текста и цртежа;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ормаре за наставни прибор, опрему и документацију;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(5) радне столове, школске клупе са столицама или столице са појединачним постољима за писање, које одговарају мерама одраслих, а чији распоред омогућава несметан приступ кандидатима, односно предавачу;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(6) клима уређај и природно проветравање просторија;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(7) обезбеђено грејање;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(8) обезбеђен противпожарни апарат или други систем за гашење пожара;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(9) природно осветљење, а извори вештачког осветљења у учионици се постављају тако да омогућавају равномерно простирање светлости;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простор за спровођење програма садржи просторију за административне послове у власништву или узету у закуп за потребе правног лица. Површина ове просторије мора бити најмање 15 m² која не улази у радну површину просторије за обуку, а налази се у њеној непосредној близини. Просторија за административне послове садржи огласну таблу на видном месту, са информацијама о: дозволи за рад правног лица, пословима које обавља правно лице, радном времену, ценовнику услуга које пружа правно лице, предавачима програма стручног оспособљавања, односно усавршавања;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да простор за спровођење програма садржи најмање један тоалет који има најмање по један одвојен санитарни чвор за жене и мушкарце са умиваоником или са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претпросторијом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којој се налази умиваоник, хигијенски одржаван и уредан, у непосредној близини просторије за обуку, са топлом водом, средством за прање руку и убрусом;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да правно лице има одговарајућу информациону опрему која омогућава ефикасно повезивање правног лица са Агенцијом, ради достављања прописаних података у базу података Агенције, и то: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одговарајући рачунар за приступ односно коришћење апликације Агенције;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(2) скенер;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штампач;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читач картица са одговарајућим софтвером за очитавање података из личне карте;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да правно лице има одговарајућу опрему за реализацију обуке ревизије и провере безбедности пута на терену.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III. ПРОГРАМ СТРУЧНОГ ОСПОСОБЉАВАЊА ЗА ПОЛАГАЊЕ СТРУЧНОГ ИСПИТА И ПРОГРАМ ОБАВЕЗНИХ ОБЛИКА СТРУЧНОГ УСАВРШАВАЊА ЗА РЕВИЗОРА, ОДНОСНО ПРОВЕРАВАЧА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Стручно оспособљавање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стручно усавршавање за полагање испита провере знања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спроводи се према Програму стручног оспособљавања и програму обавезних облика стручног усавршавања за полагање стручног испита и испита провере знања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датом у Прилогу 1, који је одштампан уз овај правилник и чини његов саставни део.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за стручно оспособљавање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садржи најмање 16 наставних јединица укупне дужине трајања најмање 30 часова (у трајању од 45 минута по часу).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за стручно оспособљавање ревизора се може похађати након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одслушаног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програма оспособљавања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садржи најмање 14 наставних јединица укупне дужине трајања најмање 27 часова.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Програми стручног усавршавања за унапређење знања и вештина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спроводе се најмање једном у току календарске године.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програмима стручног усавршавања врши се размена стручних искустава и праксе у спровођењу ревизије, односно провере.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обавезних облика стручног усавршавања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садржи најмање по једну наставну јединицу из модула 2, 3. и 4. из Прилога 1. уз овај правилник, намењених оспособљавању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укупне дужине трајања од најмање седам часова.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Након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одслушаног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програма из става 3. овог члана,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припрема и брани један извештај о провери безбедности саобраћаја на путу.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обавезних облика стручног усавршавања за ревизора садржи најмање по једну наставну јединицу из модула 2, 3, 4, 5. и 6. из Прилога 1. уз овај правилник, намењених оспособљавању ревизора и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укупне дужине трајања најмање 12 часова.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Након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одслушаног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програма из става 5. овог члана, ревизор припрема и брани један извештај о ревизији пројекта пута.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IV. НАЧИН ПОХАЂАЊА ПРОГРАМА СТРУЧНОГ ОСПОСОБЉАВАЊА ЗА ПОЛАГАЊЕ СТРУЧНОГ ИСПИТА ЗА РЕВИЗОРА, ОДНОСНО ПРОВЕРАВАЧА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Лице које жели да се стручно оспособи и добије лиценцу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 пријаву најкасније 30 дана пре почетка спровођења програма оспособљавања.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пријаву из става 1. овог члана прибавља се: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оверена фотокопија дипломе о стеченом образовању најмање на студијама другог степена (мастер академске студије) саобраћајне струке – усмерења друмски саобраћај, односно најмање на студијама другог степена (мастер академске студије) грађевинске струке – усмерења путеви и железнице;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потврда да лице из става 1. овог члана има најмање пет година радног искуства у области безбедности друмског саобраћаја, односно пројектовања путева;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потврда из министарства надлежног за унутрашње послове да лице из става 1. овог члана није правноснажно осуђивано за кривична дела која га чине недостојним за обављање послова ревизора и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а нарочито: тешка дела против безбедности јавног саобраћаја на путевима, преваре у осигурању, из група против живота и тела, против полне слободе, против привреде, из групе против здравља људи а у вези са опојним дрогама, против правног саобраћаја, против државних органа и против службене дужности, у последњих пет година, као и да се против њега не води истрага за та кривична дела, односно да није подигнута оптужница за та кривична дела;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фотокопија личне карте или очитана лична карта;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две идентичне фотографије у боји, димензија 25 mm × 30 mm, које нису старије од шест месеци;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доказ о уплати трошкова за похађање програма стручног оспособљавања.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Документација из става 2. овог члана прибавља се у складу са законом којим се уређује општи управни поступак.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Лицу које је похађало најмање 80% обима наставног садржаја за стручно оспособљавање лица за полагање стручног испита и које је за време стручног оспособљавања припремило и одбранило најмање један извештај о провери безбедности саобраћаја на путу, односно најмање један извештај о ревизији пројекта пута, издаје се потврда о успешно завршеном стручном оспособљавању лица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Правно лице обезбеђује услове за присуство најмање два представника Агенције стручном оспособљавању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 циљу надзора над спровођењем стручног оспособљавања.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V. НАЧИН ПОЛАГАЊА СТРУЧНОГ ИСПИТА ЗА РЕВИЗОРА, ОДНОСНО ПРОВЕРАВАЧА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Лице коме је издата потврда о успешно завршеном стручном оспособљавању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може да полаже стручни испит, у року од годину дана од дана успешно завршеног стручног оспособљавања.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 које успешно заврши програм стручног оспособљавања за полагање стручног испита подноси: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попуњену пријаву за полагање стручног испита;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потврду о успешно завршеном стручном оспособљавању за полагање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доказ о уплати трошкова за полагање стручног испита.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испит се полаже пред испитном комисијом за полагање стручног испита коју образује Агенција.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комисија за полагање стручног испита састоји се од председника и два члана, који могу имати заменике.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и један члан и њихови заменици, поседују стечено образовање најмање на студијама другог степена (мастер академске студије) саобраћајне струке – усмерења друмски саобраћај.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Други члан и његов заменик поседују стечено образовање најмање на студијама другог степена (мастер академске студије) грађевинске струке – област путеви.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испит се спроводи у писаном облику.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 испит траје два сата и састоји се од: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теоријског дела: питања са више понуђених одговора, питања која захтевају директан одговор или комбинације тих питања;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задатка са практичним примером (студија случаја).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питања која се односе на теоријски део за полагање стручног испита су јавна.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не приступи полагању стручног испита, или одустане од започетог полагања стручног испита, сматраће се да није положило испит.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на стручном испиту користи недозвољена средства (уџбеник, белешке, недопуштена техничка средства, комуникација са другим лицем у току испита и сл.), испитна комисија ће га удаљити са испита и писмено евидентирати да је удаљено са испита и да није положило стручни испит.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Лицу које је удаљено са стручног испита, неће се дозволити поновно полагање у року од годину дана од дана када је удаљено са испита.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13.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полагању стручног испита води се записник о полагању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Записник о полагању стручног испита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чува се десет година.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 је положило стручни испит ако је добило најмање 80% од укупног броја бодова.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захтев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лицa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којe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није положило стручни испит, испитна комисија омогућава увид у тест и указује на грешке које је учинило.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14.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Лицу које није положило стручни испит омогућава се да поново полаже стручни испит у наредним испитним роковима до истека рока из члана 8. став 1. овог правилника.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VI. НАЧИН ПОЛАГАЊА ИСПИТА ПРОВЕРЕ ЗНАЊА ЗА РЕВИЗОРА, ОДНОСНО ПРОВЕРАВАЧА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15.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Ревизор,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 полагања испита провере знања подноси пријаву за полагање испита провере знања за обнављање лиценце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најкасније 30 дана пре испита провере знања за који се пријављује.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пријаву из става 1. овог члана доставља се доказ о уплати трошкова за полагање испита провере знања.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16.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провере знања спроводи се у писаном облику.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провере знања траје два сата и састоји се од: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теоријског дела: питања са више понуђених одговора, питања која захтевају директан одговор или комбинације тих питања;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задатка са практичним примером (студија случаја).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питања која се односе на теоријски део за полагање испита провере знања су јавна.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17.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полагању испита провере знања води се записник о полагању испита провере знања за обнављање лиценце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Записник из става 1. овог члана чува се десет година.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18.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провере знања се полаже пред испитном комисијом за полагање испита провере знања коју образује Агенција.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Испитна комисија за полагање испита провере знања се састоји од председника и два члана, који могу имати заменике.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и један члан и њихови заменици, поседују стечено образовање најмање на студијама другог степена (мастер академске студије) саобраћајне струке – усмерења друмски саобраћај.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Други члан и његов заменик поседују стечено образовање најмање на студијама другог степена (мастер академске студије) грађевинске струке – област путеви.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19.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Ревизор,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положио испит провере знања ако је добио најмање 80% од укупног броја бодова.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захтев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није положило испит из става 1. овог члана, испитна комисија омогућава увид у тест и указује на грешке које је учинио.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Ревизору,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проверавачу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положи испит из става 1. овог члана издаје се уверење о положеном испиту провере знања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20.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не приступи полагању испита провере знања или одустане од започетог полагања испита, сматраће се да није положио испит.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21.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лице на испиту провере знања користи недозвољена средства (уџбеник, белешке, недопуштена техничка средства, комуникација са другим лицем у току испита и сл.), испитна комисија за полагање испита провере знања ће га удаљити са испита и писмено евидентирати да је удаљено са испита и да није положило испит.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Лицу које је удаљено са испита провере знања неће се дозволити поновно полагање у року од годину дана од дана када је удаљено са испита.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VII. РОКОВИ ЗА ОДРЖАВАЊЕ ПРОГРАМА СТРУЧНОГ УСАВРШАВАЊА ЗА РЕВИЗОРА, ОДНОСНО ПРОВЕРАВАЧА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22.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Стручно усавршавање ревизора и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према утврђеном програму, одржава се најмање једном у току календарске године.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Обавештење о дану, времену, месту спровођења стручног усавршавања знања и предавачима за поједине области, Агенција објављује на званичној интернет страници или на други погодан начин, најкасније 60 дана по утврђивању плана и пре почетка одржавања стручног усавршавања.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VIII. ИЗГЛЕД И САДРЖИНА ЛИЦЕНЦЕ ЗА РЕВИЗОРА, ОДНОСНО ПРОВЕРАВАЧА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23.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Лицу које положи стручни испит издаје се лиценца за ревизора, односно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заштићеном обрасцу, димензија 85,6 mm х 54 mm.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Лиценца за ревизора садржи: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на предњој страни: у левом делу, који обухвата 1/3, у горњем углу међународну ознаку Републике Србије „SRB” и испод ње место за фотографију димензија 25 mm х 30 mm, а у десном делу, који обухвата 2/3, речи: „Република Србија”, испод тога, речи: „ЛИЦЕНЦА ЗА РЕВИЗОРА”, са одговарајућим преводом на енглески језик и Мали грб Републике Србије, испод кога су рубрике са подацима и то редом: презиме, име, датум и место рођења, датум издавања лиценце, рок важења лиценце, издавалац лиценце, број лиценце, својеручни потпис, пребивалиште;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на полеђини: у левом делу, који обухвата 1/3, објашњење садржине рубрика и података са предње стране, речи: „ЛИЦЕНЦА ЗА РЕВИЗОРА” са одговарајућим преводом на енглески језик, ознаку „АБС” и серијски број.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Изглед лиценце за ревизора дат је у Прилогу 2, који је одштампан уз овај правилник и чини његов саставни део.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Лиценца за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садржи: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на предњој страни: у левом делу, који обухвата 1/3, у горњем углу међународну ознаку Републике Србије „SRB” и испод ње место за фотографију димензија 25 mm х 30 mm, а у десном делу, који обухвата 2/3, речи: „Република Србија”, испод тога, речи: „ЛИЦЕНЦА ЗА ПРОВЕРАВАЧА”, са одговарајућим преводом на енглески језик и Мали грб Републике Србије, испод кога су рубрике са подацима и то редом: презиме, име, датум и место рођења, датум издавања лиценце, рок важења лиценце, издавалац лиценце, број лиценце, својеручни потпис, пребивалиште;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на полеђини: у левом делу, који обухвата 1/3, објашњење садржине рубрика и података са предње стране, речи: „ЛИЦЕНЦА ЗА ПРОВЕРАВАЧА” са одговарајућим преводом на енглески језик, ознаку „АБС” и серијски број.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Изглед лиценце за </w:t>
      </w:r>
      <w:proofErr w:type="spellStart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проверавача</w:t>
      </w:r>
      <w:proofErr w:type="spellEnd"/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дат је у Прилогу 3, који је одштампан уз овај правилник и чини његов саставни део.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IX. ЗАВРШНА ОДРЕДБА</w:t>
      </w:r>
    </w:p>
    <w:p w:rsidR="00087E85" w:rsidRPr="00050E95" w:rsidRDefault="00050E9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24.</w:t>
      </w:r>
    </w:p>
    <w:p w:rsidR="00087E8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087E8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110-00-00031/2019-03</w:t>
      </w:r>
    </w:p>
    <w:p w:rsidR="00087E8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25. септембра 2019. године</w:t>
      </w:r>
    </w:p>
    <w:p w:rsidR="00087E8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:rsidR="00087E8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проф. др </w:t>
      </w:r>
      <w:r w:rsidRPr="00050E9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Зорана З. Михајловић,</w:t>
      </w:r>
      <w:r w:rsidRPr="00050E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50E95" w:rsidRPr="00050E95" w:rsidRDefault="00050E95" w:rsidP="0005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  <w:r w:rsidRPr="00050E95">
        <w:rPr>
          <w:b/>
          <w:bCs/>
          <w:color w:val="000000"/>
          <w:lang w:val="sr-Cyrl-RS"/>
        </w:rPr>
        <w:t>ПРИЛОГ 1</w:t>
      </w:r>
    </w:p>
    <w:p w:rsidR="00050E95" w:rsidRPr="00050E95" w:rsidRDefault="00050E95" w:rsidP="00050E95">
      <w:pPr>
        <w:pStyle w:val="clan"/>
        <w:spacing w:before="330" w:beforeAutospacing="0" w:after="120" w:afterAutospacing="0"/>
        <w:ind w:firstLine="480"/>
        <w:jc w:val="center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ПРОГРАМ СТРУЧНОГ ОСПОСОБЉАВАЊА И ПРОГРАМ ОБАВЕЗНИХ ОБЛИКА СТРУЧНОГ УСАВРШАВАЊА ЗА ПОЛАГАЊЕ СТРУЧНОГ ИСПИТА И ИСПИТА ПРОВЕРЕ ЗНАЊА ЗА РЕВИЗОРА, ОДНОСНО ПРОВЕРАВАЧА</w:t>
      </w:r>
    </w:p>
    <w:p w:rsidR="00050E95" w:rsidRDefault="00050E95" w:rsidP="00050E9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Минимални садржај наставног програма сачињен је тако да се задовоље циљеви и задаци обуке, у складу са међународном праксом, прописима и практичним знањем.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Литературу која прати минимални садржај наставног програма из овог прилога, правно лице преузима од Агенције.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За реализацију тема из наставног плана и програма, у трајању од шест, односно 12 дана, предвиђено је најмање 16+14=30 наставних јединица, у оквиру којих се проучавају теоријска основа и међународна пракса и израђује студија примера – практичан рад. Такође је предвиђен и самостални рад.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 xml:space="preserve">Наставни план и програм за усавршавање ревизора и </w:t>
      </w:r>
      <w:proofErr w:type="spellStart"/>
      <w:r w:rsidRPr="00050E95">
        <w:rPr>
          <w:color w:val="000000"/>
          <w:lang w:val="sr-Cyrl-RS"/>
        </w:rPr>
        <w:t>проверавача</w:t>
      </w:r>
      <w:proofErr w:type="spellEnd"/>
      <w:r w:rsidRPr="00050E95">
        <w:rPr>
          <w:color w:val="000000"/>
          <w:lang w:val="sr-Cyrl-RS"/>
        </w:rPr>
        <w:t xml:space="preserve"> усмерен је ка наставним јединицама у модулима: 2, 3, 4, 5. и 6, упознавањем са домаћом и међународном праксом у области ревизије и провере безбедности пута.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МОДУЛ 1: Основе ревизије и провере безбедности пута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(седам наставних јединица)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МОДУЛ 2: Ревизија и провера безбедности пута, веза са осталим алатима за оцену безбедности пута и анализа саобраћајних незгода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(две наставне јединице)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МОДУЛ 3: Процес провере безбедности пута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(шест наставних јединица)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МОДУЛ 4: Практичан део – Провера безбедности саобраћаја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(једна наставна јединица)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МОДУЛ 5: Процес ревизије безбедности пута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(13 наставних јединица)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МОДУЛ 6: Практичан део – Ревизија безбедности пута</w:t>
      </w:r>
    </w:p>
    <w:p w:rsidR="00050E95" w:rsidRPr="00050E95" w:rsidRDefault="00050E95" w:rsidP="00050E95">
      <w:pPr>
        <w:pStyle w:val="basic-paragraph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050E95">
        <w:rPr>
          <w:color w:val="000000"/>
          <w:lang w:val="sr-Cyrl-RS"/>
        </w:rPr>
        <w:t>(једна наставна јединица)</w:t>
      </w:r>
    </w:p>
    <w:p w:rsidR="00050E9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E95" w:rsidRPr="00050E95" w:rsidRDefault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>
            <wp:extent cx="4601210" cy="886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85" w:rsidRPr="00050E95" w:rsidRDefault="00050E95" w:rsidP="00050E95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50E95"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>
            <wp:extent cx="4942205" cy="886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idContainer009"/>
      <w:bookmarkStart w:id="1" w:name="_GoBack"/>
      <w:bookmarkEnd w:id="0"/>
      <w:bookmarkEnd w:id="1"/>
    </w:p>
    <w:sectPr w:rsidR="00087E85" w:rsidRPr="00050E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85"/>
    <w:rsid w:val="00050E95"/>
    <w:rsid w:val="00087E85"/>
    <w:rsid w:val="00B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CC70"/>
  <w15:docId w15:val="{27969AF6-3397-4FA2-95C9-C1DAD5D3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basic-paragraph">
    <w:name w:val="basic-paragraph"/>
    <w:basedOn w:val="Normal"/>
    <w:rsid w:val="0005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05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2985</Words>
  <Characters>17018</Characters>
  <Application>Microsoft Office Word</Application>
  <DocSecurity>0</DocSecurity>
  <Lines>141</Lines>
  <Paragraphs>39</Paragraphs>
  <ScaleCrop>false</ScaleCrop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Cupara</cp:lastModifiedBy>
  <cp:revision>5</cp:revision>
  <dcterms:created xsi:type="dcterms:W3CDTF">2019-10-07T11:52:00Z</dcterms:created>
  <dcterms:modified xsi:type="dcterms:W3CDTF">2019-10-08T13:01:00Z</dcterms:modified>
</cp:coreProperties>
</file>