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 116/08, 104/09, 99/14, 94/17 и 95/18) и члана 9. став 1. Уредбе о  интерном и јавном конкурсу за попуњавање радних места у државним органима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F77162" w:rsidRPr="00EE744E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0207AE" w:rsidRDefault="002F3A7C" w:rsidP="00020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20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1.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0C4031" w:rsidRPr="000C40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Радно место за управно-надзорне послове у области урбанизма и грађевине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звање</w:t>
      </w:r>
      <w:r w:rsid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: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саветник</w:t>
      </w:r>
      <w:r w:rsid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0C403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Група за управно надзорне послове Крагујевац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Одељење за </w:t>
      </w:r>
      <w:r w:rsidR="000C403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управне и управно-надзорне послове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0C403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Унутрашња јединица изван састава сектора и Секретаријата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-</w:t>
      </w:r>
      <w:r w:rsid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1 извршилац.</w:t>
      </w:r>
    </w:p>
    <w:p w:rsidR="000C4031" w:rsidRPr="000C4031" w:rsidRDefault="000207AE" w:rsidP="000207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207A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Опис послова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: </w:t>
      </w:r>
      <w:r w:rsidR="000C4031" w:rsidRPr="00330594">
        <w:rPr>
          <w:rFonts w:ascii="Times New Roman" w:hAnsi="Times New Roman" w:cs="Times New Roman"/>
          <w:sz w:val="24"/>
          <w:szCs w:val="24"/>
          <w:shd w:val="clear" w:color="auto" w:fill="FFFFFF"/>
        </w:rPr>
        <w:t>Израда нацрта решења у другостепеном поступку по жалбама физичких и правних лица изјављеним на решења органа општинске управе; израда нацрта другостепених решења у поступку по жалбама на решења грађевинских инспектора општинске управе; израда одговора на тужбе којима је покренут управни спор пред Управним судом Србије; поступање по захтевима и представкама странака у управном поступку, израда одговора и достављање истих; пружање стручне помоћи јединицама локалне самоуправе давањем писмених и усмених објашњења о примени закона; израда решења у поступку по пресудама Управног суда Србије, праћење судске праксе; израда периодичних извештаја о раду и начину решавања другостепених предмета, учешће на састанцима Одељења ради уједначавања правне праксе у примени закона и спровођењу ставова Управног суда Србије; обавља и друге послове по налогу руководиоца Групе</w:t>
      </w:r>
      <w:r w:rsidR="000C4031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:rsidR="000C4031" w:rsidRPr="000C4031" w:rsidRDefault="000207AE" w:rsidP="000C40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3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Услови:</w:t>
      </w:r>
      <w:r w:rsidRPr="000C4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4031" w:rsidRPr="00330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Стечено високо образовање из научне области правне науке, </w:t>
      </w:r>
      <w:r w:rsidR="000C4031" w:rsidRPr="000C4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</w:t>
      </w:r>
      <w:r w:rsidR="000C4031" w:rsidRPr="00330594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студијама</w:t>
      </w:r>
      <w:r w:rsidR="000C4031" w:rsidRPr="000C4031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C4031" w:rsidRPr="00330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најмање три године радног искуства у струци, </w:t>
      </w:r>
      <w:r w:rsidR="000C4031" w:rsidRPr="000C4031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 државни стручни испит, као и потребне компетенције за обављање послова радног места.</w:t>
      </w:r>
    </w:p>
    <w:p w:rsidR="000207AE" w:rsidRPr="00EE744E" w:rsidRDefault="000C4031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F03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Ваљево</w:t>
      </w:r>
    </w:p>
    <w:p w:rsidR="00C139BE" w:rsidRDefault="000207AE" w:rsidP="0039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C13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C139BE" w:rsidRPr="00C13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Радно место за правне послове при планирању, припреми и реализацији пројеката</w:t>
      </w:r>
      <w:r w:rsidRPr="00C13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C13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звање: саветник, </w:t>
      </w:r>
      <w:r w:rsidR="00C139B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Одељење за управљање пројектима</w:t>
      </w:r>
      <w:r w:rsidRPr="00C13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139B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Унутрашња јединица изван састава сектора и Секретаријата</w:t>
      </w:r>
      <w:r w:rsidR="00C139B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-</w:t>
      </w:r>
      <w:r w:rsidR="00C139B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1 извршилац.</w:t>
      </w:r>
    </w:p>
    <w:p w:rsidR="000207AE" w:rsidRDefault="000207AE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7AE" w:rsidRDefault="000207AE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AE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послова:</w:t>
      </w:r>
      <w:r w:rsidRPr="000207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BE" w:rsidRPr="00330594">
        <w:rPr>
          <w:rFonts w:ascii="Times New Roman" w:hAnsi="Times New Roman" w:cs="Times New Roman"/>
          <w:sz w:val="24"/>
          <w:szCs w:val="24"/>
        </w:rPr>
        <w:t xml:space="preserve">Учествује у припреми стручних основа за издраду нацрта закона или предлога других прописа из области планирања и реализације пројеката; припрема податкеза дефинисање уговора који се закључују за пројекте из делокруга Одељења; </w:t>
      </w:r>
      <w:r w:rsidR="00C139BE" w:rsidRPr="00330594">
        <w:rPr>
          <w:rFonts w:ascii="Times New Roman" w:hAnsi="Times New Roman" w:cs="Times New Roman"/>
          <w:sz w:val="24"/>
          <w:szCs w:val="24"/>
        </w:rPr>
        <w:lastRenderedPageBreak/>
        <w:t>учествује у припреми концесионих уговора, уговора на пројектима јавно - приватног партнерства и за друге начине финансирања за обављање делатности од општег интереса из делокруга Министарства; врши правну обраду материјала за реализацију пројеката по моделима јавно-приватног партнерства и концесија и прати реализацију пројеката; припрема мишљења на предлог планова и пројеката из делокруга рада Министарства; припрема материјале за централизоване базе података о пројектима и уговорима; сарађује са заинтересованим странама у Србији и окружењу и међународним организацијама у циљу размене података, обавља и друге послове по налогу начелника Одељења.</w:t>
      </w:r>
    </w:p>
    <w:p w:rsidR="003923EA" w:rsidRPr="000207AE" w:rsidRDefault="003923EA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9BE" w:rsidRDefault="000207AE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3EA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C139BE">
        <w:rPr>
          <w:rFonts w:ascii="Times New Roman" w:hAnsi="Times New Roman" w:cs="Times New Roman"/>
          <w:sz w:val="24"/>
          <w:szCs w:val="24"/>
        </w:rPr>
        <w:t xml:space="preserve"> </w:t>
      </w:r>
      <w:r w:rsidR="00C139BE" w:rsidRPr="00330594">
        <w:rPr>
          <w:rFonts w:ascii="Times New Roman" w:hAnsi="Times New Roman" w:cs="Times New Roman"/>
          <w:sz w:val="24"/>
          <w:szCs w:val="24"/>
        </w:rPr>
        <w:t>Стечено високо образовање из научне</w:t>
      </w:r>
      <w:r w:rsidR="00C139BE" w:rsidRPr="00C139BE">
        <w:rPr>
          <w:rFonts w:ascii="Times New Roman" w:hAnsi="Times New Roman" w:cs="Times New Roman"/>
          <w:sz w:val="24"/>
          <w:szCs w:val="24"/>
        </w:rPr>
        <w:t xml:space="preserve"> области правненауке, </w:t>
      </w:r>
      <w:r w:rsidR="00C139BE" w:rsidRPr="00330594">
        <w:rPr>
          <w:rFonts w:ascii="Times New Roman" w:hAnsi="Times New Roman" w:cs="Times New Roman"/>
          <w:sz w:val="24"/>
          <w:szCs w:val="24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="00C139BE" w:rsidRPr="00C139BE">
        <w:rPr>
          <w:rFonts w:ascii="Times New Roman" w:hAnsi="Times New Roman" w:cs="Times New Roman"/>
          <w:sz w:val="24"/>
          <w:szCs w:val="24"/>
        </w:rPr>
        <w:t>као и потребне компетенције за обављање послова радног места.</w:t>
      </w:r>
    </w:p>
    <w:p w:rsidR="003923EA" w:rsidRPr="00330594" w:rsidRDefault="003923EA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AE" w:rsidRDefault="000207AE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F03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3923EA" w:rsidRDefault="003923EA" w:rsidP="0039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4F03" w:rsidRP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</w:rPr>
      </w:pPr>
      <w:r w:rsidRPr="000C4F03">
        <w:rPr>
          <w:rFonts w:ascii="Times New Roman" w:hAnsi="Times New Roman" w:cs="Times New Roman"/>
          <w:sz w:val="24"/>
          <w:szCs w:val="24"/>
        </w:rPr>
        <w:t xml:space="preserve">3. </w:t>
      </w:r>
      <w:r w:rsidRPr="000C4F03">
        <w:rPr>
          <w:rFonts w:ascii="Times New Roman" w:hAnsi="Times New Roman" w:cs="Times New Roman"/>
          <w:b/>
          <w:sz w:val="24"/>
          <w:szCs w:val="24"/>
        </w:rPr>
        <w:t>Радно место за стручно-оперативне послове</w:t>
      </w:r>
      <w:r w:rsidRPr="000C4F03">
        <w:rPr>
          <w:rFonts w:ascii="Times New Roman" w:hAnsi="Times New Roman" w:cs="Times New Roman"/>
          <w:sz w:val="24"/>
          <w:szCs w:val="24"/>
        </w:rPr>
        <w:t>, звање: сарадник, Лучка капетанија Велико Градиште, Одељење за послове лучких капетанија, Сектор за водни саобраћај и безбедност пловидбе, - 1 извршилац</w:t>
      </w:r>
    </w:p>
    <w:p w:rsidR="000C4F03" w:rsidRP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0C4F03">
        <w:rPr>
          <w:rFonts w:ascii="Times New Roman" w:hAnsi="Times New Roman" w:cs="Times New Roman"/>
          <w:sz w:val="24"/>
          <w:szCs w:val="24"/>
        </w:rPr>
        <w:t>: Припрема и обрађује податке и документацију о пловилима и посади, о стању водног пута и објектима безбедности пловидбе на унутрашњим водним путевима; припрема мишљења, одговоре и нацрте решења; води евиденционе књиге; врши улазно-излазне ревизијена речним граничним прелазима; учествује у вршењу увиђаја хаварија и ванредних догађаја; врши оверу бродских исправа и књига;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сарађује са лучким капетанијама, органима и привредним субјектима; обавља и друге послове по налогу шефа лучке капетаније.</w:t>
      </w:r>
    </w:p>
    <w:p w:rsid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Услови</w:t>
      </w:r>
      <w:r w:rsidRPr="000C4F03">
        <w:rPr>
          <w:rFonts w:ascii="Times New Roman" w:hAnsi="Times New Roman" w:cs="Times New Roman"/>
          <w:sz w:val="24"/>
          <w:szCs w:val="24"/>
        </w:rPr>
        <w:t xml:space="preserve">: Стечено високо образовање из стручне области саобраћајно инжењерство или машинско инжењерство или из научне области економске науке или правне науке </w:t>
      </w:r>
      <w:r w:rsidRPr="00330594">
        <w:rPr>
          <w:rFonts w:ascii="Times New Roman" w:hAnsi="Times New Roman" w:cs="Times New Roman"/>
          <w:sz w:val="24"/>
          <w:szCs w:val="24"/>
        </w:rPr>
        <w:t>на основним академским студијама у обиму од 180 ЕСПБ бодова, основним струковним студијама, односно на студијама у трајању до три године</w:t>
      </w:r>
      <w:r w:rsidRPr="000C4F03">
        <w:rPr>
          <w:rFonts w:ascii="Times New Roman" w:hAnsi="Times New Roman" w:cs="Times New Roman"/>
          <w:sz w:val="24"/>
          <w:szCs w:val="24"/>
        </w:rPr>
        <w:t>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F03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Велико Градиште</w:t>
      </w:r>
    </w:p>
    <w:p w:rsidR="000C4F03" w:rsidRP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FC2C1E">
        <w:rPr>
          <w:rFonts w:ascii="Times New Roman" w:hAnsi="Times New Roman" w:cs="Times New Roman"/>
          <w:b/>
          <w:sz w:val="24"/>
          <w:szCs w:val="24"/>
          <w:lang w:val="ru-RU"/>
        </w:rPr>
        <w:t>Радно место за припрему и обраду података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F03">
        <w:rPr>
          <w:rFonts w:ascii="Times New Roman" w:hAnsi="Times New Roman" w:cs="Times New Roman"/>
          <w:sz w:val="24"/>
          <w:szCs w:val="24"/>
        </w:rPr>
        <w:t xml:space="preserve">, звање: </w:t>
      </w:r>
      <w:r>
        <w:rPr>
          <w:rFonts w:ascii="Times New Roman" w:hAnsi="Times New Roman" w:cs="Times New Roman"/>
          <w:sz w:val="24"/>
          <w:szCs w:val="24"/>
        </w:rPr>
        <w:t>референт</w:t>
      </w:r>
      <w:r w:rsidRPr="000C4F03">
        <w:rPr>
          <w:rFonts w:ascii="Times New Roman" w:hAnsi="Times New Roman" w:cs="Times New Roman"/>
          <w:sz w:val="24"/>
          <w:szCs w:val="24"/>
        </w:rPr>
        <w:t>, Лучка капетанија Велико Градиште, Одељење за послове лучких капетанија, Сектор за водни саобраћај и безбедност пловидбе, - 1 извршилац</w:t>
      </w:r>
    </w:p>
    <w:p w:rsid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0C4F03">
        <w:rPr>
          <w:rFonts w:ascii="Times New Roman" w:hAnsi="Times New Roman" w:cs="Times New Roman"/>
          <w:sz w:val="24"/>
          <w:szCs w:val="24"/>
        </w:rPr>
        <w:t xml:space="preserve">: 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Припрема податке за: упис бродова и осталих пловила; издавање пловидбених дозвола, бродарских књижица, бродских сведочанстава, овлашћења бродарцима, друге књиге и исправе; припрема и обрађује податке и документацију о 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пловилима, посади и стању водног пута;</w:t>
      </w:r>
      <w:r w:rsidRPr="00330594">
        <w:rPr>
          <w:rFonts w:ascii="Times New Roman" w:hAnsi="Times New Roman" w:cs="Times New Roman"/>
          <w:sz w:val="24"/>
          <w:szCs w:val="24"/>
          <w:lang w:val="sr-Latn-CS"/>
        </w:rPr>
        <w:t xml:space="preserve"> врш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30594">
        <w:rPr>
          <w:rFonts w:ascii="Times New Roman" w:hAnsi="Times New Roman" w:cs="Times New Roman"/>
          <w:sz w:val="24"/>
          <w:szCs w:val="24"/>
          <w:lang w:val="sr-Latn-CS"/>
        </w:rPr>
        <w:t>улазно-излазне ревизијена речн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0594">
        <w:rPr>
          <w:rFonts w:ascii="Times New Roman" w:hAnsi="Times New Roman" w:cs="Times New Roman"/>
          <w:sz w:val="24"/>
          <w:szCs w:val="24"/>
          <w:lang w:val="sr-Latn-CS"/>
        </w:rPr>
        <w:t>м граничним прелазима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30594">
        <w:rPr>
          <w:rFonts w:ascii="Times New Roman" w:hAnsi="Times New Roman" w:cs="Times New Roman"/>
          <w:sz w:val="24"/>
          <w:szCs w:val="24"/>
          <w:lang w:val="sr-Cyrl-CS"/>
        </w:rPr>
        <w:t>учествује у раду комисија за полагање стручног испита управљања чамцем, пловећим телом или плутајућим објектом, учествује у техничком прегледу чамаца;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 врши статистичку обраду података и израђује извештаје; обавља послове из области заштите од пожара; обавља и друге послове по налогу шефа лучке капетаније.</w:t>
      </w:r>
    </w:p>
    <w:p w:rsid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Услови</w:t>
      </w:r>
      <w:r w:rsidRPr="000C4F03">
        <w:rPr>
          <w:rFonts w:ascii="Times New Roman" w:hAnsi="Times New Roman" w:cs="Times New Roman"/>
          <w:sz w:val="24"/>
          <w:szCs w:val="24"/>
        </w:rPr>
        <w:t xml:space="preserve">: </w:t>
      </w:r>
      <w:r w:rsidRPr="00330594">
        <w:rPr>
          <w:rFonts w:ascii="Times New Roman" w:hAnsi="Times New Roman" w:cs="Times New Roman"/>
          <w:sz w:val="24"/>
          <w:szCs w:val="24"/>
          <w:lang w:val="ru-RU"/>
        </w:rPr>
        <w:t>Завршена средња школа</w:t>
      </w:r>
      <w:r w:rsidRPr="00330594">
        <w:rPr>
          <w:rFonts w:ascii="Times New Roman" w:hAnsi="Times New Roman" w:cs="Times New Roman"/>
          <w:sz w:val="24"/>
          <w:szCs w:val="24"/>
        </w:rPr>
        <w:t>,</w:t>
      </w:r>
      <w:r w:rsidRPr="00330594"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 две године радног искуства у струци, положен државни стручни испит, </w:t>
      </w:r>
      <w:r w:rsidRPr="00330594">
        <w:rPr>
          <w:rFonts w:ascii="Times New Roman" w:hAnsi="Times New Roman" w:cs="Times New Roman"/>
          <w:sz w:val="24"/>
          <w:szCs w:val="24"/>
          <w:shd w:val="clear" w:color="auto" w:fill="FFFFFF"/>
        </w:rPr>
        <w:t>као и потребне компетенције за обављање послова радног места. </w:t>
      </w:r>
    </w:p>
    <w:p w:rsid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F03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Велико Градиште</w:t>
      </w:r>
    </w:p>
    <w:p w:rsidR="000C4F03" w:rsidRPr="000C4F03" w:rsidRDefault="000C4F03" w:rsidP="000C4F0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2C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 </w:t>
      </w:r>
      <w:r w:rsidR="00FC2C1E" w:rsidRPr="00FC2C1E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инспектора за државне путеве</w:t>
      </w:r>
      <w:r w:rsidR="00FC2C1E">
        <w:rPr>
          <w:rFonts w:ascii="Times New Roman" w:hAnsi="Times New Roman" w:cs="Times New Roman"/>
          <w:sz w:val="24"/>
          <w:szCs w:val="24"/>
          <w:lang w:val="sr-Cyrl-CS"/>
        </w:rPr>
        <w:t>, звање: саветник, Одељење за инспекцијске послове државних путева, Сектор за инспекцијски надзор – 1 извршилац</w:t>
      </w:r>
    </w:p>
    <w:p w:rsidR="00FC2C1E" w:rsidRPr="00FC2C1E" w:rsidRDefault="00FC2C1E" w:rsidP="00FC2C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2C1E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</w:t>
      </w:r>
      <w:r w:rsidRPr="00FC2C1E">
        <w:rPr>
          <w:rFonts w:ascii="Times New Roman" w:hAnsi="Times New Roman" w:cs="Times New Roman"/>
          <w:sz w:val="24"/>
          <w:szCs w:val="24"/>
          <w:lang w:val="sr-Cyrl-CS"/>
        </w:rPr>
        <w:t xml:space="preserve">: Врши инспекцијски надзор над применом закона, других прописа и општих аката из области путева, </w:t>
      </w:r>
      <w:r w:rsidRPr="00330594">
        <w:rPr>
          <w:rFonts w:ascii="Times New Roman" w:hAnsi="Times New Roman" w:cs="Times New Roman"/>
          <w:sz w:val="24"/>
          <w:szCs w:val="24"/>
          <w:lang w:val="sr-Cyrl-CS"/>
        </w:rPr>
        <w:t>над применом закона и других прописа из области путева, изградње, реконструкције и одржавања државних путева: заштите и одржавања државних путева; саобраћајне сигнализације, као и пратеће опреме пута (стајалишта, станице и снабдевање горивом, паркинзи и др); контролу грађевинских и употребних дозвола и пријаве радова</w:t>
      </w:r>
      <w:r w:rsidRPr="00FC2C1E">
        <w:rPr>
          <w:rFonts w:ascii="Times New Roman" w:hAnsi="Times New Roman" w:cs="Times New Roman"/>
          <w:sz w:val="24"/>
          <w:szCs w:val="24"/>
          <w:lang w:val="sr-Cyrl-CS"/>
        </w:rPr>
        <w:t>; доноси решења; учествује у припреми стручних основа за израду нацрта закона и предлога других прописа из делокруга Одељења; подноси пријаве; припрема извештаје о раду; обавља и друге послове по налогу начелника Одељења.</w:t>
      </w:r>
    </w:p>
    <w:p w:rsidR="00FC2C1E" w:rsidRPr="00330594" w:rsidRDefault="00FC2C1E" w:rsidP="00FC2C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2C1E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FC2C1E">
        <w:rPr>
          <w:rFonts w:ascii="Times New Roman" w:hAnsi="Times New Roman" w:cs="Times New Roman"/>
          <w:sz w:val="24"/>
          <w:szCs w:val="24"/>
          <w:lang w:val="sr-Cyrl-CS"/>
        </w:rPr>
        <w:t xml:space="preserve">: Стечено високо образовање из научне, односно стручне области грађевинско инжењерство (одсек путеви, железнице, аеродроми, односно конструктивни смер)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испит,положен испит за инспектора, </w:t>
      </w:r>
      <w:r w:rsidRPr="00330594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</w:p>
    <w:p w:rsidR="000C4F03" w:rsidRPr="000C4F03" w:rsidRDefault="00FC2C1E" w:rsidP="000C4F0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2C1E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Ужице</w:t>
      </w:r>
    </w:p>
    <w:p w:rsidR="00C056CB" w:rsidRPr="00EE744E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 који учествују у изборном поступку прво се проверавају опште функционалне компетенције.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компетенције, и то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„Организација и рад државних органа РС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путем теста (писмено)  </w:t>
      </w:r>
    </w:p>
    <w:p w:rsidR="00C056CB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„Дигитална писменост“ - провераваће се решавањем задатака  (практичним радом на рачунару) </w:t>
      </w:r>
      <w:r w:rsidRPr="00EE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„Пословна комуникација„ - провераваће се путем симулације (писмено).</w:t>
      </w:r>
    </w:p>
    <w:p w:rsidR="00F81146" w:rsidRPr="00EE744E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Напомена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погледу провере опште функционалне компетенције „Дигитална писменост“, ако поседујете важећи сертификат, потврду или други одговарајући док</w:t>
      </w:r>
      <w:r w:rsid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 о познавању рада на рачунару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траженом нивоу и желите да на основу њега будете осл</w:t>
      </w:r>
      <w:r w:rsid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обођени тестирања компетенције -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EE744E" w:rsidRDefault="006E5056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1:</w:t>
      </w:r>
    </w:p>
    <w:p w:rsidR="00301A35" w:rsidRPr="00DD7038" w:rsidRDefault="00301A35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Pr="003923E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управно-правни послови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-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</w:t>
      </w:r>
      <w:proofErr w:type="gramEnd"/>
      <w:r w:rsidRPr="00DD7038">
        <w:rPr>
          <w:rFonts w:ascii="Times New Roman" w:hAnsi="Times New Roman" w:cs="Times New Roman"/>
          <w:sz w:val="24"/>
          <w:szCs w:val="24"/>
          <w:lang w:val="sr-Cyrl-CS"/>
        </w:rPr>
        <w:t>општи управни поступак)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провераваће се путем симулације (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писмено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01A35" w:rsidRPr="00DD7038" w:rsidRDefault="00301A35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; провераваће се путем симулације (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писмено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01A35" w:rsidRDefault="00301A35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(Закон о планирању и изградњи); провераваће се путем симулације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(усмено).</w:t>
      </w:r>
    </w:p>
    <w:p w:rsidR="00DD7038" w:rsidRP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0F70" w:rsidRDefault="006E5056" w:rsidP="00DD7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683BE8" w:rsidRPr="00683BE8" w:rsidRDefault="00683BE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нормативни послови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- 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3BE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примена</w:t>
      </w:r>
      <w:proofErr w:type="gramEnd"/>
      <w:r w:rsidRPr="00683BE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номотехничких и правно-техничких правила за израду правних аката (усаглашеност прописа и општих аката у правном систему)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путем симулације (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писмено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83BE8" w:rsidRPr="00683BE8" w:rsidRDefault="00683BE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)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провераваће се путем симулације (усмено).</w:t>
      </w:r>
    </w:p>
    <w:p w:rsidR="00683BE8" w:rsidRPr="00683BE8" w:rsidRDefault="00683BE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(Закон о планирању и изградњи); провераваће се путем симулације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(усмено).</w:t>
      </w:r>
    </w:p>
    <w:p w:rsidR="00683BE8" w:rsidRPr="00683BE8" w:rsidRDefault="00683BE8" w:rsidP="00683BE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радно место 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релевантни прописи из делокруга радног места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FIDIC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правила уговарања); провераваће се путем симулације</w:t>
      </w:r>
      <w:r w:rsidRPr="0068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(усмено).</w:t>
      </w:r>
    </w:p>
    <w:p w:rsidR="00900AB6" w:rsidRDefault="00DD7038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3:</w:t>
      </w:r>
    </w:p>
    <w:p w:rsidR="00DD7038" w:rsidRP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</w:t>
      </w: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рада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студијско-налитички послови прикуљање и обрада подтака из различитих извора, укључујући и способност критичког вредновања и анализирања доступних информација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провераваће се путем симулације (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усмено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Посебна функционална компетенција за радно место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професионално окружење, прописи и акти из належности и организације органа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70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Закон о пловидби и лукама на унутрашњим водама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провераваће се путем симулације (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усмено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- релевантни прописи и акти из делокруга радног места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70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Закон о граничној контроли)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провераваће се путем симулације (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усмено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За радно место под редним бројем 4:</w:t>
      </w:r>
    </w:p>
    <w:p w:rsidR="00DD7038" w:rsidRP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област</w:t>
      </w: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 рада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административни послови</w:t>
      </w: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7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канцеларијско пословање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провераваће се путем симулације (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усмено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професионално окружење, прописи и акти из належности и организације органа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70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Закон о пловидби и лукама на унутрашњим водама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провераваће се путем симулације (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усмено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D7038" w:rsidRP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релевантни прописи и акти из делокруга радног места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70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Закон о општем управном поступку) 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провераваће се путем симулације (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усмено</w:t>
      </w:r>
      <w:r w:rsidRPr="00DD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D7038" w:rsidRP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DD7038" w:rsidRDefault="00DD7038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5:</w:t>
      </w:r>
    </w:p>
    <w:p w:rsidR="00341612" w:rsidRPr="00341612" w:rsidRDefault="00341612" w:rsidP="00341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6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област рада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инспекцијски послови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3416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 управни поступак и управни спорови; основе прекршајног права и прекршајни поступак; поступак инспекцијског надзора и основе методологије анализе ризика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провераваће се путем симулације (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писмено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41612" w:rsidRPr="00341612" w:rsidRDefault="00341612" w:rsidP="00341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6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област рада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)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341612" w:rsidRPr="00341612" w:rsidRDefault="00341612" w:rsidP="00341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6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(Закон о путевима; Закон о безбедности саобраћаја на путевима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341612" w:rsidRPr="00341612" w:rsidRDefault="00341612" w:rsidP="00341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3416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</w:t>
      </w:r>
      <w:r w:rsidRPr="0034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– возачка дозвола ''Б'' категорије, провераваће се увидом у фотокопију возачке дозволе.</w:t>
      </w:r>
    </w:p>
    <w:p w:rsidR="0069002C" w:rsidRDefault="0069002C" w:rsidP="0069002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Напомена: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Учесник конкурса је дужан да оверену фотокопију возачке дозволе ''Б'' категорије достави уз пријавни образац.</w:t>
      </w:r>
      <w:bookmarkStart w:id="0" w:name="_GoBack"/>
      <w:bookmarkEnd w:id="0"/>
    </w:p>
    <w:p w:rsidR="00341612" w:rsidRPr="00DD7038" w:rsidRDefault="00341612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D33AC0" w:rsidRPr="00EE744E" w:rsidRDefault="00D33AC0" w:rsidP="006E5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 Провера понашајних компетенција за сва извршилачка радна места</w:t>
      </w:r>
      <w:proofErr w:type="gramStart"/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 - провераваће се путем психометријских тестова и интервјуа базираном на компетенцијама.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 Интервју са комисијом и вредновање кандидата за сва извршилачка радна места: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341612" w:rsidRDefault="00341612" w:rsidP="003416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 Адреса на коју се подноси попуњен образац пријаве за конкурс: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B15B6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Немањина 22-26, 11000 Београд, са назнаком „За јавни конкурс за попуњавање извршилачких радних места”.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 Лицa којa су задужена за давање обавештења: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10,00 до 13,00 часова.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IX Општи услови за запослење: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 Рок за подношење пријава: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за подношење пријава је </w:t>
      </w:r>
      <w:r w:rsidR="003416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XI Пријава на јавни конкурс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29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 Докази које прилажу кандидати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</w:t>
      </w:r>
      <w:r w:rsidR="0002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оженом државном стручном испиту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4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341612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6E50F8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XIII Рок за подношење доказа: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</w:t>
      </w:r>
      <w:r w:rsidR="00AD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AD1C1A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(5)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радних дана од дана пријема обавештења доставе наведене доказе који се прилажу у конкурсном поступку.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 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:rsidR="006E50F8" w:rsidRDefault="006E50F8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6874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XIV Трајање радног односа: </w:t>
      </w:r>
    </w:p>
    <w:p w:rsidR="00E35F34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="003C5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наведена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радна места радни однос заснива се на неодређено време.</w:t>
      </w: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313F7F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XV Датум и место провере компетенција учесника конкурса у изборном поступку: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3C5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2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C5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марта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3C5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20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године,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чему ће учесници конкурса бити </w:t>
      </w:r>
      <w:r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313F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 и понашајних компетенција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 ће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обавити у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Немањина 22-26</w:t>
      </w:r>
      <w:r w:rsidR="003C5E7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Омладинских бригада 1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EE744E" w:rsidRPr="00EE744E" w:rsidRDefault="00BD2F47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именовала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016BF0" w:rsidRPr="00EE744E" w:rsidRDefault="00D33AC0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Образац пријаве на конкурс, за сва радна места, може се преузети на званичној  интернет  презентацији Службе за управљање кадровима и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у штампаној верзији на писарници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Београд, Немањина 22-26.</w:t>
      </w:r>
    </w:p>
    <w:p w:rsidR="00C75E9C" w:rsidRPr="00EE744E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3923EA" w:rsidRDefault="001F122A" w:rsidP="002F3A7C">
      <w:pPr>
        <w:rPr>
          <w:rFonts w:ascii="Times New Roman" w:hAnsi="Times New Roman" w:cs="Times New Roman"/>
          <w:sz w:val="24"/>
          <w:szCs w:val="24"/>
        </w:rPr>
      </w:pPr>
    </w:p>
    <w:sectPr w:rsidR="001F122A" w:rsidRPr="003923EA" w:rsidSect="00341612">
      <w:pgSz w:w="12240" w:h="15840"/>
      <w:pgMar w:top="1440" w:right="146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2A4B"/>
    <w:rsid w:val="00005FD4"/>
    <w:rsid w:val="00016BF0"/>
    <w:rsid w:val="000207AE"/>
    <w:rsid w:val="00036874"/>
    <w:rsid w:val="000C4031"/>
    <w:rsid w:val="000C468B"/>
    <w:rsid w:val="000C4F03"/>
    <w:rsid w:val="001F122A"/>
    <w:rsid w:val="002F3A7C"/>
    <w:rsid w:val="00301A35"/>
    <w:rsid w:val="00313F7F"/>
    <w:rsid w:val="00332A0D"/>
    <w:rsid w:val="00341612"/>
    <w:rsid w:val="003923EA"/>
    <w:rsid w:val="003A20D5"/>
    <w:rsid w:val="003C5E71"/>
    <w:rsid w:val="00403FBD"/>
    <w:rsid w:val="00474B2E"/>
    <w:rsid w:val="004841C5"/>
    <w:rsid w:val="005F7248"/>
    <w:rsid w:val="00680A7B"/>
    <w:rsid w:val="00683BE8"/>
    <w:rsid w:val="0069002C"/>
    <w:rsid w:val="006C653C"/>
    <w:rsid w:val="006E5056"/>
    <w:rsid w:val="006E50F8"/>
    <w:rsid w:val="007C0F70"/>
    <w:rsid w:val="00825E71"/>
    <w:rsid w:val="008D491A"/>
    <w:rsid w:val="008F712C"/>
    <w:rsid w:val="00900AB6"/>
    <w:rsid w:val="009073F5"/>
    <w:rsid w:val="009306F2"/>
    <w:rsid w:val="00932CEB"/>
    <w:rsid w:val="00A30673"/>
    <w:rsid w:val="00A730F1"/>
    <w:rsid w:val="00AD1C1A"/>
    <w:rsid w:val="00AD33D8"/>
    <w:rsid w:val="00B15B63"/>
    <w:rsid w:val="00B572D7"/>
    <w:rsid w:val="00B82175"/>
    <w:rsid w:val="00B979CE"/>
    <w:rsid w:val="00BA20D2"/>
    <w:rsid w:val="00BD2F47"/>
    <w:rsid w:val="00C056CB"/>
    <w:rsid w:val="00C139BE"/>
    <w:rsid w:val="00C37D52"/>
    <w:rsid w:val="00C75E9C"/>
    <w:rsid w:val="00C8556E"/>
    <w:rsid w:val="00D05F13"/>
    <w:rsid w:val="00D33AC0"/>
    <w:rsid w:val="00D7387C"/>
    <w:rsid w:val="00DD7038"/>
    <w:rsid w:val="00DE6F11"/>
    <w:rsid w:val="00DE77BA"/>
    <w:rsid w:val="00E22C29"/>
    <w:rsid w:val="00E35F34"/>
    <w:rsid w:val="00E433C2"/>
    <w:rsid w:val="00E657C3"/>
    <w:rsid w:val="00EC3C8E"/>
    <w:rsid w:val="00EE744E"/>
    <w:rsid w:val="00F149B1"/>
    <w:rsid w:val="00F421E3"/>
    <w:rsid w:val="00F77162"/>
    <w:rsid w:val="00F81146"/>
    <w:rsid w:val="00FC2C1E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3416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0560-9300-4260-978C-A96679F8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8</cp:revision>
  <dcterms:created xsi:type="dcterms:W3CDTF">2020-01-29T10:34:00Z</dcterms:created>
  <dcterms:modified xsi:type="dcterms:W3CDTF">2020-01-30T09:30:00Z</dcterms:modified>
</cp:coreProperties>
</file>