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</w:t>
      </w:r>
      <w:r w:rsidR="006A73B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116/08, 104/09, 99/14, 94/17,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95/18</w:t>
      </w:r>
      <w:r w:rsidR="006A73B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157/20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и члана 9. став 1. Уредбе о  интерном и јавном конкурсу за попуњавање радних места у државним органима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26228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162" w:rsidRPr="007F4D6D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2F3A7C" w:rsidRPr="007F4D6D" w:rsidRDefault="002F3A7C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1. </w:t>
      </w:r>
      <w:r w:rsidR="006A73B5" w:rsidRPr="007F4D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за </w:t>
      </w:r>
      <w:r w:rsidR="00D46F89">
        <w:rPr>
          <w:rFonts w:ascii="Times New Roman" w:hAnsi="Times New Roman" w:cs="Times New Roman"/>
          <w:b/>
          <w:sz w:val="24"/>
          <w:szCs w:val="24"/>
          <w:lang w:val="sr-Cyrl-CS"/>
        </w:rPr>
        <w:t>стручно-оперативне послове</w:t>
      </w:r>
      <w:r w:rsidR="00187D5B" w:rsidRPr="007F4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 w:rsidR="00D46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 </w:t>
      </w:r>
      <w:r w:rsidR="00187D5B" w:rsidRPr="007F4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звањ</w:t>
      </w:r>
      <w:r w:rsidR="00D46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</w:t>
      </w:r>
      <w:r w:rsidRPr="007F4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D46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сарадник</w:t>
      </w:r>
      <w:r w:rsidRPr="007F4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Лучка капетанија Велико Градиште</w:t>
      </w:r>
      <w:r w:rsidR="00F149B1" w:rsidRPr="007F4D6D">
        <w:rPr>
          <w:rFonts w:ascii="Times New Roman" w:hAnsi="Times New Roman" w:cs="Times New Roman"/>
          <w:sz w:val="24"/>
          <w:szCs w:val="24"/>
        </w:rPr>
        <w:t xml:space="preserve">, </w:t>
      </w:r>
      <w:r w:rsidR="006A73B5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послове лучких капетанија</w:t>
      </w:r>
      <w:r w:rsidR="006A73B5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9B1" w:rsidRPr="007F4D6D">
        <w:rPr>
          <w:rFonts w:ascii="Times New Roman" w:hAnsi="Times New Roman" w:cs="Times New Roman"/>
          <w:sz w:val="24"/>
          <w:szCs w:val="24"/>
        </w:rPr>
        <w:t xml:space="preserve">Сектор за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водни саобраћај и безбедност пловидбе</w:t>
      </w:r>
      <w:r w:rsidR="00F149B1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извршилац.</w:t>
      </w:r>
    </w:p>
    <w:p w:rsidR="00D46F89" w:rsidRPr="00D46F89" w:rsidRDefault="00D46F89" w:rsidP="00D46F8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6F89">
        <w:rPr>
          <w:rFonts w:ascii="Times New Roman" w:hAnsi="Times New Roman" w:cs="Times New Roman"/>
          <w:sz w:val="24"/>
          <w:szCs w:val="24"/>
          <w:lang w:val="sr-Cyrl-CS"/>
        </w:rPr>
        <w:t>Опис послова: Припрема и обрађује податке и документацију о пловилима и посади, о стању водног пута и објектима безбедности пловидбе на унутрашњим водним путевима; припрема мишљења, одговоре и нацрте решења; води евиденционе књиге; врши улазно-излазне ревизијена речним граничним прелазима; учествује у вршењу увиђаја хаварија и ванредних догађаја; врши оверу бродских исправа и књига;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сарађује са лучким капетанијама, органима и привредним субјектима; обавља и друге послове по налогу шефа лучке капетаније.</w:t>
      </w:r>
    </w:p>
    <w:p w:rsidR="00D46F89" w:rsidRPr="00D46F89" w:rsidRDefault="00D46F89" w:rsidP="00D46F8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6F89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високо образовање из стручне области саобраћајно инжењерство или машинско инжењерство или из научне области економске науке или правне науке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BF0A7D" w:rsidRDefault="00BF0A7D" w:rsidP="00BF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7D52" w:rsidRDefault="00F149B1" w:rsidP="00BF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A7D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Велико Градиште</w:t>
      </w:r>
    </w:p>
    <w:p w:rsidR="00BF0A7D" w:rsidRPr="007F4D6D" w:rsidRDefault="00BF0A7D" w:rsidP="00BF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69BF" w:rsidRPr="007F4D6D" w:rsidRDefault="00C37D52" w:rsidP="00A66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="006A73B5" w:rsidRPr="007F4D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за </w:t>
      </w:r>
      <w:r w:rsidR="00D46F89">
        <w:rPr>
          <w:rFonts w:ascii="Times New Roman" w:hAnsi="Times New Roman" w:cs="Times New Roman"/>
          <w:b/>
          <w:sz w:val="24"/>
          <w:szCs w:val="24"/>
          <w:lang w:val="sr-Cyrl-CS"/>
        </w:rPr>
        <w:t>буџетско рачуноводство</w:t>
      </w:r>
      <w:r w:rsidRPr="007F4D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7D5B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 звање</w:t>
      </w:r>
      <w:r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самостални</w:t>
      </w:r>
      <w:r w:rsidR="006A73B5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саветник,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Група за анализу буџета и буџетско рачуноводство</w:t>
      </w:r>
      <w:r w:rsidR="00A669BF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, Одељење за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>буџет и финансијско управљање</w:t>
      </w:r>
      <w:r w:rsidR="00A669BF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6F89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Секретаријат Министарства </w:t>
      </w:r>
      <w:r w:rsidR="00A669BF"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– 1 извршилац </w:t>
      </w:r>
    </w:p>
    <w:p w:rsidR="00D46F89" w:rsidRPr="00D46F89" w:rsidRDefault="00D46F89" w:rsidP="00D46F8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6F89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Спроводи контролу планске и финансијске исправности примљених рачуноводствених исправа и контролу реализације у циљу остваривања принципа економичности, ефикасности и ефективности трошења средстава буџета; подноси законом прописане финансијске извештаје министарству надлежном за послове финансија, Управи за трезор и другим органима; припрема завршни рачун за Министарство; израђује консолидоване периодичне и годишње извештаје из надлежности Министарства; врши </w:t>
      </w:r>
      <w:r w:rsidRPr="00D46F8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контирање и билансирање и израђује биланс стања, спроводи закључна књижења, израђује и усаглашава стања главне књиге са Трезором и подацима из књиговодственог програма Министарства;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књигама; сарађује са другим државним органима; обавља и друге послове по налогу руководиоца Групе.</w:t>
      </w:r>
    </w:p>
    <w:p w:rsidR="00D46F89" w:rsidRPr="00D46F89" w:rsidRDefault="00D46F89" w:rsidP="00D46F8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6F89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A669BF" w:rsidRPr="00BF0A7D" w:rsidRDefault="00A669BF" w:rsidP="009073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BF0A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Место рада</w:t>
      </w:r>
      <w:r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: Београд</w:t>
      </w:r>
    </w:p>
    <w:p w:rsidR="00FC2493" w:rsidRPr="007F4D6D" w:rsidRDefault="00FC2493" w:rsidP="00FC24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6CB" w:rsidRPr="007F4D6D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F4D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F4D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073F5" w:rsidRPr="007F4D6D" w:rsidRDefault="00E2411E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7F4D6D" w:rsidRDefault="00E2411E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1. </w:t>
      </w:r>
      <w:r w:rsidR="006E5056"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Опште функционалне компетенције</w:t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то</w:t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073F5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>„Организација и рад државних органа РС“ - провераваће се путем теста (писмено)  </w:t>
      </w:r>
    </w:p>
    <w:p w:rsidR="00510CB0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>„Дигитална писменост“ - провераваће се решавањем задатака  (практичним радом на</w:t>
      </w:r>
      <w:r w:rsidR="00510CB0" w:rsidRPr="007F4D6D">
        <w:rPr>
          <w:color w:val="000000"/>
          <w:shd w:val="clear" w:color="auto" w:fill="FFFFFF"/>
        </w:rPr>
        <w:t xml:space="preserve">           </w:t>
      </w:r>
      <w:r w:rsidRPr="007F4D6D">
        <w:rPr>
          <w:color w:val="000000"/>
          <w:shd w:val="clear" w:color="auto" w:fill="FFFFFF"/>
        </w:rPr>
        <w:t>рачунару) </w:t>
      </w:r>
    </w:p>
    <w:p w:rsidR="00C056CB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 xml:space="preserve"> „Пословна комуникација„ - провераваће се путем симулације (писмено).</w:t>
      </w:r>
    </w:p>
    <w:p w:rsidR="00F81146" w:rsidRPr="007F4D6D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6CA" w:rsidRPr="007F4D6D" w:rsidRDefault="006E5056" w:rsidP="00510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4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Напомена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9073F5" w:rsidRPr="007F4D6D" w:rsidRDefault="001326CA" w:rsidP="00510CB0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 w:rsidR="007F4BD9" w:rsidRPr="007F4D6D">
          <w:rPr>
            <w:rStyle w:val="Hyperlink"/>
            <w:rFonts w:ascii="Roboto" w:hAnsi="Roboto"/>
            <w:sz w:val="24"/>
            <w:szCs w:val="24"/>
            <w:shd w:val="clear" w:color="auto" w:fill="FFFFFF"/>
          </w:rPr>
          <w:t>www.suk.gov.rs</w:t>
        </w:r>
      </w:hyperlink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7F4BD9" w:rsidRPr="007F4D6D" w:rsidRDefault="007F4BD9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F89" w:rsidRDefault="00D46F89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F89" w:rsidRDefault="00D46F89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2E40" w:rsidRPr="007F4D6D" w:rsidRDefault="00510CB0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2.</w:t>
      </w:r>
      <w:r w:rsidR="006E5056"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Провера посебних функционалних компетенција: </w:t>
      </w:r>
    </w:p>
    <w:p w:rsidR="007C0F70" w:rsidRPr="007F4D6D" w:rsidRDefault="00510CB0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7F4D6D" w:rsidRDefault="00510CB0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1:</w:t>
      </w:r>
      <w:r w:rsidR="006A2E40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                                                                                                               </w:t>
      </w:r>
    </w:p>
    <w:p w:rsidR="00D46F89" w:rsidRPr="00D46F89" w:rsidRDefault="00510CB0" w:rsidP="00132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46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област рада управно-правни послови (општи управни поступак)</w:t>
      </w:r>
      <w:r w:rsidR="0028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– провераваће се путем симулације (усмено);</w:t>
      </w:r>
    </w:p>
    <w:p w:rsidR="001326CA" w:rsidRPr="007F4D6D" w:rsidRDefault="00D46F89" w:rsidP="00132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326C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1326C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1326C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</w:t>
      </w:r>
      <w:r w:rsidR="0028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се путем симулације (усмено</w:t>
      </w:r>
      <w:r w:rsidR="006A2E40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7C0F70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28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пловидби и лукама на унутрашњим водама, Закон о државној припадности и упису пловила</w:t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="0028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усмено</w:t>
      </w:r>
      <w:r w:rsidR="006A2E40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8C0D21" w:rsidRPr="007F4D6D" w:rsidRDefault="00510CB0" w:rsidP="00283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</w:p>
    <w:p w:rsidR="007C0F70" w:rsidRPr="007F4D6D" w:rsidRDefault="00510CB0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28340E" w:rsidRPr="0028340E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283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област рада финансијско-материјални послови (буџетски систем Републике Србије; терминологија, стандарди, методе и процедуре из области буџетског рачуноводства и извештавања, извршење буџета)</w:t>
      </w:r>
      <w:r w:rsidR="000C1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– провераваће се путем симулације (усмено).</w:t>
      </w:r>
    </w:p>
    <w:p w:rsidR="00450E4D" w:rsidRPr="007F4D6D" w:rsidRDefault="0028340E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</w:t>
      </w:r>
      <w:r w:rsidR="000C1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аће се путем симулације (усмено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50E4D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0C1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Правиллник о унутрашњем уређењу и систематизацији радних места</w:t>
      </w:r>
      <w:r w:rsidR="00F57F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у Министарству грађевинарства, саобраћаја и инфраструктуре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</w:t>
      </w:r>
      <w:r w:rsidR="000C1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ваће се путем симулације (усмено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B6B82" w:rsidRPr="007F4D6D" w:rsidRDefault="00510CB0" w:rsidP="000C1A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</w:p>
    <w:p w:rsidR="00186D59" w:rsidRDefault="00186D59" w:rsidP="00A36F2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Провера понашајних компетенција:</w:t>
      </w:r>
    </w:p>
    <w:p w:rsidR="00FE2B8F" w:rsidRPr="007F4D6D" w:rsidRDefault="00186D59" w:rsidP="00A36F2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</w:p>
    <w:p w:rsidR="00186D59" w:rsidRDefault="00A36F22" w:rsidP="0018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Интервју са </w:t>
      </w:r>
      <w:r w:rsidR="00186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комисијом и вредновање кандидата </w:t>
      </w:r>
    </w:p>
    <w:p w:rsidR="00186D59" w:rsidRDefault="00D33AC0" w:rsidP="0018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</w:t>
      </w:r>
      <w:proofErr w:type="gramEnd"/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сва извршилачка радна места:</w:t>
      </w:r>
    </w:p>
    <w:p w:rsidR="00A36F22" w:rsidRPr="00822099" w:rsidRDefault="00186D59" w:rsidP="00822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провераваће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путем интервјуа са комисијом (усмено).</w:t>
      </w:r>
    </w:p>
    <w:p w:rsidR="00E2411E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IV 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</w:t>
      </w:r>
      <w:proofErr w:type="gramEnd"/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коју се подноси попуњен образац пријаве за конкурс: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099" w:rsidRPr="007F4D6D" w:rsidRDefault="00822099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Министарство </w:t>
      </w:r>
      <w:r w:rsidR="00036874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грађевинарства, саобр</w:t>
      </w:r>
      <w:r w:rsidR="00B15B63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036874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ћаја и инфраструктуре</w:t>
      </w:r>
      <w:r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Немањина 22-26, 11000 Београд,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назнаком „За јавни конкурс за попуњавање извршилачких радних места”.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D59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Лицa којa су задужена за давање обавештења: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AC0" w:rsidRPr="007F4D6D" w:rsidRDefault="00036874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Општи услови за запослење: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Рок за подношење пријава: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20DF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="00156A7D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подношење пријава је </w:t>
      </w:r>
      <w:r w:rsidR="00156A7D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осам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дана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Пријава на јавни конкурс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7F4D6D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7F4D6D" w:rsidRDefault="007B4ACD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ACD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IX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Докази које прилажу кандидати који су успешно прошли фазе изборног поступка пре интервјуа са Конкурсном комисијом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4ACD" w:rsidRPr="007F4D6D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FE2B8F" w:rsidRPr="007F4D6D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Као доказ се могу приложити и фотокопије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докумената које су оверене пре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</w:t>
      </w:r>
      <w:r w:rsidR="00FE2B8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основним судовима, односно општинским управама. </w:t>
      </w:r>
    </w:p>
    <w:p w:rsidR="00344AA1" w:rsidRDefault="00344AA1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44AA1" w:rsidRDefault="00A36F22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X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Рок за подношење доказа: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45B50" w:rsidRPr="007F4D6D" w:rsidRDefault="00344AA1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</w:t>
      </w:r>
    </w:p>
    <w:p w:rsidR="00945B50" w:rsidRPr="007F4D6D" w:rsidRDefault="00FE2B8F" w:rsidP="00EE744E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ab/>
      </w:r>
      <w:r w:rsidR="00945B50"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:rsidR="006E50F8" w:rsidRPr="007F4D6D" w:rsidRDefault="00FE2B8F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36874" w:rsidRPr="007F4D6D" w:rsidRDefault="00A36F22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Трајање радног односа: </w:t>
      </w:r>
    </w:p>
    <w:p w:rsidR="00E35F34" w:rsidRDefault="00FE2B8F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D469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D469ED" w:rsidRPr="00D469ED" w:rsidRDefault="00D469E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1742" w:rsidRPr="007F4D6D" w:rsidRDefault="00FE2B8F" w:rsidP="00C41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</w:p>
    <w:p w:rsidR="00D33AC0" w:rsidRPr="007F4D6D" w:rsidRDefault="00FE2B8F" w:rsidP="007F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7F4D6D" w:rsidRDefault="00FE2B8F" w:rsidP="007F4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A36F22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Датум и место провере компетенција учесника конкурса у изборном поступку: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2B8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</w:t>
      </w:r>
      <w:r w:rsidR="007B4ACD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кандидатима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почев од </w:t>
      </w:r>
      <w:r w:rsidR="00B76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27. сештембра</w:t>
      </w:r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903FDD"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2</w:t>
      </w:r>
      <w:r w:rsidR="00B76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1</w:t>
      </w:r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gramEnd"/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F4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чему ће учесници конкурса бити </w:t>
      </w:r>
      <w:r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7F4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7B4ACD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</w:t>
      </w:r>
      <w:r w:rsidR="00903FDD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посебних функционалних компетенција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понашајних компетенција ће се обавити у Служби за управљање кадровима, у Палати ''Србија'' Нови Београд, Булевар Михаила Пупина број 2. (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источно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крило). </w:t>
      </w:r>
    </w:p>
    <w:p w:rsidR="007B4ACD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4ACD" w:rsidRPr="007F4D6D">
        <w:rPr>
          <w:rFonts w:ascii="Times New Roman" w:hAnsi="Times New Roman" w:cs="Times New Roman"/>
          <w:sz w:val="24"/>
          <w:szCs w:val="24"/>
          <w:lang w:val="sr-Cyrl-CS"/>
        </w:rPr>
        <w:t>Интервју са Конкурсном комисијом ће се обавити у просторијама</w:t>
      </w:r>
      <w:r w:rsidR="007B4ACD" w:rsidRPr="007F4D6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4ACD" w:rsidRPr="007F4D6D">
        <w:rPr>
          <w:rFonts w:ascii="Times New Roman" w:hAnsi="Times New Roman" w:cs="Times New Roman"/>
          <w:sz w:val="24"/>
          <w:szCs w:val="24"/>
          <w:lang w:val="sr-Cyrl-CS"/>
        </w:rPr>
        <w:t>Министарства грађевинарства, саобраћаја и инфраструктуре, Београд, ул. Немањина 22.</w:t>
      </w:r>
    </w:p>
    <w:p w:rsidR="00D33AC0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7B4ACD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Кандидати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7F4D6D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80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XIII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="00CF34EB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 уверење о положеном стручном испиту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</w:t>
      </w:r>
      <w:r w:rsidRPr="007F4D6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неопходно за одлучивање, осим ако странка изричито изјави да ће те податке прибавити сама (члан 103. став 3). 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6D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7F4D6D" w:rsidRPr="007F4D6D" w:rsidRDefault="009E0980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Напомена: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E0980" w:rsidRPr="007F4D6D" w:rsidRDefault="007F4D6D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BD2F47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="009E0980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EE744E" w:rsidRPr="007F4D6D" w:rsidRDefault="009E0980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 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7F4D6D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ању огласа Националне службе за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запошљавање.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6BF0" w:rsidRPr="007F4D6D" w:rsidRDefault="007F4D6D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5E9C" w:rsidRPr="007F4D6D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7F4D6D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7F4D6D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122A" w:rsidRPr="007F4D6D" w:rsidSect="009E0980">
      <w:pgSz w:w="12240" w:h="15840"/>
      <w:pgMar w:top="1440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353"/>
    <w:multiLevelType w:val="hybridMultilevel"/>
    <w:tmpl w:val="528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F46"/>
    <w:rsid w:val="00005FD4"/>
    <w:rsid w:val="000132F9"/>
    <w:rsid w:val="00016BF0"/>
    <w:rsid w:val="00036874"/>
    <w:rsid w:val="000C1AAC"/>
    <w:rsid w:val="000C468B"/>
    <w:rsid w:val="001326CA"/>
    <w:rsid w:val="001501DD"/>
    <w:rsid w:val="00156A7D"/>
    <w:rsid w:val="00186D59"/>
    <w:rsid w:val="00187D5B"/>
    <w:rsid w:val="001E0AF8"/>
    <w:rsid w:val="001F122A"/>
    <w:rsid w:val="001F214A"/>
    <w:rsid w:val="00227DFE"/>
    <w:rsid w:val="0026228D"/>
    <w:rsid w:val="0028340E"/>
    <w:rsid w:val="002F12D2"/>
    <w:rsid w:val="002F3A7C"/>
    <w:rsid w:val="00313F7F"/>
    <w:rsid w:val="00332A0D"/>
    <w:rsid w:val="00344AA1"/>
    <w:rsid w:val="00354B7A"/>
    <w:rsid w:val="003A20D5"/>
    <w:rsid w:val="00450E4D"/>
    <w:rsid w:val="004841C5"/>
    <w:rsid w:val="00510CB0"/>
    <w:rsid w:val="005F7248"/>
    <w:rsid w:val="006409CA"/>
    <w:rsid w:val="00661742"/>
    <w:rsid w:val="00680A7B"/>
    <w:rsid w:val="006A2E40"/>
    <w:rsid w:val="006A73B5"/>
    <w:rsid w:val="006C653C"/>
    <w:rsid w:val="006E5056"/>
    <w:rsid w:val="006E50F8"/>
    <w:rsid w:val="00765F50"/>
    <w:rsid w:val="007B4ACD"/>
    <w:rsid w:val="007C0F70"/>
    <w:rsid w:val="007F0128"/>
    <w:rsid w:val="007F06A7"/>
    <w:rsid w:val="007F3678"/>
    <w:rsid w:val="007F4BD9"/>
    <w:rsid w:val="007F4D6D"/>
    <w:rsid w:val="00803165"/>
    <w:rsid w:val="00822099"/>
    <w:rsid w:val="008920DF"/>
    <w:rsid w:val="008C0D21"/>
    <w:rsid w:val="008D491A"/>
    <w:rsid w:val="008F0290"/>
    <w:rsid w:val="008F712C"/>
    <w:rsid w:val="00900AB6"/>
    <w:rsid w:val="00903FDD"/>
    <w:rsid w:val="009073F5"/>
    <w:rsid w:val="009306F2"/>
    <w:rsid w:val="00932CEB"/>
    <w:rsid w:val="00945B50"/>
    <w:rsid w:val="009E0980"/>
    <w:rsid w:val="00A04DCF"/>
    <w:rsid w:val="00A30673"/>
    <w:rsid w:val="00A36F22"/>
    <w:rsid w:val="00A669BF"/>
    <w:rsid w:val="00A67838"/>
    <w:rsid w:val="00A730F1"/>
    <w:rsid w:val="00AD33D8"/>
    <w:rsid w:val="00B064B5"/>
    <w:rsid w:val="00B15B63"/>
    <w:rsid w:val="00B572D7"/>
    <w:rsid w:val="00B766D7"/>
    <w:rsid w:val="00B979CE"/>
    <w:rsid w:val="00BA20D2"/>
    <w:rsid w:val="00BD2F47"/>
    <w:rsid w:val="00BF0A7D"/>
    <w:rsid w:val="00C056CB"/>
    <w:rsid w:val="00C37D52"/>
    <w:rsid w:val="00C41219"/>
    <w:rsid w:val="00C67C30"/>
    <w:rsid w:val="00C75E9C"/>
    <w:rsid w:val="00C76475"/>
    <w:rsid w:val="00C8556E"/>
    <w:rsid w:val="00CF34EB"/>
    <w:rsid w:val="00D05F13"/>
    <w:rsid w:val="00D33A98"/>
    <w:rsid w:val="00D33AC0"/>
    <w:rsid w:val="00D469ED"/>
    <w:rsid w:val="00D46F89"/>
    <w:rsid w:val="00D7387C"/>
    <w:rsid w:val="00D7483B"/>
    <w:rsid w:val="00DB6B82"/>
    <w:rsid w:val="00DE77BA"/>
    <w:rsid w:val="00DF7BC7"/>
    <w:rsid w:val="00E2411E"/>
    <w:rsid w:val="00E35F34"/>
    <w:rsid w:val="00E433C2"/>
    <w:rsid w:val="00E657C3"/>
    <w:rsid w:val="00EC3C8E"/>
    <w:rsid w:val="00EE689D"/>
    <w:rsid w:val="00EE744E"/>
    <w:rsid w:val="00F149B1"/>
    <w:rsid w:val="00F35D77"/>
    <w:rsid w:val="00F421E3"/>
    <w:rsid w:val="00F57F7B"/>
    <w:rsid w:val="00F77162"/>
    <w:rsid w:val="00F81146"/>
    <w:rsid w:val="00FC2493"/>
    <w:rsid w:val="00FD763E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7F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C91D-E238-41C1-8A87-0A730D5B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3</cp:revision>
  <dcterms:created xsi:type="dcterms:W3CDTF">2021-09-03T06:34:00Z</dcterms:created>
  <dcterms:modified xsi:type="dcterms:W3CDTF">2021-09-03T07:42:00Z</dcterms:modified>
</cp:coreProperties>
</file>