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98" w:rsidRDefault="008B15DD" w:rsidP="008B15DD">
      <w:pPr>
        <w:tabs>
          <w:tab w:val="left" w:pos="9214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ГОДИШЊИ ИЗВЕШТАЈ О РАДУ </w:t>
      </w:r>
      <w:r w:rsidR="0033719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ОДЕЉЕЊА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ИНСПЕКЦИЈЕ</w:t>
      </w:r>
    </w:p>
    <w:p w:rsidR="00295A72" w:rsidRDefault="008B15DD" w:rsidP="008B15DD">
      <w:pPr>
        <w:tabs>
          <w:tab w:val="left" w:pos="9214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33719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ДРЖАВН</w:t>
      </w:r>
      <w:r w:rsidR="00B134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E </w:t>
      </w:r>
      <w:r w:rsidR="0033719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ПУТЕВ</w:t>
      </w:r>
      <w:r w:rsidR="00B134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20</w:t>
      </w:r>
      <w:r w:rsidR="00833A8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5E075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</w:t>
      </w:r>
      <w:r w:rsidRPr="00D449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</w:p>
    <w:p w:rsidR="00815D84" w:rsidRPr="00295A72" w:rsidRDefault="00815D84" w:rsidP="008B15DD">
      <w:pPr>
        <w:tabs>
          <w:tab w:val="left" w:pos="9214"/>
        </w:tabs>
        <w:spacing w:after="0" w:line="240" w:lineRule="auto"/>
        <w:ind w:right="4"/>
        <w:jc w:val="center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</w:p>
    <w:p w:rsidR="00252F27" w:rsidRDefault="00295A72" w:rsidP="00252F27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  <w:lang w:val="sr-Cyrl-RS"/>
        </w:rPr>
      </w:pPr>
      <w:r w:rsidRPr="00416F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6FE7" w:rsidRPr="00416FE7">
        <w:rPr>
          <w:rFonts w:ascii="Times New Roman" w:eastAsia="Calibri" w:hAnsi="Times New Roman" w:cs="Times New Roman"/>
          <w:bCs/>
          <w:spacing w:val="1"/>
          <w:sz w:val="24"/>
          <w:szCs w:val="24"/>
          <w:lang w:val="sr-Cyrl-RS"/>
        </w:rPr>
        <w:t xml:space="preserve">У </w:t>
      </w:r>
      <w:r w:rsidR="00416FE7" w:rsidRPr="00416FE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вршењу инспекцијског надзора инспектори су поступали по Закону о инспекцијском надзору („Службени гласник РС“, бр. 36/15 и 44/2018-др.закон и 95/2018),</w:t>
      </w:r>
      <w:r w:rsidR="00416FE7" w:rsidRPr="00416FE7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416FE7" w:rsidRPr="00416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о </w:t>
      </w:r>
      <w:r w:rsidR="00416FE7" w:rsidRPr="00416FE7">
        <w:rPr>
          <w:rFonts w:ascii="Times New Roman" w:eastAsia="Calibri" w:hAnsi="Times New Roman" w:cs="Times New Roman"/>
          <w:sz w:val="24"/>
          <w:szCs w:val="24"/>
        </w:rPr>
        <w:t xml:space="preserve"> путевима,</w:t>
      </w:r>
      <w:r w:rsidR="00416FE7" w:rsidRPr="00416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(„Сл. гласник РС“ број 41/2018 и 95/2018), </w:t>
      </w:r>
      <w:r w:rsidR="00416FE7" w:rsidRPr="00416FE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Закону о општем управном поступку („Службени гласник РС“, бр. 18/2016 и 95/2018 – аутентично тумачење), 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 о привредним преступима </w:t>
      </w:r>
      <w:r w:rsidR="00416FE7" w:rsidRPr="00416FE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(„Службени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лист СФРЈ", бр. 4/77, 36/77 – испр., 14/85, 10/86 (пречишћен текст), 74/87, 57/89 i 3/90 и </w:t>
      </w:r>
      <w:r w:rsidR="00416FE7" w:rsidRPr="00416FE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„Службени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лист СРЈ", бр. 27/92, 16/93, 31/93, 41/93, 50/93, 24/94, 28/96 i 64/2001 и </w:t>
      </w:r>
      <w:r w:rsidR="00416FE7" w:rsidRPr="00416FE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(„Службени гласник РС“, бр.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101/2005 – др.закон), Закону о прекршајима ("Службени гласник РС", бр. 65/13, 13/16, 98/16 –</w:t>
      </w:r>
      <w:r w:rsidR="00416FE7" w:rsidRPr="00416FE7">
        <w:rPr>
          <w:rFonts w:ascii="Times New Roman" w:eastAsia="Calibri" w:hAnsi="Times New Roman" w:cs="Times New Roman"/>
          <w:bCs/>
          <w:spacing w:val="1"/>
          <w:sz w:val="24"/>
          <w:szCs w:val="24"/>
          <w:lang w:val="sr-Cyrl-RS"/>
        </w:rPr>
        <w:t xml:space="preserve"> УС, 91/2019 и 91/2019-др.закон) и </w:t>
      </w:r>
      <w:r w:rsidR="00416FE7" w:rsidRPr="00416FE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Законику  о кривичном поступку („Службени лист РС“, бр. </w:t>
      </w:r>
      <w:r w:rsidR="00416FE7" w:rsidRPr="00416FE7">
        <w:rPr>
          <w:rFonts w:ascii="Times New Roman" w:eastAsia="Calibri" w:hAnsi="Times New Roman" w:cs="Times New Roman"/>
          <w:sz w:val="24"/>
          <w:szCs w:val="24"/>
        </w:rPr>
        <w:t xml:space="preserve">72/2011, 101/2011, 121/2012, 32/2013, 45/2013, 55/2014 </w:t>
      </w:r>
      <w:r w:rsidR="00416FE7" w:rsidRPr="00416FE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416FE7" w:rsidRPr="00416FE7">
        <w:rPr>
          <w:rFonts w:ascii="Times New Roman" w:eastAsia="Calibri" w:hAnsi="Times New Roman" w:cs="Times New Roman"/>
          <w:sz w:val="24"/>
          <w:szCs w:val="24"/>
        </w:rPr>
        <w:t xml:space="preserve"> 35/2019)</w:t>
      </w:r>
      <w:r w:rsidR="00252F27">
        <w:rPr>
          <w:rFonts w:ascii="Times New Roman" w:eastAsia="Calibri" w:hAnsi="Times New Roman" w:cs="Times New Roman"/>
          <w:sz w:val="24"/>
          <w:szCs w:val="24"/>
        </w:rPr>
        <w:t>.</w:t>
      </w:r>
      <w:r w:rsidR="00416FE7" w:rsidRPr="00416FE7">
        <w:rPr>
          <w:rFonts w:ascii="Times New Roman" w:eastAsia="Calibri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</w:p>
    <w:p w:rsidR="00252F27" w:rsidRPr="00755A1C" w:rsidRDefault="00252F27" w:rsidP="00252F2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Поступања инспектора спроводи се преко 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електронско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вођење евиденције о инспекцијском надзору,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односно 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кроз систем е-инспектор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колико то систем дозвољава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755A1C" w:rsidRPr="00755A1C" w:rsidRDefault="00755A1C" w:rsidP="00416FE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Републичка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инспекције за државне путеве 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755A1C">
        <w:rPr>
          <w:rFonts w:ascii="Times New Roman" w:eastAsia="Calibri" w:hAnsi="Times New Roman" w:cs="Times New Roman"/>
          <w:spacing w:val="6"/>
          <w:sz w:val="24"/>
          <w:szCs w:val="24"/>
          <w:lang w:val="sr-Cyrl-RS"/>
        </w:rPr>
        <w:t>врши инспекцијски надзор</w:t>
      </w:r>
      <w:r w:rsidRPr="00755A1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416FE7">
        <w:rPr>
          <w:rFonts w:ascii="Times New Roman" w:eastAsia="Calibri" w:hAnsi="Times New Roman" w:cs="Times New Roman"/>
          <w:spacing w:val="6"/>
          <w:sz w:val="24"/>
          <w:szCs w:val="24"/>
          <w:lang w:val="sr-Cyrl-RS"/>
        </w:rPr>
        <w:t xml:space="preserve">у складу са </w:t>
      </w:r>
      <w:r w:rsidRPr="00755A1C">
        <w:rPr>
          <w:rFonts w:ascii="Times New Roman" w:eastAsia="MS Mincho" w:hAnsi="Times New Roman" w:cs="Times New Roman"/>
          <w:sz w:val="24"/>
          <w:szCs w:val="24"/>
          <w:lang w:val="sr-Cyrl-CS"/>
        </w:rPr>
        <w:t>правима и дужностима из  члана 1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04</w:t>
      </w:r>
      <w:r w:rsidRPr="00755A1C">
        <w:rPr>
          <w:rFonts w:ascii="Times New Roman" w:eastAsia="MS Mincho" w:hAnsi="Times New Roman" w:cs="Times New Roman"/>
          <w:sz w:val="24"/>
          <w:szCs w:val="24"/>
          <w:lang w:val="sr-Cyrl-CS"/>
        </w:rPr>
        <w:t>., и овлашћењима  из члана 1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05</w:t>
      </w:r>
      <w:r w:rsidRPr="00755A1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. </w:t>
      </w:r>
      <w:r w:rsidRPr="00CA6E35">
        <w:rPr>
          <w:rFonts w:ascii="Times New Roman" w:eastAsia="MS Mincho" w:hAnsi="Times New Roman" w:cs="Times New Roman"/>
          <w:bCs/>
          <w:sz w:val="24"/>
          <w:szCs w:val="24"/>
          <w:lang w:val="sr-Cyrl-BA"/>
        </w:rPr>
        <w:t xml:space="preserve">Законом о путевима  </w:t>
      </w:r>
      <w:r w:rsidRPr="00CA6E35">
        <w:rPr>
          <w:rFonts w:ascii="Times New Roman" w:eastAsia="MS Mincho" w:hAnsi="Times New Roman" w:cs="Times New Roman"/>
          <w:sz w:val="24"/>
          <w:szCs w:val="24"/>
          <w:lang w:val="ru-RU"/>
        </w:rPr>
        <w:t>(“Службени гласник РС”,број 41/18</w:t>
      </w:r>
      <w:r w:rsidRPr="00CA6E35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, </w:t>
      </w:r>
      <w:r w:rsidRPr="00CA6E35">
        <w:rPr>
          <w:rFonts w:ascii="Times New Roman" w:eastAsia="MS Mincho" w:hAnsi="Times New Roman" w:cs="Times New Roman"/>
          <w:sz w:val="24"/>
          <w:szCs w:val="24"/>
          <w:lang w:val="ru-RU"/>
        </w:rPr>
        <w:t>95/18)</w:t>
      </w:r>
      <w:r w:rsidR="00416FE7" w:rsidRPr="00CA6E3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a </w:t>
      </w:r>
      <w:r w:rsidRPr="00CA6E3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прилагођен је и  усклашен са одредбама </w:t>
      </w:r>
      <w:r w:rsidRPr="00CA6E35">
        <w:rPr>
          <w:rFonts w:ascii="Times New Roman" w:eastAsia="Cambria" w:hAnsi="Times New Roman" w:cs="Times New Roman"/>
          <w:sz w:val="24"/>
          <w:szCs w:val="20"/>
        </w:rPr>
        <w:t>Закон</w:t>
      </w:r>
      <w:r w:rsidRPr="00CA6E35">
        <w:rPr>
          <w:rFonts w:ascii="Times New Roman" w:eastAsia="Cambria" w:hAnsi="Times New Roman" w:cs="Times New Roman"/>
          <w:sz w:val="24"/>
          <w:szCs w:val="20"/>
          <w:lang w:val="sr-Cyrl-RS"/>
        </w:rPr>
        <w:t xml:space="preserve">а </w:t>
      </w:r>
      <w:r w:rsidRPr="00CA6E35">
        <w:rPr>
          <w:rFonts w:ascii="Times New Roman" w:eastAsia="Cambria" w:hAnsi="Times New Roman" w:cs="Times New Roman"/>
          <w:sz w:val="24"/>
          <w:szCs w:val="20"/>
        </w:rPr>
        <w:t>о инспекцијском надзору</w:t>
      </w:r>
      <w:r w:rsidRPr="00CA6E35">
        <w:rPr>
          <w:rFonts w:ascii="Times New Roman" w:eastAsia="Cambria" w:hAnsi="Times New Roman" w:cs="Times New Roman"/>
          <w:sz w:val="24"/>
          <w:szCs w:val="20"/>
          <w:lang w:val="sr-Cyrl-RS"/>
        </w:rPr>
        <w:t xml:space="preserve"> </w:t>
      </w:r>
      <w:r w:rsidRPr="00CA6E35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</w:t>
      </w:r>
      <w:r w:rsidRPr="00CA6E35">
        <w:rPr>
          <w:rFonts w:ascii="Times New Roman" w:eastAsia="Cambria" w:hAnsi="Times New Roman" w:cs="Times New Roman"/>
          <w:sz w:val="24"/>
          <w:szCs w:val="20"/>
          <w:lang w:val="sr-Cyrl-RS"/>
        </w:rPr>
        <w:t>(“Службени гласник РС”,број 36/15</w:t>
      </w:r>
      <w:r w:rsidRPr="00755A1C">
        <w:rPr>
          <w:rFonts w:ascii="Times New Roman" w:eastAsia="Cambria" w:hAnsi="Times New Roman" w:cs="Times New Roman"/>
          <w:sz w:val="24"/>
          <w:szCs w:val="20"/>
          <w:lang w:val="sr-Cyrl-RS"/>
        </w:rPr>
        <w:t>,44/18 и 95/18)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Инспекцијски надзор се врши у складу  са планом, проценом ризика и на основу налога за инспекцијски надзор. Саветодавне посете се спроводе у циљу обезбеђења законитости поступања надзираног субјекта.</w:t>
      </w:r>
    </w:p>
    <w:p w:rsidR="00295A72" w:rsidRPr="00D63CBD" w:rsidRDefault="00755A1C" w:rsidP="00D63CB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755A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складу са чланом 44. тачка </w:t>
      </w:r>
      <w:r w:rsidR="006828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828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до 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17. Закона о инспекцијском надзору </w:t>
      </w:r>
      <w:r w:rsidRPr="00755A1C">
        <w:rPr>
          <w:rFonts w:ascii="Times New Roman" w:eastAsia="Cambria" w:hAnsi="Times New Roman" w:cs="Times New Roman"/>
          <w:sz w:val="24"/>
          <w:szCs w:val="20"/>
          <w:lang w:val="sr-Cyrl-RS"/>
        </w:rPr>
        <w:t>(“Службени гласник РС”,број 36/15,44/18 и 95/18)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којим су дефенисани елементи извештаја о делотворно</w:t>
      </w:r>
      <w:r w:rsidR="00E43F01">
        <w:rPr>
          <w:rFonts w:ascii="Times New Roman" w:eastAsia="Times New Roman" w:hAnsi="Times New Roman" w:cs="Times New Roman"/>
          <w:sz w:val="24"/>
          <w:szCs w:val="24"/>
          <w:lang w:val="sr-Cyrl-CS"/>
        </w:rPr>
        <w:t>сти инспекцијског надзора за 202</w:t>
      </w:r>
      <w:r w:rsidR="002B4BD1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E43F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755A1C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годину</w:t>
      </w:r>
      <w:r w:rsidR="00295A72" w:rsidRPr="00295A72">
        <w:rPr>
          <w:rFonts w:ascii="Times New Roman" w:eastAsia="Times New Roman" w:hAnsi="Times New Roman" w:cs="Times New Roman"/>
          <w:sz w:val="24"/>
          <w:szCs w:val="24"/>
          <w:lang w:val="sr-Cyrl-RS"/>
        </w:rPr>
        <w:t>, д</w:t>
      </w:r>
      <w:r w:rsidR="00EE4D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остављам </w:t>
      </w:r>
      <w:r w:rsidR="00295A72" w:rsidRPr="00295A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 и информације са објашњењима о деловању, и то:</w:t>
      </w:r>
    </w:p>
    <w:p w:rsidR="00295A72" w:rsidRPr="004B4034" w:rsidRDefault="00295A72" w:rsidP="008B1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69A7" w:rsidRPr="00CF69A7" w:rsidRDefault="00295A72" w:rsidP="00CF69A7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eastAsia="Calibri" w:cstheme="minorHAnsi"/>
          <w:b/>
          <w:lang w:val="sr-Cyrl-CS"/>
        </w:rPr>
      </w:pPr>
      <w:r w:rsidRPr="00CF69A7">
        <w:rPr>
          <w:rFonts w:ascii="CHelv" w:eastAsia="Times New Roman" w:hAnsi="CHelv" w:cs="Times New Roman"/>
          <w:b/>
          <w:sz w:val="24"/>
          <w:szCs w:val="24"/>
          <w:lang w:val="sr-Cyrl-RS"/>
        </w:rPr>
        <w:t xml:space="preserve">Број спречених или </w:t>
      </w:r>
      <w:r w:rsidRPr="00CF69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битно умањених настанка штетних последица  (превентивно деловање инспекције) </w:t>
      </w:r>
      <w:r w:rsidRPr="00CF69A7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може поделити у два вида, и то:</w:t>
      </w:r>
      <w:r w:rsidR="00CF69A7" w:rsidRPr="00CF69A7">
        <w:rPr>
          <w:rFonts w:eastAsia="Times New Roman" w:cstheme="minorHAnsi"/>
          <w:b/>
          <w:lang w:val="sr-Cyrl-CS"/>
        </w:rPr>
        <w:t xml:space="preserve"> </w:t>
      </w:r>
    </w:p>
    <w:p w:rsidR="00CF69A7" w:rsidRPr="00CF69A7" w:rsidRDefault="00CF69A7" w:rsidP="00CF69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Циљ инспекцијског надзора је унапређење стања на државној путној мрежи и одржавање постојећих путева,  као објеката од општег јавног интереса, ради чувања употребне и реалне вредности пута, као инжењерско техничког објекта, који је  намењен за  безбедан и сигуран саобраћај. </w:t>
      </w:r>
      <w:r w:rsidRPr="00CF69A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Поступања у службеним саветодавних посета  имају превасодно циљ је да се:</w:t>
      </w:r>
    </w:p>
    <w:p w:rsidR="00CF69A7" w:rsidRPr="00CF69A7" w:rsidRDefault="00CF69A7" w:rsidP="00CF69A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69A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Очува јавно добро од посебног интереса, државни пут, у складу са законом, прописима и уговорним обавезама. Инспектори представљају нови начин рада Инспекције за државне путеве, у складу са  Законом о инспекцијском надзору. То је превентивно деловање рада инспекције, на лицу места, ван инспекцијског надзора. </w:t>
      </w:r>
    </w:p>
    <w:p w:rsidR="00CF69A7" w:rsidRPr="00CF69A7" w:rsidRDefault="00CF69A7" w:rsidP="00CF69A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69A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F7B80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</w:t>
      </w:r>
      <w:r w:rsidR="00815D84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ефинишу надлежности </w:t>
      </w:r>
      <w:r w:rsidRPr="00CF69A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управљачи државног пута и управљачи општинских путева   у делу где су државни путеви уједно и улице у насељу, </w:t>
      </w:r>
      <w:r w:rsidR="00815D84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смислу  примене </w:t>
      </w:r>
      <w:r w:rsidRPr="00CF69A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члан 72 Закона о путевима  и члан 20. Закона о локал</w:t>
      </w:r>
      <w:r w:rsidR="00A461A0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ној самоуправи.</w:t>
      </w:r>
      <w:r w:rsidR="00A461A0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CF69A7" w:rsidRPr="00CF69A7" w:rsidRDefault="00CF69A7" w:rsidP="00CF69A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69A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Управљачи пута и управљачи инфраструктурних система са којима се укршта пут, или се паралелно води уз пут,  усагласе у примени новог закона па су  вршене  и заједничке саветодавне посете инспектора  у циљу ефикаснијег решавања уочених недостатака и отклањања истих.</w:t>
      </w:r>
    </w:p>
    <w:p w:rsidR="00CF69A7" w:rsidRPr="00CF69A7" w:rsidRDefault="00CF69A7" w:rsidP="00CF6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F69A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То се у пракси показало као делотворно, па се може рећи да је постигнут циљ службених саветодавних посета.</w:t>
      </w:r>
    </w:p>
    <w:p w:rsidR="00295A72" w:rsidRPr="00CF69A7" w:rsidRDefault="00CF69A7" w:rsidP="00CF6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Осим тога поступања инспектора могу се сврстати у два вида, и то </w:t>
      </w:r>
      <w:r w:rsidR="00B86BAF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95A72" w:rsidRPr="008B15DD" w:rsidRDefault="00295A72" w:rsidP="008B15DD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8B15D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lastRenderedPageBreak/>
        <w:t xml:space="preserve">Заштита пута од недозвољених радњи </w:t>
      </w:r>
    </w:p>
    <w:p w:rsidR="00295A72" w:rsidRPr="00295A72" w:rsidRDefault="00295A72" w:rsidP="008B15D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Инспекција  је им</w:t>
      </w:r>
      <w:r w:rsidRPr="00295A7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95A72">
        <w:rPr>
          <w:rFonts w:ascii="Times New Roman" w:eastAsia="Times New Roman" w:hAnsi="Times New Roman" w:cs="Times New Roman"/>
          <w:sz w:val="24"/>
          <w:szCs w:val="24"/>
          <w:lang w:val="sr-Cyrl-RS"/>
        </w:rPr>
        <w:t>ла значајан број поступања по питању недозвољених радова на државним путевима, посебно од суседа пута и трећих лица. Најизраженије активности на заштити државних путева су:</w:t>
      </w:r>
      <w:r w:rsidRPr="00295A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295A72" w:rsidRPr="008B15DD" w:rsidRDefault="00295A72" w:rsidP="008B15DD">
      <w:pPr>
        <w:pStyle w:val="ListParagraph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привремено или трајно заузимање државног пута, које угрожава безбедност саобраћаја и употребну вредност пута;</w:t>
      </w:r>
    </w:p>
    <w:p w:rsidR="00295A72" w:rsidRPr="008B15DD" w:rsidRDefault="00295A72" w:rsidP="008B15DD">
      <w:pPr>
        <w:pStyle w:val="ListParagraph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контрола извођење радова на државном путу који нису у вези са изградњом, реконструкцијом, одржавањем и заштитом пута, без претходно прибављених потребних одобрења и сагласности управљача пута, који угрожавају безбедност саобраћаја;</w:t>
      </w:r>
    </w:p>
    <w:p w:rsidR="00295A72" w:rsidRPr="008B15DD" w:rsidRDefault="00295A72" w:rsidP="008B15DD">
      <w:pPr>
        <w:pStyle w:val="ListParagraph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контрола радова, посебно, испуштање течности на коловоз пута, спречавање одводњавања пута, просипање или бацање материјала на пут, замашћивање пута, постављање светлећих тела која на путу и других недозвољених  радњи из члана 44, Закона о јавним путевима</w:t>
      </w: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(„</w:t>
      </w:r>
      <w:r w:rsidRPr="008B15DD">
        <w:rPr>
          <w:rFonts w:ascii="Times New Roman" w:eastAsia="Times New Roman" w:hAnsi="Times New Roman" w:cs="Times New Roman" w:hint="eastAsia"/>
          <w:bCs/>
          <w:sz w:val="24"/>
          <w:szCs w:val="24"/>
          <w:lang w:val="sr-Cyrl-RS"/>
        </w:rPr>
        <w:t>Службени</w:t>
      </w: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B15DD">
        <w:rPr>
          <w:rFonts w:ascii="Times New Roman" w:eastAsia="Times New Roman" w:hAnsi="Times New Roman" w:cs="Times New Roman" w:hint="eastAsia"/>
          <w:bCs/>
          <w:sz w:val="24"/>
          <w:szCs w:val="24"/>
          <w:lang w:val="sr-Cyrl-RS"/>
        </w:rPr>
        <w:t>гласник</w:t>
      </w: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B15DD">
        <w:rPr>
          <w:rFonts w:ascii="Times New Roman" w:eastAsia="Times New Roman" w:hAnsi="Times New Roman" w:cs="Times New Roman" w:hint="eastAsia"/>
          <w:bCs/>
          <w:sz w:val="24"/>
          <w:szCs w:val="24"/>
          <w:lang w:val="sr-Cyrl-RS"/>
        </w:rPr>
        <w:t>РС“</w:t>
      </w: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8B15DD">
        <w:rPr>
          <w:rFonts w:ascii="Times New Roman" w:eastAsia="Times New Roman" w:hAnsi="Times New Roman" w:cs="Times New Roman" w:hint="eastAsia"/>
          <w:bCs/>
          <w:sz w:val="24"/>
          <w:szCs w:val="24"/>
          <w:lang w:val="sr-Cyrl-RS"/>
        </w:rPr>
        <w:t>бр</w:t>
      </w: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 101/05, 123/07, 101/11, 93/12, 104/13), а које угрожавају безбедност саобраћаја;</w:t>
      </w:r>
    </w:p>
    <w:p w:rsidR="00295A72" w:rsidRPr="008B15DD" w:rsidRDefault="00295A72" w:rsidP="008B15DD">
      <w:pPr>
        <w:pStyle w:val="ListParagraph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B15D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контрола било каквог чињења којим би се могао оштетити пут или угрозити безбедност саобраћаја. </w:t>
      </w:r>
    </w:p>
    <w:p w:rsidR="00295A72" w:rsidRPr="00295A72" w:rsidRDefault="00295A72" w:rsidP="008B15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 се заснивао на вршењу инспекцијских надзора и превентивном деловању, посебно на државним путевима првог реда, са великим обимом саобраћаја јер је на њима процењен највећи ризик по безбедност саобраћаја. Инспекцијским надзорима и другим поступањима, сачувана је употребна вредност пута, отклоњени недостаци који су угрожавали безбедност саобраћаја, људске животе и материјална добра;</w:t>
      </w:r>
    </w:p>
    <w:p w:rsidR="00295A72" w:rsidRDefault="00295A72" w:rsidP="008B15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15D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Редован инспекцијски надзор стања државних путева у складу са процењеним степеном ризика</w:t>
      </w:r>
      <w:r w:rsidR="00A461A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и искуством из предходне године</w:t>
      </w:r>
      <w:r w:rsidRPr="008B15DD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подразумева утврђивање чинилаца који угрожавају људске животе, материјална добра и безбедност саобраћаја, а то су :</w:t>
      </w:r>
    </w:p>
    <w:p w:rsidR="008B15DD" w:rsidRPr="008B15DD" w:rsidRDefault="008B15DD" w:rsidP="008B1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15D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Редован инспекцијски надзор стања државних путева у складу са процењеним степеном ризика, подразумева утврђивање чинилаца који угрожавају људске животе, материјална добра и безбедност саобраћаја, а то су :</w:t>
      </w:r>
    </w:p>
    <w:p w:rsidR="00295A72" w:rsidRPr="00404836" w:rsidRDefault="00295A72" w:rsidP="00404836">
      <w:pPr>
        <w:pStyle w:val="ListParagraph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</w:pPr>
      <w:r w:rsidRPr="00404836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 xml:space="preserve">Контрола трупа пута </w:t>
      </w:r>
    </w:p>
    <w:p w:rsidR="00295A72" w:rsidRPr="00404836" w:rsidRDefault="00295A72" w:rsidP="00404836">
      <w:pPr>
        <w:pStyle w:val="ListParagraph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</w:pPr>
      <w:r w:rsidRPr="00404836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Контрола коловозне конструкције</w:t>
      </w:r>
    </w:p>
    <w:p w:rsidR="00295A72" w:rsidRPr="00404836" w:rsidRDefault="00295A72" w:rsidP="00404836">
      <w:pPr>
        <w:pStyle w:val="ListParagraph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0483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Контрола путних објеката</w:t>
      </w:r>
    </w:p>
    <w:p w:rsidR="00295A72" w:rsidRPr="00404836" w:rsidRDefault="00295A72" w:rsidP="00404836">
      <w:pPr>
        <w:pStyle w:val="ListParagraph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0483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Контрола опреме пута</w:t>
      </w:r>
    </w:p>
    <w:p w:rsidR="00295A72" w:rsidRPr="00404836" w:rsidRDefault="00295A72" w:rsidP="00404836">
      <w:pPr>
        <w:pStyle w:val="ListParagraph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0483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Контрола саобраћајне сигнализације</w:t>
      </w:r>
    </w:p>
    <w:p w:rsidR="00295A72" w:rsidRPr="00404836" w:rsidRDefault="00295A72" w:rsidP="00404836">
      <w:pPr>
        <w:pStyle w:val="ListParagraph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0483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Контрола зимског одржавања пута</w:t>
      </w:r>
    </w:p>
    <w:p w:rsidR="00295A72" w:rsidRDefault="00295A72" w:rsidP="00404836">
      <w:pPr>
        <w:pStyle w:val="ListParagraph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0483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Контрола периодичног одржавања путева</w:t>
      </w:r>
    </w:p>
    <w:p w:rsidR="00CF69A7" w:rsidRPr="00404836" w:rsidRDefault="00CF69A7" w:rsidP="00CF69A7">
      <w:pPr>
        <w:pStyle w:val="ListParagraph"/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95A72" w:rsidRPr="00CF69A7" w:rsidRDefault="00295A72" w:rsidP="00CF69A7">
      <w:pPr>
        <w:pStyle w:val="ListParagraph"/>
        <w:numPr>
          <w:ilvl w:val="0"/>
          <w:numId w:val="23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F69A7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са подацима о броју и облицима ових активности и кругу лица обухваћених тим активностима (превентивно деловање инспекције).</w:t>
      </w:r>
    </w:p>
    <w:p w:rsidR="00404836" w:rsidRDefault="00404836" w:rsidP="0040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295A72" w:rsidRPr="00295A72" w:rsidRDefault="00295A72" w:rsidP="004048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lastRenderedPageBreak/>
        <w:t xml:space="preserve">Редовно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су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вршени инспекцијски надзори државних путева, у присуству представника ЈП „Путева Србије“ и извођача на редовном одржавању путева и то често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и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по њиховом захтеву. Циљ надзора је био откривање  и отклањање недостатака, које угрожавају безбедност саобраћаја (то јесте процена степена ризика по безбедност саобраћаја), начин извођења радова у циљу смањења трошкова инвеститора и извођача, бољем ефекту рада и мањем утицају на одвијање саобраћаја у току радова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>)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. Инспек</w:t>
      </w:r>
      <w:r w:rsidR="00E364A1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ција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је </w:t>
      </w:r>
      <w:r w:rsidR="00E364A1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редовно указивала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на уочене пропусте и на основу </w:t>
      </w:r>
      <w:r w:rsidR="00E364A1">
        <w:rPr>
          <w:rFonts w:ascii="Times New Roman" w:eastAsia="Times New Roman" w:hAnsi="Times New Roman" w:cs="Times New Roman"/>
          <w:sz w:val="24"/>
          <w:szCs w:val="20"/>
          <w:lang w:val="sr-Cyrl-RS"/>
        </w:rPr>
        <w:t>тога , покретала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ванредне инспекцијске надзоре, којима су нала</w:t>
      </w:r>
      <w:r w:rsidR="00A461A0">
        <w:rPr>
          <w:rFonts w:ascii="Times New Roman" w:eastAsia="Times New Roman" w:hAnsi="Times New Roman" w:cs="Times New Roman"/>
          <w:sz w:val="24"/>
          <w:szCs w:val="20"/>
          <w:lang w:val="sr-Cyrl-RS"/>
        </w:rPr>
        <w:t>оже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не мере за отклањање уочених неправилности и недостатака. Сарадња са надзорном службом ЈП „Путева Србије“ је задовољавајућа, а саветодавне посете су добро прихваћене и јасни су резултати на превентивном деловању.</w:t>
      </w:r>
    </w:p>
    <w:p w:rsidR="00295A72" w:rsidRPr="00295A72" w:rsidRDefault="00295A72" w:rsidP="004048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Инспект</w:t>
      </w:r>
      <w:r w:rsidR="00E364A1">
        <w:rPr>
          <w:rFonts w:ascii="Times New Roman" w:eastAsia="Times New Roman" w:hAnsi="Times New Roman" w:cs="Times New Roman"/>
          <w:sz w:val="24"/>
          <w:szCs w:val="20"/>
          <w:lang w:val="sr-Cyrl-RS"/>
        </w:rPr>
        <w:t>ција је  редовно обавештавана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о стању на путевима, од стране извођача и управљача државних путева, посебно о ванредним догађајима, недостацима за које су процењени велики и критичан степен ризика по људе, безбедност саобраћаја и материјална добра. На основу обавештења, планиране су саветодавне посете и ванредни инспекцијски надзори. Посебна приправност је уведена за зимско одржавање путева, у смислу проходности путева, смањења степена ризика од појаве поледице на путевима, забране саобраћаја за поједине категорије возила или потпуне обуставе саобраћаја. Вршена је контрола давања информација о стању на путевима, </w:t>
      </w:r>
      <w:r w:rsidR="00833A89">
        <w:rPr>
          <w:rFonts w:ascii="Times New Roman" w:eastAsia="Times New Roman" w:hAnsi="Times New Roman" w:cs="Times New Roman"/>
          <w:sz w:val="24"/>
          <w:szCs w:val="20"/>
          <w:lang w:val="sr-Cyrl-RS"/>
        </w:rPr>
        <w:t>у средствима јавног информисања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и преко штаба зимске службе ЈПС.</w:t>
      </w:r>
    </w:p>
    <w:p w:rsidR="00295A72" w:rsidRPr="00295A72" w:rsidRDefault="00295A72" w:rsidP="0040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5A72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Пружање стручне и саветодавне подршке</w:t>
      </w:r>
      <w:r w:rsidRPr="00295A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5A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саветодавним деловањем се у већини ствари односи на стручна лица у локалним самоуправама (дирекцијама за одржавање општинских путева и улица у насељима (градовима), представницима ме</w:t>
      </w:r>
      <w:r w:rsidRPr="00295A72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295A72">
        <w:rPr>
          <w:rFonts w:ascii="Times New Roman" w:eastAsia="Times New Roman" w:hAnsi="Times New Roman" w:cs="Times New Roman"/>
          <w:sz w:val="24"/>
          <w:szCs w:val="24"/>
          <w:lang w:val="sr-Cyrl-CS"/>
        </w:rPr>
        <w:t>них заједница и представницима школа поред којих пролазе државни путеви првог и другог реда. Пружана је саветодавна подршка на терену и канцеларији и трећим лицима, суседима пута, у циљу сузбијања и превенције против извођења недозвољених радова на државним путевима.</w:t>
      </w:r>
    </w:p>
    <w:p w:rsidR="00295A72" w:rsidRPr="00295A72" w:rsidRDefault="00295A72" w:rsidP="008B15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95A72" w:rsidRPr="00295A72" w:rsidRDefault="00295A72" w:rsidP="00CF69A7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Ниво усклађености пословања и поступања надзираних субјеката са законом и другим прописом, који се мери помоћу контролних листи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;</w:t>
      </w:r>
    </w:p>
    <w:p w:rsidR="00404836" w:rsidRDefault="00404836" w:rsidP="0040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295A72" w:rsidRPr="00295A72" w:rsidRDefault="00371114" w:rsidP="0040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Све радње инспектора</w:t>
      </w:r>
      <w:r w:rsidR="00295A72"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усклађене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</w:t>
      </w:r>
      <w:r w:rsidR="00295A72"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са важећим законима. Инспекцијски надзори су се изводили на основу контролних листа донесених од стране инспекције за </w:t>
      </w:r>
      <w:r w:rsidR="00295A72"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државне </w:t>
      </w:r>
      <w:r w:rsidR="00295A72"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путеве. Активности надзираних субјеката су путем инспекцијских мера и саветодавних посета, усклађивани са законским одредбама, посебно са Законом о путевима, ЗОБС-сом, и Законом о инспекцијском надзору, у циљу смањења и контролисања степена ризика.</w:t>
      </w:r>
    </w:p>
    <w:p w:rsidR="00295A72" w:rsidRPr="00295A72" w:rsidRDefault="00295A72" w:rsidP="008B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295A72" w:rsidRDefault="00295A72" w:rsidP="00CF69A7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инспекције);</w:t>
      </w:r>
    </w:p>
    <w:p w:rsidR="001F436F" w:rsidRPr="00295A72" w:rsidRDefault="001F436F" w:rsidP="001F43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</w:p>
    <w:p w:rsidR="00404836" w:rsidRDefault="001F436F" w:rsidP="0040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1F436F">
        <w:rPr>
          <w:rFonts w:ascii="Times New Roman" w:eastAsia="Times New Roman" w:hAnsi="Times New Roman" w:cs="Times New Roman"/>
          <w:sz w:val="24"/>
          <w:szCs w:val="20"/>
          <w:lang w:val="sr-Cyrl-RS"/>
        </w:rPr>
        <w:t>Инспектори су  у инспекцијским надзорима, записнички из контролних листа евидентирали уочене недостатке, који се односе на путне елементе, а посебно на коловоз, саобраћајну сигнализацију и опрему, и наложили више мера за отклањање неправилности и усаглашавање са Законом и прописима  на државним путевима, који су добро у општој употреби, и учествовали су у активностима око реализације наложених мера и у контролним надзорима записнички установили да су и како су отклоњени недостаци, као и да се  унапредило поштовање закона.</w:t>
      </w:r>
    </w:p>
    <w:p w:rsidR="00295A72" w:rsidRPr="00295A72" w:rsidRDefault="00295A72" w:rsidP="004048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Редовним и ванредним инспекцијским надзорима, саветодавним посетама, праћењем стања на државним путевима, редовно је вршено отклањање недостатака. Обзиром на специфичност рада инспекције за државне путеве, и путева као линијских објеката, број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lastRenderedPageBreak/>
        <w:t>недостатака је изузетно велики и дефинисан је у записницима. У сваком записнику о инспекцијском надзору деонице пута, констатовани су бројни недостаци. На основу процене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ризика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одређене су инспекцијске мере, а за недостатке са критичним степеном ризика су предузимане хитне инспекцијске мере. Рад је отежан ограниченим средствима која су на располагању за редовно, појачано и ургентно одржавање путева. Обавезно се водило рачуна о економској снази надзираног </w:t>
      </w:r>
      <w:r w:rsidR="00866C5B">
        <w:rPr>
          <w:rFonts w:ascii="Times New Roman" w:eastAsia="Times New Roman" w:hAnsi="Times New Roman" w:cs="Times New Roman"/>
          <w:sz w:val="24"/>
          <w:szCs w:val="20"/>
          <w:lang w:val="sr-Cyrl-RS"/>
        </w:rPr>
        <w:t>субјекта, у складу са чланом 25.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став 3, Закона о инспекцијском надзору, посебно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јер би неумерен број и обим налога утицао на повећан степен ризика по путеве и безбедност саобраћаја.</w:t>
      </w:r>
    </w:p>
    <w:p w:rsidR="00295A72" w:rsidRPr="00295A72" w:rsidRDefault="00295A72" w:rsidP="004048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>Инспекцијским надзорима је спречен већи број лица да изводе недозвољене радове на државним путевима. Посебно је рађено на превенцији спречавања градње прилазних путева, заузећа пута и других недозвољ</w:t>
      </w:r>
      <w:r w:rsidR="00866C5B">
        <w:rPr>
          <w:rFonts w:ascii="Times New Roman" w:eastAsia="Times New Roman" w:hAnsi="Times New Roman" w:cs="Times New Roman"/>
          <w:sz w:val="24"/>
          <w:szCs w:val="20"/>
          <w:lang w:val="sr-Cyrl-RS"/>
        </w:rPr>
        <w:t>ених радњи, посебно по члану 44.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Закона о јавним путевима. Посебно је значај дат саветодавним посетама на терену и пријему грађана у канцеларији, како ви се смањила штета на путевима, као и штета нанета самим извођачима и трећим лицима.</w:t>
      </w:r>
    </w:p>
    <w:p w:rsidR="00295A72" w:rsidRPr="00295A72" w:rsidRDefault="00295A72" w:rsidP="00404836">
      <w:pPr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val="sr-Cyrl-RS"/>
        </w:rPr>
      </w:pP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 xml:space="preserve">5) </w:t>
      </w: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Б</w:t>
      </w: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>рој утврђених нерегистрованих субјеката и мерама спроведеним према њима;</w:t>
      </w:r>
    </w:p>
    <w:p w:rsidR="00295A72" w:rsidRPr="00295A72" w:rsidRDefault="00295A72" w:rsidP="00404836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295A72">
        <w:rPr>
          <w:rFonts w:ascii="CHelv" w:eastAsia="Times New Roman" w:hAnsi="CHelv" w:cs="Times New Roman"/>
          <w:sz w:val="24"/>
          <w:szCs w:val="24"/>
          <w:lang w:val="sr-Cyrl-CS"/>
        </w:rPr>
        <w:t>Нерегистрованих субјеката није било јер су сви извођачи регистровани за делатност коју обављају (одржавање путева или делатност специфична субјекту који се налази у заштитном појасу државног пута). У вези са заштитом државних путева претежно се дешавало са физичким лицима, или регистрованим привредним субјектима за послове у грађевинарству.</w:t>
      </w:r>
    </w:p>
    <w:p w:rsidR="001F436F" w:rsidRPr="001F436F" w:rsidRDefault="00295A72" w:rsidP="002F153D">
      <w:pPr>
        <w:spacing w:before="120" w:after="120" w:line="240" w:lineRule="auto"/>
        <w:jc w:val="both"/>
        <w:rPr>
          <w:rFonts w:eastAsia="Times New Roman" w:cstheme="minorHAnsi"/>
          <w:b/>
          <w:lang w:val="sr-Cyrl-CS"/>
        </w:rPr>
      </w:pP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 xml:space="preserve">6) </w:t>
      </w: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Мере предуз</w:t>
      </w:r>
      <w:r w:rsidR="00404836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е</w:t>
      </w: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те ради уједначавања праксе инспекцијског надзора и њиховог дејства;</w:t>
      </w:r>
      <w:r w:rsidR="001F436F" w:rsidRPr="001F436F">
        <w:rPr>
          <w:rFonts w:eastAsia="Times New Roman" w:cstheme="minorHAnsi"/>
          <w:b/>
          <w:lang w:val="sr-Cyrl-CS"/>
        </w:rPr>
        <w:t xml:space="preserve"> </w:t>
      </w:r>
    </w:p>
    <w:p w:rsidR="00295A72" w:rsidRPr="001F436F" w:rsidRDefault="001F436F" w:rsidP="001F4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F43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Ради уједначавања праксе инспекцијског надзора, инспекција је  примењивала контролне листе инспекције за државне путеве, да би се остварила уједначеност инспекцијске праксе и стандардизација инспекцијског надзора (стандардизација процедура и предмета надзора) и утврдила стање пута у погледу потребе за вршењем инспекцијског надзора; записници су израђивани са утврђеном формом и садржином која је проистекла из општег обрасца записника о инспекцијском надзору, прописаном у Правилнику о општем обрасцу записника о инспекцијском надзору; сва решења су са истом формом издата надзираним субјектима са истим правним стандардима.</w:t>
      </w:r>
    </w:p>
    <w:p w:rsidR="00295A72" w:rsidRPr="00295A72" w:rsidRDefault="00295A72" w:rsidP="001F436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295A72">
        <w:rPr>
          <w:rFonts w:ascii="CHelv" w:eastAsia="Times New Roman" w:hAnsi="CHelv" w:cs="Times New Roman"/>
          <w:sz w:val="24"/>
          <w:szCs w:val="24"/>
          <w:lang w:val="sr-Cyrl-CS"/>
        </w:rPr>
        <w:t>Уједначавања праксе инспекцијског надзора на нивоу Републике Ср</w:t>
      </w:r>
      <w:r w:rsidR="006B63EF">
        <w:rPr>
          <w:rFonts w:ascii="CHelv" w:eastAsia="Times New Roman" w:hAnsi="CHelv" w:cs="Times New Roman"/>
          <w:sz w:val="24"/>
          <w:szCs w:val="24"/>
          <w:lang w:val="sr-Cyrl-CS"/>
        </w:rPr>
        <w:t>бије и њиховом дејству</w:t>
      </w:r>
      <w:r w:rsidR="002512B5">
        <w:rPr>
          <w:rFonts w:ascii="CHelv" w:eastAsia="Times New Roman" w:hAnsi="CHelv" w:cs="Times New Roman"/>
          <w:sz w:val="24"/>
          <w:szCs w:val="24"/>
          <w:lang w:val="sr-Cyrl-CS"/>
        </w:rPr>
        <w:t>, инсп</w:t>
      </w:r>
      <w:r w:rsidR="001F436F">
        <w:rPr>
          <w:rFonts w:ascii="CHelv" w:eastAsia="Times New Roman" w:hAnsi="CHelv" w:cs="Times New Roman"/>
          <w:sz w:val="24"/>
          <w:szCs w:val="24"/>
          <w:lang w:val="sr-Cyrl-CS"/>
        </w:rPr>
        <w:t xml:space="preserve">екција </w:t>
      </w:r>
      <w:r w:rsidR="006B63EF">
        <w:rPr>
          <w:rFonts w:ascii="CHelv" w:eastAsia="Times New Roman" w:hAnsi="CHelv" w:cs="Times New Roman"/>
          <w:sz w:val="24"/>
          <w:szCs w:val="24"/>
          <w:lang w:val="sr-Cyrl-CS"/>
        </w:rPr>
        <w:t>о</w:t>
      </w:r>
      <w:r w:rsidR="00121E57">
        <w:rPr>
          <w:rFonts w:ascii="CHelv" w:eastAsia="Times New Roman" w:hAnsi="CHelv" w:cs="Times New Roman"/>
          <w:sz w:val="24"/>
          <w:szCs w:val="24"/>
          <w:lang w:val="sr-Cyrl-CS"/>
        </w:rPr>
        <w:t>ствариврује</w:t>
      </w:r>
      <w:r w:rsidRPr="00295A72">
        <w:rPr>
          <w:rFonts w:ascii="CHelv" w:eastAsia="Times New Roman" w:hAnsi="CHelv" w:cs="Times New Roman"/>
          <w:sz w:val="24"/>
          <w:szCs w:val="24"/>
          <w:lang w:val="sr-Cyrl-CS"/>
        </w:rPr>
        <w:t xml:space="preserve"> кроз састанке инспекције за државне путеве, координације од стране начелника службе, усвојеним плановима рада, редовним издавањем налога за инспекцијске надзоре од стране начелника, редовним састанцима и присуствовању инспекцијским надзорима представника ЈП „Путеви Србије“ и извођача, као и у пступањима у заједничким инспекцијскоим надзорима. У области заштите путева, надзори се изводе према приоритетима, процени степена ризика, захтевима и обавезама управљача пута.</w:t>
      </w:r>
    </w:p>
    <w:p w:rsidR="00295A72" w:rsidRPr="00295A72" w:rsidRDefault="00295A72" w:rsidP="008B1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95A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Ради уједначавања праксе</w:t>
      </w:r>
      <w:r w:rsidR="006B63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инспекцијског надзора инспекција је предузимала</w:t>
      </w:r>
      <w:r w:rsidRPr="00295A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следеће:</w:t>
      </w:r>
    </w:p>
    <w:p w:rsidR="00295A72" w:rsidRPr="00295A72" w:rsidRDefault="00295A72" w:rsidP="00426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95A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уз помоћ контролних листи инспекције за државне путеве, се остварила уједначеност инспекцијске праксе и  стандардизација инспекцијског надзора (стандардизација процедура и предмета надзора);</w:t>
      </w:r>
    </w:p>
    <w:p w:rsidR="00295A72" w:rsidRPr="00295A72" w:rsidRDefault="00295A72" w:rsidP="00426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95A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пропорционалан број инспекцијских надзора сагласно степену ризика. Предузет је већи број контрола по пријавама корисника пута, који су уочавали тренутне појаве, које се односе на штетна чињења, а по опису се сврставају у ванредни надзор, који су препрека или могу да представљају препреку за безбедно одвијање саобраћаја. </w:t>
      </w:r>
    </w:p>
    <w:p w:rsidR="00295A72" w:rsidRPr="001F436F" w:rsidRDefault="001F436F" w:rsidP="001F436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 xml:space="preserve">Већи број надзора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спроведен у циљу провере достављених извештаја о стању на државним путевима  и безбедности саобраћаја приликом пружања услуга у  организовању Зимске службе, од стране Оперативних штабова, на нивоу управљача и по предузећи</w:t>
      </w:r>
      <w:r w:rsidR="00866C5B" w:rsidRPr="001F43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ма за путеве.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Центар за обавештавање доставља  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извештаје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–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</w:rPr>
        <w:t>о стању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коловоза и осталих путних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елемената   и безбедности саобраћаја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државним путевима у зимским условима.</w:t>
      </w:r>
      <w:r w:rsidR="004264A8" w:rsidRPr="001F43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</w:rPr>
        <w:t>Исти се достављају два пута дневно око 5 и 17 часова, а у случају ванредних догађаја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95A72" w:rsidRPr="001F436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обавесте о истом када је почео и пошаљу извештај о успостављању редовног стања. </w:t>
      </w:r>
    </w:p>
    <w:p w:rsidR="00295A72" w:rsidRPr="00295A72" w:rsidRDefault="00295A72" w:rsidP="00426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95A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записници са утврђеном формом и садржином која је проистекла из општег обрасца записника о инспекцијском надзору прописаном у Правилнику о општем обрасцу записника о инспекцијском надзору;</w:t>
      </w:r>
    </w:p>
    <w:p w:rsidR="00295A72" w:rsidRPr="00295A72" w:rsidRDefault="00295A72" w:rsidP="00426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95A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Сва решења су са истом формом издата надзираним субјектима са истим правним стандардима;</w:t>
      </w:r>
    </w:p>
    <w:p w:rsidR="00295A72" w:rsidRPr="00295A72" w:rsidRDefault="00295A72" w:rsidP="008B15D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sr-Cyrl-RS"/>
        </w:rPr>
      </w:pPr>
    </w:p>
    <w:p w:rsidR="00295A72" w:rsidRPr="00295A72" w:rsidRDefault="00295A72" w:rsidP="004264A8">
      <w:pPr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val="sr-Cyrl-RS"/>
        </w:rPr>
      </w:pP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 xml:space="preserve">7) </w:t>
      </w: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О</w:t>
      </w: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>стварењ</w:t>
      </w:r>
      <w:r w:rsidRPr="00295A72">
        <w:rPr>
          <w:rFonts w:ascii="Calibri" w:eastAsia="Times New Roman" w:hAnsi="Calibri" w:cs="Times New Roman"/>
          <w:b/>
          <w:sz w:val="24"/>
          <w:szCs w:val="20"/>
          <w:lang w:val="sr-Cyrl-RS"/>
        </w:rPr>
        <w:t>е</w:t>
      </w: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 xml:space="preserve">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надзор;</w:t>
      </w:r>
    </w:p>
    <w:p w:rsidR="00B37F21" w:rsidRPr="00B37F21" w:rsidRDefault="00B37F21" w:rsidP="00B37F2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Инспекцијски надзор у 202</w:t>
      </w:r>
      <w:r w:rsidR="00EC7ED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је обављан у складу са Планом рада за 202</w:t>
      </w:r>
      <w:r w:rsidR="00EC7ED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годину, на који није било примедби.  Обзиром да је план рада  рађен у складу са одредбама Закона о инспекцијском надзору,   може се утврдити да је  план извршен и да је задовољена ваљаност планирања инспекцијског надзора. Незнатан или низак ризик по контролним листама је допустио више времена за ванредан назор, који је базиран на обавештењима, пријавама и сазнањима да је или може бити угрожена безбедност саобраћаја, а сви инспекцијски надзори су вршени по службеној дужности. </w:t>
      </w:r>
    </w:p>
    <w:p w:rsidR="00B37F21" w:rsidRPr="00B37F21" w:rsidRDefault="00B37F21" w:rsidP="00B37F2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>Углавном су вршени редовни надзори, а  ванредни су вршени по пријавама физичких лица, органа управе и привредних субјеката  као и управљача по службеној дужности   ЈП „Путеви Србије“ из Београда  и предузећа за путеве, Министарства унутрашњих послова</w:t>
      </w:r>
      <w:r w:rsidR="000938A4">
        <w:rPr>
          <w:rFonts w:ascii="Times New Roman" w:eastAsia="Times New Roman" w:hAnsi="Times New Roman" w:cs="Times New Roman"/>
          <w:sz w:val="24"/>
          <w:szCs w:val="24"/>
          <w:lang w:val="sr-Cyrl-CS"/>
        </w:rPr>
        <w:t>, Управе ц</w:t>
      </w:r>
      <w:bookmarkStart w:id="0" w:name="_GoBack"/>
      <w:bookmarkEnd w:id="0"/>
      <w:r w:rsidR="000938A4">
        <w:rPr>
          <w:rFonts w:ascii="Times New Roman" w:eastAsia="Times New Roman" w:hAnsi="Times New Roman" w:cs="Times New Roman"/>
          <w:sz w:val="24"/>
          <w:szCs w:val="24"/>
          <w:lang w:val="sr-Cyrl-CS"/>
        </w:rPr>
        <w:t>арине</w:t>
      </w: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 Полицијских управа и прослеђених налога од стране Министарства грађевинарства, саобраћаја и инфраструктуре из Београда.</w:t>
      </w:r>
    </w:p>
    <w:p w:rsidR="00B37F21" w:rsidRPr="00B37F21" w:rsidRDefault="00B37F21" w:rsidP="00B37F2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Предмети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</w:t>
      </w: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стизали као упозорења на оштећења и друге уочене неправилности на државних  путевима, отклањани су и без инспекцијског надзора, зато што постоји реално време за пријем поднеска, а управљач је у то време организовао  отклањање недостатака, који се односе на поправку оштећених </w:t>
      </w:r>
      <w:r w:rsidR="000C73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делова </w:t>
      </w: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коловоза, кошење траве,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уређење система за </w:t>
      </w:r>
      <w:r w:rsidRPr="00B37F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одводњавање, саобраћајну сигнализацију, а који се извршавају по планираним финансијским средствима од стране предузећа за путеве уз стручни надзор ЈП „Путева Србије“ из Београда. </w:t>
      </w:r>
    </w:p>
    <w:p w:rsidR="00295A72" w:rsidRPr="00295A72" w:rsidRDefault="00295A72" w:rsidP="008B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295A72" w:rsidRPr="00295A72" w:rsidRDefault="00295A72" w:rsidP="004264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8) Ниво координације инспекцијског надзора са инспекцијским надзором кога врше друге инспекције;</w:t>
      </w:r>
    </w:p>
    <w:p w:rsidR="00295A72" w:rsidRPr="00295A72" w:rsidRDefault="00295A72" w:rsidP="00426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Сарадња са другим инспекцијама </w:t>
      </w:r>
      <w:r w:rsidRPr="00295A72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је била </w:t>
      </w:r>
      <w:r w:rsidR="006B63EF">
        <w:rPr>
          <w:rFonts w:ascii="Times New Roman" w:eastAsia="Times New Roman" w:hAnsi="Times New Roman" w:cs="Times New Roman"/>
          <w:sz w:val="24"/>
          <w:szCs w:val="20"/>
          <w:lang w:val="sr-Cyrl-RS"/>
        </w:rPr>
        <w:t>са и</w:t>
      </w:r>
      <w:r w:rsidR="00B36C7B">
        <w:rPr>
          <w:rFonts w:ascii="Times New Roman" w:eastAsia="Times New Roman" w:hAnsi="Times New Roman" w:cs="Times New Roman"/>
          <w:sz w:val="24"/>
          <w:szCs w:val="20"/>
          <w:lang w:val="sr-Cyrl-RS"/>
        </w:rPr>
        <w:t>нспекцијом за друмски саобраћај</w:t>
      </w:r>
      <w:r w:rsidR="006B63EF">
        <w:rPr>
          <w:rFonts w:ascii="Times New Roman" w:hAnsi="Times New Roman" w:cs="Times New Roman"/>
          <w:sz w:val="24"/>
          <w:szCs w:val="24"/>
          <w:lang w:val="sr-Cyrl-RS"/>
        </w:rPr>
        <w:t>, инспекцијом за железнички саобраћај, са републичком грађевинском инспекцијом, са оп</w:t>
      </w:r>
      <w:r w:rsidR="00B91B5D">
        <w:rPr>
          <w:rFonts w:ascii="Times New Roman" w:hAnsi="Times New Roman" w:cs="Times New Roman"/>
          <w:sz w:val="24"/>
          <w:szCs w:val="24"/>
          <w:lang w:val="sr-Cyrl-RS"/>
        </w:rPr>
        <w:t xml:space="preserve">штинским инспекцијама за путеве. </w:t>
      </w:r>
      <w:r w:rsidR="004264A8">
        <w:rPr>
          <w:rFonts w:ascii="Times New Roman" w:eastAsia="Times New Roman" w:hAnsi="Times New Roman" w:cs="Times New Roman"/>
          <w:sz w:val="24"/>
          <w:szCs w:val="20"/>
          <w:lang w:val="sr-Cyrl-RS"/>
        </w:rPr>
        <w:t>Сарадња је била стална и континуирана, а информације од значаја за вршење инспекцијског надзора су размењиване по потреби.</w:t>
      </w:r>
    </w:p>
    <w:p w:rsidR="00295A72" w:rsidRPr="00295A72" w:rsidRDefault="00295A72" w:rsidP="008B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295A72" w:rsidRPr="00295A72" w:rsidRDefault="00295A72" w:rsidP="004264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lastRenderedPageBreak/>
        <w:t>9) 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мера;</w:t>
      </w:r>
    </w:p>
    <w:p w:rsidR="00295A72" w:rsidRPr="00562F76" w:rsidRDefault="00295A72" w:rsidP="00562F76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szCs w:val="20"/>
          <w:lang w:val="sr-Cyrl-RS"/>
        </w:rPr>
      </w:pPr>
      <w:r w:rsidRPr="00295A72">
        <w:rPr>
          <w:szCs w:val="20"/>
          <w:lang w:val="sr-Cyrl-RS"/>
        </w:rPr>
        <w:t xml:space="preserve">Одељење инспекције за послове државних путева има </w:t>
      </w:r>
      <w:r w:rsidR="0031795D">
        <w:rPr>
          <w:szCs w:val="20"/>
          <w:lang w:val="sr-Cyrl-RS"/>
        </w:rPr>
        <w:t>четири</w:t>
      </w:r>
      <w:r w:rsidRPr="00295A72">
        <w:rPr>
          <w:szCs w:val="20"/>
          <w:lang w:val="sr-Cyrl-RS"/>
        </w:rPr>
        <w:t xml:space="preserve"> извршилаца  са седишиштима у Београду, Краље</w:t>
      </w:r>
      <w:r w:rsidR="008C626E">
        <w:rPr>
          <w:szCs w:val="20"/>
          <w:lang w:val="sr-Cyrl-RS"/>
        </w:rPr>
        <w:t xml:space="preserve">ву, </w:t>
      </w:r>
      <w:r w:rsidR="005A3753">
        <w:rPr>
          <w:szCs w:val="20"/>
          <w:lang w:val="sr-Cyrl-RS"/>
        </w:rPr>
        <w:t>Нишу, Зајечару. Крагујевцу</w:t>
      </w:r>
      <w:r w:rsidR="008C626E">
        <w:rPr>
          <w:szCs w:val="20"/>
          <w:lang w:val="sr-Cyrl-RS"/>
        </w:rPr>
        <w:t xml:space="preserve"> </w:t>
      </w:r>
      <w:r w:rsidR="00562F76">
        <w:rPr>
          <w:szCs w:val="20"/>
          <w:lang w:val="sr-Cyrl-RS"/>
        </w:rPr>
        <w:t xml:space="preserve"> и Новом Саду. </w:t>
      </w:r>
      <w:r w:rsidRPr="00295A72">
        <w:rPr>
          <w:szCs w:val="20"/>
          <w:lang w:val="sr-Cyrl-RS"/>
        </w:rPr>
        <w:t>Уредбом о категоризацији државних путева, укупна дужина  државних путева износи 16 500км.</w:t>
      </w:r>
      <w:r w:rsidR="00C54C38">
        <w:rPr>
          <w:szCs w:val="20"/>
          <w:lang w:val="sr-Cyrl-RS"/>
        </w:rPr>
        <w:t xml:space="preserve"> </w:t>
      </w:r>
      <w:r w:rsidRPr="00295A72">
        <w:rPr>
          <w:rFonts w:hint="eastAsia"/>
          <w:szCs w:val="20"/>
          <w:lang w:val="sr-Cyrl-RS"/>
        </w:rPr>
        <w:t>Стање</w:t>
      </w:r>
      <w:r w:rsidRPr="00295A72">
        <w:rPr>
          <w:szCs w:val="20"/>
          <w:lang w:val="sr-Cyrl-RS"/>
        </w:rPr>
        <w:t xml:space="preserve"> </w:t>
      </w:r>
      <w:r w:rsidRPr="00295A72">
        <w:rPr>
          <w:rFonts w:hint="eastAsia"/>
          <w:szCs w:val="20"/>
          <w:lang w:val="sr-Cyrl-RS"/>
        </w:rPr>
        <w:t>државних</w:t>
      </w:r>
      <w:r w:rsidRPr="00295A72">
        <w:rPr>
          <w:szCs w:val="20"/>
          <w:lang w:val="sr-Cyrl-RS"/>
        </w:rPr>
        <w:t xml:space="preserve"> </w:t>
      </w:r>
      <w:r w:rsidRPr="00295A72">
        <w:rPr>
          <w:rFonts w:hint="eastAsia"/>
          <w:szCs w:val="20"/>
          <w:lang w:val="sr-Cyrl-RS"/>
        </w:rPr>
        <w:t>путева</w:t>
      </w:r>
      <w:r w:rsidRPr="00295A72">
        <w:rPr>
          <w:szCs w:val="20"/>
          <w:lang w:val="sr-Cyrl-CS"/>
        </w:rPr>
        <w:t>,</w:t>
      </w:r>
      <w:r w:rsidRPr="00295A72">
        <w:rPr>
          <w:szCs w:val="20"/>
          <w:lang w:val="sr-Cyrl-RS"/>
        </w:rPr>
        <w:t xml:space="preserve"> </w:t>
      </w:r>
      <w:r w:rsidRPr="00295A72">
        <w:rPr>
          <w:rFonts w:hint="eastAsia"/>
          <w:szCs w:val="20"/>
          <w:lang w:val="sr-Cyrl-RS"/>
        </w:rPr>
        <w:t>захтева</w:t>
      </w:r>
      <w:r w:rsidRPr="00295A72">
        <w:rPr>
          <w:szCs w:val="20"/>
          <w:lang w:val="sr-Cyrl-RS"/>
        </w:rPr>
        <w:t xml:space="preserve"> </w:t>
      </w:r>
      <w:r w:rsidRPr="00295A72">
        <w:rPr>
          <w:rFonts w:hint="eastAsia"/>
          <w:szCs w:val="20"/>
          <w:lang w:val="sr-Cyrl-RS"/>
        </w:rPr>
        <w:t>присуство</w:t>
      </w:r>
      <w:r w:rsidRPr="00295A72">
        <w:rPr>
          <w:szCs w:val="20"/>
          <w:lang w:val="sr-Cyrl-CS"/>
        </w:rPr>
        <w:t xml:space="preserve"> инспектора</w:t>
      </w:r>
      <w:r w:rsidRPr="00295A72">
        <w:rPr>
          <w:szCs w:val="20"/>
          <w:lang w:val="sr-Cyrl-RS"/>
        </w:rPr>
        <w:t xml:space="preserve"> </w:t>
      </w:r>
      <w:r w:rsidRPr="00295A72">
        <w:rPr>
          <w:rFonts w:hint="eastAsia"/>
          <w:szCs w:val="20"/>
          <w:lang w:val="sr-Cyrl-RS"/>
        </w:rPr>
        <w:t>на</w:t>
      </w:r>
      <w:r w:rsidRPr="00295A72">
        <w:rPr>
          <w:szCs w:val="20"/>
          <w:lang w:val="sr-Cyrl-RS"/>
        </w:rPr>
        <w:t xml:space="preserve"> </w:t>
      </w:r>
      <w:r w:rsidRPr="00295A72">
        <w:rPr>
          <w:rFonts w:hint="eastAsia"/>
          <w:szCs w:val="20"/>
          <w:lang w:val="sr-Cyrl-RS"/>
        </w:rPr>
        <w:t>путевима</w:t>
      </w:r>
      <w:r w:rsidR="00A01B22">
        <w:rPr>
          <w:szCs w:val="20"/>
          <w:lang w:val="sr-Cyrl-RS"/>
        </w:rPr>
        <w:t xml:space="preserve">. </w:t>
      </w:r>
      <w:r w:rsidR="00866C5B">
        <w:rPr>
          <w:color w:val="000000" w:themeColor="text1"/>
          <w:szCs w:val="20"/>
          <w:lang w:val="sr-Cyrl-CS"/>
        </w:rPr>
        <w:t>Обе</w:t>
      </w:r>
      <w:r w:rsidR="00866C5B">
        <w:rPr>
          <w:color w:val="000000" w:themeColor="text1"/>
          <w:szCs w:val="20"/>
          <w:lang w:val="sr-Cyrl-RS"/>
        </w:rPr>
        <w:t>з</w:t>
      </w:r>
      <w:r w:rsidR="004264A8" w:rsidRPr="00371114">
        <w:rPr>
          <w:color w:val="000000" w:themeColor="text1"/>
          <w:szCs w:val="20"/>
          <w:lang w:val="sr-Cyrl-CS"/>
        </w:rPr>
        <w:t xml:space="preserve">беђена су </w:t>
      </w:r>
      <w:r w:rsidR="008015DE" w:rsidRPr="008015DE">
        <w:rPr>
          <w:rFonts w:ascii="Calibri" w:eastAsia="Calibri" w:hAnsi="Calibri"/>
          <w:color w:val="FF0000"/>
          <w:lang w:val="sr-Cyrl-RS"/>
        </w:rPr>
        <w:t xml:space="preserve"> </w:t>
      </w:r>
      <w:r w:rsidR="00F245ED">
        <w:rPr>
          <w:rFonts w:eastAsia="Calibri"/>
          <w:lang w:val="sr-Cyrl-CS"/>
        </w:rPr>
        <w:t>5</w:t>
      </w:r>
      <w:r w:rsidR="008015DE" w:rsidRPr="008015DE">
        <w:rPr>
          <w:rFonts w:eastAsia="Calibri"/>
          <w:lang w:val="sr-Cyrl-CS"/>
        </w:rPr>
        <w:t xml:space="preserve"> службена возила</w:t>
      </w:r>
      <w:r w:rsidR="008015DE" w:rsidRPr="008015DE">
        <w:rPr>
          <w:rFonts w:ascii="Calibri" w:eastAsia="Calibri" w:hAnsi="Calibri"/>
        </w:rPr>
        <w:t xml:space="preserve"> </w:t>
      </w:r>
      <w:r w:rsidR="004264A8" w:rsidRPr="00371114">
        <w:rPr>
          <w:color w:val="000000" w:themeColor="text1"/>
          <w:szCs w:val="20"/>
          <w:lang w:val="sr-Cyrl-CS"/>
        </w:rPr>
        <w:t xml:space="preserve">возила, преносни рачунари, </w:t>
      </w:r>
      <w:r w:rsidR="00EE46BB" w:rsidRPr="00371114">
        <w:rPr>
          <w:color w:val="000000" w:themeColor="text1"/>
          <w:szCs w:val="20"/>
          <w:lang w:val="sr-Cyrl-CS"/>
        </w:rPr>
        <w:t xml:space="preserve">мобилни телефони </w:t>
      </w:r>
      <w:r w:rsidR="004264A8" w:rsidRPr="00371114">
        <w:rPr>
          <w:color w:val="000000" w:themeColor="text1"/>
          <w:szCs w:val="20"/>
          <w:lang w:val="sr-Cyrl-CS"/>
        </w:rPr>
        <w:t>приступ интернету (мобилни модеми), електронски потпис и електронски налози, извештаји, решења и др. Обезбеђено је да инспектор где год да се налази може добити</w:t>
      </w:r>
      <w:r w:rsidR="00A01B22" w:rsidRPr="00371114">
        <w:rPr>
          <w:color w:val="000000" w:themeColor="text1"/>
          <w:szCs w:val="20"/>
          <w:lang w:val="sr-Cyrl-CS"/>
        </w:rPr>
        <w:t xml:space="preserve"> налог у реалном времену.</w:t>
      </w:r>
    </w:p>
    <w:p w:rsidR="00295A72" w:rsidRPr="00295A72" w:rsidRDefault="00295A72" w:rsidP="00A01B22">
      <w:pPr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val="sr-Cyrl-RS"/>
        </w:rPr>
      </w:pP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 xml:space="preserve">10) </w:t>
      </w: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Придржавањ</w:t>
      </w:r>
      <w:r w:rsidRPr="00295A72">
        <w:rPr>
          <w:rFonts w:ascii="Calibri" w:eastAsia="Times New Roman" w:hAnsi="Calibri" w:cs="Times New Roman"/>
          <w:b/>
          <w:sz w:val="24"/>
          <w:szCs w:val="20"/>
          <w:lang w:val="sr-Cyrl-RS"/>
        </w:rPr>
        <w:t>е</w:t>
      </w: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 xml:space="preserve"> рокова прописаних за поступање инспекције;</w:t>
      </w:r>
    </w:p>
    <w:p w:rsidR="00295A72" w:rsidRPr="00295A72" w:rsidRDefault="00295A72" w:rsidP="00A01B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5A7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Придржавање рокова прописаних за поступање инспекције је у складу са Законом о инспекцијском надзору, налогом за инспекцијски надзор, планом инспекцијског надзора и степеном ризика.</w:t>
      </w:r>
      <w:r w:rsidR="00A01B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Изузетно се догађало да се рокови продужавају због сложености поступања, утврђивања нових чињеница и околности </w:t>
      </w:r>
      <w:r w:rsidR="00317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малог броја извршиоца </w:t>
      </w:r>
      <w:r w:rsidR="00A01B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због </w:t>
      </w:r>
      <w:r w:rsidR="008C5EE5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A01B22">
        <w:rPr>
          <w:rFonts w:ascii="Times New Roman" w:eastAsia="Times New Roman" w:hAnsi="Times New Roman" w:cs="Times New Roman"/>
          <w:sz w:val="24"/>
          <w:szCs w:val="24"/>
          <w:lang w:val="sr-Cyrl-CS"/>
        </w:rPr>
        <w:t>ругих разлога.</w:t>
      </w:r>
    </w:p>
    <w:p w:rsidR="00295A72" w:rsidRPr="004B4034" w:rsidRDefault="00295A72" w:rsidP="00A01B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sr-Cyrl-RS"/>
        </w:rPr>
      </w:pPr>
      <w:r w:rsidRPr="004B403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sr-Cyrl-RS"/>
        </w:rPr>
        <w:t>11) Законитост управних аката донетих у инспекцијском надзору (број другостепених поступака, њихов исход, број покренутих управних спорова и њихов исход);</w:t>
      </w:r>
    </w:p>
    <w:p w:rsidR="00295A72" w:rsidRPr="004B4034" w:rsidRDefault="00295A72" w:rsidP="00A01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</w:pPr>
      <w:r w:rsidRPr="004B4034">
        <w:rPr>
          <w:rFonts w:ascii="Times New Roman" w:eastAsia="Times New Roman" w:hAnsi="Times New Roman" w:cs="Times New Roman" w:hint="eastAsia"/>
          <w:color w:val="000000" w:themeColor="text1"/>
          <w:sz w:val="24"/>
          <w:szCs w:val="20"/>
          <w:lang w:val="sr-Cyrl-RS"/>
        </w:rPr>
        <w:t>У</w:t>
      </w:r>
      <w:r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 xml:space="preserve"> 20</w:t>
      </w:r>
      <w:r w:rsidR="00866C5B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2</w:t>
      </w:r>
      <w:r w:rsidR="00A2505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4</w:t>
      </w:r>
      <w:r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 xml:space="preserve">. </w:t>
      </w:r>
      <w:r w:rsidRPr="004B4034">
        <w:rPr>
          <w:rFonts w:ascii="Times New Roman" w:eastAsia="Times New Roman" w:hAnsi="Times New Roman" w:cs="Times New Roman" w:hint="eastAsia"/>
          <w:color w:val="000000" w:themeColor="text1"/>
          <w:sz w:val="24"/>
          <w:szCs w:val="20"/>
          <w:lang w:val="sr-Cyrl-RS"/>
        </w:rPr>
        <w:t>години</w:t>
      </w:r>
      <w:r w:rsidR="00141E7E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 xml:space="preserve"> нису </w:t>
      </w:r>
      <w:r w:rsidR="00866C5B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уложене на Решења</w:t>
      </w:r>
      <w:r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 xml:space="preserve"> </w:t>
      </w:r>
      <w:r w:rsidRPr="004B4034">
        <w:rPr>
          <w:rFonts w:ascii="Times New Roman" w:eastAsia="Times New Roman" w:hAnsi="Times New Roman" w:cs="Times New Roman" w:hint="eastAsia"/>
          <w:color w:val="000000" w:themeColor="text1"/>
          <w:sz w:val="24"/>
          <w:szCs w:val="20"/>
          <w:lang w:val="sr-Cyrl-RS"/>
        </w:rPr>
        <w:t>инспектор</w:t>
      </w:r>
      <w:r w:rsidRPr="004B4034">
        <w:rPr>
          <w:rFonts w:ascii="Times New Roman" w:eastAsia="Times New Roman" w:hAnsi="Times New Roman" w:cs="Times New Roman" w:hint="eastAsia"/>
          <w:color w:val="000000" w:themeColor="text1"/>
          <w:sz w:val="24"/>
          <w:szCs w:val="20"/>
        </w:rPr>
        <w:t xml:space="preserve">а </w:t>
      </w:r>
      <w:r w:rsidR="00141E7E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 xml:space="preserve"> нити </w:t>
      </w:r>
      <w:r w:rsidR="0031795D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 xml:space="preserve">су </w:t>
      </w:r>
      <w:r w:rsidR="00141E7E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покренут</w:t>
      </w:r>
      <w:r w:rsidR="0031795D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и</w:t>
      </w:r>
      <w:r w:rsidR="00141E7E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 xml:space="preserve">  управни спор</w:t>
      </w:r>
      <w:r w:rsidR="0031795D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ови</w:t>
      </w:r>
      <w:r w:rsidR="008C5EE5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.</w:t>
      </w:r>
    </w:p>
    <w:p w:rsidR="00295A72" w:rsidRPr="004B4034" w:rsidRDefault="00295A72" w:rsidP="008B1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</w:pPr>
    </w:p>
    <w:p w:rsidR="00295A72" w:rsidRPr="004B4034" w:rsidRDefault="00295A72" w:rsidP="00A01B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sr-Cyrl-RS"/>
        </w:rPr>
      </w:pPr>
      <w:r w:rsidRPr="004B403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sr-Cyrl-RS"/>
        </w:rPr>
        <w:t>12) Поступању у решавању притужби на рад инспекције, са исходима тог поступања, уз посебно истицање броја поднетих притужби и области рада на које су се односиле;</w:t>
      </w:r>
    </w:p>
    <w:p w:rsidR="008312FC" w:rsidRPr="004B4034" w:rsidRDefault="00295A72" w:rsidP="00A01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</w:pPr>
      <w:r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RS"/>
        </w:rPr>
        <w:t>На поступање инспектора</w:t>
      </w:r>
      <w:r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  <w:t xml:space="preserve"> </w:t>
      </w:r>
      <w:r w:rsidR="00141E7E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  <w:t xml:space="preserve"> нису </w:t>
      </w:r>
      <w:r w:rsidR="008C5EE5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  <w:t>уложен</w:t>
      </w:r>
      <w:r w:rsidR="008312FC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  <w:t xml:space="preserve">е </w:t>
      </w:r>
      <w:r w:rsidR="008C5EE5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  <w:t>притужб</w:t>
      </w:r>
      <w:r w:rsidR="00141E7E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  <w:t>е</w:t>
      </w:r>
      <w:r w:rsidR="008C5EE5" w:rsidRPr="004B40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sr-Cyrl-CS"/>
        </w:rPr>
        <w:t xml:space="preserve">. </w:t>
      </w:r>
    </w:p>
    <w:p w:rsidR="00295A72" w:rsidRPr="00295A72" w:rsidRDefault="008C626E" w:rsidP="00A01B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 xml:space="preserve">13) Обука </w:t>
      </w:r>
      <w:r w:rsidR="00295A72"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и други облици 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усавршавања;</w:t>
      </w:r>
    </w:p>
    <w:p w:rsidR="004E1CE7" w:rsidRDefault="00295A72" w:rsidP="004E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</w:pPr>
      <w:r w:rsidRPr="004B4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Инспектори су </w:t>
      </w:r>
      <w:r w:rsidRPr="004B4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похађали </w:t>
      </w:r>
      <w:r w:rsidR="008C626E" w:rsidRPr="004B4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и успешно савладали обуку  из области</w:t>
      </w:r>
    </w:p>
    <w:p w:rsidR="004E1CE7" w:rsidRDefault="004E1CE7" w:rsidP="004E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-</w:t>
      </w:r>
      <w:r w:rsidR="008C626E" w:rsidRPr="004B4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 w:rsidR="00010B60" w:rsidRPr="004B4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„е-</w:t>
      </w:r>
      <w:r w:rsidR="008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инспектор</w:t>
      </w:r>
      <w:r w:rsidR="00010B60" w:rsidRPr="004B4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“</w:t>
      </w:r>
      <w:r w:rsidR="008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 xml:space="preserve">, </w:t>
      </w:r>
    </w:p>
    <w:p w:rsidR="004E1CE7" w:rsidRDefault="004E1CE7" w:rsidP="004E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 xml:space="preserve">- </w:t>
      </w:r>
      <w:r w:rsidR="008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савладај трему пре него што она савлада вас,</w:t>
      </w:r>
    </w:p>
    <w:p w:rsidR="0094124E" w:rsidRDefault="004E1CE7" w:rsidP="004E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-</w:t>
      </w:r>
      <w:r w:rsidR="008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 w:rsidRPr="004E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процена ризика и сразмерност у инспекцијском надзору</w:t>
      </w:r>
      <w:r w:rsidR="00941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,</w:t>
      </w:r>
    </w:p>
    <w:p w:rsidR="00010B60" w:rsidRDefault="0094124E" w:rsidP="00941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-</w:t>
      </w:r>
      <w:r w:rsidRPr="0094124E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с</w:t>
      </w:r>
      <w:r w:rsidRPr="00941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поразум о признању прекршаја</w:t>
      </w:r>
    </w:p>
    <w:p w:rsidR="00F052BC" w:rsidRPr="00F052BC" w:rsidRDefault="00F052BC" w:rsidP="00F052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-</w:t>
      </w:r>
      <w:r w:rsidRPr="00F052BC">
        <w:rPr>
          <w:rFonts w:ascii="Times New Roman" w:eastAsia="Calibri" w:hAnsi="Times New Roman" w:cs="Times New Roman"/>
          <w:color w:val="000000"/>
          <w:sz w:val="14"/>
          <w:szCs w:val="14"/>
          <w:lang w:val="sr-Latn-RS"/>
        </w:rPr>
        <w:t xml:space="preserve">  </w:t>
      </w:r>
      <w:r w:rsidRPr="00F052BC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ChatGPT </w:t>
      </w:r>
      <w:r w:rsidRPr="00F052B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за јавну управу Републике Србије</w:t>
      </w:r>
    </w:p>
    <w:p w:rsidR="00F052BC" w:rsidRPr="004C4BC9" w:rsidRDefault="00F052BC" w:rsidP="0094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052BC">
        <w:rPr>
          <w:rFonts w:ascii="Arial" w:eastAsia="Calibri" w:hAnsi="Arial" w:cs="Arial"/>
          <w:bCs/>
          <w:color w:val="000000"/>
          <w:sz w:val="24"/>
          <w:szCs w:val="24"/>
          <w:lang w:val="sr-Cyrl-RS"/>
        </w:rPr>
        <w:t>-</w:t>
      </w:r>
      <w:r w:rsidRPr="00F052BC">
        <w:rPr>
          <w:rFonts w:ascii="Times New Roman" w:eastAsia="Calibri" w:hAnsi="Times New Roman" w:cs="Times New Roman"/>
          <w:bCs/>
          <w:color w:val="000000"/>
          <w:sz w:val="14"/>
          <w:szCs w:val="14"/>
          <w:lang w:val="sr-Latn-RS"/>
        </w:rPr>
        <w:t>  </w:t>
      </w:r>
      <w:r>
        <w:rPr>
          <w:rFonts w:ascii="Times New Roman" w:eastAsia="Calibri" w:hAnsi="Times New Roman" w:cs="Times New Roman"/>
          <w:b/>
          <w:bCs/>
          <w:color w:val="000000"/>
          <w:sz w:val="14"/>
          <w:szCs w:val="14"/>
          <w:lang w:val="sr-Latn-RS"/>
        </w:rPr>
        <w:t> </w:t>
      </w:r>
      <w:r w:rsidRPr="00F052B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рад у Писарници</w:t>
      </w:r>
    </w:p>
    <w:p w:rsidR="0094124E" w:rsidRPr="0094124E" w:rsidRDefault="0094124E" w:rsidP="00941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 w:eastAsia="sr-Latn-CS"/>
        </w:rPr>
      </w:pPr>
    </w:p>
    <w:p w:rsidR="00295A72" w:rsidRPr="00295A72" w:rsidRDefault="00295A72" w:rsidP="00A01B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14) Иницијатива за измене и допуне закона и других прописа;</w:t>
      </w:r>
    </w:p>
    <w:p w:rsidR="00295A72" w:rsidRPr="001E5379" w:rsidRDefault="00295A72" w:rsidP="00A0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Инспекција је </w:t>
      </w:r>
      <w:r w:rsidR="00010B60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учествовала у радним групама </w:t>
      </w:r>
      <w:r w:rsidR="001E5379">
        <w:rPr>
          <w:rFonts w:ascii="Times New Roman" w:eastAsia="Times New Roman" w:hAnsi="Times New Roman" w:cs="Times New Roman"/>
          <w:sz w:val="24"/>
          <w:szCs w:val="20"/>
          <w:lang w:val="sr-Cyrl-RS"/>
        </w:rPr>
        <w:t>за израду Националне с</w:t>
      </w:r>
      <w:r w:rsidR="00010B60">
        <w:rPr>
          <w:rFonts w:ascii="Times New Roman" w:eastAsia="Times New Roman" w:hAnsi="Times New Roman" w:cs="Times New Roman"/>
          <w:sz w:val="24"/>
          <w:szCs w:val="20"/>
          <w:lang w:val="sr-Cyrl-RS"/>
        </w:rPr>
        <w:t>тратегиј</w:t>
      </w:r>
      <w:r w:rsidR="001E5379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е развоја собраћаја и </w:t>
      </w:r>
      <w:r w:rsidR="00BF1EED">
        <w:rPr>
          <w:rFonts w:ascii="Times New Roman" w:eastAsia="Times New Roman" w:hAnsi="Times New Roman" w:cs="Times New Roman"/>
          <w:sz w:val="24"/>
          <w:szCs w:val="20"/>
          <w:lang w:val="sr-Cyrl-RS"/>
        </w:rPr>
        <w:t>И</w:t>
      </w:r>
      <w:r w:rsidR="001E5379">
        <w:rPr>
          <w:rFonts w:ascii="Times New Roman" w:eastAsia="Times New Roman" w:hAnsi="Times New Roman" w:cs="Times New Roman"/>
          <w:sz w:val="24"/>
          <w:szCs w:val="20"/>
          <w:lang w:val="sr-Cyrl-RS"/>
        </w:rPr>
        <w:t>змену и допуну Правилника за изда</w:t>
      </w:r>
      <w:r w:rsidR="00BF1EED">
        <w:rPr>
          <w:rFonts w:ascii="Times New Roman" w:eastAsia="Times New Roman" w:hAnsi="Times New Roman" w:cs="Times New Roman"/>
          <w:sz w:val="24"/>
          <w:szCs w:val="20"/>
          <w:lang w:val="sr-Cyrl-RS"/>
        </w:rPr>
        <w:t>вање дозволе за ванредни превоз; Из</w:t>
      </w:r>
      <w:r w:rsidR="00D10280">
        <w:rPr>
          <w:rFonts w:ascii="Times New Roman" w:eastAsia="Times New Roman" w:hAnsi="Times New Roman" w:cs="Times New Roman"/>
          <w:sz w:val="24"/>
          <w:szCs w:val="20"/>
          <w:lang w:val="sr-Cyrl-RS"/>
        </w:rPr>
        <w:t>мене и допуне Закона о путевима, Измене и допуне Кривичног законика.</w:t>
      </w:r>
      <w:r w:rsidR="004B4034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Инспеција је поводом одлике Прекршајног  апелационог суда, Тужилаштву подн</w:t>
      </w:r>
      <w:r w:rsidR="000254DD">
        <w:rPr>
          <w:rFonts w:ascii="Times New Roman" w:eastAsia="Times New Roman" w:hAnsi="Times New Roman" w:cs="Times New Roman"/>
          <w:sz w:val="24"/>
          <w:szCs w:val="20"/>
          <w:lang w:val="sr-Cyrl-RS"/>
        </w:rPr>
        <w:t>осила</w:t>
      </w:r>
      <w:r w:rsidR="004B4034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захтев</w:t>
      </w:r>
      <w:r w:rsidR="000254DD">
        <w:rPr>
          <w:rFonts w:ascii="Times New Roman" w:eastAsia="Times New Roman" w:hAnsi="Times New Roman" w:cs="Times New Roman"/>
          <w:sz w:val="24"/>
          <w:szCs w:val="20"/>
          <w:lang w:val="sr-Cyrl-RS"/>
        </w:rPr>
        <w:t>е</w:t>
      </w:r>
      <w:r w:rsidR="00D10280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за заштиту законитости, аза које Туилаштво није покретало поступке</w:t>
      </w:r>
    </w:p>
    <w:p w:rsidR="00295A72" w:rsidRPr="00295A72" w:rsidRDefault="00295A72" w:rsidP="008B1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295A72" w:rsidRPr="00295A72" w:rsidRDefault="00295A72" w:rsidP="00A01B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15) Мере и провере предузете у циљу потпуности и ажурности података у информационом систему;</w:t>
      </w:r>
    </w:p>
    <w:p w:rsidR="00295A72" w:rsidRPr="00295A72" w:rsidRDefault="00A01B22" w:rsidP="00A01B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lastRenderedPageBreak/>
        <w:t xml:space="preserve">Стално је вршено ажурирање података у информационом систему, </w:t>
      </w:r>
      <w:r w:rsidR="0026039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што је 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било оптерећујуће </w:t>
      </w:r>
      <w:r w:rsidR="0026039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за планирани рад инспектора 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и трошено је доста врем</w:t>
      </w:r>
      <w:r w:rsidR="005C1509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ена. У даљем раду планирају се  обуке </w:t>
      </w:r>
      <w:r w:rsidR="0026039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како би се 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повећа</w:t>
      </w:r>
      <w:r w:rsidR="00260395">
        <w:rPr>
          <w:rFonts w:ascii="Times New Roman" w:eastAsia="Times New Roman" w:hAnsi="Times New Roman" w:cs="Times New Roman"/>
          <w:sz w:val="24"/>
          <w:szCs w:val="20"/>
          <w:lang w:val="sr-Cyrl-RS"/>
        </w:rPr>
        <w:t>ла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ефикасност рада инспектора. </w:t>
      </w:r>
    </w:p>
    <w:p w:rsidR="00295A72" w:rsidRPr="00295A72" w:rsidRDefault="00295A72" w:rsidP="00A01B22">
      <w:pPr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val="sr-Cyrl-RS"/>
        </w:rPr>
      </w:pP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 xml:space="preserve">16) </w:t>
      </w: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С</w:t>
      </w:r>
      <w:r w:rsidRPr="00295A72">
        <w:rPr>
          <w:rFonts w:ascii="CHelv" w:eastAsia="Times New Roman" w:hAnsi="CHelv" w:cs="Times New Roman"/>
          <w:b/>
          <w:sz w:val="24"/>
          <w:szCs w:val="20"/>
          <w:lang w:val="sr-Cyrl-RS"/>
        </w:rPr>
        <w:t>тање у области извршавања поверених послова инспекцијског надзора;</w:t>
      </w:r>
    </w:p>
    <w:p w:rsidR="004963A0" w:rsidRPr="00D22291" w:rsidRDefault="004963A0" w:rsidP="004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D22291">
        <w:rPr>
          <w:rFonts w:ascii="Times New Roman" w:eastAsia="Times New Roman" w:hAnsi="Times New Roman" w:cs="Times New Roman"/>
          <w:sz w:val="24"/>
          <w:szCs w:val="20"/>
          <w:lang w:val="sr-Cyrl-RS"/>
        </w:rPr>
        <w:t>Извршење поверених послова инспекцијских органа АПВ на путевима другог реда се непрекидно прати уз сталну размену информација и уз повремено организовање заједничких инспекцијских надзора.</w:t>
      </w:r>
    </w:p>
    <w:p w:rsidR="00295A72" w:rsidRPr="00295A72" w:rsidRDefault="00295A72" w:rsidP="00895DB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>Инспектори врше инспекцијски надзор на државним путевима и такво поступање заузима битан сегмент у погледу безбедности саобраћаја. Узевши у обзир недостатак финансијских средстава</w:t>
      </w:r>
      <w:r w:rsidR="00D22291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 намењених за одржавање државних путева</w:t>
      </w:r>
      <w:r w:rsidRPr="00295A72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, и стање државних путева, рад инспектора је веома битан у ланцу свих видова одржавања и заштите путева. Посебно је неопходна континуална контрола рада ЈП „Путеви Србије“,  на пословима одржавања, рехабилитације путева, у смислу налагања мера којима се отклањају недостаци </w:t>
      </w:r>
      <w:r w:rsidR="00D22291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>на путу</w:t>
      </w:r>
      <w:r w:rsidRPr="00295A72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, који утичу неповољно на безбедност саобраћаја и употребну вредност пута. </w:t>
      </w:r>
    </w:p>
    <w:p w:rsidR="00295A72" w:rsidRPr="00ED40BC" w:rsidRDefault="00295A72" w:rsidP="00ED40B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17) Сходима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инспекција.</w:t>
      </w:r>
      <w:r w:rsidRPr="00535EC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ab/>
      </w:r>
    </w:p>
    <w:p w:rsidR="00CF5C53" w:rsidRPr="007F29DF" w:rsidRDefault="00D25F0B" w:rsidP="00BE26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</w:pPr>
      <w:r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>Са расположивим људским ресурсима и</w:t>
      </w:r>
      <w:r w:rsidR="001F2945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звршено је </w:t>
      </w:r>
      <w:r w:rsidR="00E364A1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 w:rsidR="00C412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>556</w:t>
      </w:r>
      <w:r w:rsidR="00ED40BC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инспекцијских надора, </w:t>
      </w:r>
      <w:r w:rsidR="00E364A1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подне</w:t>
      </w:r>
      <w:r w:rsidR="007C18CC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>т</w:t>
      </w:r>
      <w:r w:rsidR="00E364A1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ена </w:t>
      </w:r>
      <w:r w:rsidR="00CF5C53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>су</w:t>
      </w:r>
      <w:r w:rsidR="00781F46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</w:t>
      </w:r>
      <w:r w:rsidR="00C412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>293</w:t>
      </w:r>
      <w:r w:rsidR="00CF5C53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захтева за </w:t>
      </w:r>
      <w:r w:rsidR="0041486F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>покретање прекршајног поступка,</w:t>
      </w:r>
      <w:r w:rsidR="00C412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пријаве за 3 привредна преступа и поднета 1 кривична пријава, </w:t>
      </w:r>
      <w:r w:rsidR="008C626E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 w:eastAsia="sr-Latn-CS"/>
        </w:rPr>
        <w:t xml:space="preserve">од чега је већи број проглажен </w:t>
      </w:r>
      <w:r w:rsidR="008C626E" w:rsidRPr="007F29D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 w:eastAsia="sr-Latn-CS"/>
        </w:rPr>
        <w:t>одговорним  због поступања сопротно одредбама предметних закона.</w:t>
      </w:r>
    </w:p>
    <w:p w:rsidR="008015DE" w:rsidRPr="007F29DF" w:rsidRDefault="00CF5C53" w:rsidP="00BE2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CS"/>
        </w:rPr>
      </w:pPr>
      <w:r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На основу анализе годишњих извештаја </w:t>
      </w:r>
      <w:r w:rsidR="003E0D2C"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CS"/>
        </w:rPr>
        <w:t>инспекција за државне путеве је</w:t>
      </w:r>
      <w:r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оствар</w:t>
      </w:r>
      <w:r w:rsidR="003E0D2C"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  <w:t xml:space="preserve">ила </w:t>
      </w:r>
      <w:r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стратешк</w:t>
      </w:r>
      <w:r w:rsidR="003E0D2C"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  <w:t>и</w:t>
      </w:r>
      <w:r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E0D2C"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план за 20</w:t>
      </w:r>
      <w:r w:rsidR="006925A6"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  <w:t>2</w:t>
      </w:r>
      <w:r w:rsidR="005839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  <w:t>4</w:t>
      </w:r>
      <w:r w:rsidR="003E0D2C"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  <w:t>.годину.</w:t>
      </w:r>
      <w:r w:rsidR="003E0D2C" w:rsidRPr="007F2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CS"/>
        </w:rPr>
        <w:t xml:space="preserve"> </w:t>
      </w:r>
    </w:p>
    <w:p w:rsidR="000F0A83" w:rsidRPr="003B3256" w:rsidRDefault="00295A72" w:rsidP="00895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Latn-RS"/>
        </w:rPr>
      </w:pP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Табеларни показатељ делотворности рада инспектора, за 20</w:t>
      </w:r>
      <w:r w:rsidR="006925A6">
        <w:rPr>
          <w:rFonts w:ascii="Times New Roman" w:eastAsia="Times New Roman" w:hAnsi="Times New Roman" w:cs="Times New Roman"/>
          <w:b/>
          <w:sz w:val="24"/>
          <w:szCs w:val="20"/>
          <w:lang w:val="sr-Latn-RS"/>
        </w:rPr>
        <w:t>2</w:t>
      </w:r>
      <w:r w:rsidR="00E43E9F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4</w:t>
      </w:r>
      <w:r w:rsidRPr="00295A72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. годину:</w:t>
      </w:r>
    </w:p>
    <w:p w:rsidR="00295A72" w:rsidRPr="00295A72" w:rsidRDefault="00295A72" w:rsidP="00295A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</w:p>
    <w:tbl>
      <w:tblPr>
        <w:tblW w:w="68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700"/>
      </w:tblGrid>
      <w:tr w:rsidR="00295A72" w:rsidRPr="00295A72" w:rsidTr="00B13417">
        <w:trPr>
          <w:trHeight w:val="761"/>
          <w:jc w:val="center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bCs/>
                <w:lang w:val="sr-Cyrl-CS"/>
              </w:rPr>
              <w:t>Активност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bCs/>
                <w:lang w:val="sr-Cyrl-CS"/>
              </w:rPr>
              <w:t>Број предмета</w:t>
            </w:r>
          </w:p>
          <w:p w:rsidR="00295A72" w:rsidRPr="00295A72" w:rsidRDefault="00295A72" w:rsidP="005A4525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bCs/>
                <w:lang w:val="sr-Cyrl-CS"/>
              </w:rPr>
              <w:t>(јануар</w:t>
            </w:r>
            <w:r w:rsidR="00B13417">
              <w:rPr>
                <w:rFonts w:ascii="Times New Roman" w:eastAsia="Calibri" w:hAnsi="Times New Roman" w:cs="Times New Roman"/>
                <w:bCs/>
                <w:lang w:val="sr-Cyrl-CS"/>
              </w:rPr>
              <w:t xml:space="preserve">-децембар </w:t>
            </w:r>
            <w:r w:rsidR="006925A6">
              <w:rPr>
                <w:rFonts w:ascii="Times New Roman" w:eastAsia="Calibri" w:hAnsi="Times New Roman" w:cs="Times New Roman"/>
                <w:bCs/>
                <w:lang w:val="sr-Cyrl-CS"/>
              </w:rPr>
              <w:t>202</w:t>
            </w:r>
            <w:r w:rsidR="00E43E9F">
              <w:rPr>
                <w:rFonts w:ascii="Times New Roman" w:eastAsia="Calibri" w:hAnsi="Times New Roman" w:cs="Times New Roman"/>
                <w:bCs/>
                <w:lang w:val="sr-Cyrl-CS"/>
              </w:rPr>
              <w:t>4</w:t>
            </w:r>
            <w:r w:rsidRPr="00295A72">
              <w:rPr>
                <w:rFonts w:ascii="Times New Roman" w:eastAsia="Calibri" w:hAnsi="Times New Roman" w:cs="Times New Roman"/>
                <w:bCs/>
                <w:lang w:val="sr-Cyrl-CS"/>
              </w:rPr>
              <w:t>)</w:t>
            </w:r>
          </w:p>
        </w:tc>
      </w:tr>
      <w:tr w:rsidR="00295A72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Укупан број инспекцијских надзора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556</w:t>
            </w:r>
          </w:p>
        </w:tc>
      </w:tr>
      <w:tr w:rsidR="00295A72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Редовни инспекцијски преглед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95</w:t>
            </w:r>
          </w:p>
        </w:tc>
      </w:tr>
      <w:tr w:rsidR="00295A72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Times New Roman" w:hAnsi="Times New Roman" w:cs="Times New Roman"/>
                <w:color w:val="000000"/>
              </w:rPr>
              <w:t>Ванредни инспекцијски преглед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3D3599" w:rsidRDefault="003D3599" w:rsidP="00781F46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446</w:t>
            </w:r>
          </w:p>
        </w:tc>
      </w:tr>
      <w:tr w:rsidR="00295A72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Укупан број сачињених записника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92</w:t>
            </w:r>
          </w:p>
        </w:tc>
      </w:tr>
      <w:tr w:rsidR="00295A72" w:rsidRPr="00295A72" w:rsidTr="00B13417">
        <w:trPr>
          <w:trHeight w:val="23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Укупан број донетих решења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66</w:t>
            </w:r>
          </w:p>
        </w:tc>
      </w:tr>
      <w:tr w:rsidR="00295A72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Укупан број сачињених службених белешки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115</w:t>
            </w:r>
          </w:p>
        </w:tc>
      </w:tr>
      <w:tr w:rsidR="00295A72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Укупан број експедованих дописа/налога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72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645</w:t>
            </w:r>
          </w:p>
        </w:tc>
      </w:tr>
      <w:tr w:rsidR="00295A72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Укупан број захтева за покретање прекршајних пријава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293</w:t>
            </w:r>
          </w:p>
        </w:tc>
      </w:tr>
      <w:tr w:rsidR="00ED5D69" w:rsidRPr="00295A72" w:rsidTr="00B13417">
        <w:trPr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69" w:rsidRDefault="00ED5D69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>Укупан број поднетих пријава за привредни преступ</w:t>
            </w:r>
          </w:p>
          <w:p w:rsidR="00ED5D69" w:rsidRPr="00295A72" w:rsidRDefault="00ED5D69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69" w:rsidRPr="003D3599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3</w:t>
            </w:r>
          </w:p>
        </w:tc>
      </w:tr>
      <w:tr w:rsidR="00295A72" w:rsidRPr="00295A72" w:rsidTr="00B13417">
        <w:trPr>
          <w:trHeight w:val="511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295A72" w:rsidRDefault="00295A72" w:rsidP="003D3599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  <w:r w:rsidRPr="00295A72">
              <w:rPr>
                <w:rFonts w:ascii="Times New Roman" w:eastAsia="Calibri" w:hAnsi="Times New Roman" w:cs="Times New Roman"/>
                <w:lang w:val="sr-Cyrl-CS"/>
              </w:rPr>
              <w:t xml:space="preserve">Укупан број поднетих </w:t>
            </w:r>
            <w:r w:rsidR="003D3599">
              <w:rPr>
                <w:rFonts w:ascii="Times New Roman" w:eastAsia="Calibri" w:hAnsi="Times New Roman" w:cs="Times New Roman"/>
                <w:lang w:val="sr-Cyrl-RS"/>
              </w:rPr>
              <w:t xml:space="preserve">кривичних </w:t>
            </w:r>
            <w:r w:rsidR="003D3599">
              <w:rPr>
                <w:rFonts w:ascii="Times New Roman" w:eastAsia="Calibri" w:hAnsi="Times New Roman" w:cs="Times New Roman"/>
                <w:lang w:val="sr-Cyrl-CS"/>
              </w:rPr>
              <w:t xml:space="preserve">пријава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023B5D" w:rsidRDefault="003D3599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</w:tr>
      <w:tr w:rsidR="00295A72" w:rsidRPr="00295A72" w:rsidTr="00B13417">
        <w:trPr>
          <w:trHeight w:val="6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72" w:rsidRPr="00295A72" w:rsidRDefault="00295A72" w:rsidP="00295A72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</w:p>
        </w:tc>
      </w:tr>
    </w:tbl>
    <w:p w:rsidR="00013136" w:rsidRDefault="00013136" w:rsidP="005554FF">
      <w:pPr>
        <w:spacing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:rsidR="00B8067B" w:rsidRDefault="00B8067B" w:rsidP="00016F67">
      <w:pPr>
        <w:keepNext/>
        <w:keepLines/>
        <w:spacing w:after="0" w:line="256" w:lineRule="auto"/>
        <w:ind w:firstLine="284"/>
        <w:jc w:val="center"/>
        <w:outlineLvl w:val="2"/>
        <w:rPr>
          <w:rFonts w:ascii="Calibri" w:eastAsia="Calibri" w:hAnsi="Calibri" w:cs="Calibri"/>
          <w:sz w:val="24"/>
          <w:szCs w:val="24"/>
          <w:lang w:val="en-GB"/>
        </w:rPr>
      </w:pPr>
    </w:p>
    <w:p w:rsidR="00B8067B" w:rsidRDefault="00B8067B" w:rsidP="00016F67">
      <w:pPr>
        <w:keepNext/>
        <w:keepLines/>
        <w:spacing w:after="0" w:line="256" w:lineRule="auto"/>
        <w:ind w:firstLine="284"/>
        <w:jc w:val="center"/>
        <w:outlineLvl w:val="2"/>
        <w:rPr>
          <w:rFonts w:ascii="Calibri" w:eastAsia="Calibri" w:hAnsi="Calibri" w:cs="Calibri"/>
          <w:sz w:val="24"/>
          <w:szCs w:val="24"/>
          <w:lang w:val="en-GB"/>
        </w:rPr>
      </w:pPr>
    </w:p>
    <w:p w:rsidR="00B8067B" w:rsidRDefault="00B8067B" w:rsidP="00016F67">
      <w:pPr>
        <w:keepNext/>
        <w:keepLines/>
        <w:spacing w:after="0" w:line="256" w:lineRule="auto"/>
        <w:ind w:firstLine="284"/>
        <w:jc w:val="center"/>
        <w:outlineLvl w:val="2"/>
        <w:rPr>
          <w:rFonts w:ascii="Calibri" w:eastAsia="Calibri" w:hAnsi="Calibri" w:cs="Calibri"/>
          <w:sz w:val="24"/>
          <w:szCs w:val="24"/>
          <w:lang w:val="en-GB"/>
        </w:rPr>
      </w:pPr>
    </w:p>
    <w:p w:rsidR="00B8067B" w:rsidRDefault="00B8067B" w:rsidP="00016F67">
      <w:pPr>
        <w:keepNext/>
        <w:keepLines/>
        <w:spacing w:after="0" w:line="256" w:lineRule="auto"/>
        <w:ind w:firstLine="284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  <w:lang w:val="sr-Cyrl-CS"/>
        </w:rPr>
      </w:pPr>
    </w:p>
    <w:p w:rsidR="00162B3B" w:rsidRPr="00DF27D4" w:rsidRDefault="00162B3B" w:rsidP="00016F67">
      <w:pPr>
        <w:keepNext/>
        <w:keepLines/>
        <w:spacing w:after="0" w:line="256" w:lineRule="auto"/>
        <w:ind w:firstLine="284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  <w:lang w:val="sr-Cyrl-CS"/>
        </w:rPr>
      </w:pPr>
      <w:r w:rsidRPr="00DF27D4">
        <w:rPr>
          <w:rFonts w:ascii="Times New Roman" w:eastAsiaTheme="majorEastAsia" w:hAnsi="Times New Roman" w:cs="Times New Roman"/>
          <w:b/>
          <w:sz w:val="24"/>
          <w:szCs w:val="24"/>
          <w:lang w:val="sr-Cyrl-CS"/>
        </w:rPr>
        <w:t xml:space="preserve">Преглед постављених радних циљева инспектора </w:t>
      </w:r>
    </w:p>
    <w:p w:rsidR="00013136" w:rsidRPr="00013136" w:rsidRDefault="00162B3B" w:rsidP="00016F67">
      <w:pPr>
        <w:keepNext/>
        <w:keepLines/>
        <w:spacing w:after="0" w:line="256" w:lineRule="auto"/>
        <w:ind w:firstLine="284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  <w:lang w:val="sr-Cyrl-CS"/>
        </w:rPr>
      </w:pPr>
      <w:r w:rsidRPr="00DF27D4">
        <w:rPr>
          <w:rFonts w:ascii="Times New Roman" w:eastAsiaTheme="majorEastAsia" w:hAnsi="Times New Roman" w:cs="Times New Roman"/>
          <w:b/>
          <w:sz w:val="24"/>
          <w:szCs w:val="24"/>
          <w:lang w:val="sr-Cyrl-CS"/>
        </w:rPr>
        <w:t>и збирни приказ њиховог извршења</w:t>
      </w:r>
    </w:p>
    <w:tbl>
      <w:tblPr>
        <w:tblStyle w:val="TableGrid"/>
        <w:tblW w:w="10931" w:type="dxa"/>
        <w:tblInd w:w="-851" w:type="dxa"/>
        <w:tblLook w:val="04A0" w:firstRow="1" w:lastRow="0" w:firstColumn="1" w:lastColumn="0" w:noHBand="0" w:noVBand="1"/>
      </w:tblPr>
      <w:tblGrid>
        <w:gridCol w:w="1410"/>
        <w:gridCol w:w="1014"/>
        <w:gridCol w:w="603"/>
        <w:gridCol w:w="4239"/>
        <w:gridCol w:w="3665"/>
      </w:tblGrid>
      <w:tr w:rsidR="00656DDF" w:rsidRPr="00013136" w:rsidTr="00B028DC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136" w:rsidRPr="00013136" w:rsidRDefault="00013136" w:rsidP="0001313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136" w:rsidRPr="00013136" w:rsidRDefault="00013136" w:rsidP="0001313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36" w:rsidRPr="00013136" w:rsidRDefault="00013136" w:rsidP="0001313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3136" w:rsidRPr="00013136" w:rsidRDefault="00013136" w:rsidP="0001313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3136" w:rsidRPr="00013136" w:rsidRDefault="00013136" w:rsidP="000131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ЦИЉЕВИ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3136" w:rsidRPr="00013136" w:rsidRDefault="00013136" w:rsidP="000131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3136" w:rsidRPr="00013136" w:rsidRDefault="00013136" w:rsidP="000131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БОДОВИ</w:t>
            </w:r>
          </w:p>
          <w:p w:rsidR="00013136" w:rsidRPr="00013136" w:rsidRDefault="00013136" w:rsidP="00013136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554FF" w:rsidRPr="00013136" w:rsidTr="00B028DC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1D1" w:rsidRDefault="008251D1" w:rsidP="005554FF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554FF" w:rsidRPr="00013136" w:rsidRDefault="005554FF" w:rsidP="005554FF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Руководилац органа</w:t>
            </w:r>
          </w:p>
          <w:p w:rsidR="005554FF" w:rsidRPr="00013136" w:rsidRDefault="005554FF" w:rsidP="005554FF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(утврђује од 3 до 5 циљева)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4FF" w:rsidRPr="00013136" w:rsidRDefault="005554FF" w:rsidP="005554FF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Руководилац сектора</w:t>
            </w:r>
          </w:p>
          <w:p w:rsidR="005554FF" w:rsidRPr="00013136" w:rsidRDefault="005554FF" w:rsidP="005554FF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(утврђује од  5 до 7 циљева)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92549E" w:rsidRDefault="005554FF" w:rsidP="005554F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Реализовани годишњи планови инспекцијског надзора у обиму од 90% у оквиру редовних инспекцијских прегледа.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013136" w:rsidRDefault="005554FF" w:rsidP="009303B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2B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Реализовано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 202</w:t>
            </w:r>
            <w:r w:rsidR="008C75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.години повећан број инспекцијских надзора  извршено 1</w:t>
            </w:r>
            <w:r w:rsidR="0093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% </w:t>
            </w:r>
          </w:p>
        </w:tc>
      </w:tr>
      <w:tr w:rsidR="005554FF" w:rsidRPr="00013136" w:rsidTr="00B028DC">
        <w:trPr>
          <w:trHeight w:val="926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9B5227" w:rsidRDefault="005554FF" w:rsidP="009B522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Извршити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B522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саветодавних посета</w:t>
            </w:r>
            <w:r w:rsidR="009B5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7A0DA2" w:rsidRDefault="005554FF" w:rsidP="00D5649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2B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Реализовано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="00415303" w:rsidRPr="00A43F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202</w:t>
            </w:r>
            <w:r w:rsidR="00D564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415303" w:rsidRPr="00A43F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.години инспектори су </w:t>
            </w:r>
            <w:r w:rsidR="004153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извршили </w:t>
            </w:r>
            <w:r w:rsidR="00065F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  <w:r w:rsidR="007A0D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саветодавних посета </w:t>
            </w:r>
          </w:p>
        </w:tc>
      </w:tr>
      <w:tr w:rsidR="005554FF" w:rsidRPr="00013136" w:rsidTr="00B028DC">
        <w:trPr>
          <w:trHeight w:val="1016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4C025F" w:rsidRDefault="009B5227" w:rsidP="009B52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522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Извршити најмање </w:t>
            </w:r>
            <w:r w:rsidRPr="009B522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80 </w:t>
            </w:r>
            <w:r w:rsidRPr="009B522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инспекцијских надзора из делокруга одржавања државних путева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554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013136" w:rsidRDefault="005554FF" w:rsidP="008C756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2B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Реализовано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 202</w:t>
            </w:r>
            <w:r w:rsidR="008C75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.години </w:t>
            </w:r>
            <w:r w:rsidR="006D49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 извршен циљ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554FF" w:rsidRPr="00013136" w:rsidTr="00B028DC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54FF" w:rsidRPr="00013136" w:rsidRDefault="005554FF" w:rsidP="005554F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4C45F0" w:rsidRDefault="001E7783" w:rsidP="00F040D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778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Извршити најмање 20</w:t>
            </w:r>
            <w:r w:rsidRPr="001E77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8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инспекцијски надзор за стање </w:t>
            </w:r>
            <w:r w:rsidRPr="001E7783">
              <w:rPr>
                <w:rFonts w:ascii="Times New Roman" w:eastAsia="Calibri" w:hAnsi="Times New Roman" w:cs="Times New Roman"/>
                <w:sz w:val="24"/>
                <w:szCs w:val="24"/>
              </w:rPr>
              <w:t>путних објеката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F" w:rsidRPr="00013136" w:rsidRDefault="005554FF" w:rsidP="008C756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2B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Реализовано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Pr="00A43F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202</w:t>
            </w:r>
            <w:r w:rsidR="008C75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A43F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.години </w:t>
            </w:r>
            <w:r w:rsidR="00762D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потпуности извршен циљ</w:t>
            </w:r>
          </w:p>
        </w:tc>
      </w:tr>
      <w:tr w:rsidR="0004080C" w:rsidRPr="00013136" w:rsidTr="00B028DC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80C" w:rsidRPr="00013136" w:rsidRDefault="0004080C" w:rsidP="0004080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0C" w:rsidRPr="00013136" w:rsidRDefault="0004080C" w:rsidP="0004080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080C" w:rsidRPr="00013136" w:rsidRDefault="0004080C" w:rsidP="0004080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C" w:rsidRPr="001F4453" w:rsidRDefault="00FA35BC" w:rsidP="000408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35B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Извршити најмање 100</w:t>
            </w:r>
            <w:r w:rsidRPr="00FA3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5B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инспекцијских надзора из делокруга заштите државних путева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C" w:rsidRPr="006D4955" w:rsidRDefault="0004080C" w:rsidP="008C756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62B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Реализовано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 202</w:t>
            </w:r>
            <w:r w:rsidR="008C75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.години </w:t>
            </w:r>
            <w:r w:rsidRPr="0002087B">
              <w:rPr>
                <w:rFonts w:ascii="Times New Roman" w:hAnsi="Times New Roman" w:cs="Times New Roman"/>
                <w:sz w:val="24"/>
                <w:szCs w:val="24"/>
              </w:rPr>
              <w:t>из делокруга одржавања државних путева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извршено је </w:t>
            </w:r>
            <w:r w:rsidR="00762D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293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инспекцијска надзора </w:t>
            </w:r>
          </w:p>
        </w:tc>
      </w:tr>
      <w:tr w:rsidR="0004080C" w:rsidRPr="00013136" w:rsidTr="00B028DC"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80C" w:rsidRPr="00013136" w:rsidRDefault="0004080C" w:rsidP="0004080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0C" w:rsidRPr="00013136" w:rsidRDefault="0004080C" w:rsidP="0004080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80C" w:rsidRPr="00013136" w:rsidRDefault="0004080C" w:rsidP="0004080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31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DC" w:rsidRPr="00B028DC" w:rsidRDefault="00B028DC" w:rsidP="00B028DC">
            <w:pPr>
              <w:rPr>
                <w:rFonts w:ascii="Times New Roman" w:eastAsia="Calibri" w:hAnsi="Times New Roman" w:cs="Times New Roman"/>
              </w:rPr>
            </w:pPr>
            <w:r w:rsidRPr="00B028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Унапређене  компетенције инспектора у области инспекцијског надзора кроз специјализоване обуке које су инспектори похађали у трајању од најмање 1 </w:t>
            </w:r>
            <w:r w:rsidRPr="00B028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обуке на НАЈУ,</w:t>
            </w:r>
            <w:r w:rsidRPr="00B028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 инспектору до краја 202</w:t>
            </w:r>
            <w:r w:rsidRPr="00B028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28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 године</w:t>
            </w:r>
          </w:p>
          <w:p w:rsidR="0004080C" w:rsidRPr="001F4453" w:rsidRDefault="0004080C" w:rsidP="0004080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C" w:rsidRPr="00A43FDE" w:rsidRDefault="0004080C" w:rsidP="00470DD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62B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Реализовано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43F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202</w:t>
            </w:r>
            <w:r w:rsidR="00470D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</w:t>
            </w:r>
            <w:r w:rsidR="00CD1170" w:rsidRPr="00A43F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инспектори су </w:t>
            </w:r>
            <w:r w:rsidR="00CD1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извршили планиране </w:t>
            </w:r>
            <w:r w:rsidR="00CD1170" w:rsidRPr="00013136">
              <w:rPr>
                <w:rFonts w:ascii="Times New Roman" w:hAnsi="Times New Roman"/>
                <w:sz w:val="24"/>
                <w:szCs w:val="24"/>
                <w:lang w:val="sr-Cyrl-RS"/>
              </w:rPr>
              <w:t>специјализоване обуке</w:t>
            </w:r>
            <w:r w:rsidR="00762DF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8C1361" w:rsidRDefault="008C1361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8C1361" w:rsidRDefault="008C1361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8C1361" w:rsidRDefault="008C1361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8C1361" w:rsidRDefault="008C1361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F15A88" w:rsidRDefault="00016F67" w:rsidP="00F15A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A72">
        <w:rPr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Начелник  </w:t>
      </w:r>
      <w:r w:rsidR="00F15A88">
        <w:rPr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Одељења </w:t>
      </w:r>
      <w:r w:rsidRPr="00295A72">
        <w:rPr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инспекције</w:t>
      </w:r>
    </w:p>
    <w:p w:rsidR="00016F67" w:rsidRPr="00F15A88" w:rsidRDefault="00016F67" w:rsidP="00F15A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5A72">
        <w:rPr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 за послове државних путева </w:t>
      </w:r>
      <w:r w:rsidRPr="00295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</w:p>
    <w:p w:rsidR="00016F67" w:rsidRPr="00295A72" w:rsidRDefault="00016F67" w:rsidP="00016F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295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      </w:t>
      </w:r>
      <w:r w:rsidRPr="00295A72">
        <w:rPr>
          <w:rFonts w:ascii="Times New Roman" w:eastAsia="Times New Roman" w:hAnsi="Times New Roman" w:cs="Times New Roman" w:hint="eastAsia"/>
          <w:bCs/>
          <w:color w:val="000000"/>
          <w:sz w:val="24"/>
          <w:szCs w:val="24"/>
          <w:lang w:val="sr-Cyrl-RS"/>
        </w:rPr>
        <w:t xml:space="preserve"> </w:t>
      </w:r>
    </w:p>
    <w:p w:rsidR="00016F67" w:rsidRDefault="00016F67" w:rsidP="00016F67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en-GB"/>
        </w:rPr>
      </w:pPr>
      <w:r w:rsidRPr="00295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</w:t>
      </w:r>
      <w:r w:rsidRPr="00A42FCB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:rsidR="008C1361" w:rsidRDefault="008C1361" w:rsidP="00016F67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en-GB"/>
        </w:rPr>
      </w:pPr>
    </w:p>
    <w:p w:rsidR="00162B3B" w:rsidRDefault="00162B3B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DF27D4" w:rsidRDefault="00DF27D4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DF27D4" w:rsidRDefault="00DF27D4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8C1361" w:rsidRDefault="008C1361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8C1361" w:rsidRDefault="008C1361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8C1361" w:rsidRDefault="008C1361" w:rsidP="00FD4E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sectPr w:rsidR="008C1361" w:rsidSect="005554FF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B1B"/>
    <w:multiLevelType w:val="hybridMultilevel"/>
    <w:tmpl w:val="CCBCC1CC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D388C"/>
    <w:multiLevelType w:val="hybridMultilevel"/>
    <w:tmpl w:val="C57EFA1A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D414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B7DB3"/>
    <w:multiLevelType w:val="hybridMultilevel"/>
    <w:tmpl w:val="ABCC3368"/>
    <w:lvl w:ilvl="0" w:tplc="E7D8F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805"/>
    <w:multiLevelType w:val="hybridMultilevel"/>
    <w:tmpl w:val="C53AD04C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642B3"/>
    <w:multiLevelType w:val="hybridMultilevel"/>
    <w:tmpl w:val="FACC0E2C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D414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F56B8"/>
    <w:multiLevelType w:val="hybridMultilevel"/>
    <w:tmpl w:val="12B4F51E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B271C"/>
    <w:multiLevelType w:val="hybridMultilevel"/>
    <w:tmpl w:val="37D679B6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B6103"/>
    <w:multiLevelType w:val="hybridMultilevel"/>
    <w:tmpl w:val="40E88632"/>
    <w:lvl w:ilvl="0" w:tplc="9C4EF23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A55E0"/>
    <w:multiLevelType w:val="hybridMultilevel"/>
    <w:tmpl w:val="A46E94E2"/>
    <w:lvl w:ilvl="0" w:tplc="09AEB88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C3B"/>
    <w:multiLevelType w:val="hybridMultilevel"/>
    <w:tmpl w:val="B9EC0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D68A8"/>
    <w:multiLevelType w:val="hybridMultilevel"/>
    <w:tmpl w:val="AADC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6F06"/>
    <w:multiLevelType w:val="hybridMultilevel"/>
    <w:tmpl w:val="7996126E"/>
    <w:lvl w:ilvl="0" w:tplc="281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3292C0D"/>
    <w:multiLevelType w:val="multilevel"/>
    <w:tmpl w:val="0C2C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684D3C"/>
    <w:multiLevelType w:val="hybridMultilevel"/>
    <w:tmpl w:val="7FB603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B1ADB"/>
    <w:multiLevelType w:val="hybridMultilevel"/>
    <w:tmpl w:val="ABE2A814"/>
    <w:lvl w:ilvl="0" w:tplc="B8BEE2B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E41C38"/>
    <w:multiLevelType w:val="hybridMultilevel"/>
    <w:tmpl w:val="82B867D6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9A2D9A"/>
    <w:multiLevelType w:val="hybridMultilevel"/>
    <w:tmpl w:val="B6B6E0F2"/>
    <w:lvl w:ilvl="0" w:tplc="2BACB66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915A4"/>
    <w:multiLevelType w:val="hybridMultilevel"/>
    <w:tmpl w:val="D12281C8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F41BFF"/>
    <w:multiLevelType w:val="hybridMultilevel"/>
    <w:tmpl w:val="30CA3842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0C2FD3"/>
    <w:multiLevelType w:val="hybridMultilevel"/>
    <w:tmpl w:val="923478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F3995"/>
    <w:multiLevelType w:val="hybridMultilevel"/>
    <w:tmpl w:val="6D548AC0"/>
    <w:lvl w:ilvl="0" w:tplc="6ED41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3352AB"/>
    <w:multiLevelType w:val="hybridMultilevel"/>
    <w:tmpl w:val="22D0D4C4"/>
    <w:lvl w:ilvl="0" w:tplc="48F8D82A">
      <w:start w:val="1"/>
      <w:numFmt w:val="decimal"/>
      <w:lvlText w:val="%1)"/>
      <w:lvlJc w:val="left"/>
      <w:pPr>
        <w:ind w:left="45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A223D92"/>
    <w:multiLevelType w:val="multilevel"/>
    <w:tmpl w:val="52A0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9"/>
  </w:num>
  <w:num w:numId="5">
    <w:abstractNumId w:val="7"/>
  </w:num>
  <w:num w:numId="6">
    <w:abstractNumId w:val="16"/>
  </w:num>
  <w:num w:numId="7">
    <w:abstractNumId w:val="1"/>
  </w:num>
  <w:num w:numId="8">
    <w:abstractNumId w:val="4"/>
  </w:num>
  <w:num w:numId="9">
    <w:abstractNumId w:val="18"/>
  </w:num>
  <w:num w:numId="10">
    <w:abstractNumId w:val="19"/>
  </w:num>
  <w:num w:numId="11">
    <w:abstractNumId w:val="15"/>
  </w:num>
  <w:num w:numId="12">
    <w:abstractNumId w:val="17"/>
  </w:num>
  <w:num w:numId="13">
    <w:abstractNumId w:val="20"/>
  </w:num>
  <w:num w:numId="14">
    <w:abstractNumId w:val="5"/>
  </w:num>
  <w:num w:numId="15">
    <w:abstractNumId w:val="0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CB"/>
    <w:rsid w:val="00010B60"/>
    <w:rsid w:val="00013136"/>
    <w:rsid w:val="00016F67"/>
    <w:rsid w:val="0002087B"/>
    <w:rsid w:val="00023B5D"/>
    <w:rsid w:val="000254DD"/>
    <w:rsid w:val="0004080C"/>
    <w:rsid w:val="000550DC"/>
    <w:rsid w:val="00061023"/>
    <w:rsid w:val="00065FCB"/>
    <w:rsid w:val="000938A4"/>
    <w:rsid w:val="00097090"/>
    <w:rsid w:val="000B3A1B"/>
    <w:rsid w:val="000C68B7"/>
    <w:rsid w:val="000C734F"/>
    <w:rsid w:val="000F0A83"/>
    <w:rsid w:val="00111812"/>
    <w:rsid w:val="00121E57"/>
    <w:rsid w:val="00137903"/>
    <w:rsid w:val="00141E7E"/>
    <w:rsid w:val="00162B3B"/>
    <w:rsid w:val="001720B0"/>
    <w:rsid w:val="00180F49"/>
    <w:rsid w:val="001D6276"/>
    <w:rsid w:val="001E5379"/>
    <w:rsid w:val="001E7783"/>
    <w:rsid w:val="001F2945"/>
    <w:rsid w:val="001F436F"/>
    <w:rsid w:val="002512B5"/>
    <w:rsid w:val="00252F27"/>
    <w:rsid w:val="00260395"/>
    <w:rsid w:val="00267485"/>
    <w:rsid w:val="00273F0A"/>
    <w:rsid w:val="00283447"/>
    <w:rsid w:val="00295A72"/>
    <w:rsid w:val="002B4BD1"/>
    <w:rsid w:val="002D4F30"/>
    <w:rsid w:val="002E136D"/>
    <w:rsid w:val="002E68B2"/>
    <w:rsid w:val="002E724F"/>
    <w:rsid w:val="002F08C4"/>
    <w:rsid w:val="002F153D"/>
    <w:rsid w:val="002F7474"/>
    <w:rsid w:val="00310902"/>
    <w:rsid w:val="0031795D"/>
    <w:rsid w:val="00337198"/>
    <w:rsid w:val="00352BA6"/>
    <w:rsid w:val="00371114"/>
    <w:rsid w:val="003B3256"/>
    <w:rsid w:val="003D3599"/>
    <w:rsid w:val="003E0D2C"/>
    <w:rsid w:val="003E7D6D"/>
    <w:rsid w:val="003F5C95"/>
    <w:rsid w:val="00404836"/>
    <w:rsid w:val="0041486F"/>
    <w:rsid w:val="00415303"/>
    <w:rsid w:val="00415967"/>
    <w:rsid w:val="00416FE7"/>
    <w:rsid w:val="004246AA"/>
    <w:rsid w:val="004264A8"/>
    <w:rsid w:val="0045494D"/>
    <w:rsid w:val="00470DDC"/>
    <w:rsid w:val="00485F8B"/>
    <w:rsid w:val="00490C1F"/>
    <w:rsid w:val="004963A0"/>
    <w:rsid w:val="004B4034"/>
    <w:rsid w:val="004C4BC9"/>
    <w:rsid w:val="004E1CE7"/>
    <w:rsid w:val="004F54FA"/>
    <w:rsid w:val="00500B28"/>
    <w:rsid w:val="00535EC8"/>
    <w:rsid w:val="005554FF"/>
    <w:rsid w:val="00562F76"/>
    <w:rsid w:val="0058399F"/>
    <w:rsid w:val="00583C44"/>
    <w:rsid w:val="005A3753"/>
    <w:rsid w:val="005A3D2A"/>
    <w:rsid w:val="005A4525"/>
    <w:rsid w:val="005C1509"/>
    <w:rsid w:val="005E0750"/>
    <w:rsid w:val="00626AD1"/>
    <w:rsid w:val="00656DDF"/>
    <w:rsid w:val="006828DA"/>
    <w:rsid w:val="006925A6"/>
    <w:rsid w:val="006A3F99"/>
    <w:rsid w:val="006B63EF"/>
    <w:rsid w:val="006D4955"/>
    <w:rsid w:val="006D5C34"/>
    <w:rsid w:val="00755A1C"/>
    <w:rsid w:val="00762DF3"/>
    <w:rsid w:val="00781F46"/>
    <w:rsid w:val="00787FDB"/>
    <w:rsid w:val="007A0DA2"/>
    <w:rsid w:val="007C18CC"/>
    <w:rsid w:val="007C3CAB"/>
    <w:rsid w:val="007D4805"/>
    <w:rsid w:val="007F0E26"/>
    <w:rsid w:val="007F29DF"/>
    <w:rsid w:val="007F7B80"/>
    <w:rsid w:val="008015DE"/>
    <w:rsid w:val="00815D84"/>
    <w:rsid w:val="00823889"/>
    <w:rsid w:val="008251D1"/>
    <w:rsid w:val="00826A97"/>
    <w:rsid w:val="008312FC"/>
    <w:rsid w:val="00833A89"/>
    <w:rsid w:val="00837A7D"/>
    <w:rsid w:val="00855732"/>
    <w:rsid w:val="00866013"/>
    <w:rsid w:val="00866C5B"/>
    <w:rsid w:val="0088019D"/>
    <w:rsid w:val="00895DB2"/>
    <w:rsid w:val="008B15DD"/>
    <w:rsid w:val="008B6F23"/>
    <w:rsid w:val="008C0F1B"/>
    <w:rsid w:val="008C1361"/>
    <w:rsid w:val="008C19D6"/>
    <w:rsid w:val="008C37A2"/>
    <w:rsid w:val="008C5EE5"/>
    <w:rsid w:val="008C626E"/>
    <w:rsid w:val="008C756D"/>
    <w:rsid w:val="008F7769"/>
    <w:rsid w:val="00904F7C"/>
    <w:rsid w:val="00927C0D"/>
    <w:rsid w:val="009303BB"/>
    <w:rsid w:val="0094124E"/>
    <w:rsid w:val="0095192C"/>
    <w:rsid w:val="009524EB"/>
    <w:rsid w:val="009560AC"/>
    <w:rsid w:val="0098272C"/>
    <w:rsid w:val="00985942"/>
    <w:rsid w:val="00986566"/>
    <w:rsid w:val="009B5227"/>
    <w:rsid w:val="00A01B22"/>
    <w:rsid w:val="00A10795"/>
    <w:rsid w:val="00A14FA9"/>
    <w:rsid w:val="00A25058"/>
    <w:rsid w:val="00A42FCB"/>
    <w:rsid w:val="00A43FDE"/>
    <w:rsid w:val="00A461A0"/>
    <w:rsid w:val="00A57F12"/>
    <w:rsid w:val="00A83C77"/>
    <w:rsid w:val="00AD3D1F"/>
    <w:rsid w:val="00B028DC"/>
    <w:rsid w:val="00B13417"/>
    <w:rsid w:val="00B36C7B"/>
    <w:rsid w:val="00B37F21"/>
    <w:rsid w:val="00B8067B"/>
    <w:rsid w:val="00B86BAF"/>
    <w:rsid w:val="00B91B5D"/>
    <w:rsid w:val="00BB46A6"/>
    <w:rsid w:val="00BC2680"/>
    <w:rsid w:val="00BE2658"/>
    <w:rsid w:val="00BF1EED"/>
    <w:rsid w:val="00C412BC"/>
    <w:rsid w:val="00C42678"/>
    <w:rsid w:val="00C54C38"/>
    <w:rsid w:val="00C54F3E"/>
    <w:rsid w:val="00C5522A"/>
    <w:rsid w:val="00C81E80"/>
    <w:rsid w:val="00CA15D9"/>
    <w:rsid w:val="00CA6E35"/>
    <w:rsid w:val="00CC23E1"/>
    <w:rsid w:val="00CD1170"/>
    <w:rsid w:val="00CF5C53"/>
    <w:rsid w:val="00CF69A7"/>
    <w:rsid w:val="00D10280"/>
    <w:rsid w:val="00D120AE"/>
    <w:rsid w:val="00D22291"/>
    <w:rsid w:val="00D25F0B"/>
    <w:rsid w:val="00D4026C"/>
    <w:rsid w:val="00D44D18"/>
    <w:rsid w:val="00D5649C"/>
    <w:rsid w:val="00D63CBD"/>
    <w:rsid w:val="00DC3738"/>
    <w:rsid w:val="00DE2673"/>
    <w:rsid w:val="00DF27D4"/>
    <w:rsid w:val="00E31E24"/>
    <w:rsid w:val="00E364A1"/>
    <w:rsid w:val="00E43E9F"/>
    <w:rsid w:val="00E43F01"/>
    <w:rsid w:val="00E516A9"/>
    <w:rsid w:val="00E84290"/>
    <w:rsid w:val="00EC65C0"/>
    <w:rsid w:val="00EC7EDC"/>
    <w:rsid w:val="00ED40BC"/>
    <w:rsid w:val="00ED5D69"/>
    <w:rsid w:val="00EE46BB"/>
    <w:rsid w:val="00EE4DEB"/>
    <w:rsid w:val="00EE78AA"/>
    <w:rsid w:val="00F040DA"/>
    <w:rsid w:val="00F052BC"/>
    <w:rsid w:val="00F15A88"/>
    <w:rsid w:val="00F245ED"/>
    <w:rsid w:val="00F6062B"/>
    <w:rsid w:val="00F641D0"/>
    <w:rsid w:val="00F64DE9"/>
    <w:rsid w:val="00F759C9"/>
    <w:rsid w:val="00F75BF1"/>
    <w:rsid w:val="00F83130"/>
    <w:rsid w:val="00F92A6E"/>
    <w:rsid w:val="00FA35BC"/>
    <w:rsid w:val="00F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DB48"/>
  <w15:chartTrackingRefBased/>
  <w15:docId w15:val="{D34A37BB-10A1-4E1C-8EA1-0E239CBA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">
    <w:name w:val="file"/>
    <w:basedOn w:val="DefaultParagraphFont"/>
    <w:rsid w:val="00626AD1"/>
  </w:style>
  <w:style w:type="character" w:styleId="Hyperlink">
    <w:name w:val="Hyperlink"/>
    <w:basedOn w:val="DefaultParagraphFont"/>
    <w:uiPriority w:val="99"/>
    <w:semiHidden/>
    <w:unhideWhenUsed/>
    <w:rsid w:val="00626A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AD1"/>
    <w:pPr>
      <w:ind w:left="720"/>
      <w:contextualSpacing/>
    </w:pPr>
  </w:style>
  <w:style w:type="paragraph" w:customStyle="1" w:styleId="TableContents">
    <w:name w:val="Table Contents"/>
    <w:basedOn w:val="Normal"/>
    <w:rsid w:val="00904F7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7C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C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313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nadjen">
    <w:name w:val="pronadjen"/>
    <w:basedOn w:val="DefaultParagraphFont"/>
    <w:rsid w:val="00C5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06E4-927A-473C-8631-848D364A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9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54</cp:revision>
  <cp:lastPrinted>2022-02-24T07:00:00Z</cp:lastPrinted>
  <dcterms:created xsi:type="dcterms:W3CDTF">2025-02-19T09:36:00Z</dcterms:created>
  <dcterms:modified xsi:type="dcterms:W3CDTF">2025-02-20T08:15:00Z</dcterms:modified>
</cp:coreProperties>
</file>