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81"/>
        <w:gridCol w:w="12"/>
        <w:gridCol w:w="991"/>
        <w:gridCol w:w="10"/>
        <w:gridCol w:w="10"/>
        <w:gridCol w:w="1961"/>
        <w:gridCol w:w="16"/>
        <w:gridCol w:w="1991"/>
        <w:gridCol w:w="2281"/>
        <w:gridCol w:w="1418"/>
        <w:gridCol w:w="691"/>
        <w:gridCol w:w="2125"/>
        <w:gridCol w:w="6"/>
        <w:gridCol w:w="1128"/>
        <w:gridCol w:w="1134"/>
      </w:tblGrid>
      <w:tr w:rsidR="006107F0" w:rsidRPr="00ED4DD2" w:rsidTr="00371AEB">
        <w:trPr>
          <w:tblHeader/>
        </w:trPr>
        <w:tc>
          <w:tcPr>
            <w:tcW w:w="83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371AEB">
        <w:trPr>
          <w:tblHeader/>
        </w:trPr>
        <w:tc>
          <w:tcPr>
            <w:tcW w:w="83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34"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371AEB">
        <w:trPr>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2"/>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2"/>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2"/>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3"/>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2"/>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34" w:type="dxa"/>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2"/>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2"/>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2"/>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3"/>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2"/>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2"/>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2"/>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2"/>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2"/>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2"/>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2"/>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371AEB">
        <w:trPr>
          <w:cantSplit/>
          <w:trHeight w:val="2696"/>
        </w:trPr>
        <w:tc>
          <w:tcPr>
            <w:tcW w:w="838" w:type="dxa"/>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2"/>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2"/>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34" w:type="dxa"/>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554"/>
        </w:trPr>
        <w:tc>
          <w:tcPr>
            <w:tcW w:w="838" w:type="dxa"/>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2"/>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441"/>
        </w:trPr>
        <w:tc>
          <w:tcPr>
            <w:tcW w:w="838" w:type="dxa"/>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2"/>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34" w:type="dxa"/>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270"/>
        </w:trPr>
        <w:tc>
          <w:tcPr>
            <w:tcW w:w="838" w:type="dxa"/>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2"/>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2"/>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34" w:type="dxa"/>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371AEB">
        <w:trPr>
          <w:cantSplit/>
          <w:trHeight w:val="2586"/>
        </w:trPr>
        <w:tc>
          <w:tcPr>
            <w:tcW w:w="838" w:type="dxa"/>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2"/>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2"/>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34" w:type="dxa"/>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2"/>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2"/>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2"/>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2"/>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2"/>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2"/>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2"/>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371AEB">
        <w:trPr>
          <w:cantSplit/>
          <w:trHeight w:val="2412"/>
        </w:trPr>
        <w:tc>
          <w:tcPr>
            <w:tcW w:w="838" w:type="dxa"/>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2"/>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2"/>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157"/>
        </w:trPr>
        <w:tc>
          <w:tcPr>
            <w:tcW w:w="838" w:type="dxa"/>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2"/>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2"/>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371AEB">
        <w:trPr>
          <w:cantSplit/>
          <w:trHeight w:val="1699"/>
        </w:trPr>
        <w:tc>
          <w:tcPr>
            <w:tcW w:w="838" w:type="dxa"/>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2"/>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2"/>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3"/>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128"/>
        </w:trPr>
        <w:tc>
          <w:tcPr>
            <w:tcW w:w="838" w:type="dxa"/>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2"/>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2"/>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3"/>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1726"/>
        </w:trPr>
        <w:tc>
          <w:tcPr>
            <w:tcW w:w="838" w:type="dxa"/>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2"/>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3"/>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34" w:type="dxa"/>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2"/>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2"/>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371AEB">
        <w:trPr>
          <w:cantSplit/>
          <w:trHeight w:val="2055"/>
        </w:trPr>
        <w:tc>
          <w:tcPr>
            <w:tcW w:w="838" w:type="dxa"/>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2"/>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2"/>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2"/>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2"/>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3"/>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2"/>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2"/>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34" w:type="dxa"/>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1984"/>
        </w:trPr>
        <w:tc>
          <w:tcPr>
            <w:tcW w:w="838" w:type="dxa"/>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2"/>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2"/>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2"/>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2"/>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2"/>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2"/>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3"/>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2"/>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2"/>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2"/>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2"/>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2"/>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2"/>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2"/>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2"/>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2"/>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2"/>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2"/>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2"/>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2"/>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2"/>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3"/>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371AEB">
        <w:tblPrEx>
          <w:tblLook w:val="04A0" w:firstRow="1" w:lastRow="0" w:firstColumn="1" w:lastColumn="0" w:noHBand="0" w:noVBand="1"/>
        </w:tblPrEx>
        <w:trPr>
          <w:cantSplit/>
          <w:trHeight w:val="3283"/>
        </w:trPr>
        <w:tc>
          <w:tcPr>
            <w:tcW w:w="838" w:type="dxa"/>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2"/>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34" w:type="dxa"/>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371AEB">
        <w:tblPrEx>
          <w:tblLook w:val="04A0" w:firstRow="1" w:lastRow="0" w:firstColumn="1" w:lastColumn="0" w:noHBand="0" w:noVBand="1"/>
        </w:tblPrEx>
        <w:trPr>
          <w:trHeight w:val="20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371AEB">
        <w:tblPrEx>
          <w:tblLook w:val="04A0" w:firstRow="1" w:lastRow="0" w:firstColumn="1" w:lastColumn="0" w:noHBand="0" w:noVBand="1"/>
        </w:tblPrEx>
        <w:trPr>
          <w:cantSplit/>
          <w:trHeight w:val="254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371AEB">
        <w:tblPrEx>
          <w:tblLook w:val="04A0" w:firstRow="1" w:lastRow="0" w:firstColumn="1" w:lastColumn="0" w:noHBand="0" w:noVBand="1"/>
        </w:tblPrEx>
        <w:trPr>
          <w:trHeight w:val="8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2290"/>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371AEB">
        <w:tblPrEx>
          <w:tblLook w:val="04A0" w:firstRow="1" w:lastRow="0" w:firstColumn="1" w:lastColumn="0" w:noHBand="0" w:noVBand="1"/>
        </w:tblPrEx>
        <w:trPr>
          <w:trHeight w:val="9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3032"/>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371AEB">
        <w:tblPrEx>
          <w:tblLook w:val="04A0" w:firstRow="1" w:lastRow="0" w:firstColumn="1" w:lastColumn="0" w:noHBand="0" w:noVBand="1"/>
        </w:tblPrEx>
        <w:trPr>
          <w:cantSplit/>
          <w:trHeight w:val="338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8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371AEB">
        <w:tblPrEx>
          <w:tblLook w:val="04A0" w:firstRow="1" w:lastRow="0" w:firstColumn="1" w:lastColumn="0" w:noHBand="0" w:noVBand="1"/>
        </w:tblPrEx>
        <w:trPr>
          <w:cantSplit/>
          <w:trHeight w:val="2676"/>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371AEB">
        <w:tblPrEx>
          <w:tblLook w:val="04A0" w:firstRow="1" w:lastRow="0" w:firstColumn="1" w:lastColumn="0" w:noHBand="0" w:noVBand="1"/>
        </w:tblPrEx>
        <w:trPr>
          <w:cantSplit/>
          <w:trHeight w:val="214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371AEB">
        <w:tblPrEx>
          <w:tblLook w:val="04A0" w:firstRow="1" w:lastRow="0" w:firstColumn="1" w:lastColumn="0" w:noHBand="0" w:noVBand="1"/>
        </w:tblPrEx>
        <w:trPr>
          <w:cantSplit/>
          <w:trHeight w:val="2303"/>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371AEB">
        <w:tblPrEx>
          <w:tblLook w:val="04A0" w:firstRow="1" w:lastRow="0" w:firstColumn="1" w:lastColumn="0" w:noHBand="0" w:noVBand="1"/>
        </w:tblPrEx>
        <w:trPr>
          <w:cantSplit/>
          <w:trHeight w:val="2151"/>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371AEB">
        <w:tblPrEx>
          <w:tblLook w:val="04A0" w:firstRow="1" w:lastRow="0" w:firstColumn="1" w:lastColumn="0" w:noHBand="0" w:noVBand="1"/>
        </w:tblPrEx>
        <w:trPr>
          <w:trHeight w:val="12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371AEB">
        <w:trPr>
          <w:cantSplit/>
          <w:trHeight w:val="2270"/>
        </w:trPr>
        <w:tc>
          <w:tcPr>
            <w:tcW w:w="838" w:type="dxa"/>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2"/>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371AEB">
        <w:trPr>
          <w:trHeight w:val="30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371AEB">
        <w:trPr>
          <w:cantSplit/>
          <w:trHeight w:val="1876"/>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2"/>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2"/>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3"/>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2"/>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34" w:type="dxa"/>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2"/>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2"/>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34" w:type="dxa"/>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371AEB">
        <w:trPr>
          <w:cantSplit/>
          <w:trHeight w:val="22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2"/>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2"/>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34" w:type="dxa"/>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371AEB">
        <w:trPr>
          <w:cantSplit/>
          <w:trHeight w:val="192"/>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2"/>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2"/>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34" w:type="dxa"/>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371AEB">
        <w:trPr>
          <w:cantSplit/>
          <w:trHeight w:val="316"/>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2"/>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2"/>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2"/>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34" w:type="dxa"/>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2"/>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3"/>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34" w:type="dxa"/>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2"/>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3"/>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2"/>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34" w:type="dxa"/>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3"/>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2"/>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34" w:type="dxa"/>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34" w:type="dxa"/>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2"/>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2"/>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3"/>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2"/>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3"/>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34" w:type="dxa"/>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3"/>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2"/>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3"/>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34" w:type="dxa"/>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3"/>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34" w:type="dxa"/>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3"/>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2"/>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34" w:type="dxa"/>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34" w:type="dxa"/>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371AEB">
        <w:tblPrEx>
          <w:tblLook w:val="04A0" w:firstRow="1" w:lastRow="0" w:firstColumn="1" w:lastColumn="0" w:noHBand="0" w:noVBand="1"/>
        </w:tblPrEx>
        <w:trPr>
          <w:cantSplit/>
          <w:trHeight w:val="25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2"/>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3"/>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3"/>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34" w:type="dxa"/>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3"/>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2"/>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2"/>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34" w:type="dxa"/>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371AEB">
        <w:tblPrEx>
          <w:tblLook w:val="04A0" w:firstRow="1" w:lastRow="0" w:firstColumn="1" w:lastColumn="0" w:noHBand="0" w:noVBand="1"/>
        </w:tblPrEx>
        <w:trPr>
          <w:cantSplit/>
          <w:trHeight w:val="1743"/>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2"/>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2"/>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3"/>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2"/>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34" w:type="dxa"/>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3"/>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2"/>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2"/>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34" w:type="dxa"/>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2"/>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2"/>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3"/>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3"/>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2"/>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371AEB">
        <w:tblPrEx>
          <w:tblLook w:val="04A0" w:firstRow="1" w:lastRow="0" w:firstColumn="1" w:lastColumn="0" w:noHBand="0" w:noVBand="1"/>
        </w:tblPrEx>
        <w:trPr>
          <w:cantSplit/>
          <w:trHeight w:val="1846"/>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371AEB">
        <w:tblPrEx>
          <w:tblLook w:val="04A0" w:firstRow="1" w:lastRow="0" w:firstColumn="1" w:lastColumn="0" w:noHBand="0" w:noVBand="1"/>
        </w:tblPrEx>
        <w:trPr>
          <w:cantSplit/>
          <w:trHeight w:val="12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371AEB">
        <w:tblPrEx>
          <w:tblLook w:val="04A0" w:firstRow="1" w:lastRow="0" w:firstColumn="1" w:lastColumn="0" w:noHBand="0" w:noVBand="1"/>
        </w:tblPrEx>
        <w:trPr>
          <w:cantSplit/>
          <w:trHeight w:val="1919"/>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3"/>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2"/>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3"/>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2"/>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2"/>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3"/>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2"/>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3"/>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2"/>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2"/>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2"/>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2"/>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2"/>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2"/>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2"/>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34" w:type="dxa"/>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2"/>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3"/>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2"/>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2"/>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371AEB">
        <w:tblPrEx>
          <w:tblLook w:val="04A0" w:firstRow="1" w:lastRow="0" w:firstColumn="1" w:lastColumn="0" w:noHBand="0" w:noVBand="1"/>
        </w:tblPrEx>
        <w:trPr>
          <w:cantSplit/>
          <w:trHeight w:val="2418"/>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2"/>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2"/>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2"/>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2"/>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2"/>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2"/>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2"/>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2"/>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3"/>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2"/>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2"/>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3"/>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2"/>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34" w:type="dxa"/>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2"/>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3"/>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2"/>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2"/>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3"/>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2"/>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2"/>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3"/>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2"/>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2"/>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3"/>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2"/>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371AEB">
        <w:tblPrEx>
          <w:tblLook w:val="04A0" w:firstRow="1" w:lastRow="0" w:firstColumn="1" w:lastColumn="0" w:noHBand="0" w:noVBand="1"/>
        </w:tblPrEx>
        <w:trPr>
          <w:cantSplit/>
          <w:trHeight w:val="212"/>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3"/>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2"/>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3"/>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2"/>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2"/>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3"/>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2"/>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2"/>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3"/>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2"/>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2"/>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3"/>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2"/>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3"/>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371AEB">
        <w:tblPrEx>
          <w:tblLook w:val="04A0" w:firstRow="1" w:lastRow="0" w:firstColumn="1" w:lastColumn="0" w:noHBand="0" w:noVBand="1"/>
        </w:tblPrEx>
        <w:trPr>
          <w:cantSplit/>
          <w:trHeight w:val="2472"/>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2"/>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2"/>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2"/>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2"/>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3"/>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2"/>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2"/>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2"/>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3"/>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371AEB">
        <w:tblPrEx>
          <w:tblLook w:val="04A0" w:firstRow="1" w:lastRow="0" w:firstColumn="1" w:lastColumn="0" w:noHBand="0" w:noVBand="1"/>
        </w:tblPrEx>
        <w:trPr>
          <w:cantSplit/>
          <w:trHeight w:val="2427"/>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371AEB">
        <w:tblPrEx>
          <w:tblLook w:val="04A0" w:firstRow="1" w:lastRow="0" w:firstColumn="1" w:lastColumn="0" w:noHBand="0" w:noVBand="1"/>
        </w:tblPrEx>
        <w:trPr>
          <w:cantSplit/>
          <w:trHeight w:val="8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96534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1F1EEB"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1F1EEB"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1F1EEB"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1F1EEB"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2"/>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3"/>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2"/>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34" w:type="dxa"/>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1F1EEB"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mso-wrap-style:squar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E648F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E648F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3F511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60132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E670C">
        <w:trPr>
          <w:cantSplit/>
          <w:trHeight w:val="2445"/>
        </w:trPr>
        <w:tc>
          <w:tcPr>
            <w:tcW w:w="838" w:type="dxa"/>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2"/>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3"/>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2"/>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3"/>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34" w:type="dxa"/>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2B08B8">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5C333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5D75F0">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4B150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E509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F147B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96534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1A2B1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bookmarkStart w:id="4" w:name="_GoBack"/>
            <w:bookmarkEnd w:id="4"/>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155A1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A15" w:rsidRPr="00ED4DD2" w:rsidRDefault="00155A1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155A1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D42EA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D42EAF">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33899" w:rsidRPr="00ED4DD2" w:rsidRDefault="00033899" w:rsidP="00D42EAF">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D42EA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D42EA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D42EA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bl>
    <w:p w:rsidR="005D5E7A" w:rsidRPr="002B08B8" w:rsidRDefault="005D5E7A" w:rsidP="005D5E7A">
      <w:pPr>
        <w:rPr>
          <w:lang w:val="sr-Latn-RS"/>
        </w:rPr>
      </w:pPr>
    </w:p>
    <w:sectPr w:rsidR="005D5E7A"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27CAA"/>
    <w:rsid w:val="00030117"/>
    <w:rsid w:val="00030E95"/>
    <w:rsid w:val="000321FB"/>
    <w:rsid w:val="00033899"/>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20A9"/>
    <w:rsid w:val="002148F0"/>
    <w:rsid w:val="00217E54"/>
    <w:rsid w:val="00222762"/>
    <w:rsid w:val="00231928"/>
    <w:rsid w:val="00231AF0"/>
    <w:rsid w:val="002331FA"/>
    <w:rsid w:val="002334D7"/>
    <w:rsid w:val="0023434F"/>
    <w:rsid w:val="00235F9F"/>
    <w:rsid w:val="002374EC"/>
    <w:rsid w:val="002400BA"/>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D70"/>
    <w:rsid w:val="0042155D"/>
    <w:rsid w:val="00422064"/>
    <w:rsid w:val="004220E8"/>
    <w:rsid w:val="0042410D"/>
    <w:rsid w:val="004324C9"/>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D469A"/>
    <w:rsid w:val="004D7C5C"/>
    <w:rsid w:val="004E08A5"/>
    <w:rsid w:val="004E4521"/>
    <w:rsid w:val="004E5F56"/>
    <w:rsid w:val="004F171D"/>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703096"/>
    <w:rsid w:val="00704A76"/>
    <w:rsid w:val="00707EBF"/>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CD5"/>
    <w:rsid w:val="007B4E51"/>
    <w:rsid w:val="007B7CB7"/>
    <w:rsid w:val="007D25D8"/>
    <w:rsid w:val="007D260F"/>
    <w:rsid w:val="007D4FB6"/>
    <w:rsid w:val="007D5600"/>
    <w:rsid w:val="007D5804"/>
    <w:rsid w:val="007D5A58"/>
    <w:rsid w:val="007E1761"/>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7062A"/>
    <w:rsid w:val="00871456"/>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31197"/>
    <w:rsid w:val="009315C5"/>
    <w:rsid w:val="00933D00"/>
    <w:rsid w:val="00935053"/>
    <w:rsid w:val="0093657C"/>
    <w:rsid w:val="00936E61"/>
    <w:rsid w:val="00940D68"/>
    <w:rsid w:val="00956B71"/>
    <w:rsid w:val="00962466"/>
    <w:rsid w:val="00964DCB"/>
    <w:rsid w:val="0096534E"/>
    <w:rsid w:val="009666BC"/>
    <w:rsid w:val="00970370"/>
    <w:rsid w:val="00974AB8"/>
    <w:rsid w:val="00975803"/>
    <w:rsid w:val="009816DB"/>
    <w:rsid w:val="0098288C"/>
    <w:rsid w:val="00985287"/>
    <w:rsid w:val="00985599"/>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5AFF"/>
    <w:rsid w:val="00B8613A"/>
    <w:rsid w:val="00B87EAF"/>
    <w:rsid w:val="00B92B02"/>
    <w:rsid w:val="00B93145"/>
    <w:rsid w:val="00B95D6D"/>
    <w:rsid w:val="00BA31A1"/>
    <w:rsid w:val="00BA3CB2"/>
    <w:rsid w:val="00BB1BFD"/>
    <w:rsid w:val="00BB21F6"/>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C07"/>
    <w:rsid w:val="00D73CAE"/>
    <w:rsid w:val="00D75691"/>
    <w:rsid w:val="00D8013D"/>
    <w:rsid w:val="00D80652"/>
    <w:rsid w:val="00D8139A"/>
    <w:rsid w:val="00D81F06"/>
    <w:rsid w:val="00D8242A"/>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B075E"/>
    <w:rsid w:val="00EB3A16"/>
    <w:rsid w:val="00EB69D9"/>
    <w:rsid w:val="00EB701E"/>
    <w:rsid w:val="00EC0D5D"/>
    <w:rsid w:val="00EC13DB"/>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6849"/>
    <w:rsid w:val="00F32D7F"/>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491A6"/>
  <w15:docId w15:val="{8E5EF0CA-72C8-49F9-8471-85C837E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8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9660-77B7-407A-8D99-157E4057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41752</Words>
  <Characters>237989</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279183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creator>korisnik774</dc:creator>
  <cp:lastModifiedBy>Slađana Kostić</cp:lastModifiedBy>
  <cp:revision>2</cp:revision>
  <cp:lastPrinted>2015-05-06T08:38:00Z</cp:lastPrinted>
  <dcterms:created xsi:type="dcterms:W3CDTF">2025-01-09T08:10:00Z</dcterms:created>
  <dcterms:modified xsi:type="dcterms:W3CDTF">2025-01-09T08:10:00Z</dcterms:modified>
</cp:coreProperties>
</file>