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5535DD55" w:rsidR="001A5D44" w:rsidRDefault="00284FE9" w:rsidP="00284FE9">
      <w:pPr>
        <w:pStyle w:val="ListParagraph"/>
        <w:numPr>
          <w:ilvl w:val="0"/>
          <w:numId w:val="1"/>
        </w:numPr>
        <w:suppressAutoHyphens/>
        <w:jc w:val="both"/>
        <w:rPr>
          <w:rFonts w:ascii="Times New Roman" w:hAnsi="Times New Roman"/>
          <w:b/>
          <w:sz w:val="24"/>
          <w:szCs w:val="24"/>
        </w:rPr>
      </w:pPr>
      <w:r w:rsidRPr="00284FE9">
        <w:rPr>
          <w:rFonts w:ascii="Times New Roman" w:hAnsi="Times New Roman"/>
          <w:b/>
          <w:sz w:val="24"/>
          <w:szCs w:val="24"/>
        </w:rPr>
        <w:t xml:space="preserve">Urban development specialist </w:t>
      </w:r>
      <w:r w:rsidR="007804BD">
        <w:rPr>
          <w:rFonts w:ascii="Times New Roman" w:hAnsi="Times New Roman"/>
          <w:b/>
          <w:sz w:val="24"/>
          <w:szCs w:val="24"/>
        </w:rPr>
        <w:t>(full-time individual consultant)</w:t>
      </w:r>
      <w:r w:rsidR="001A5D44" w:rsidRPr="00217E25">
        <w:rPr>
          <w:rFonts w:ascii="Times New Roman" w:hAnsi="Times New Roman"/>
          <w:b/>
          <w:sz w:val="24"/>
          <w:szCs w:val="24"/>
        </w:rPr>
        <w:t>, Reference No. SER-</w:t>
      </w:r>
      <w:r w:rsidR="00BE4AD6">
        <w:rPr>
          <w:rFonts w:ascii="Times New Roman" w:hAnsi="Times New Roman"/>
          <w:b/>
          <w:sz w:val="24"/>
          <w:szCs w:val="24"/>
        </w:rPr>
        <w:t>LIID</w:t>
      </w:r>
      <w:r w:rsidR="001A5D44" w:rsidRPr="00217E25">
        <w:rPr>
          <w:rFonts w:ascii="Times New Roman" w:hAnsi="Times New Roman"/>
          <w:b/>
          <w:sz w:val="24"/>
          <w:szCs w:val="24"/>
        </w:rPr>
        <w:t>-IC-CS-</w:t>
      </w:r>
      <w:r w:rsidR="005A16AF">
        <w:rPr>
          <w:rFonts w:ascii="Times New Roman" w:hAnsi="Times New Roman"/>
          <w:b/>
          <w:sz w:val="24"/>
          <w:szCs w:val="24"/>
        </w:rPr>
        <w:t>2</w:t>
      </w:r>
      <w:r>
        <w:rPr>
          <w:rFonts w:ascii="Times New Roman" w:hAnsi="Times New Roman"/>
          <w:b/>
          <w:sz w:val="24"/>
          <w:szCs w:val="24"/>
        </w:rPr>
        <w:t>4</w:t>
      </w:r>
      <w:r w:rsidR="00FF2582">
        <w:rPr>
          <w:rFonts w:ascii="Times New Roman" w:hAnsi="Times New Roman"/>
          <w:b/>
          <w:sz w:val="24"/>
          <w:szCs w:val="24"/>
        </w:rPr>
        <w:t>-26</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49A8184C"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50B8F6F2" w14:textId="77777777" w:rsidR="00772536" w:rsidRDefault="00772536" w:rsidP="00DC3271">
      <w:pPr>
        <w:suppressAutoHyphens/>
        <w:jc w:val="both"/>
        <w:rPr>
          <w:rFonts w:ascii="Times New Roman" w:hAnsi="Times New Roman"/>
          <w:b/>
          <w:sz w:val="24"/>
          <w:szCs w:val="24"/>
        </w:rPr>
      </w:pPr>
    </w:p>
    <w:p w14:paraId="76D88E90" w14:textId="77777777" w:rsidR="00772536" w:rsidRPr="00772536" w:rsidRDefault="00772536" w:rsidP="00772536">
      <w:pPr>
        <w:pStyle w:val="BodyText"/>
        <w:tabs>
          <w:tab w:val="left" w:pos="0"/>
        </w:tabs>
        <w:contextualSpacing/>
        <w:jc w:val="both"/>
        <w:rPr>
          <w:rFonts w:ascii="Times New Roman" w:hAnsi="Times New Roman"/>
          <w:szCs w:val="24"/>
        </w:rPr>
      </w:pPr>
      <w:r w:rsidRPr="00772536">
        <w:rPr>
          <w:rFonts w:ascii="Times New Roman" w:hAnsi="Times New Roman"/>
          <w:szCs w:val="24"/>
        </w:rPr>
        <w:t>The scope of work of the urban development specialist shall include, but not be limited to the following:</w:t>
      </w:r>
    </w:p>
    <w:p w14:paraId="6CE22950" w14:textId="77777777" w:rsidR="00772536" w:rsidRPr="00772536" w:rsidRDefault="00772536" w:rsidP="00772536">
      <w:pPr>
        <w:pStyle w:val="BodyText"/>
        <w:tabs>
          <w:tab w:val="left" w:pos="0"/>
        </w:tabs>
        <w:ind w:left="-90"/>
        <w:contextualSpacing/>
        <w:rPr>
          <w:rFonts w:ascii="Times New Roman" w:hAnsi="Times New Roman"/>
          <w:szCs w:val="24"/>
        </w:rPr>
      </w:pPr>
    </w:p>
    <w:p w14:paraId="3B57DDC5"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Direct management and supervision of project subcomponent 2.1 implementation: </w:t>
      </w:r>
    </w:p>
    <w:p w14:paraId="34E3A436" w14:textId="77777777" w:rsidR="00772536" w:rsidRPr="00772536" w:rsidRDefault="00772536" w:rsidP="00772536">
      <w:pPr>
        <w:pStyle w:val="BodyText"/>
        <w:numPr>
          <w:ilvl w:val="1"/>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Improvement of participatory planning in pilot LSGs through development of critical planning and environmental and climate related strategic documents and corresponding multi-annual and annual budgets</w:t>
      </w:r>
    </w:p>
    <w:p w14:paraId="1C1F76B3" w14:textId="77777777" w:rsidR="00772536" w:rsidRPr="00772536" w:rsidRDefault="00772536" w:rsidP="00772536">
      <w:pPr>
        <w:pStyle w:val="BodyText"/>
        <w:numPr>
          <w:ilvl w:val="1"/>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Identification and initial preparation of future urban investment projects (urban regeneration and municipal infrastructure) along with technical assistance providing in early stage of future investments</w:t>
      </w:r>
    </w:p>
    <w:p w14:paraId="7E1964A6" w14:textId="77777777" w:rsidR="00772536" w:rsidRPr="00772536" w:rsidRDefault="00772536" w:rsidP="00772536">
      <w:pPr>
        <w:pStyle w:val="BodyText"/>
        <w:numPr>
          <w:ilvl w:val="1"/>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Mainstreaming of participatory approach through development of Manual for citizen participation and extension of E-government portal for informing on the planned infrastructure investments and planned consultations </w:t>
      </w:r>
    </w:p>
    <w:p w14:paraId="2F373A47"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Analysis of spatial, urban planning and other relevant documents and its reflections on project activities (functionality, projects design and permitting processes) </w:t>
      </w:r>
    </w:p>
    <w:p w14:paraId="74C386F0"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Support Head and Deputy Head of PIU in organizing, coordinating, integrating, and monitoring operations of the PIU and the institutions involved in the Project, both at the PIU premises and in the field, during its preparation and implementation; </w:t>
      </w:r>
    </w:p>
    <w:p w14:paraId="0C1C9A87"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Providing advice and assisting the Head and Deputy Head of PIU on substantive matters in the field of urban planning and development and related to the infrastructure investments, engineering, mobility planning and local road management, and integration of the environmental dimension in the Project </w:t>
      </w:r>
      <w:r w:rsidRPr="00772536">
        <w:rPr>
          <w:rFonts w:ascii="Times New Roman" w:hAnsi="Times New Roman"/>
          <w:szCs w:val="24"/>
        </w:rPr>
        <w:lastRenderedPageBreak/>
        <w:t>activities, strategic planning, resource mobilization, and the development of management tools to enhance the performance of the PIU;</w:t>
      </w:r>
    </w:p>
    <w:p w14:paraId="4060F1E7"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Support the Head and Deputy Head of PIU in ensuring timely preparation and implementation of the Project activities, as well as other relevant documentation, and drafting and submission of reports and requests for disbursement of the Project funds;</w:t>
      </w:r>
    </w:p>
    <w:p w14:paraId="622D01FC"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Play an active role (day to day communication) in facilitating cooperation with LSGs, including working closely with them and other partners on the preparation of project proposals, preparation of designs, proper supervision, and the implementation of selected projects; engagement in working groups, commissions and other thematic bodies with LSGs</w:t>
      </w:r>
    </w:p>
    <w:p w14:paraId="73B1FCEE"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Support LSGs in preparation and delivery of TAs under Component 1 and Component 2 including, but not limited to, development of sustainable urban mobility plans (SUMPs), introduction of road asset management systems, local road management, and various analytics in the area of road safety and gender, identification of the pipeline of projects, smart mobility pilots, and participation in transport infrastructure service delivery related trainings and community of practices; </w:t>
      </w:r>
    </w:p>
    <w:p w14:paraId="0E41353E"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Assist in coordination with the focal points in the Ministries, agencies and other Project partners responsible for monitoring and reporting on implementation in their respective entities; Technical communication with National PUCs regarding urban planning, environment, infrastructure and construction affairs for Project activities (</w:t>
      </w:r>
      <w:proofErr w:type="spellStart"/>
      <w:r w:rsidRPr="00772536">
        <w:rPr>
          <w:rFonts w:ascii="Times New Roman" w:hAnsi="Times New Roman"/>
          <w:szCs w:val="24"/>
        </w:rPr>
        <w:t>Putevi</w:t>
      </w:r>
      <w:proofErr w:type="spellEnd"/>
      <w:r w:rsidRPr="00772536">
        <w:rPr>
          <w:rFonts w:ascii="Times New Roman" w:hAnsi="Times New Roman"/>
          <w:szCs w:val="24"/>
        </w:rPr>
        <w:t xml:space="preserve"> </w:t>
      </w:r>
      <w:proofErr w:type="spellStart"/>
      <w:r w:rsidRPr="00772536">
        <w:rPr>
          <w:rFonts w:ascii="Times New Roman" w:hAnsi="Times New Roman"/>
          <w:szCs w:val="24"/>
        </w:rPr>
        <w:t>Srbije</w:t>
      </w:r>
      <w:proofErr w:type="spellEnd"/>
      <w:r w:rsidRPr="00772536">
        <w:rPr>
          <w:rFonts w:ascii="Times New Roman" w:hAnsi="Times New Roman"/>
          <w:szCs w:val="24"/>
        </w:rPr>
        <w:t xml:space="preserve">, </w:t>
      </w:r>
      <w:proofErr w:type="spellStart"/>
      <w:r w:rsidRPr="00772536">
        <w:rPr>
          <w:rFonts w:ascii="Times New Roman" w:hAnsi="Times New Roman"/>
          <w:szCs w:val="24"/>
        </w:rPr>
        <w:t>Koridori</w:t>
      </w:r>
      <w:proofErr w:type="spellEnd"/>
      <w:r w:rsidRPr="00772536">
        <w:rPr>
          <w:rFonts w:ascii="Times New Roman" w:hAnsi="Times New Roman"/>
          <w:szCs w:val="24"/>
        </w:rPr>
        <w:t xml:space="preserve"> </w:t>
      </w:r>
      <w:proofErr w:type="spellStart"/>
      <w:r w:rsidRPr="00772536">
        <w:rPr>
          <w:rFonts w:ascii="Times New Roman" w:hAnsi="Times New Roman"/>
          <w:szCs w:val="24"/>
        </w:rPr>
        <w:t>Srbije</w:t>
      </w:r>
      <w:proofErr w:type="spellEnd"/>
      <w:r w:rsidRPr="00772536">
        <w:rPr>
          <w:rFonts w:ascii="Times New Roman" w:hAnsi="Times New Roman"/>
          <w:szCs w:val="24"/>
        </w:rPr>
        <w:t xml:space="preserve">, </w:t>
      </w:r>
      <w:proofErr w:type="spellStart"/>
      <w:r w:rsidRPr="00772536">
        <w:rPr>
          <w:rFonts w:ascii="Times New Roman" w:hAnsi="Times New Roman"/>
          <w:szCs w:val="24"/>
        </w:rPr>
        <w:t>Zeleznice</w:t>
      </w:r>
      <w:proofErr w:type="spellEnd"/>
      <w:r w:rsidRPr="00772536">
        <w:rPr>
          <w:rFonts w:ascii="Times New Roman" w:hAnsi="Times New Roman"/>
          <w:szCs w:val="24"/>
        </w:rPr>
        <w:t xml:space="preserve"> </w:t>
      </w:r>
      <w:proofErr w:type="spellStart"/>
      <w:r w:rsidRPr="00772536">
        <w:rPr>
          <w:rFonts w:ascii="Times New Roman" w:hAnsi="Times New Roman"/>
          <w:szCs w:val="24"/>
        </w:rPr>
        <w:t>Srbije</w:t>
      </w:r>
      <w:proofErr w:type="spellEnd"/>
      <w:r w:rsidRPr="00772536">
        <w:rPr>
          <w:rFonts w:ascii="Times New Roman" w:hAnsi="Times New Roman"/>
          <w:szCs w:val="24"/>
        </w:rPr>
        <w:t xml:space="preserve">, </w:t>
      </w:r>
      <w:proofErr w:type="spellStart"/>
      <w:r w:rsidRPr="00772536">
        <w:rPr>
          <w:rFonts w:ascii="Times New Roman" w:hAnsi="Times New Roman"/>
          <w:szCs w:val="24"/>
        </w:rPr>
        <w:t>Srbija</w:t>
      </w:r>
      <w:proofErr w:type="spellEnd"/>
      <w:r w:rsidRPr="00772536">
        <w:rPr>
          <w:rFonts w:ascii="Times New Roman" w:hAnsi="Times New Roman"/>
          <w:szCs w:val="24"/>
        </w:rPr>
        <w:t xml:space="preserve"> </w:t>
      </w:r>
      <w:proofErr w:type="spellStart"/>
      <w:r w:rsidRPr="00772536">
        <w:rPr>
          <w:rFonts w:ascii="Times New Roman" w:hAnsi="Times New Roman"/>
          <w:szCs w:val="24"/>
        </w:rPr>
        <w:t>vode</w:t>
      </w:r>
      <w:proofErr w:type="spellEnd"/>
      <w:r w:rsidRPr="00772536">
        <w:rPr>
          <w:rFonts w:ascii="Times New Roman" w:hAnsi="Times New Roman"/>
          <w:szCs w:val="24"/>
        </w:rPr>
        <w:t xml:space="preserve"> etc.).</w:t>
      </w:r>
    </w:p>
    <w:p w14:paraId="76A44BE2"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Conduct standardized administrative and operating procedures of the PIU, including but not limited to maintenance of record-keeping and data storage systems; accounting and reporting formats for financial transactions of the project; procurement and contract monitoring system, etc.;</w:t>
      </w:r>
    </w:p>
    <w:p w14:paraId="18001E6E"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Assesses whether the Terms of Reference for experts or contractors who will be engaged for the project, contain specific conditions, tasks and activities defined by the financiers’ relevant rules and regulations, to ensure full compliance; Monitor and evaluate performance of service providers in line with relevant practice in urban planning field;</w:t>
      </w:r>
    </w:p>
    <w:p w14:paraId="579C2937" w14:textId="77777777" w:rsidR="00772536" w:rsidRPr="00772536" w:rsidRDefault="00772536" w:rsidP="00772536">
      <w:pPr>
        <w:numPr>
          <w:ilvl w:val="0"/>
          <w:numId w:val="16"/>
        </w:numPr>
        <w:shd w:val="clear" w:color="auto" w:fill="FFFFFF"/>
        <w:spacing w:before="100" w:beforeAutospacing="1" w:after="90"/>
        <w:contextualSpacing/>
        <w:jc w:val="both"/>
        <w:rPr>
          <w:rFonts w:ascii="Times New Roman" w:hAnsi="Times New Roman"/>
          <w:spacing w:val="-2"/>
          <w:sz w:val="24"/>
          <w:szCs w:val="24"/>
        </w:rPr>
      </w:pPr>
      <w:r w:rsidRPr="00772536">
        <w:rPr>
          <w:rFonts w:ascii="Times New Roman" w:hAnsi="Times New Roman"/>
          <w:spacing w:val="-2"/>
          <w:sz w:val="24"/>
          <w:szCs w:val="24"/>
        </w:rPr>
        <w:t>Review quality of all implemented activities (procurements, technical design, permitting, construction, surveillance) from urban planning and strategic documents standpoint and ensure their satisfactory fulfillment;</w:t>
      </w:r>
    </w:p>
    <w:p w14:paraId="1CE61938"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Submit monthly reports on his/her performance and the performance of experts under personal supervision for approval of payment for services rendered;</w:t>
      </w:r>
    </w:p>
    <w:p w14:paraId="426244F2" w14:textId="77777777" w:rsidR="00772536" w:rsidRPr="00772536" w:rsidRDefault="00772536" w:rsidP="00772536">
      <w:pPr>
        <w:pStyle w:val="BodyText"/>
        <w:numPr>
          <w:ilvl w:val="0"/>
          <w:numId w:val="16"/>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Provide internal training as needed on project-related matters to the PIU staff, the MCTI, LSGs, and other ministries, and other relevant stakeholders;</w:t>
      </w:r>
    </w:p>
    <w:p w14:paraId="4EFBDC51" w14:textId="77777777" w:rsidR="00772536" w:rsidRPr="00772536" w:rsidRDefault="00772536" w:rsidP="00772536">
      <w:pPr>
        <w:pStyle w:val="BodyText"/>
        <w:numPr>
          <w:ilvl w:val="0"/>
          <w:numId w:val="16"/>
        </w:numPr>
        <w:tabs>
          <w:tab w:val="left" w:pos="0"/>
        </w:tabs>
        <w:suppressAutoHyphens w:val="0"/>
        <w:contextualSpacing/>
        <w:jc w:val="both"/>
        <w:rPr>
          <w:rFonts w:ascii="Times New Roman" w:hAnsi="Times New Roman"/>
          <w:szCs w:val="24"/>
        </w:rPr>
      </w:pPr>
      <w:r w:rsidRPr="00772536">
        <w:rPr>
          <w:rFonts w:ascii="Times New Roman" w:hAnsi="Times New Roman"/>
          <w:szCs w:val="24"/>
        </w:rPr>
        <w:t>Perform other duties in support of project preparation and implementation, as required;</w:t>
      </w:r>
    </w:p>
    <w:p w14:paraId="2F3FF88D" w14:textId="77777777" w:rsidR="00772536" w:rsidRPr="00891058" w:rsidRDefault="00772536" w:rsidP="00772536">
      <w:pPr>
        <w:pStyle w:val="BodyText"/>
        <w:tabs>
          <w:tab w:val="left" w:pos="0"/>
        </w:tabs>
        <w:ind w:left="-90"/>
        <w:contextualSpacing/>
        <w:jc w:val="both"/>
        <w:rPr>
          <w:rFonts w:ascii="Cambria" w:hAnsi="Cambria"/>
          <w:b/>
          <w:sz w:val="22"/>
          <w:szCs w:val="22"/>
          <w:u w:val="single"/>
        </w:rPr>
      </w:pPr>
    </w:p>
    <w:p w14:paraId="54EA6852" w14:textId="3FB0FE10" w:rsidR="00F2781B" w:rsidRDefault="00F2781B" w:rsidP="00DC3271">
      <w:pPr>
        <w:suppressAutoHyphens/>
        <w:jc w:val="both"/>
        <w:rPr>
          <w:rFonts w:ascii="Times New Roman" w:hAnsi="Times New Roman"/>
          <w:b/>
          <w:sz w:val="24"/>
          <w:szCs w:val="24"/>
        </w:rPr>
      </w:pP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419070FB" w14:textId="77777777" w:rsidR="00772536" w:rsidRDefault="00772536" w:rsidP="0097182A">
      <w:pPr>
        <w:jc w:val="both"/>
        <w:rPr>
          <w:rFonts w:ascii="Times New Roman" w:hAnsi="Times New Roman"/>
          <w:b/>
          <w:bCs/>
          <w:spacing w:val="-2"/>
          <w:sz w:val="24"/>
          <w:szCs w:val="24"/>
          <w:highlight w:val="yellow"/>
        </w:rPr>
      </w:pPr>
    </w:p>
    <w:p w14:paraId="7300A2AC" w14:textId="573292EC" w:rsidR="0097182A" w:rsidRPr="00F9704B" w:rsidRDefault="0097182A" w:rsidP="0097182A">
      <w:pPr>
        <w:jc w:val="both"/>
        <w:rPr>
          <w:rFonts w:ascii="Times New Roman" w:hAnsi="Times New Roman"/>
          <w:b/>
          <w:bCs/>
          <w:spacing w:val="-2"/>
          <w:sz w:val="24"/>
          <w:szCs w:val="24"/>
        </w:rPr>
      </w:pPr>
      <w:r w:rsidRPr="00F9704B">
        <w:rPr>
          <w:rFonts w:ascii="Times New Roman" w:hAnsi="Times New Roman"/>
          <w:b/>
          <w:bCs/>
          <w:spacing w:val="-2"/>
          <w:sz w:val="24"/>
          <w:szCs w:val="24"/>
        </w:rPr>
        <w:lastRenderedPageBreak/>
        <w:t>Timeframe and Duration</w:t>
      </w:r>
    </w:p>
    <w:p w14:paraId="4A3B5547" w14:textId="77777777" w:rsidR="00772536" w:rsidRPr="00284FE9" w:rsidRDefault="00772536" w:rsidP="0097182A">
      <w:pPr>
        <w:jc w:val="both"/>
        <w:rPr>
          <w:rFonts w:ascii="Times New Roman" w:hAnsi="Times New Roman"/>
          <w:b/>
          <w:bCs/>
          <w:spacing w:val="-2"/>
          <w:sz w:val="24"/>
          <w:szCs w:val="24"/>
          <w:highlight w:val="yellow"/>
        </w:rPr>
      </w:pPr>
    </w:p>
    <w:p w14:paraId="739EF5CB" w14:textId="77777777" w:rsidR="00772536" w:rsidRPr="00772536" w:rsidRDefault="00772536" w:rsidP="00772536">
      <w:pPr>
        <w:jc w:val="both"/>
        <w:rPr>
          <w:rFonts w:ascii="Times New Roman" w:hAnsi="Times New Roman"/>
          <w:spacing w:val="-2"/>
          <w:sz w:val="24"/>
          <w:szCs w:val="24"/>
        </w:rPr>
      </w:pPr>
      <w:r w:rsidRPr="00772536">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50C46F3D" w14:textId="34485D5D" w:rsidR="0097182A" w:rsidRPr="00284FE9" w:rsidRDefault="00772536" w:rsidP="00772536">
      <w:pPr>
        <w:jc w:val="both"/>
        <w:rPr>
          <w:rFonts w:ascii="Times New Roman" w:hAnsi="Times New Roman"/>
          <w:spacing w:val="-2"/>
          <w:sz w:val="24"/>
          <w:szCs w:val="24"/>
          <w:highlight w:val="yellow"/>
        </w:rPr>
      </w:pPr>
      <w:r w:rsidRPr="00772536">
        <w:rPr>
          <w:rFonts w:ascii="Times New Roman" w:hAnsi="Times New Roman"/>
          <w:spacing w:val="-2"/>
          <w:sz w:val="24"/>
          <w:szCs w:val="24"/>
        </w:rPr>
        <w:t>The Consultant shall not have other full or part-time assignment during the engagement under this Contract.</w:t>
      </w:r>
    </w:p>
    <w:p w14:paraId="157338D6" w14:textId="77777777" w:rsidR="0097182A" w:rsidRPr="00284FE9" w:rsidRDefault="0097182A" w:rsidP="0097182A">
      <w:pPr>
        <w:jc w:val="both"/>
        <w:rPr>
          <w:rFonts w:ascii="Times New Roman" w:hAnsi="Times New Roman"/>
          <w:spacing w:val="-2"/>
          <w:sz w:val="24"/>
          <w:szCs w:val="24"/>
          <w:highlight w:val="yellow"/>
        </w:rPr>
      </w:pPr>
    </w:p>
    <w:p w14:paraId="08BCE7E2" w14:textId="53DED652" w:rsidR="00473DE7" w:rsidRPr="00F9704B" w:rsidRDefault="00473DE7" w:rsidP="00473DE7">
      <w:pPr>
        <w:jc w:val="both"/>
        <w:rPr>
          <w:rFonts w:ascii="Times New Roman" w:hAnsi="Times New Roman"/>
          <w:b/>
          <w:sz w:val="24"/>
          <w:szCs w:val="24"/>
        </w:rPr>
      </w:pPr>
      <w:r w:rsidRPr="00F9704B">
        <w:rPr>
          <w:rFonts w:ascii="Times New Roman" w:hAnsi="Times New Roman"/>
          <w:b/>
          <w:sz w:val="24"/>
          <w:szCs w:val="24"/>
        </w:rPr>
        <w:t>Required qualifications</w:t>
      </w:r>
      <w:r w:rsidR="00F02757" w:rsidRPr="00F9704B">
        <w:rPr>
          <w:rFonts w:ascii="Times New Roman" w:hAnsi="Times New Roman"/>
          <w:b/>
          <w:sz w:val="24"/>
          <w:szCs w:val="24"/>
        </w:rPr>
        <w:t xml:space="preserve">: </w:t>
      </w:r>
    </w:p>
    <w:p w14:paraId="26D0DA5D" w14:textId="77777777" w:rsidR="00772536" w:rsidRPr="00284FE9" w:rsidRDefault="00772536" w:rsidP="00473DE7">
      <w:pPr>
        <w:jc w:val="both"/>
        <w:rPr>
          <w:rFonts w:ascii="Times New Roman" w:hAnsi="Times New Roman"/>
          <w:sz w:val="24"/>
          <w:szCs w:val="24"/>
          <w:highlight w:val="yellow"/>
        </w:rPr>
      </w:pPr>
    </w:p>
    <w:p w14:paraId="14AD6ADF"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Advanced university degree (</w:t>
      </w:r>
      <w:proofErr w:type="spellStart"/>
      <w:r w:rsidRPr="00772536">
        <w:rPr>
          <w:rFonts w:ascii="Times New Roman" w:hAnsi="Times New Roman"/>
          <w:szCs w:val="24"/>
        </w:rPr>
        <w:t>Masters</w:t>
      </w:r>
      <w:proofErr w:type="spellEnd"/>
      <w:r w:rsidRPr="00772536">
        <w:rPr>
          <w:rFonts w:ascii="Times New Roman" w:hAnsi="Times New Roman"/>
          <w:szCs w:val="24"/>
        </w:rPr>
        <w:t xml:space="preserve"> degree or equivalent) in architecture, traffic engineering, civil engineering, spatial planning or other related areas to urban planning and/or urban development</w:t>
      </w:r>
    </w:p>
    <w:p w14:paraId="5BE9AEDF"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Minimum 7 years of total professional experience in the field of urban planning (urban plans design)</w:t>
      </w:r>
      <w:r w:rsidRPr="00CA6EEA">
        <w:rPr>
          <w:rStyle w:val="FootnoteReference"/>
          <w:rFonts w:ascii="Cambria" w:hAnsi="Cambria"/>
          <w:spacing w:val="0"/>
          <w:szCs w:val="22"/>
        </w:rPr>
        <w:footnoteReference w:id="1"/>
      </w:r>
    </w:p>
    <w:p w14:paraId="2EE69441"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At least 5 years of experience working with LSGs in the areas of urban planning, permitting system and infrastructure / real-estate development</w:t>
      </w:r>
    </w:p>
    <w:p w14:paraId="5ED24306"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Knowledge on technical documentation design for construction of roads and other supporting transport infrastructure will be considered as an advantage; </w:t>
      </w:r>
    </w:p>
    <w:p w14:paraId="43622CF9" w14:textId="77777777" w:rsidR="00772536" w:rsidRPr="00CA6EEA" w:rsidRDefault="00772536" w:rsidP="00772536">
      <w:pPr>
        <w:pStyle w:val="BodyText"/>
        <w:numPr>
          <w:ilvl w:val="0"/>
          <w:numId w:val="17"/>
        </w:numPr>
        <w:tabs>
          <w:tab w:val="left" w:pos="0"/>
        </w:tabs>
        <w:suppressAutoHyphens w:val="0"/>
        <w:spacing w:after="120"/>
        <w:contextualSpacing/>
        <w:jc w:val="both"/>
        <w:rPr>
          <w:rStyle w:val="FootnoteReference"/>
          <w:rFonts w:ascii="Cambria" w:hAnsi="Cambria"/>
          <w:spacing w:val="0"/>
          <w:szCs w:val="22"/>
        </w:rPr>
      </w:pPr>
      <w:r w:rsidRPr="00772536">
        <w:rPr>
          <w:rFonts w:ascii="Times New Roman" w:hAnsi="Times New Roman"/>
          <w:szCs w:val="24"/>
        </w:rPr>
        <w:t>Experience in strategic planning in accordance with Law on planning system and capital investments planning</w:t>
      </w:r>
      <w:r w:rsidRPr="00CA6EEA">
        <w:rPr>
          <w:rStyle w:val="FootnoteReference"/>
          <w:rFonts w:ascii="Cambria" w:hAnsi="Cambria"/>
          <w:spacing w:val="0"/>
          <w:szCs w:val="22"/>
        </w:rPr>
        <w:footnoteReference w:id="2"/>
      </w:r>
    </w:p>
    <w:p w14:paraId="28642699"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Experience as a team member for elaboration of traffic management plans and/or Sustainable Urban Mobility Plan would be considered as advantage</w:t>
      </w:r>
    </w:p>
    <w:p w14:paraId="252982C4"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Experience in the field of LSGs budgeting would be considered as advantage </w:t>
      </w:r>
    </w:p>
    <w:p w14:paraId="448A621C"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Relevant experience with projects of international financial institutions will be considered as an advantage</w:t>
      </w:r>
    </w:p>
    <w:p w14:paraId="0BE29BE6"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Experience in delivering of technical assistance to LSGs in urban planning and/or strategic planning sector will be considered as advantage</w:t>
      </w:r>
    </w:p>
    <w:p w14:paraId="0F838439"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Openness to change and ability to receive/integrate feedback</w:t>
      </w:r>
    </w:p>
    <w:p w14:paraId="437444FD"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Strong analytical skills and ability to identify key strategic issues, opportunities and risks</w:t>
      </w:r>
    </w:p>
    <w:p w14:paraId="5E878649"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Experience in facilitation of public meetings and public hearings organization is mandatory</w:t>
      </w:r>
      <w:r w:rsidRPr="00CA6EEA">
        <w:rPr>
          <w:rStyle w:val="FootnoteReference"/>
          <w:rFonts w:ascii="Cambria" w:hAnsi="Cambria"/>
          <w:spacing w:val="0"/>
          <w:szCs w:val="22"/>
        </w:rPr>
        <w:footnoteReference w:id="3"/>
      </w:r>
    </w:p>
    <w:p w14:paraId="10377956"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3B36916A"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Knowledge of computer, office software and web-based applications use</w:t>
      </w:r>
    </w:p>
    <w:p w14:paraId="377559B0"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 xml:space="preserve">GIS experience or work with APPs regarding roads mapping will be considered as advantage </w:t>
      </w:r>
    </w:p>
    <w:p w14:paraId="2BFE8809"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Cultural, religion, race, nationality and age sensitivity and adaptability</w:t>
      </w:r>
    </w:p>
    <w:p w14:paraId="5EB5859A"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lastRenderedPageBreak/>
        <w:t>Excellent writing/reporting and presentation skills</w:t>
      </w:r>
    </w:p>
    <w:p w14:paraId="74D357F5"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Excellent interpersonal, networking and team building skills</w:t>
      </w:r>
    </w:p>
    <w:p w14:paraId="6AE24B3C" w14:textId="77777777" w:rsidR="00772536" w:rsidRPr="00772536" w:rsidRDefault="00772536" w:rsidP="00772536">
      <w:pPr>
        <w:pStyle w:val="BodyText"/>
        <w:numPr>
          <w:ilvl w:val="0"/>
          <w:numId w:val="17"/>
        </w:numPr>
        <w:tabs>
          <w:tab w:val="left" w:pos="0"/>
        </w:tabs>
        <w:suppressAutoHyphens w:val="0"/>
        <w:spacing w:after="120"/>
        <w:contextualSpacing/>
        <w:jc w:val="both"/>
        <w:rPr>
          <w:rFonts w:ascii="Times New Roman" w:hAnsi="Times New Roman"/>
          <w:szCs w:val="24"/>
        </w:rPr>
      </w:pPr>
      <w:r w:rsidRPr="00772536">
        <w:rPr>
          <w:rFonts w:ascii="Times New Roman" w:hAnsi="Times New Roman"/>
          <w:szCs w:val="24"/>
        </w:rPr>
        <w:t>Excellent knowledge of written and spoken Serbian and English</w:t>
      </w:r>
    </w:p>
    <w:p w14:paraId="066D391B" w14:textId="77777777" w:rsidR="00772536" w:rsidRPr="00772536" w:rsidRDefault="00772536" w:rsidP="00772536">
      <w:pPr>
        <w:pStyle w:val="BodyText"/>
        <w:tabs>
          <w:tab w:val="left" w:pos="0"/>
        </w:tabs>
        <w:ind w:left="1080"/>
        <w:contextualSpacing/>
        <w:rPr>
          <w:rFonts w:ascii="Times New Roman" w:hAnsi="Times New Roman"/>
          <w:szCs w:val="24"/>
        </w:rPr>
      </w:pPr>
    </w:p>
    <w:p w14:paraId="12846515" w14:textId="33ACDF38"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1C121951" w14:textId="048A893C"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3651EDD2" w14:textId="7682D429" w:rsidR="004E5125" w:rsidRDefault="004E5125" w:rsidP="000A7704">
      <w:pPr>
        <w:suppressAutoHyphens/>
        <w:jc w:val="both"/>
        <w:rPr>
          <w:rFonts w:ascii="Times New Roman" w:hAnsi="Times New Roman"/>
          <w:spacing w:val="-2"/>
          <w:sz w:val="24"/>
          <w:szCs w:val="24"/>
        </w:rPr>
      </w:pPr>
    </w:p>
    <w:p w14:paraId="17DF147C" w14:textId="77777777" w:rsidR="00CA6EEA" w:rsidRPr="00CA6EEA" w:rsidRDefault="00CA6EEA" w:rsidP="00CA6EEA">
      <w:pPr>
        <w:spacing w:before="120"/>
        <w:jc w:val="both"/>
        <w:rPr>
          <w:rFonts w:ascii="Times New Roman" w:hAnsi="Times New Roman"/>
          <w:spacing w:val="-2"/>
          <w:sz w:val="24"/>
          <w:szCs w:val="24"/>
        </w:rPr>
      </w:pPr>
      <w:r w:rsidRPr="00AD2127">
        <w:rPr>
          <w:rFonts w:ascii="Times New Roman" w:hAnsi="Times New Roman"/>
          <w:spacing w:val="-2"/>
          <w:sz w:val="24"/>
          <w:szCs w:val="24"/>
        </w:rPr>
        <w:t xml:space="preserve">The applicable remuneration </w:t>
      </w:r>
      <w:proofErr w:type="gramStart"/>
      <w:r w:rsidRPr="00AD2127">
        <w:rPr>
          <w:rFonts w:ascii="Times New Roman" w:hAnsi="Times New Roman"/>
          <w:spacing w:val="-2"/>
          <w:sz w:val="24"/>
          <w:szCs w:val="24"/>
        </w:rPr>
        <w:t>will be established</w:t>
      </w:r>
      <w:proofErr w:type="gramEnd"/>
      <w:r w:rsidRPr="00AD2127">
        <w:rPr>
          <w:rFonts w:ascii="Times New Roman" w:hAnsi="Times New Roman"/>
          <w:spacing w:val="-2"/>
          <w:sz w:val="24"/>
          <w:szCs w:val="24"/>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141229ED" w14:textId="77777777" w:rsidR="00CA6EEA" w:rsidRPr="00217E25" w:rsidRDefault="00CA6EEA"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0DFE45BD"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0" w:name="_GoBack"/>
      <w:bookmarkEnd w:id="0"/>
      <w:r w:rsidR="00F9704B" w:rsidRPr="008D17EA">
        <w:rPr>
          <w:rFonts w:ascii="Times New Roman" w:hAnsi="Times New Roman"/>
          <w:b/>
          <w:spacing w:val="-2"/>
          <w:sz w:val="24"/>
          <w:szCs w:val="24"/>
        </w:rPr>
        <w:t>March</w:t>
      </w:r>
      <w:r w:rsidR="008D17EA" w:rsidRPr="008D17EA">
        <w:rPr>
          <w:rFonts w:ascii="Times New Roman" w:hAnsi="Times New Roman"/>
          <w:b/>
          <w:spacing w:val="-2"/>
          <w:sz w:val="24"/>
          <w:szCs w:val="24"/>
        </w:rPr>
        <w:t xml:space="preserve"> 29</w:t>
      </w:r>
      <w:r w:rsidR="00DE64C9" w:rsidRPr="008D17EA">
        <w:rPr>
          <w:rFonts w:ascii="Times New Roman" w:hAnsi="Times New Roman"/>
          <w:b/>
          <w:spacing w:val="-2"/>
          <w:sz w:val="24"/>
          <w:szCs w:val="24"/>
        </w:rPr>
        <w:t>, 20</w:t>
      </w:r>
      <w:r w:rsidR="00E25458" w:rsidRPr="008D17EA">
        <w:rPr>
          <w:rFonts w:ascii="Times New Roman" w:hAnsi="Times New Roman"/>
          <w:b/>
          <w:spacing w:val="-2"/>
          <w:sz w:val="24"/>
          <w:szCs w:val="24"/>
        </w:rPr>
        <w:t>2</w:t>
      </w:r>
      <w:r w:rsidR="00284FE9" w:rsidRPr="008D17EA">
        <w:rPr>
          <w:rFonts w:ascii="Times New Roman" w:hAnsi="Times New Roman"/>
          <w:b/>
          <w:spacing w:val="-2"/>
          <w:sz w:val="24"/>
          <w:szCs w:val="24"/>
        </w:rPr>
        <w:t>4</w:t>
      </w:r>
      <w:r w:rsidR="00EC3EA0" w:rsidRPr="008D17EA">
        <w:rPr>
          <w:rFonts w:ascii="Times New Roman" w:hAnsi="Times New Roman"/>
          <w:b/>
          <w:spacing w:val="-2"/>
          <w:sz w:val="24"/>
          <w:szCs w:val="24"/>
        </w:rPr>
        <w:t>,</w:t>
      </w:r>
      <w:r w:rsidR="00EC3EA0" w:rsidRPr="008C0635">
        <w:rPr>
          <w:rFonts w:ascii="Times New Roman" w:hAnsi="Times New Roman"/>
          <w:b/>
          <w:spacing w:val="-2"/>
          <w:sz w:val="24"/>
          <w:szCs w:val="24"/>
        </w:rPr>
        <w:t xml:space="preserve">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596860DD" w14:textId="3DDDE5B0" w:rsidR="00DA1439" w:rsidRDefault="00CD54B9" w:rsidP="00CD54B9">
      <w:pPr>
        <w:jc w:val="both"/>
        <w:rPr>
          <w:rFonts w:ascii="Times New Roman" w:hAnsi="Times New Roman"/>
          <w:sz w:val="24"/>
          <w:szCs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w:t>
      </w:r>
      <w:proofErr w:type="gramStart"/>
      <w:r w:rsidR="00127F0A" w:rsidRPr="000C1A70">
        <w:rPr>
          <w:rFonts w:ascii="Times New Roman" w:hAnsi="Times New Roman"/>
          <w:b/>
          <w:sz w:val="24"/>
          <w:szCs w:val="24"/>
        </w:rPr>
        <w:t xml:space="preserve">be </w:t>
      </w:r>
      <w:r w:rsidR="000C1A70" w:rsidRPr="000C1A70">
        <w:rPr>
          <w:rFonts w:ascii="Times New Roman" w:hAnsi="Times New Roman"/>
          <w:b/>
          <w:sz w:val="24"/>
          <w:szCs w:val="24"/>
        </w:rPr>
        <w:t>indicated</w:t>
      </w:r>
      <w:proofErr w:type="gramEnd"/>
      <w:r w:rsidR="000C1A70" w:rsidRPr="000C1A70">
        <w:rPr>
          <w:rFonts w:ascii="Times New Roman" w:hAnsi="Times New Roman"/>
          <w:b/>
          <w:sz w:val="24"/>
          <w:szCs w:val="24"/>
        </w:rPr>
        <w:t xml:space="preserve">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04C1611D" w14:textId="09B756A7" w:rsidR="005F44C1" w:rsidRDefault="005F44C1" w:rsidP="00CD54B9">
      <w:pPr>
        <w:jc w:val="both"/>
        <w:rPr>
          <w:rFonts w:ascii="Times New Roman" w:hAnsi="Times New Roman"/>
          <w:sz w:val="24"/>
          <w:szCs w:val="24"/>
        </w:rPr>
      </w:pPr>
    </w:p>
    <w:p w14:paraId="5983F239" w14:textId="35F05F55" w:rsidR="005F44C1" w:rsidRDefault="005F44C1" w:rsidP="00CD54B9">
      <w:pPr>
        <w:jc w:val="both"/>
        <w:rPr>
          <w:rFonts w:ascii="Times New Roman" w:hAnsi="Times New Roman"/>
          <w:sz w:val="24"/>
          <w:szCs w:val="24"/>
        </w:rPr>
      </w:pPr>
    </w:p>
    <w:p w14:paraId="6186058F" w14:textId="6D903C4D" w:rsidR="005F44C1" w:rsidRDefault="005F44C1" w:rsidP="00CD54B9">
      <w:pPr>
        <w:jc w:val="both"/>
        <w:rPr>
          <w:rFonts w:ascii="Times New Roman" w:hAnsi="Times New Roman"/>
          <w:sz w:val="24"/>
          <w:szCs w:val="24"/>
        </w:rPr>
      </w:pPr>
    </w:p>
    <w:p w14:paraId="516651C1" w14:textId="5D5B35A6" w:rsidR="005F44C1" w:rsidRDefault="005F44C1" w:rsidP="00CD54B9">
      <w:pPr>
        <w:jc w:val="both"/>
        <w:rPr>
          <w:rFonts w:ascii="Times New Roman" w:hAnsi="Times New Roman"/>
          <w:sz w:val="24"/>
          <w:szCs w:val="24"/>
        </w:rPr>
      </w:pPr>
    </w:p>
    <w:p w14:paraId="0F2607A9" w14:textId="41009684" w:rsidR="005F44C1" w:rsidRDefault="005F44C1" w:rsidP="00CD54B9">
      <w:pPr>
        <w:jc w:val="both"/>
        <w:rPr>
          <w:rFonts w:ascii="Times New Roman" w:hAnsi="Times New Roman"/>
          <w:sz w:val="24"/>
          <w:szCs w:val="24"/>
        </w:rPr>
      </w:pPr>
    </w:p>
    <w:p w14:paraId="4E9B21AA" w14:textId="77777777" w:rsidR="005F44C1" w:rsidRPr="005F44C1" w:rsidRDefault="005F44C1" w:rsidP="00CD54B9">
      <w:pPr>
        <w:jc w:val="both"/>
        <w:rPr>
          <w:rFonts w:ascii="Times New Roman" w:hAnsi="Times New Roman"/>
          <w:sz w:val="24"/>
          <w:szCs w:val="24"/>
        </w:rPr>
      </w:pP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86"/>
        <w:gridCol w:w="3642"/>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lastRenderedPageBreak/>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770AAA"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37BB2530" w14:textId="77777777" w:rsidR="00FF5DF7" w:rsidRDefault="00770AAA"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4BF3C5AC" w:rsidR="00AD0537" w:rsidRPr="00E40280" w:rsidRDefault="00770AAA" w:rsidP="00982D78">
            <w:pPr>
              <w:spacing w:line="360" w:lineRule="atLeast"/>
              <w:rPr>
                <w:rFonts w:ascii="Times New Roman" w:hAnsi="Times New Roman"/>
                <w:spacing w:val="-2"/>
                <w:sz w:val="24"/>
                <w:szCs w:val="24"/>
              </w:rPr>
            </w:pPr>
            <w:hyperlink r:id="rId10" w:history="1">
              <w:r w:rsidR="00AD0537">
                <w:rPr>
                  <w:rStyle w:val="Hyperlink"/>
                  <w:rFonts w:ascii="Times New Roman" w:hAnsi="Times New Roman"/>
                  <w:spacing w:val="-2"/>
                  <w:sz w:val="24"/>
                  <w:szCs w:val="24"/>
                </w:rPr>
                <w:t>ljiljana.krejovic@mfin.gov.rs</w:t>
              </w:r>
            </w:hyperlink>
            <w:r w:rsidR="00AD0537">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0CECE7DE" w14:textId="77777777" w:rsidR="00DC3271" w:rsidRDefault="00770AAA" w:rsidP="00B84D53">
            <w:pPr>
              <w:pStyle w:val="NormalWeb"/>
              <w:jc w:val="both"/>
              <w:rPr>
                <w:rStyle w:val="Hyperlink"/>
              </w:rPr>
            </w:pPr>
            <w:hyperlink r:id="rId11" w:history="1">
              <w:r w:rsidR="00B84D53" w:rsidRPr="0049654F">
                <w:rPr>
                  <w:rStyle w:val="Hyperlink"/>
                </w:rPr>
                <w:t>dragan.mirkovic@mgsi.gov.rs</w:t>
              </w:r>
            </w:hyperlink>
          </w:p>
          <w:p w14:paraId="52173E85" w14:textId="2F128AAA" w:rsidR="00E9254E" w:rsidRDefault="00770AAA" w:rsidP="00B84D53">
            <w:pPr>
              <w:pStyle w:val="NormalWeb"/>
              <w:jc w:val="both"/>
            </w:pPr>
            <w:hyperlink r:id="rId12" w:history="1">
              <w:r w:rsidR="00E9254E" w:rsidRPr="00FF2E4A">
                <w:rPr>
                  <w:rStyle w:val="Hyperlink"/>
                </w:rPr>
                <w:t>gordana.suboticki@mgsi.gov.rs</w:t>
              </w:r>
            </w:hyperlink>
            <w:r w:rsidR="00E9254E">
              <w:t xml:space="preserve"> </w:t>
            </w:r>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0F37B" w14:textId="77777777" w:rsidR="00770AAA" w:rsidRDefault="00770AAA">
      <w:r>
        <w:separator/>
      </w:r>
    </w:p>
  </w:endnote>
  <w:endnote w:type="continuationSeparator" w:id="0">
    <w:p w14:paraId="576F9F4D" w14:textId="77777777" w:rsidR="00770AAA" w:rsidRDefault="00770AAA">
      <w:r>
        <w:rPr>
          <w:sz w:val="24"/>
        </w:rPr>
        <w:t xml:space="preserve"> </w:t>
      </w:r>
    </w:p>
  </w:endnote>
  <w:endnote w:type="continuationNotice" w:id="1">
    <w:p w14:paraId="41594FE4" w14:textId="77777777" w:rsidR="00770AAA" w:rsidRDefault="00770AA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38D3" w14:textId="77777777" w:rsidR="00770AAA" w:rsidRDefault="00770AAA">
      <w:r>
        <w:rPr>
          <w:sz w:val="24"/>
        </w:rPr>
        <w:separator/>
      </w:r>
    </w:p>
  </w:footnote>
  <w:footnote w:type="continuationSeparator" w:id="0">
    <w:p w14:paraId="63549E9A" w14:textId="77777777" w:rsidR="00770AAA" w:rsidRDefault="00770AAA">
      <w:r>
        <w:continuationSeparator/>
      </w:r>
    </w:p>
  </w:footnote>
  <w:footnote w:id="1">
    <w:p w14:paraId="27348179" w14:textId="77777777" w:rsidR="00772536" w:rsidRPr="00CA6EEA" w:rsidRDefault="00772536" w:rsidP="00772536">
      <w:pPr>
        <w:pStyle w:val="FootnoteText"/>
        <w:rPr>
          <w:rFonts w:ascii="Cambria" w:hAnsi="Cambria"/>
        </w:rPr>
      </w:pPr>
      <w:r>
        <w:rPr>
          <w:rStyle w:val="FootnoteReference"/>
        </w:rPr>
        <w:footnoteRef/>
      </w:r>
      <w:r>
        <w:t xml:space="preserve"> </w:t>
      </w:r>
      <w:r w:rsidRPr="00CA6EEA">
        <w:rPr>
          <w:spacing w:val="-2"/>
        </w:rPr>
        <w:t>Direct involvement in design of at least 2 urban plans (Detailed or General regulation plans)</w:t>
      </w:r>
    </w:p>
  </w:footnote>
  <w:footnote w:id="2">
    <w:p w14:paraId="2457CF6F" w14:textId="77777777" w:rsidR="00772536" w:rsidRPr="00495F90" w:rsidRDefault="00772536" w:rsidP="00772536">
      <w:pPr>
        <w:pStyle w:val="FootnoteText"/>
        <w:jc w:val="both"/>
        <w:rPr>
          <w:rFonts w:ascii="Cambria" w:hAnsi="Cambria"/>
          <w:color w:val="FF0000"/>
        </w:rPr>
      </w:pPr>
      <w:r w:rsidRPr="002801C6">
        <w:rPr>
          <w:rStyle w:val="FootnoteReference"/>
        </w:rPr>
        <w:footnoteRef/>
      </w:r>
      <w:r w:rsidRPr="002801C6">
        <w:t xml:space="preserve"> </w:t>
      </w:r>
      <w:r w:rsidRPr="00CA6EEA">
        <w:rPr>
          <w:spacing w:val="-2"/>
        </w:rPr>
        <w:t>Engagement in at least two strategic documents development processes as part of coordination or consultants team</w:t>
      </w:r>
      <w:r w:rsidRPr="002801C6">
        <w:rPr>
          <w:rFonts w:ascii="Cambria" w:hAnsi="Cambria"/>
        </w:rPr>
        <w:t xml:space="preserve"> </w:t>
      </w:r>
    </w:p>
  </w:footnote>
  <w:footnote w:id="3">
    <w:p w14:paraId="57BD8BF2" w14:textId="77777777" w:rsidR="00772536" w:rsidRPr="00891058" w:rsidRDefault="00772536" w:rsidP="00772536">
      <w:pPr>
        <w:pStyle w:val="FootnoteText"/>
        <w:rPr>
          <w:rFonts w:ascii="Cambria" w:hAnsi="Cambria"/>
        </w:rPr>
      </w:pPr>
      <w:r>
        <w:rPr>
          <w:rStyle w:val="FootnoteReference"/>
        </w:rPr>
        <w:footnoteRef/>
      </w:r>
      <w:r>
        <w:t xml:space="preserve"> </w:t>
      </w:r>
      <w:r w:rsidRPr="00CA6EEA">
        <w:rPr>
          <w:spacing w:val="-2"/>
        </w:rPr>
        <w:t>Engagement in at least two strategic planning or urban planning documents development as facilitator; written recognition of superior manager is needed</w:t>
      </w:r>
      <w:r w:rsidRPr="00891058">
        <w:rPr>
          <w:rFonts w:ascii="Cambria" w:hAnsi="Cambri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4"/>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6"/>
  </w:num>
  <w:num w:numId="12">
    <w:abstractNumId w:val="7"/>
  </w:num>
  <w:num w:numId="13">
    <w:abstractNumId w:val="5"/>
  </w:num>
  <w:num w:numId="14">
    <w:abstractNumId w:val="3"/>
  </w:num>
  <w:num w:numId="15">
    <w:abstractNumId w:val="8"/>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A4184"/>
    <w:rsid w:val="000A4AD0"/>
    <w:rsid w:val="000A6DBA"/>
    <w:rsid w:val="000A7704"/>
    <w:rsid w:val="000C1A70"/>
    <w:rsid w:val="000C4041"/>
    <w:rsid w:val="000F7A9C"/>
    <w:rsid w:val="00115846"/>
    <w:rsid w:val="00123D63"/>
    <w:rsid w:val="00124F37"/>
    <w:rsid w:val="00127F0A"/>
    <w:rsid w:val="0018597D"/>
    <w:rsid w:val="001A5D44"/>
    <w:rsid w:val="001B06FD"/>
    <w:rsid w:val="001B0D84"/>
    <w:rsid w:val="001D70EB"/>
    <w:rsid w:val="002140D1"/>
    <w:rsid w:val="00217E25"/>
    <w:rsid w:val="00234E85"/>
    <w:rsid w:val="002727A9"/>
    <w:rsid w:val="00284FE9"/>
    <w:rsid w:val="002A1EFC"/>
    <w:rsid w:val="002A580B"/>
    <w:rsid w:val="002B3FAB"/>
    <w:rsid w:val="002C7A2C"/>
    <w:rsid w:val="0030697E"/>
    <w:rsid w:val="0033170E"/>
    <w:rsid w:val="0035409F"/>
    <w:rsid w:val="0035520E"/>
    <w:rsid w:val="00357959"/>
    <w:rsid w:val="00377776"/>
    <w:rsid w:val="00392917"/>
    <w:rsid w:val="003B1240"/>
    <w:rsid w:val="003C58AB"/>
    <w:rsid w:val="00406EB3"/>
    <w:rsid w:val="00436AB8"/>
    <w:rsid w:val="0046588A"/>
    <w:rsid w:val="0047304B"/>
    <w:rsid w:val="00473DE7"/>
    <w:rsid w:val="004751C2"/>
    <w:rsid w:val="004E4B87"/>
    <w:rsid w:val="004E5125"/>
    <w:rsid w:val="004E721D"/>
    <w:rsid w:val="004F2B9A"/>
    <w:rsid w:val="004F4CD7"/>
    <w:rsid w:val="005117C9"/>
    <w:rsid w:val="00520D20"/>
    <w:rsid w:val="005279AF"/>
    <w:rsid w:val="00553DB1"/>
    <w:rsid w:val="005865E7"/>
    <w:rsid w:val="005A16AF"/>
    <w:rsid w:val="005A180D"/>
    <w:rsid w:val="005C3A69"/>
    <w:rsid w:val="005E02F2"/>
    <w:rsid w:val="005F44C1"/>
    <w:rsid w:val="005F591A"/>
    <w:rsid w:val="00603AFF"/>
    <w:rsid w:val="00607FDC"/>
    <w:rsid w:val="006134C9"/>
    <w:rsid w:val="00625388"/>
    <w:rsid w:val="006311BC"/>
    <w:rsid w:val="006459D2"/>
    <w:rsid w:val="00652BAB"/>
    <w:rsid w:val="00652FBC"/>
    <w:rsid w:val="00652FC7"/>
    <w:rsid w:val="00653213"/>
    <w:rsid w:val="00664033"/>
    <w:rsid w:val="0068331F"/>
    <w:rsid w:val="006879EC"/>
    <w:rsid w:val="006A15EC"/>
    <w:rsid w:val="006D6898"/>
    <w:rsid w:val="006E5B66"/>
    <w:rsid w:val="006F3706"/>
    <w:rsid w:val="006F64BB"/>
    <w:rsid w:val="00743271"/>
    <w:rsid w:val="00770AAA"/>
    <w:rsid w:val="00772536"/>
    <w:rsid w:val="007804BD"/>
    <w:rsid w:val="00781CD9"/>
    <w:rsid w:val="00793A9A"/>
    <w:rsid w:val="0079727D"/>
    <w:rsid w:val="007B239D"/>
    <w:rsid w:val="007B73A2"/>
    <w:rsid w:val="007C13EC"/>
    <w:rsid w:val="007C31FA"/>
    <w:rsid w:val="007D59F6"/>
    <w:rsid w:val="007F0E94"/>
    <w:rsid w:val="007F6EF2"/>
    <w:rsid w:val="008260D8"/>
    <w:rsid w:val="008377D2"/>
    <w:rsid w:val="008432B9"/>
    <w:rsid w:val="00845EDA"/>
    <w:rsid w:val="00872CC9"/>
    <w:rsid w:val="008768F0"/>
    <w:rsid w:val="008929AC"/>
    <w:rsid w:val="008A4AA7"/>
    <w:rsid w:val="008C0635"/>
    <w:rsid w:val="008D17EA"/>
    <w:rsid w:val="008F7BF0"/>
    <w:rsid w:val="00916E24"/>
    <w:rsid w:val="00930D65"/>
    <w:rsid w:val="00940E78"/>
    <w:rsid w:val="0097182A"/>
    <w:rsid w:val="009830E4"/>
    <w:rsid w:val="00994B88"/>
    <w:rsid w:val="009B1125"/>
    <w:rsid w:val="009B499D"/>
    <w:rsid w:val="009D07CB"/>
    <w:rsid w:val="009E196C"/>
    <w:rsid w:val="009E1E12"/>
    <w:rsid w:val="00A05A45"/>
    <w:rsid w:val="00A16EC9"/>
    <w:rsid w:val="00A36B57"/>
    <w:rsid w:val="00AB40E2"/>
    <w:rsid w:val="00AC133F"/>
    <w:rsid w:val="00AD0537"/>
    <w:rsid w:val="00AD2127"/>
    <w:rsid w:val="00AD77FC"/>
    <w:rsid w:val="00AF2E68"/>
    <w:rsid w:val="00B3630A"/>
    <w:rsid w:val="00B4469E"/>
    <w:rsid w:val="00B707EA"/>
    <w:rsid w:val="00B84D53"/>
    <w:rsid w:val="00B936D9"/>
    <w:rsid w:val="00BA4299"/>
    <w:rsid w:val="00BB1579"/>
    <w:rsid w:val="00BB580B"/>
    <w:rsid w:val="00BC1BB9"/>
    <w:rsid w:val="00BD6CBC"/>
    <w:rsid w:val="00BE09A2"/>
    <w:rsid w:val="00BE3A96"/>
    <w:rsid w:val="00BE4AD6"/>
    <w:rsid w:val="00BF3C6F"/>
    <w:rsid w:val="00C40507"/>
    <w:rsid w:val="00C61EF4"/>
    <w:rsid w:val="00C750A4"/>
    <w:rsid w:val="00CA1CA1"/>
    <w:rsid w:val="00CA6EEA"/>
    <w:rsid w:val="00CD54B9"/>
    <w:rsid w:val="00D029CB"/>
    <w:rsid w:val="00D200D6"/>
    <w:rsid w:val="00D50A97"/>
    <w:rsid w:val="00D563DE"/>
    <w:rsid w:val="00D70AFC"/>
    <w:rsid w:val="00DA1439"/>
    <w:rsid w:val="00DB6AED"/>
    <w:rsid w:val="00DC3271"/>
    <w:rsid w:val="00DC723F"/>
    <w:rsid w:val="00DD74D3"/>
    <w:rsid w:val="00DE64C9"/>
    <w:rsid w:val="00E07E32"/>
    <w:rsid w:val="00E25458"/>
    <w:rsid w:val="00E62637"/>
    <w:rsid w:val="00E9254E"/>
    <w:rsid w:val="00EB5460"/>
    <w:rsid w:val="00EC3EA0"/>
    <w:rsid w:val="00EC50B8"/>
    <w:rsid w:val="00F02757"/>
    <w:rsid w:val="00F17486"/>
    <w:rsid w:val="00F17721"/>
    <w:rsid w:val="00F251B1"/>
    <w:rsid w:val="00F2781B"/>
    <w:rsid w:val="00F571C7"/>
    <w:rsid w:val="00F72CD1"/>
    <w:rsid w:val="00F9704B"/>
    <w:rsid w:val="00FE4435"/>
    <w:rsid w:val="00FF2582"/>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qFormat/>
    <w:rsid w:val="008A4AA7"/>
    <w:rPr>
      <w:rFonts w:ascii="CG Times" w:hAnsi="CG Times"/>
      <w:noProof w:val="0"/>
      <w:sz w:val="22"/>
      <w:vertAlign w:val="superscript"/>
      <w:lang w:val="en-US"/>
    </w:rPr>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qFormat/>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772536"/>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772536"/>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59900-7C4D-42CB-9D46-53FE2B132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10025</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13</cp:revision>
  <cp:lastPrinted>2011-11-02T17:37:00Z</cp:lastPrinted>
  <dcterms:created xsi:type="dcterms:W3CDTF">2023-05-24T07:43:00Z</dcterms:created>
  <dcterms:modified xsi:type="dcterms:W3CDTF">2024-03-12T08:25:00Z</dcterms:modified>
</cp:coreProperties>
</file>