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2D7D8" w14:textId="77777777" w:rsidR="00DF3DB7" w:rsidRPr="00EC6A64" w:rsidRDefault="00DF3DB7" w:rsidP="00DF3DB7">
      <w:pPr>
        <w:jc w:val="center"/>
        <w:rPr>
          <w:b/>
          <w:smallCaps/>
          <w:sz w:val="28"/>
          <w:szCs w:val="28"/>
        </w:rPr>
      </w:pPr>
      <w:r w:rsidRPr="00EC6A64">
        <w:rPr>
          <w:b/>
          <w:smallCaps/>
          <w:sz w:val="28"/>
          <w:szCs w:val="28"/>
        </w:rPr>
        <w:t>DRAFT CONTRACT</w:t>
      </w:r>
    </w:p>
    <w:p w14:paraId="118F4C6B" w14:textId="26E76369" w:rsidR="00DF3DB7" w:rsidRPr="00EC6A64" w:rsidRDefault="009642E7" w:rsidP="0036136C">
      <w:pPr>
        <w:spacing w:before="360"/>
        <w:jc w:val="center"/>
        <w:rPr>
          <w:b/>
          <w:smallCaps/>
          <w:szCs w:val="24"/>
        </w:rPr>
      </w:pPr>
      <w:r w:rsidRPr="00EC6A64">
        <w:rPr>
          <w:b/>
          <w:smallCaps/>
          <w:szCs w:val="24"/>
        </w:rPr>
        <w:t>SERVICE CONTRACT</w:t>
      </w:r>
    </w:p>
    <w:p w14:paraId="41735B45" w14:textId="2DDDF825" w:rsidR="00E75AAC" w:rsidRPr="00EC6A64" w:rsidRDefault="00E75AAC">
      <w:pPr>
        <w:jc w:val="center"/>
        <w:rPr>
          <w:b/>
          <w:smallCaps/>
          <w:sz w:val="28"/>
          <w:szCs w:val="28"/>
        </w:rPr>
      </w:pPr>
    </w:p>
    <w:p w14:paraId="01813AF7" w14:textId="3DBCE5CB" w:rsidR="00556095" w:rsidRDefault="00556095">
      <w:pPr>
        <w:jc w:val="center"/>
        <w:rPr>
          <w:b/>
          <w:smallCaps/>
          <w:sz w:val="28"/>
          <w:szCs w:val="28"/>
        </w:rPr>
      </w:pPr>
      <w:r w:rsidRPr="00EC6A64">
        <w:rPr>
          <w:b/>
          <w:smallCaps/>
          <w:sz w:val="28"/>
          <w:szCs w:val="28"/>
        </w:rPr>
        <w:t xml:space="preserve">financed from </w:t>
      </w:r>
      <w:r w:rsidR="00E75AAC" w:rsidRPr="00EC6A64">
        <w:rPr>
          <w:b/>
          <w:smallCaps/>
          <w:sz w:val="28"/>
          <w:szCs w:val="28"/>
        </w:rPr>
        <w:t xml:space="preserve">the </w:t>
      </w:r>
      <w:r w:rsidR="00BB28F8" w:rsidRPr="00EC6A64">
        <w:rPr>
          <w:b/>
          <w:smallCaps/>
          <w:sz w:val="28"/>
          <w:szCs w:val="28"/>
        </w:rPr>
        <w:t>Serbian Inland Waterway Infrastructure finance Contract between the Republic of Serbia and the European Investment Bank (Official Gazette of the Republic of Serbia – International Contracts no 02/2019)</w:t>
      </w:r>
    </w:p>
    <w:p w14:paraId="15FAA9A1" w14:textId="239459BC" w:rsidR="00596B41" w:rsidRPr="00EC6A64" w:rsidRDefault="00596B41" w:rsidP="00C407F9">
      <w:pPr>
        <w:rPr>
          <w:b/>
          <w:sz w:val="28"/>
          <w:szCs w:val="28"/>
        </w:rPr>
      </w:pPr>
    </w:p>
    <w:p w14:paraId="386EB540" w14:textId="60C04BBE" w:rsidR="006F4931" w:rsidRPr="00EC6A64" w:rsidRDefault="00BB28F8" w:rsidP="006F4931">
      <w:pPr>
        <w:spacing w:after="0"/>
        <w:rPr>
          <w:sz w:val="22"/>
          <w:szCs w:val="22"/>
        </w:rPr>
      </w:pPr>
      <w:r w:rsidRPr="00EC6A64">
        <w:rPr>
          <w:sz w:val="22"/>
          <w:szCs w:val="22"/>
        </w:rPr>
        <w:t xml:space="preserve">Ministry of Construction, Transport and Infrastructure </w:t>
      </w:r>
    </w:p>
    <w:p w14:paraId="02F24C35" w14:textId="6C4EF862" w:rsidR="00BB28F8" w:rsidRPr="00EC6A64" w:rsidRDefault="00BB28F8" w:rsidP="006F4931">
      <w:pPr>
        <w:spacing w:after="0"/>
        <w:rPr>
          <w:sz w:val="22"/>
          <w:szCs w:val="22"/>
        </w:rPr>
      </w:pPr>
      <w:proofErr w:type="spellStart"/>
      <w:r w:rsidRPr="00EC6A64">
        <w:rPr>
          <w:sz w:val="22"/>
          <w:szCs w:val="22"/>
        </w:rPr>
        <w:t>Nemanjina</w:t>
      </w:r>
      <w:proofErr w:type="spellEnd"/>
      <w:r w:rsidRPr="00EC6A64">
        <w:rPr>
          <w:sz w:val="22"/>
          <w:szCs w:val="22"/>
        </w:rPr>
        <w:t xml:space="preserve"> 22-26, 11 000 Belgrade, Republic of Serbia</w:t>
      </w:r>
    </w:p>
    <w:p w14:paraId="58D018F6" w14:textId="77777777" w:rsidR="009642E7" w:rsidRPr="00EC6A64" w:rsidRDefault="009642E7">
      <w:pPr>
        <w:spacing w:after="120"/>
        <w:rPr>
          <w:sz w:val="22"/>
          <w:szCs w:val="22"/>
        </w:rPr>
      </w:pPr>
      <w:r w:rsidRPr="00EC6A64">
        <w:rPr>
          <w:sz w:val="22"/>
          <w:szCs w:val="22"/>
        </w:rPr>
        <w:t>(</w:t>
      </w:r>
      <w:r w:rsidR="00CF0319" w:rsidRPr="00EC6A64">
        <w:rPr>
          <w:sz w:val="22"/>
          <w:szCs w:val="22"/>
        </w:rPr>
        <w:t>‘</w:t>
      </w:r>
      <w:r w:rsidRPr="00EC6A64">
        <w:rPr>
          <w:sz w:val="22"/>
          <w:szCs w:val="22"/>
        </w:rPr>
        <w:t xml:space="preserve">the </w:t>
      </w:r>
      <w:r w:rsidR="004E2AD3" w:rsidRPr="00EC6A64">
        <w:rPr>
          <w:sz w:val="22"/>
          <w:szCs w:val="22"/>
        </w:rPr>
        <w:t>c</w:t>
      </w:r>
      <w:r w:rsidRPr="00EC6A64">
        <w:rPr>
          <w:sz w:val="22"/>
          <w:szCs w:val="22"/>
        </w:rPr>
        <w:t xml:space="preserve">ontracting </w:t>
      </w:r>
      <w:r w:rsidR="004E2AD3" w:rsidRPr="00EC6A64">
        <w:rPr>
          <w:sz w:val="22"/>
          <w:szCs w:val="22"/>
        </w:rPr>
        <w:t>a</w:t>
      </w:r>
      <w:r w:rsidRPr="00EC6A64">
        <w:rPr>
          <w:sz w:val="22"/>
          <w:szCs w:val="22"/>
        </w:rPr>
        <w:t>uthority</w:t>
      </w:r>
      <w:r w:rsidR="00CF0319" w:rsidRPr="00EC6A64">
        <w:rPr>
          <w:sz w:val="22"/>
          <w:szCs w:val="22"/>
        </w:rPr>
        <w:t>’</w:t>
      </w:r>
      <w:r w:rsidRPr="00EC6A64">
        <w:rPr>
          <w:sz w:val="22"/>
          <w:szCs w:val="22"/>
        </w:rPr>
        <w:t>),</w:t>
      </w:r>
    </w:p>
    <w:p w14:paraId="425A883C" w14:textId="77777777" w:rsidR="00661D04" w:rsidRPr="00EC6A64" w:rsidRDefault="009642E7" w:rsidP="00AA56AE">
      <w:pPr>
        <w:spacing w:after="120"/>
        <w:jc w:val="right"/>
        <w:rPr>
          <w:sz w:val="22"/>
          <w:szCs w:val="22"/>
        </w:rPr>
      </w:pPr>
      <w:r w:rsidRPr="00EC6A64">
        <w:rPr>
          <w:sz w:val="22"/>
          <w:szCs w:val="22"/>
        </w:rPr>
        <w:t>of the one part,</w:t>
      </w:r>
    </w:p>
    <w:p w14:paraId="26292ABC" w14:textId="77777777" w:rsidR="009642E7" w:rsidRPr="00EC6A64" w:rsidRDefault="009642E7">
      <w:pPr>
        <w:spacing w:after="120"/>
        <w:rPr>
          <w:sz w:val="22"/>
          <w:szCs w:val="22"/>
        </w:rPr>
      </w:pPr>
      <w:r w:rsidRPr="00EC6A64">
        <w:rPr>
          <w:sz w:val="22"/>
          <w:szCs w:val="22"/>
        </w:rPr>
        <w:t>and</w:t>
      </w:r>
    </w:p>
    <w:p w14:paraId="145925F9" w14:textId="77777777" w:rsidR="00EA24C0" w:rsidRPr="00EC6A64" w:rsidRDefault="009642E7" w:rsidP="00AA56AE">
      <w:pPr>
        <w:spacing w:after="0"/>
        <w:rPr>
          <w:sz w:val="22"/>
          <w:szCs w:val="22"/>
        </w:rPr>
      </w:pPr>
      <w:r w:rsidRPr="00EC6A64">
        <w:rPr>
          <w:sz w:val="22"/>
          <w:szCs w:val="22"/>
        </w:rPr>
        <w:t>&lt;</w:t>
      </w:r>
      <w:r w:rsidR="00EA24C0" w:rsidRPr="00EC6A64">
        <w:rPr>
          <w:sz w:val="22"/>
          <w:szCs w:val="22"/>
          <w:highlight w:val="yellow"/>
        </w:rPr>
        <w:t>Full official</w:t>
      </w:r>
      <w:r w:rsidR="00EA24C0" w:rsidRPr="00EC6A64">
        <w:rPr>
          <w:color w:val="00FF00"/>
          <w:sz w:val="22"/>
          <w:szCs w:val="22"/>
          <w:highlight w:val="yellow"/>
        </w:rPr>
        <w:t xml:space="preserve"> </w:t>
      </w:r>
      <w:r w:rsidR="001D1A9D" w:rsidRPr="00EC6A64">
        <w:rPr>
          <w:sz w:val="22"/>
          <w:szCs w:val="22"/>
          <w:highlight w:val="yellow"/>
        </w:rPr>
        <w:t>n</w:t>
      </w:r>
      <w:r w:rsidRPr="00EC6A64">
        <w:rPr>
          <w:sz w:val="22"/>
          <w:szCs w:val="22"/>
          <w:highlight w:val="yellow"/>
        </w:rPr>
        <w:t xml:space="preserve">ame of the </w:t>
      </w:r>
      <w:r w:rsidR="004E2AD3" w:rsidRPr="00EC6A64">
        <w:rPr>
          <w:sz w:val="22"/>
          <w:szCs w:val="22"/>
          <w:highlight w:val="yellow"/>
        </w:rPr>
        <w:t>c</w:t>
      </w:r>
      <w:r w:rsidR="00805B43" w:rsidRPr="00EC6A64">
        <w:rPr>
          <w:sz w:val="22"/>
          <w:szCs w:val="22"/>
          <w:highlight w:val="yellow"/>
        </w:rPr>
        <w:t>ontractor</w:t>
      </w:r>
      <w:r w:rsidRPr="00EC6A64">
        <w:rPr>
          <w:sz w:val="22"/>
          <w:szCs w:val="22"/>
        </w:rPr>
        <w:t xml:space="preserve">&gt; </w:t>
      </w:r>
    </w:p>
    <w:p w14:paraId="3B12735C" w14:textId="77777777" w:rsidR="00EA24C0" w:rsidRPr="00EC6A64" w:rsidRDefault="00A246DB" w:rsidP="00EA24C0">
      <w:pPr>
        <w:spacing w:after="0"/>
        <w:rPr>
          <w:sz w:val="22"/>
          <w:szCs w:val="22"/>
        </w:rPr>
      </w:pPr>
      <w:r w:rsidRPr="00EC6A64">
        <w:rPr>
          <w:sz w:val="22"/>
          <w:szCs w:val="22"/>
        </w:rPr>
        <w:t>[</w:t>
      </w:r>
      <w:r w:rsidR="00E21725" w:rsidRPr="00EC6A64">
        <w:rPr>
          <w:sz w:val="22"/>
          <w:szCs w:val="22"/>
        </w:rPr>
        <w:t>&lt;</w:t>
      </w:r>
      <w:r w:rsidR="00EA24C0" w:rsidRPr="00EC6A64">
        <w:rPr>
          <w:sz w:val="22"/>
          <w:szCs w:val="22"/>
          <w:highlight w:val="yellow"/>
        </w:rPr>
        <w:t>Legal status/title</w:t>
      </w:r>
      <w:r w:rsidR="00E21725" w:rsidRPr="00EC6A64">
        <w:rPr>
          <w:sz w:val="22"/>
          <w:szCs w:val="22"/>
        </w:rPr>
        <w:t>&gt;</w:t>
      </w:r>
      <w:r w:rsidRPr="00EC6A64">
        <w:rPr>
          <w:sz w:val="22"/>
          <w:szCs w:val="22"/>
        </w:rPr>
        <w:t>]</w:t>
      </w:r>
      <w:r w:rsidR="00EA24C0" w:rsidRPr="00EC6A64">
        <w:rPr>
          <w:rStyle w:val="FootnoteReference"/>
          <w:rFonts w:ascii="Times New Roman" w:hAnsi="Times New Roman"/>
        </w:rPr>
        <w:footnoteReference w:id="1"/>
      </w:r>
    </w:p>
    <w:p w14:paraId="4DE06936" w14:textId="77777777" w:rsidR="00EA24C0" w:rsidRPr="00EC6A64" w:rsidRDefault="00A246DB" w:rsidP="00EA24C0">
      <w:pPr>
        <w:spacing w:after="0"/>
        <w:rPr>
          <w:sz w:val="22"/>
          <w:szCs w:val="22"/>
        </w:rPr>
      </w:pPr>
      <w:r w:rsidRPr="00EC6A64">
        <w:rPr>
          <w:sz w:val="22"/>
          <w:szCs w:val="22"/>
        </w:rPr>
        <w:t>[</w:t>
      </w:r>
      <w:r w:rsidR="00E21725" w:rsidRPr="00EC6A64">
        <w:rPr>
          <w:sz w:val="22"/>
          <w:szCs w:val="22"/>
        </w:rPr>
        <w:t>&lt;</w:t>
      </w:r>
      <w:r w:rsidR="00EA24C0" w:rsidRPr="00EC6A64">
        <w:rPr>
          <w:sz w:val="22"/>
          <w:szCs w:val="22"/>
          <w:highlight w:val="yellow"/>
        </w:rPr>
        <w:t>Official registration number</w:t>
      </w:r>
      <w:r w:rsidR="00E21725" w:rsidRPr="00EC6A64">
        <w:rPr>
          <w:sz w:val="22"/>
          <w:szCs w:val="22"/>
        </w:rPr>
        <w:t>&gt;</w:t>
      </w:r>
      <w:r w:rsidRPr="00EC6A64">
        <w:rPr>
          <w:sz w:val="22"/>
          <w:szCs w:val="22"/>
        </w:rPr>
        <w:t>]</w:t>
      </w:r>
      <w:r w:rsidR="00EA24C0" w:rsidRPr="00EC6A64">
        <w:rPr>
          <w:rStyle w:val="FootnoteReference"/>
          <w:rFonts w:ascii="Times New Roman" w:hAnsi="Times New Roman"/>
        </w:rPr>
        <w:footnoteReference w:id="2"/>
      </w:r>
    </w:p>
    <w:p w14:paraId="35311FD3" w14:textId="77777777" w:rsidR="00EA24C0" w:rsidRPr="00EC6A64" w:rsidRDefault="00E21725" w:rsidP="00EA24C0">
      <w:pPr>
        <w:spacing w:after="0"/>
        <w:rPr>
          <w:sz w:val="22"/>
          <w:szCs w:val="22"/>
        </w:rPr>
      </w:pPr>
      <w:r w:rsidRPr="00EC6A64">
        <w:rPr>
          <w:sz w:val="22"/>
          <w:szCs w:val="22"/>
        </w:rPr>
        <w:t>&lt;</w:t>
      </w:r>
      <w:r w:rsidR="00EA24C0" w:rsidRPr="00EC6A64">
        <w:rPr>
          <w:sz w:val="22"/>
          <w:szCs w:val="22"/>
          <w:highlight w:val="yellow"/>
        </w:rPr>
        <w:t>Full official address</w:t>
      </w:r>
      <w:r w:rsidRPr="00EC6A64">
        <w:rPr>
          <w:sz w:val="22"/>
          <w:szCs w:val="22"/>
        </w:rPr>
        <w:t>&gt;</w:t>
      </w:r>
    </w:p>
    <w:p w14:paraId="389EA803" w14:textId="77777777" w:rsidR="000751CA" w:rsidRPr="00EC6A64" w:rsidRDefault="00A246DB" w:rsidP="00EA24C0">
      <w:pPr>
        <w:spacing w:after="0"/>
        <w:rPr>
          <w:sz w:val="22"/>
          <w:szCs w:val="22"/>
        </w:rPr>
      </w:pPr>
      <w:r w:rsidRPr="00EC6A64">
        <w:rPr>
          <w:sz w:val="22"/>
          <w:szCs w:val="22"/>
        </w:rPr>
        <w:t>[</w:t>
      </w:r>
      <w:r w:rsidR="00E21725" w:rsidRPr="00EC6A64">
        <w:rPr>
          <w:sz w:val="22"/>
          <w:szCs w:val="22"/>
        </w:rPr>
        <w:t>&lt;</w:t>
      </w:r>
      <w:r w:rsidR="00EA24C0" w:rsidRPr="00EC6A64">
        <w:rPr>
          <w:sz w:val="22"/>
          <w:szCs w:val="22"/>
          <w:highlight w:val="yellow"/>
        </w:rPr>
        <w:t>VAT number</w:t>
      </w:r>
      <w:r w:rsidR="00E21725" w:rsidRPr="00EC6A64">
        <w:rPr>
          <w:sz w:val="22"/>
          <w:szCs w:val="22"/>
        </w:rPr>
        <w:t>&gt;</w:t>
      </w:r>
      <w:r w:rsidRPr="00EC6A64">
        <w:rPr>
          <w:sz w:val="22"/>
          <w:szCs w:val="22"/>
        </w:rPr>
        <w:t>]</w:t>
      </w:r>
      <w:r w:rsidR="00CF0319" w:rsidRPr="00EC6A64">
        <w:rPr>
          <w:sz w:val="22"/>
          <w:szCs w:val="22"/>
        </w:rPr>
        <w:t>,</w:t>
      </w:r>
      <w:r w:rsidR="00EA24C0" w:rsidRPr="00EC6A64">
        <w:rPr>
          <w:rStyle w:val="FootnoteReference"/>
          <w:rFonts w:ascii="Times New Roman" w:hAnsi="Times New Roman"/>
        </w:rPr>
        <w:footnoteReference w:id="3"/>
      </w:r>
      <w:r w:rsidR="00DB3187" w:rsidRPr="00EC6A64">
        <w:rPr>
          <w:sz w:val="22"/>
          <w:szCs w:val="22"/>
        </w:rPr>
        <w:t xml:space="preserve"> </w:t>
      </w:r>
    </w:p>
    <w:p w14:paraId="39A04412" w14:textId="77777777" w:rsidR="000751CA" w:rsidRPr="00EC6A64" w:rsidRDefault="000751CA" w:rsidP="00EA24C0">
      <w:pPr>
        <w:spacing w:after="0"/>
        <w:rPr>
          <w:sz w:val="22"/>
          <w:szCs w:val="22"/>
        </w:rPr>
      </w:pPr>
    </w:p>
    <w:p w14:paraId="54603D3B" w14:textId="77777777" w:rsidR="009642E7" w:rsidRPr="00EC6A64" w:rsidRDefault="00DB3187" w:rsidP="00EA24C0">
      <w:pPr>
        <w:spacing w:after="0"/>
        <w:rPr>
          <w:sz w:val="22"/>
          <w:szCs w:val="22"/>
        </w:rPr>
      </w:pPr>
      <w:r w:rsidRPr="00EC6A64">
        <w:rPr>
          <w:sz w:val="22"/>
          <w:szCs w:val="22"/>
        </w:rPr>
        <w:t>(</w:t>
      </w:r>
      <w:r w:rsidR="00CF0319" w:rsidRPr="00EC6A64">
        <w:rPr>
          <w:sz w:val="22"/>
          <w:szCs w:val="22"/>
        </w:rPr>
        <w:t>‘</w:t>
      </w:r>
      <w:r w:rsidR="009642E7" w:rsidRPr="00EC6A64">
        <w:rPr>
          <w:sz w:val="22"/>
          <w:szCs w:val="22"/>
        </w:rPr>
        <w:t xml:space="preserve">the </w:t>
      </w:r>
      <w:r w:rsidR="004E2AD3" w:rsidRPr="00EC6A64">
        <w:rPr>
          <w:sz w:val="22"/>
          <w:szCs w:val="22"/>
        </w:rPr>
        <w:t>c</w:t>
      </w:r>
      <w:r w:rsidR="00805B43" w:rsidRPr="00EC6A64">
        <w:rPr>
          <w:sz w:val="22"/>
          <w:szCs w:val="22"/>
        </w:rPr>
        <w:t>ontractor</w:t>
      </w:r>
      <w:r w:rsidR="00CF0319" w:rsidRPr="00EC6A64">
        <w:rPr>
          <w:sz w:val="22"/>
          <w:szCs w:val="22"/>
        </w:rPr>
        <w:t>’</w:t>
      </w:r>
      <w:r w:rsidR="009642E7" w:rsidRPr="00EC6A64">
        <w:rPr>
          <w:sz w:val="22"/>
          <w:szCs w:val="22"/>
        </w:rPr>
        <w:t xml:space="preserve">) </w:t>
      </w:r>
    </w:p>
    <w:p w14:paraId="0B19E058" w14:textId="77777777" w:rsidR="009642E7" w:rsidRPr="00EC6A64"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EC6A64">
        <w:rPr>
          <w:sz w:val="22"/>
          <w:szCs w:val="22"/>
        </w:rPr>
        <w:t>of the other part,</w:t>
      </w:r>
    </w:p>
    <w:p w14:paraId="3FC81CFB" w14:textId="12DBE85B" w:rsidR="00DF3DB7" w:rsidRPr="00EC6A64" w:rsidRDefault="009642E7" w:rsidP="00D12779">
      <w:pPr>
        <w:spacing w:after="120"/>
        <w:rPr>
          <w:sz w:val="22"/>
          <w:szCs w:val="22"/>
        </w:rPr>
      </w:pPr>
      <w:r w:rsidRPr="00EC6A64">
        <w:rPr>
          <w:sz w:val="22"/>
          <w:szCs w:val="22"/>
        </w:rPr>
        <w:t>have agreed as follows:</w:t>
      </w:r>
    </w:p>
    <w:p w14:paraId="7B0C8F8A" w14:textId="22093C77" w:rsidR="00E75AAC" w:rsidRPr="00EC6A64" w:rsidRDefault="00E75AAC" w:rsidP="0036136C">
      <w:pPr>
        <w:spacing w:before="360" w:after="0"/>
        <w:jc w:val="center"/>
        <w:outlineLvl w:val="0"/>
        <w:rPr>
          <w:b/>
          <w:sz w:val="28"/>
        </w:rPr>
      </w:pPr>
      <w:r w:rsidRPr="00EC6A64">
        <w:rPr>
          <w:b/>
          <w:sz w:val="28"/>
        </w:rPr>
        <w:t>CONTRACT TITLE</w:t>
      </w:r>
      <w:r w:rsidR="00D12779" w:rsidRPr="00EC6A64">
        <w:rPr>
          <w:b/>
          <w:sz w:val="28"/>
        </w:rPr>
        <w:t xml:space="preserve">: </w:t>
      </w:r>
      <w:r w:rsidR="00A87099">
        <w:rPr>
          <w:b/>
          <w:sz w:val="28"/>
        </w:rPr>
        <w:t>Technical Assistance for implementation of the Serbian Inland Waterway Infrastructure Project</w:t>
      </w:r>
    </w:p>
    <w:p w14:paraId="2BEB907A" w14:textId="223ABF21" w:rsidR="00FF77CE" w:rsidRPr="00C407F9" w:rsidRDefault="00E75AAC" w:rsidP="00FF77CE">
      <w:pPr>
        <w:spacing w:before="240"/>
        <w:jc w:val="center"/>
        <w:outlineLvl w:val="0"/>
        <w:rPr>
          <w:sz w:val="22"/>
        </w:rPr>
      </w:pPr>
      <w:r w:rsidRPr="00C407F9">
        <w:rPr>
          <w:b/>
          <w:sz w:val="22"/>
        </w:rPr>
        <w:t>Identification number</w:t>
      </w:r>
      <w:r w:rsidR="00596B41" w:rsidRPr="00C407F9">
        <w:rPr>
          <w:sz w:val="22"/>
          <w:szCs w:val="22"/>
        </w:rPr>
        <w:t xml:space="preserve">: </w:t>
      </w:r>
      <w:r w:rsidR="003D66B7">
        <w:rPr>
          <w:b/>
          <w:bCs/>
          <w:sz w:val="22"/>
          <w:szCs w:val="22"/>
          <w:lang w:val="en-US"/>
        </w:rPr>
        <w:t>EIB-</w:t>
      </w:r>
      <w:proofErr w:type="spellStart"/>
      <w:r w:rsidR="003D66B7">
        <w:rPr>
          <w:b/>
          <w:bCs/>
          <w:sz w:val="22"/>
          <w:szCs w:val="22"/>
          <w:lang w:val="en-US"/>
        </w:rPr>
        <w:t>GtP</w:t>
      </w:r>
      <w:proofErr w:type="spellEnd"/>
      <w:r w:rsidR="003D66B7">
        <w:rPr>
          <w:b/>
          <w:bCs/>
          <w:sz w:val="22"/>
          <w:szCs w:val="22"/>
          <w:lang w:val="en-US"/>
        </w:rPr>
        <w:t>/00327697</w:t>
      </w:r>
      <w:r w:rsidR="00596B41" w:rsidRPr="00C407F9">
        <w:rPr>
          <w:b/>
          <w:bCs/>
          <w:sz w:val="22"/>
          <w:szCs w:val="22"/>
          <w:lang w:val="en-US"/>
        </w:rPr>
        <w:t>0/2025/</w:t>
      </w:r>
      <w:r w:rsidR="003D66B7">
        <w:rPr>
          <w:b/>
          <w:bCs/>
          <w:sz w:val="22"/>
          <w:szCs w:val="22"/>
          <w:lang w:val="en-US"/>
        </w:rPr>
        <w:t>1</w:t>
      </w:r>
      <w:r w:rsidR="00596B41" w:rsidRPr="00C407F9">
        <w:rPr>
          <w:b/>
          <w:bCs/>
          <w:sz w:val="22"/>
          <w:szCs w:val="22"/>
          <w:lang w:val="en-US"/>
        </w:rPr>
        <w:t>4810 004 003 000 001</w:t>
      </w:r>
    </w:p>
    <w:p w14:paraId="07126F2A" w14:textId="77777777" w:rsidR="009642E7" w:rsidRPr="00EC6A64" w:rsidRDefault="00BE49C2" w:rsidP="00212B1D">
      <w:pPr>
        <w:pStyle w:val="StyleListNumber11ptBold"/>
      </w:pPr>
      <w:r w:rsidRPr="00EC6A64">
        <w:t>(1)</w:t>
      </w:r>
      <w:r w:rsidRPr="00EC6A64">
        <w:tab/>
      </w:r>
      <w:r w:rsidR="009642E7" w:rsidRPr="00EC6A64">
        <w:t>Subject</w:t>
      </w:r>
    </w:p>
    <w:p w14:paraId="693F65BD" w14:textId="4F93812A" w:rsidR="00C908C5" w:rsidRPr="00C407F9" w:rsidRDefault="006457F0" w:rsidP="00BE49C2">
      <w:pPr>
        <w:spacing w:after="120"/>
        <w:ind w:left="1134" w:hanging="567"/>
        <w:rPr>
          <w:sz w:val="22"/>
          <w:szCs w:val="22"/>
        </w:rPr>
      </w:pPr>
      <w:r w:rsidRPr="00EC6A64">
        <w:rPr>
          <w:sz w:val="22"/>
          <w:szCs w:val="22"/>
        </w:rPr>
        <w:t>1.1</w:t>
      </w:r>
      <w:r w:rsidR="00BE49C2" w:rsidRPr="00EC6A64">
        <w:rPr>
          <w:sz w:val="22"/>
          <w:szCs w:val="22"/>
        </w:rPr>
        <w:tab/>
      </w:r>
      <w:r w:rsidR="009642E7" w:rsidRPr="00EC6A64">
        <w:rPr>
          <w:sz w:val="22"/>
          <w:szCs w:val="22"/>
        </w:rPr>
        <w:t xml:space="preserve">The subject of this </w:t>
      </w:r>
      <w:r w:rsidR="004E2AD3" w:rsidRPr="00EC6A64">
        <w:rPr>
          <w:sz w:val="22"/>
          <w:szCs w:val="22"/>
        </w:rPr>
        <w:t>c</w:t>
      </w:r>
      <w:r w:rsidR="009642E7" w:rsidRPr="00EC6A64">
        <w:rPr>
          <w:sz w:val="22"/>
          <w:szCs w:val="22"/>
        </w:rPr>
        <w:t>ontract is</w:t>
      </w:r>
      <w:r w:rsidR="00D12779" w:rsidRPr="00EC6A64">
        <w:rPr>
          <w:sz w:val="22"/>
          <w:szCs w:val="22"/>
        </w:rPr>
        <w:t xml:space="preserve"> </w:t>
      </w:r>
      <w:r w:rsidR="00A87099">
        <w:rPr>
          <w:sz w:val="22"/>
          <w:szCs w:val="22"/>
        </w:rPr>
        <w:t xml:space="preserve">Technical Assistance for implementation of the Serbian </w:t>
      </w:r>
      <w:r w:rsidR="00A87099" w:rsidRPr="00C407F9">
        <w:rPr>
          <w:sz w:val="22"/>
          <w:szCs w:val="22"/>
        </w:rPr>
        <w:t xml:space="preserve">Inland Waterway Infrastructure Project </w:t>
      </w:r>
      <w:r w:rsidR="009642E7" w:rsidRPr="00C407F9">
        <w:rPr>
          <w:sz w:val="22"/>
          <w:szCs w:val="22"/>
        </w:rPr>
        <w:t xml:space="preserve">with identification number </w:t>
      </w:r>
      <w:r w:rsidR="003D66B7">
        <w:rPr>
          <w:b/>
          <w:bCs/>
          <w:sz w:val="22"/>
          <w:szCs w:val="22"/>
          <w:lang w:val="en-US"/>
        </w:rPr>
        <w:t>EIB-</w:t>
      </w:r>
      <w:proofErr w:type="spellStart"/>
      <w:r w:rsidR="003D66B7">
        <w:rPr>
          <w:b/>
          <w:bCs/>
          <w:sz w:val="22"/>
          <w:szCs w:val="22"/>
          <w:lang w:val="en-US"/>
        </w:rPr>
        <w:t>GtP</w:t>
      </w:r>
      <w:proofErr w:type="spellEnd"/>
      <w:r w:rsidR="003D66B7">
        <w:rPr>
          <w:b/>
          <w:bCs/>
          <w:sz w:val="22"/>
          <w:szCs w:val="22"/>
          <w:lang w:val="en-US"/>
        </w:rPr>
        <w:t>/0032769</w:t>
      </w:r>
      <w:r w:rsidR="00596B41" w:rsidRPr="00C407F9">
        <w:rPr>
          <w:b/>
          <w:bCs/>
          <w:sz w:val="22"/>
          <w:szCs w:val="22"/>
          <w:lang w:val="en-US"/>
        </w:rPr>
        <w:t>70/2025/</w:t>
      </w:r>
      <w:r w:rsidR="003D66B7">
        <w:rPr>
          <w:b/>
          <w:bCs/>
          <w:sz w:val="22"/>
          <w:szCs w:val="22"/>
          <w:lang w:val="en-US"/>
        </w:rPr>
        <w:t>1</w:t>
      </w:r>
      <w:r w:rsidR="00596B41" w:rsidRPr="00C407F9">
        <w:rPr>
          <w:b/>
          <w:bCs/>
          <w:sz w:val="22"/>
          <w:szCs w:val="22"/>
          <w:lang w:val="en-US"/>
        </w:rPr>
        <w:t>4810 004 003 000 001</w:t>
      </w:r>
      <w:r w:rsidR="009642E7" w:rsidRPr="00C407F9">
        <w:rPr>
          <w:sz w:val="22"/>
          <w:szCs w:val="22"/>
        </w:rPr>
        <w:t xml:space="preserve"> (</w:t>
      </w:r>
      <w:r w:rsidR="00CF0319" w:rsidRPr="00C407F9">
        <w:rPr>
          <w:sz w:val="22"/>
          <w:szCs w:val="22"/>
        </w:rPr>
        <w:t>‘</w:t>
      </w:r>
      <w:r w:rsidR="009642E7" w:rsidRPr="00C407F9">
        <w:rPr>
          <w:sz w:val="22"/>
          <w:szCs w:val="22"/>
        </w:rPr>
        <w:t>the services</w:t>
      </w:r>
      <w:r w:rsidR="00CF0319" w:rsidRPr="00C407F9">
        <w:rPr>
          <w:sz w:val="22"/>
          <w:szCs w:val="22"/>
        </w:rPr>
        <w:t>’</w:t>
      </w:r>
      <w:r w:rsidR="009642E7" w:rsidRPr="00C407F9">
        <w:rPr>
          <w:sz w:val="22"/>
          <w:szCs w:val="22"/>
        </w:rPr>
        <w:t>).</w:t>
      </w:r>
    </w:p>
    <w:p w14:paraId="402EE870" w14:textId="77777777" w:rsidR="004B0905" w:rsidRPr="00EC6A64" w:rsidRDefault="006457F0" w:rsidP="00BE49C2">
      <w:pPr>
        <w:spacing w:after="120"/>
        <w:ind w:left="1134" w:hanging="567"/>
        <w:rPr>
          <w:sz w:val="22"/>
          <w:szCs w:val="22"/>
        </w:rPr>
      </w:pPr>
      <w:r w:rsidRPr="00EC6A64">
        <w:rPr>
          <w:sz w:val="22"/>
          <w:szCs w:val="22"/>
        </w:rPr>
        <w:t>1.2</w:t>
      </w:r>
      <w:r w:rsidR="00BE49C2" w:rsidRPr="00EC6A64">
        <w:rPr>
          <w:sz w:val="22"/>
          <w:szCs w:val="22"/>
        </w:rPr>
        <w:tab/>
      </w:r>
      <w:r w:rsidR="006C7534" w:rsidRPr="00EC6A64">
        <w:rPr>
          <w:sz w:val="22"/>
          <w:szCs w:val="22"/>
        </w:rPr>
        <w:t xml:space="preserve">The contractor shall execute the tasks assigned to him in accordance with the </w:t>
      </w:r>
      <w:r w:rsidR="004E2AD3" w:rsidRPr="00EC6A64">
        <w:rPr>
          <w:sz w:val="22"/>
          <w:szCs w:val="22"/>
        </w:rPr>
        <w:t>t</w:t>
      </w:r>
      <w:r w:rsidR="006C7534" w:rsidRPr="00EC6A64">
        <w:rPr>
          <w:sz w:val="22"/>
          <w:szCs w:val="22"/>
        </w:rPr>
        <w:t xml:space="preserve">erms of </w:t>
      </w:r>
      <w:r w:rsidR="004E2AD3" w:rsidRPr="00EC6A64">
        <w:rPr>
          <w:sz w:val="22"/>
          <w:szCs w:val="22"/>
        </w:rPr>
        <w:t>r</w:t>
      </w:r>
      <w:r w:rsidR="006C7534" w:rsidRPr="00EC6A64">
        <w:rPr>
          <w:sz w:val="22"/>
          <w:szCs w:val="22"/>
        </w:rPr>
        <w:t xml:space="preserve">eference annexed to the </w:t>
      </w:r>
      <w:r w:rsidR="004E2AD3" w:rsidRPr="00EC6A64">
        <w:rPr>
          <w:sz w:val="22"/>
          <w:szCs w:val="22"/>
        </w:rPr>
        <w:t>c</w:t>
      </w:r>
      <w:r w:rsidR="006C7534" w:rsidRPr="00EC6A64">
        <w:rPr>
          <w:sz w:val="22"/>
          <w:szCs w:val="22"/>
        </w:rPr>
        <w:t>ontract (Annex II</w:t>
      </w:r>
      <w:r w:rsidR="00A73B34" w:rsidRPr="00EC6A64">
        <w:rPr>
          <w:sz w:val="22"/>
          <w:szCs w:val="22"/>
        </w:rPr>
        <w:t>)</w:t>
      </w:r>
    </w:p>
    <w:p w14:paraId="6297F64A" w14:textId="77777777" w:rsidR="004B0905" w:rsidRPr="00EC6A64" w:rsidRDefault="002506DE" w:rsidP="00212B1D">
      <w:pPr>
        <w:pStyle w:val="StyleListNumber11ptBold"/>
      </w:pPr>
      <w:r w:rsidRPr="00EC6A64">
        <w:t>(2</w:t>
      </w:r>
      <w:r w:rsidR="004B0905" w:rsidRPr="00EC6A64">
        <w:t>)</w:t>
      </w:r>
      <w:r w:rsidR="004B0905" w:rsidRPr="00EC6A64">
        <w:tab/>
        <w:t>Contract value</w:t>
      </w:r>
    </w:p>
    <w:p w14:paraId="7AD05A68" w14:textId="1031C2B0" w:rsidR="004B0905" w:rsidRPr="00EC6A64" w:rsidRDefault="004B0905" w:rsidP="0036136C">
      <w:pPr>
        <w:spacing w:after="120"/>
        <w:ind w:left="567"/>
        <w:rPr>
          <w:sz w:val="22"/>
          <w:szCs w:val="22"/>
        </w:rPr>
      </w:pPr>
    </w:p>
    <w:p w14:paraId="26294CB5" w14:textId="468AF9E7" w:rsidR="004B0905" w:rsidRPr="00EC6A64" w:rsidRDefault="004B0905" w:rsidP="0036136C">
      <w:pPr>
        <w:spacing w:after="120"/>
        <w:ind w:left="567"/>
        <w:rPr>
          <w:sz w:val="22"/>
          <w:szCs w:val="22"/>
        </w:rPr>
      </w:pPr>
      <w:r w:rsidRPr="00EC6A64">
        <w:rPr>
          <w:sz w:val="22"/>
          <w:szCs w:val="22"/>
        </w:rPr>
        <w:t xml:space="preserve">This </w:t>
      </w:r>
      <w:r w:rsidR="00C559EF" w:rsidRPr="00EC6A64">
        <w:rPr>
          <w:sz w:val="22"/>
          <w:szCs w:val="22"/>
        </w:rPr>
        <w:t>c</w:t>
      </w:r>
      <w:r w:rsidRPr="00EC6A64">
        <w:rPr>
          <w:sz w:val="22"/>
          <w:szCs w:val="22"/>
        </w:rPr>
        <w:t xml:space="preserve">ontract, established in </w:t>
      </w:r>
      <w:r w:rsidR="000751CA" w:rsidRPr="00EC6A64">
        <w:rPr>
          <w:sz w:val="22"/>
          <w:szCs w:val="22"/>
        </w:rPr>
        <w:t>E</w:t>
      </w:r>
      <w:r w:rsidRPr="00EC6A64">
        <w:rPr>
          <w:sz w:val="22"/>
          <w:szCs w:val="22"/>
        </w:rPr>
        <w:t>uro is a fee-based contract. Based on the maximum fees</w:t>
      </w:r>
      <w:proofErr w:type="gramStart"/>
      <w:r w:rsidRPr="00EC6A64">
        <w:rPr>
          <w:sz w:val="22"/>
          <w:szCs w:val="22"/>
        </w:rPr>
        <w:t xml:space="preserve">, </w:t>
      </w:r>
      <w:r w:rsidR="006E0249" w:rsidRPr="00EC6A64">
        <w:rPr>
          <w:sz w:val="22"/>
          <w:szCs w:val="22"/>
        </w:rPr>
        <w:t xml:space="preserve"> </w:t>
      </w:r>
      <w:r w:rsidRPr="00EC6A64">
        <w:rPr>
          <w:sz w:val="22"/>
          <w:szCs w:val="22"/>
        </w:rPr>
        <w:t>incidental</w:t>
      </w:r>
      <w:proofErr w:type="gramEnd"/>
      <w:r w:rsidRPr="00EC6A64">
        <w:rPr>
          <w:sz w:val="22"/>
          <w:szCs w:val="22"/>
        </w:rPr>
        <w:t xml:space="preserve"> expenditure and provision made for expenditure verification set out in Annex V, the maximum contract value is </w:t>
      </w:r>
      <w:r w:rsidR="000751CA" w:rsidRPr="00EC6A64">
        <w:rPr>
          <w:sz w:val="22"/>
          <w:szCs w:val="22"/>
        </w:rPr>
        <w:t>Euro</w:t>
      </w:r>
      <w:r w:rsidRPr="00EC6A64">
        <w:rPr>
          <w:sz w:val="22"/>
          <w:szCs w:val="22"/>
        </w:rPr>
        <w:t xml:space="preserve"> </w:t>
      </w:r>
      <w:r w:rsidRPr="00EC6A64">
        <w:rPr>
          <w:sz w:val="22"/>
          <w:szCs w:val="22"/>
          <w:highlight w:val="yellow"/>
        </w:rPr>
        <w:t>&lt;amount&gt;.</w:t>
      </w:r>
    </w:p>
    <w:p w14:paraId="19707839" w14:textId="77777777" w:rsidR="000751CA" w:rsidRPr="00EC6A64" w:rsidRDefault="000751CA" w:rsidP="0036136C">
      <w:pPr>
        <w:spacing w:after="120"/>
        <w:ind w:left="567"/>
        <w:rPr>
          <w:sz w:val="22"/>
          <w:szCs w:val="22"/>
          <w:highlight w:val="yellow"/>
        </w:rPr>
      </w:pPr>
    </w:p>
    <w:p w14:paraId="29AC1816" w14:textId="77777777" w:rsidR="009642E7" w:rsidRPr="00EC6A64" w:rsidRDefault="00BE49C2" w:rsidP="00212B1D">
      <w:pPr>
        <w:pStyle w:val="StyleListNumber11ptBold"/>
      </w:pPr>
      <w:r w:rsidRPr="00EC6A64">
        <w:t>(</w:t>
      </w:r>
      <w:r w:rsidR="002506DE" w:rsidRPr="00EC6A64">
        <w:t>3</w:t>
      </w:r>
      <w:r w:rsidRPr="00EC6A64">
        <w:t>)</w:t>
      </w:r>
      <w:r w:rsidRPr="00EC6A64">
        <w:tab/>
      </w:r>
      <w:r w:rsidR="00A73B34" w:rsidRPr="00EC6A64">
        <w:t>Order of precedence of contract documents</w:t>
      </w:r>
    </w:p>
    <w:p w14:paraId="4A24CF25" w14:textId="77777777" w:rsidR="00A73B34" w:rsidRPr="00EC6A64" w:rsidRDefault="00A73B34" w:rsidP="0036136C">
      <w:pPr>
        <w:spacing w:after="120"/>
        <w:ind w:left="567"/>
        <w:rPr>
          <w:sz w:val="22"/>
          <w:szCs w:val="22"/>
        </w:rPr>
      </w:pPr>
      <w:r w:rsidRPr="00EC6A64">
        <w:rPr>
          <w:sz w:val="22"/>
          <w:szCs w:val="22"/>
        </w:rPr>
        <w:t xml:space="preserve">The following documents shall be deemed to form and be read and construed as part of this </w:t>
      </w:r>
      <w:r w:rsidR="00C559EF" w:rsidRPr="00EC6A64">
        <w:rPr>
          <w:sz w:val="22"/>
          <w:szCs w:val="22"/>
        </w:rPr>
        <w:t>c</w:t>
      </w:r>
      <w:r w:rsidRPr="00EC6A64">
        <w:rPr>
          <w:sz w:val="22"/>
          <w:szCs w:val="22"/>
        </w:rPr>
        <w:t>ontract, in the following order of precedence:</w:t>
      </w:r>
    </w:p>
    <w:p w14:paraId="012B9F67" w14:textId="77777777" w:rsidR="00A73B34" w:rsidRDefault="00A73B34" w:rsidP="00C73B43">
      <w:pPr>
        <w:numPr>
          <w:ilvl w:val="0"/>
          <w:numId w:val="4"/>
        </w:numPr>
        <w:tabs>
          <w:tab w:val="left" w:pos="993"/>
        </w:tabs>
        <w:spacing w:after="60"/>
        <w:ind w:left="993" w:hanging="284"/>
        <w:rPr>
          <w:sz w:val="22"/>
          <w:szCs w:val="22"/>
        </w:rPr>
      </w:pPr>
      <w:r w:rsidRPr="00EC6A64">
        <w:rPr>
          <w:sz w:val="22"/>
          <w:szCs w:val="22"/>
        </w:rPr>
        <w:t>the contract agreement;</w:t>
      </w:r>
    </w:p>
    <w:p w14:paraId="58A03810" w14:textId="5A473BD8" w:rsidR="00596B41" w:rsidRPr="00EC6A64" w:rsidRDefault="00596B41" w:rsidP="00C73B43">
      <w:pPr>
        <w:numPr>
          <w:ilvl w:val="0"/>
          <w:numId w:val="4"/>
        </w:numPr>
        <w:tabs>
          <w:tab w:val="left" w:pos="993"/>
        </w:tabs>
        <w:spacing w:after="60"/>
        <w:ind w:left="993" w:hanging="284"/>
        <w:rPr>
          <w:sz w:val="22"/>
          <w:szCs w:val="22"/>
        </w:rPr>
      </w:pPr>
      <w:r>
        <w:rPr>
          <w:sz w:val="22"/>
          <w:szCs w:val="22"/>
        </w:rPr>
        <w:t xml:space="preserve">the Covenant of Integrity and Social and Environmental Covenant </w:t>
      </w:r>
    </w:p>
    <w:p w14:paraId="018EE78C" w14:textId="77777777"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 xml:space="preserve">the </w:t>
      </w:r>
      <w:r w:rsidR="004E2AD3" w:rsidRPr="00EC6A64">
        <w:rPr>
          <w:sz w:val="22"/>
          <w:szCs w:val="22"/>
        </w:rPr>
        <w:t>s</w:t>
      </w:r>
      <w:r w:rsidRPr="00EC6A64">
        <w:rPr>
          <w:sz w:val="22"/>
          <w:szCs w:val="22"/>
        </w:rPr>
        <w:t xml:space="preserve">pecial </w:t>
      </w:r>
      <w:r w:rsidR="004E2AD3" w:rsidRPr="00EC6A64">
        <w:rPr>
          <w:sz w:val="22"/>
          <w:szCs w:val="22"/>
        </w:rPr>
        <w:t>c</w:t>
      </w:r>
      <w:r w:rsidRPr="00EC6A64">
        <w:rPr>
          <w:sz w:val="22"/>
          <w:szCs w:val="22"/>
        </w:rPr>
        <w:t>onditions</w:t>
      </w:r>
    </w:p>
    <w:p w14:paraId="62559104" w14:textId="77777777"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 xml:space="preserve">the </w:t>
      </w:r>
      <w:r w:rsidR="004E2AD3" w:rsidRPr="00EC6A64">
        <w:rPr>
          <w:sz w:val="22"/>
          <w:szCs w:val="22"/>
        </w:rPr>
        <w:t>g</w:t>
      </w:r>
      <w:r w:rsidRPr="00EC6A64">
        <w:rPr>
          <w:sz w:val="22"/>
          <w:szCs w:val="22"/>
        </w:rPr>
        <w:t xml:space="preserve">eneral </w:t>
      </w:r>
      <w:r w:rsidR="004E2AD3" w:rsidRPr="00EC6A64">
        <w:rPr>
          <w:sz w:val="22"/>
          <w:szCs w:val="22"/>
        </w:rPr>
        <w:t>c</w:t>
      </w:r>
      <w:r w:rsidRPr="00EC6A64">
        <w:rPr>
          <w:sz w:val="22"/>
          <w:szCs w:val="22"/>
        </w:rPr>
        <w:t>onditions (Annex I);</w:t>
      </w:r>
    </w:p>
    <w:p w14:paraId="07A943C6" w14:textId="77777777"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 xml:space="preserve">the </w:t>
      </w:r>
      <w:r w:rsidR="004E2AD3" w:rsidRPr="00EC6A64">
        <w:rPr>
          <w:sz w:val="22"/>
          <w:szCs w:val="22"/>
        </w:rPr>
        <w:t>t</w:t>
      </w:r>
      <w:r w:rsidRPr="00EC6A64">
        <w:rPr>
          <w:sz w:val="22"/>
          <w:szCs w:val="22"/>
        </w:rPr>
        <w:t xml:space="preserve">erms of </w:t>
      </w:r>
      <w:r w:rsidR="004E2AD3" w:rsidRPr="00EC6A64">
        <w:rPr>
          <w:sz w:val="22"/>
          <w:szCs w:val="22"/>
        </w:rPr>
        <w:t>r</w:t>
      </w:r>
      <w:r w:rsidRPr="00EC6A64">
        <w:rPr>
          <w:sz w:val="22"/>
          <w:szCs w:val="22"/>
        </w:rPr>
        <w:t xml:space="preserve">eference [including clarification before the deadline for submitting tenders and minutes of the information meeting/site visit] (Annex II) </w:t>
      </w:r>
    </w:p>
    <w:p w14:paraId="0399AAB8" w14:textId="7245D7DC"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 xml:space="preserve">the </w:t>
      </w:r>
      <w:r w:rsidR="004E2AD3" w:rsidRPr="00EC6A64">
        <w:rPr>
          <w:sz w:val="22"/>
          <w:szCs w:val="22"/>
        </w:rPr>
        <w:t>o</w:t>
      </w:r>
      <w:r w:rsidRPr="00EC6A64">
        <w:rPr>
          <w:sz w:val="22"/>
          <w:szCs w:val="22"/>
        </w:rPr>
        <w:t>rganisation and methodology including clarification from the tenderer provided during tender evaluation (Annex III);</w:t>
      </w:r>
    </w:p>
    <w:p w14:paraId="393719A1" w14:textId="3315847D"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Key experts (Annex IV);</w:t>
      </w:r>
    </w:p>
    <w:p w14:paraId="11DF0597" w14:textId="2D72A509"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Budget breakdown (Annex V);</w:t>
      </w:r>
    </w:p>
    <w:p w14:paraId="33E62C00" w14:textId="77777777" w:rsidR="00A73B34" w:rsidRPr="00EC6A64" w:rsidRDefault="00A73B34" w:rsidP="00C73B43">
      <w:pPr>
        <w:numPr>
          <w:ilvl w:val="0"/>
          <w:numId w:val="4"/>
        </w:numPr>
        <w:tabs>
          <w:tab w:val="left" w:pos="993"/>
        </w:tabs>
        <w:spacing w:after="60"/>
        <w:ind w:left="993" w:hanging="284"/>
        <w:rPr>
          <w:sz w:val="22"/>
          <w:szCs w:val="22"/>
        </w:rPr>
      </w:pPr>
      <w:r w:rsidRPr="00EC6A64">
        <w:rPr>
          <w:sz w:val="22"/>
          <w:szCs w:val="22"/>
        </w:rPr>
        <w:t>specified forms and other relevant documents (Annex V</w:t>
      </w:r>
      <w:r w:rsidR="004701B3" w:rsidRPr="00EC6A64">
        <w:rPr>
          <w:sz w:val="22"/>
          <w:szCs w:val="22"/>
        </w:rPr>
        <w:t>I</w:t>
      </w:r>
      <w:r w:rsidRPr="00EC6A64">
        <w:rPr>
          <w:sz w:val="22"/>
          <w:szCs w:val="22"/>
        </w:rPr>
        <w:t>));</w:t>
      </w:r>
    </w:p>
    <w:p w14:paraId="0D6D404F" w14:textId="77777777" w:rsidR="0036136C" w:rsidRPr="00EC6A64" w:rsidRDefault="00A73B34" w:rsidP="0036136C">
      <w:pPr>
        <w:spacing w:after="120"/>
        <w:ind w:left="567"/>
        <w:rPr>
          <w:b/>
          <w:sz w:val="22"/>
          <w:szCs w:val="22"/>
        </w:rPr>
      </w:pPr>
      <w:r w:rsidRPr="00EC6A64">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C6A64" w:rsidDel="00A73B34">
        <w:rPr>
          <w:b/>
          <w:sz w:val="22"/>
          <w:szCs w:val="22"/>
        </w:rPr>
        <w:t xml:space="preserve"> </w:t>
      </w:r>
    </w:p>
    <w:p w14:paraId="3348DBEF" w14:textId="77777777" w:rsidR="00CB06F5" w:rsidRPr="00EC6A64" w:rsidRDefault="00BE49C2" w:rsidP="00212B1D">
      <w:pPr>
        <w:pStyle w:val="StyleListNumber11ptBold"/>
      </w:pPr>
      <w:r w:rsidRPr="00EC6A64">
        <w:t>(</w:t>
      </w:r>
      <w:r w:rsidR="002506DE" w:rsidRPr="00EC6A64">
        <w:t>4</w:t>
      </w:r>
      <w:r w:rsidRPr="00EC6A64">
        <w:t>)</w:t>
      </w:r>
      <w:r w:rsidRPr="00EC6A64">
        <w:tab/>
      </w:r>
      <w:r w:rsidR="00CB06F5" w:rsidRPr="00EC6A64">
        <w:t>Language of the contract</w:t>
      </w:r>
    </w:p>
    <w:p w14:paraId="0D2A335F" w14:textId="77777777" w:rsidR="00CB06F5" w:rsidRPr="00EC6A64" w:rsidRDefault="00CB06F5" w:rsidP="006457F0">
      <w:pPr>
        <w:spacing w:after="120"/>
        <w:ind w:left="567"/>
        <w:rPr>
          <w:sz w:val="22"/>
          <w:szCs w:val="22"/>
        </w:rPr>
      </w:pPr>
      <w:r w:rsidRPr="00EC6A64">
        <w:rPr>
          <w:sz w:val="22"/>
          <w:szCs w:val="22"/>
        </w:rPr>
        <w:t xml:space="preserve">The language of the contract and of all written communications between the </w:t>
      </w:r>
      <w:r w:rsidR="00C559EF" w:rsidRPr="00EC6A64">
        <w:rPr>
          <w:sz w:val="22"/>
          <w:szCs w:val="22"/>
        </w:rPr>
        <w:t>c</w:t>
      </w:r>
      <w:r w:rsidRPr="00EC6A64">
        <w:rPr>
          <w:sz w:val="22"/>
          <w:szCs w:val="22"/>
        </w:rPr>
        <w:t xml:space="preserve">ontractor and the </w:t>
      </w:r>
      <w:r w:rsidR="00C559EF" w:rsidRPr="00EC6A64">
        <w:rPr>
          <w:sz w:val="22"/>
          <w:szCs w:val="22"/>
        </w:rPr>
        <w:t>c</w:t>
      </w:r>
      <w:r w:rsidRPr="00EC6A64">
        <w:rPr>
          <w:sz w:val="22"/>
          <w:szCs w:val="22"/>
        </w:rPr>
        <w:t xml:space="preserve">ontracting </w:t>
      </w:r>
      <w:r w:rsidR="00C559EF" w:rsidRPr="00EC6A64">
        <w:rPr>
          <w:sz w:val="22"/>
          <w:szCs w:val="22"/>
        </w:rPr>
        <w:t>a</w:t>
      </w:r>
      <w:r w:rsidRPr="00EC6A64">
        <w:rPr>
          <w:sz w:val="22"/>
          <w:szCs w:val="22"/>
        </w:rPr>
        <w:t xml:space="preserve">uthority and/or the </w:t>
      </w:r>
      <w:r w:rsidR="00C559EF" w:rsidRPr="00EC6A64">
        <w:rPr>
          <w:sz w:val="22"/>
          <w:szCs w:val="22"/>
        </w:rPr>
        <w:t>p</w:t>
      </w:r>
      <w:r w:rsidRPr="00EC6A64">
        <w:rPr>
          <w:sz w:val="22"/>
          <w:szCs w:val="22"/>
        </w:rPr>
        <w:t xml:space="preserve">roject </w:t>
      </w:r>
      <w:r w:rsidR="00C559EF" w:rsidRPr="00EC6A64">
        <w:rPr>
          <w:sz w:val="22"/>
          <w:szCs w:val="22"/>
        </w:rPr>
        <w:t>m</w:t>
      </w:r>
      <w:r w:rsidRPr="00EC6A64">
        <w:rPr>
          <w:sz w:val="22"/>
          <w:szCs w:val="22"/>
        </w:rPr>
        <w:t>anager shall be English.</w:t>
      </w:r>
    </w:p>
    <w:p w14:paraId="27018B4B" w14:textId="77777777" w:rsidR="00E75AAC" w:rsidRPr="00EC6A64" w:rsidRDefault="00BE49C2" w:rsidP="00212B1D">
      <w:pPr>
        <w:pStyle w:val="StyleListNumber11ptBold"/>
      </w:pPr>
      <w:bookmarkStart w:id="0" w:name="_Ref500218714"/>
      <w:r w:rsidRPr="00EC6A64">
        <w:t>(</w:t>
      </w:r>
      <w:r w:rsidR="002506DE" w:rsidRPr="00EC6A64">
        <w:t>5</w:t>
      </w:r>
      <w:r w:rsidRPr="00EC6A64">
        <w:t>)</w:t>
      </w:r>
      <w:r w:rsidRPr="00EC6A64">
        <w:tab/>
      </w:r>
      <w:r w:rsidR="00E75AAC" w:rsidRPr="00EC6A64">
        <w:t xml:space="preserve">Other specific conditions applying to the </w:t>
      </w:r>
      <w:r w:rsidR="004E2AD3" w:rsidRPr="00EC6A64">
        <w:t>c</w:t>
      </w:r>
      <w:r w:rsidR="00E75AAC" w:rsidRPr="00EC6A64">
        <w:t>ontract</w:t>
      </w:r>
    </w:p>
    <w:p w14:paraId="65BAC91E" w14:textId="3082ED65" w:rsidR="00355978" w:rsidRPr="00EC6A64" w:rsidRDefault="00355978" w:rsidP="0097255E">
      <w:pPr>
        <w:spacing w:before="120"/>
        <w:ind w:left="-120"/>
        <w:rPr>
          <w:sz w:val="22"/>
          <w:szCs w:val="22"/>
        </w:rPr>
      </w:pPr>
      <w:r w:rsidRPr="00EC6A64">
        <w:rPr>
          <w:rStyle w:val="Hyperlink"/>
          <w:color w:val="auto"/>
          <w:sz w:val="22"/>
          <w:szCs w:val="22"/>
          <w:u w:val="none"/>
        </w:rPr>
        <w:t>For the purpose of</w:t>
      </w:r>
      <w:r w:rsidRPr="00EC6A64">
        <w:t xml:space="preserve"> </w:t>
      </w:r>
      <w:r w:rsidRPr="00EC6A64">
        <w:rPr>
          <w:sz w:val="22"/>
          <w:szCs w:val="22"/>
        </w:rPr>
        <w:t>Article 42 of the general conditions, the data protection notice is available at</w:t>
      </w:r>
      <w:r w:rsidR="00F010C3" w:rsidRPr="00EC6A64">
        <w:rPr>
          <w:sz w:val="22"/>
          <w:szCs w:val="22"/>
        </w:rPr>
        <w:t xml:space="preserve">: </w:t>
      </w:r>
      <w:hyperlink r:id="rId8" w:anchor="Annexes-AnnexesA(Ch.2):General" w:history="1">
        <w:r w:rsidR="00B15A6C" w:rsidRPr="00EC6A64">
          <w:rPr>
            <w:rStyle w:val="Hyperlink"/>
            <w:sz w:val="22"/>
            <w:szCs w:val="22"/>
          </w:rPr>
          <w:t>https://wikis.ec.europa.eu/display/ExactExternalWiki/Annexes#Annexes-AnnexesA(Ch.2):General</w:t>
        </w:r>
      </w:hyperlink>
      <w:r w:rsidRPr="00EC6A64">
        <w:rPr>
          <w:sz w:val="22"/>
          <w:szCs w:val="22"/>
          <w:highlight w:val="yellow"/>
        </w:rPr>
        <w:t xml:space="preserve"> </w:t>
      </w:r>
    </w:p>
    <w:p w14:paraId="556D02A3" w14:textId="3A59C4DF" w:rsidR="00E75AAC" w:rsidRPr="00EC6A64" w:rsidRDefault="0097255E" w:rsidP="006D34F6">
      <w:pPr>
        <w:pStyle w:val="ListNumber"/>
        <w:numPr>
          <w:ilvl w:val="0"/>
          <w:numId w:val="0"/>
        </w:numPr>
        <w:spacing w:after="120"/>
        <w:ind w:left="-142"/>
        <w:rPr>
          <w:sz w:val="22"/>
          <w:szCs w:val="22"/>
        </w:rPr>
      </w:pPr>
      <w:r w:rsidRPr="00EC6A64">
        <w:rPr>
          <w:sz w:val="22"/>
          <w:szCs w:val="22"/>
        </w:rPr>
        <w:t>D</w:t>
      </w:r>
      <w:r w:rsidR="00E75AAC" w:rsidRPr="00EC6A64">
        <w:rPr>
          <w:sz w:val="22"/>
          <w:szCs w:val="22"/>
        </w:rPr>
        <w:t>one in English in</w:t>
      </w:r>
      <w:r w:rsidRPr="00EC6A64">
        <w:rPr>
          <w:sz w:val="22"/>
          <w:szCs w:val="22"/>
        </w:rPr>
        <w:t xml:space="preserve"> two</w:t>
      </w:r>
      <w:r w:rsidR="00E75AAC" w:rsidRPr="00EC6A64">
        <w:rPr>
          <w:sz w:val="22"/>
          <w:szCs w:val="22"/>
        </w:rPr>
        <w:t xml:space="preserve"> originals, one original for the </w:t>
      </w:r>
      <w:r w:rsidR="00C559EF" w:rsidRPr="00EC6A64">
        <w:rPr>
          <w:sz w:val="22"/>
          <w:szCs w:val="22"/>
        </w:rPr>
        <w:t>c</w:t>
      </w:r>
      <w:r w:rsidR="00E75AAC" w:rsidRPr="00EC6A64">
        <w:rPr>
          <w:sz w:val="22"/>
          <w:szCs w:val="22"/>
        </w:rPr>
        <w:t xml:space="preserve">ontracting </w:t>
      </w:r>
      <w:r w:rsidR="00C559EF" w:rsidRPr="00EC6A64">
        <w:rPr>
          <w:sz w:val="22"/>
          <w:szCs w:val="22"/>
        </w:rPr>
        <w:t>a</w:t>
      </w:r>
      <w:r w:rsidR="00E75AAC" w:rsidRPr="00EC6A64">
        <w:rPr>
          <w:sz w:val="22"/>
          <w:szCs w:val="22"/>
        </w:rPr>
        <w:t xml:space="preserve">uthority, and one original for the </w:t>
      </w:r>
      <w:r w:rsidR="004E2AD3" w:rsidRPr="00EC6A64">
        <w:rPr>
          <w:sz w:val="22"/>
          <w:szCs w:val="22"/>
        </w:rPr>
        <w:t>c</w:t>
      </w:r>
      <w:r w:rsidR="00E75AAC" w:rsidRPr="00EC6A64">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EC6A64" w14:paraId="420167B0" w14:textId="77777777" w:rsidTr="00A1628E">
        <w:tc>
          <w:tcPr>
            <w:tcW w:w="4858" w:type="dxa"/>
            <w:gridSpan w:val="2"/>
          </w:tcPr>
          <w:p w14:paraId="520B10F0" w14:textId="77777777" w:rsidR="00E75AAC" w:rsidRPr="00EC6A64" w:rsidRDefault="00E75AAC" w:rsidP="004F3059">
            <w:pPr>
              <w:pStyle w:val="BodyText"/>
              <w:keepNext/>
              <w:keepLines/>
              <w:rPr>
                <w:b/>
                <w:sz w:val="22"/>
                <w:szCs w:val="22"/>
              </w:rPr>
            </w:pPr>
            <w:r w:rsidRPr="00EC6A64">
              <w:rPr>
                <w:b/>
                <w:sz w:val="22"/>
                <w:szCs w:val="22"/>
              </w:rPr>
              <w:t xml:space="preserve">For the </w:t>
            </w:r>
            <w:r w:rsidR="004E2AD3" w:rsidRPr="00EC6A64">
              <w:rPr>
                <w:b/>
                <w:sz w:val="22"/>
                <w:szCs w:val="22"/>
              </w:rPr>
              <w:t>c</w:t>
            </w:r>
            <w:r w:rsidRPr="00EC6A64">
              <w:rPr>
                <w:b/>
                <w:sz w:val="22"/>
                <w:szCs w:val="22"/>
              </w:rPr>
              <w:t>ontractor</w:t>
            </w:r>
          </w:p>
        </w:tc>
        <w:tc>
          <w:tcPr>
            <w:tcW w:w="4643" w:type="dxa"/>
            <w:gridSpan w:val="2"/>
          </w:tcPr>
          <w:p w14:paraId="0D95AC58" w14:textId="77777777" w:rsidR="00E75AAC" w:rsidRPr="00EC6A64" w:rsidRDefault="00E75AAC" w:rsidP="004F3059">
            <w:pPr>
              <w:pStyle w:val="BodyText"/>
              <w:keepNext/>
              <w:keepLines/>
              <w:rPr>
                <w:b/>
                <w:sz w:val="22"/>
                <w:szCs w:val="22"/>
              </w:rPr>
            </w:pPr>
            <w:r w:rsidRPr="00EC6A64">
              <w:rPr>
                <w:b/>
                <w:sz w:val="22"/>
                <w:szCs w:val="22"/>
              </w:rPr>
              <w:t xml:space="preserve">For the </w:t>
            </w:r>
            <w:r w:rsidR="004E2AD3" w:rsidRPr="00EC6A64">
              <w:rPr>
                <w:b/>
                <w:sz w:val="22"/>
                <w:szCs w:val="22"/>
              </w:rPr>
              <w:t>c</w:t>
            </w:r>
            <w:r w:rsidRPr="00EC6A64">
              <w:rPr>
                <w:b/>
                <w:sz w:val="22"/>
                <w:szCs w:val="22"/>
              </w:rPr>
              <w:t xml:space="preserve">ontracting </w:t>
            </w:r>
            <w:r w:rsidR="004E2AD3" w:rsidRPr="00EC6A64">
              <w:rPr>
                <w:b/>
                <w:sz w:val="22"/>
                <w:szCs w:val="22"/>
              </w:rPr>
              <w:t>a</w:t>
            </w:r>
            <w:r w:rsidRPr="00EC6A64">
              <w:rPr>
                <w:b/>
                <w:sz w:val="22"/>
                <w:szCs w:val="22"/>
              </w:rPr>
              <w:t>uthority</w:t>
            </w:r>
          </w:p>
        </w:tc>
      </w:tr>
      <w:tr w:rsidR="00E75AAC" w:rsidRPr="00EC6A64" w14:paraId="682B88FE" w14:textId="77777777" w:rsidTr="00A1628E">
        <w:trPr>
          <w:cantSplit/>
        </w:trPr>
        <w:tc>
          <w:tcPr>
            <w:tcW w:w="1599" w:type="dxa"/>
          </w:tcPr>
          <w:p w14:paraId="4AF39BDC" w14:textId="77777777" w:rsidR="00E75AAC" w:rsidRPr="00EC6A64" w:rsidRDefault="00E75AAC" w:rsidP="006457F0">
            <w:pPr>
              <w:pStyle w:val="BodyText"/>
              <w:keepNext/>
              <w:keepLines/>
              <w:spacing w:before="160" w:after="160"/>
              <w:rPr>
                <w:sz w:val="22"/>
                <w:szCs w:val="22"/>
              </w:rPr>
            </w:pPr>
            <w:r w:rsidRPr="00EC6A64">
              <w:rPr>
                <w:sz w:val="22"/>
                <w:szCs w:val="22"/>
              </w:rPr>
              <w:t>Name:</w:t>
            </w:r>
          </w:p>
        </w:tc>
        <w:tc>
          <w:tcPr>
            <w:tcW w:w="3259" w:type="dxa"/>
          </w:tcPr>
          <w:p w14:paraId="7EAF275A" w14:textId="77777777" w:rsidR="00E75AAC" w:rsidRPr="00EC6A64" w:rsidRDefault="00E75AAC" w:rsidP="006457F0">
            <w:pPr>
              <w:pStyle w:val="BodyText"/>
              <w:keepNext/>
              <w:keepLines/>
              <w:spacing w:before="160" w:after="160"/>
              <w:rPr>
                <w:sz w:val="22"/>
                <w:szCs w:val="22"/>
              </w:rPr>
            </w:pPr>
          </w:p>
        </w:tc>
        <w:tc>
          <w:tcPr>
            <w:tcW w:w="2321" w:type="dxa"/>
          </w:tcPr>
          <w:p w14:paraId="20859F22" w14:textId="77777777" w:rsidR="00E75AAC" w:rsidRPr="00EC6A64" w:rsidRDefault="00E75AAC" w:rsidP="006457F0">
            <w:pPr>
              <w:pStyle w:val="BodyText"/>
              <w:keepNext/>
              <w:keepLines/>
              <w:spacing w:before="160" w:after="160"/>
              <w:rPr>
                <w:sz w:val="22"/>
                <w:szCs w:val="22"/>
              </w:rPr>
            </w:pPr>
            <w:r w:rsidRPr="00EC6A64">
              <w:rPr>
                <w:sz w:val="22"/>
                <w:szCs w:val="22"/>
              </w:rPr>
              <w:t>Name:</w:t>
            </w:r>
          </w:p>
        </w:tc>
        <w:tc>
          <w:tcPr>
            <w:tcW w:w="2322" w:type="dxa"/>
          </w:tcPr>
          <w:p w14:paraId="4136A382" w14:textId="77777777" w:rsidR="00E75AAC" w:rsidRPr="00EC6A64" w:rsidRDefault="00E75AAC" w:rsidP="006457F0">
            <w:pPr>
              <w:pStyle w:val="BodyText"/>
              <w:keepNext/>
              <w:keepLines/>
              <w:spacing w:before="160" w:after="160"/>
              <w:rPr>
                <w:sz w:val="22"/>
                <w:szCs w:val="22"/>
              </w:rPr>
            </w:pPr>
          </w:p>
        </w:tc>
      </w:tr>
      <w:tr w:rsidR="00E75AAC" w:rsidRPr="00EC6A64" w14:paraId="34B94573" w14:textId="77777777" w:rsidTr="00A1628E">
        <w:trPr>
          <w:cantSplit/>
        </w:trPr>
        <w:tc>
          <w:tcPr>
            <w:tcW w:w="1599" w:type="dxa"/>
          </w:tcPr>
          <w:p w14:paraId="69335F26" w14:textId="77777777" w:rsidR="00E75AAC" w:rsidRPr="00EC6A64" w:rsidRDefault="00E75AAC" w:rsidP="006457F0">
            <w:pPr>
              <w:pStyle w:val="BodyText"/>
              <w:keepNext/>
              <w:keepLines/>
              <w:spacing w:before="160" w:after="160"/>
              <w:rPr>
                <w:sz w:val="22"/>
                <w:szCs w:val="22"/>
              </w:rPr>
            </w:pPr>
            <w:r w:rsidRPr="00EC6A64">
              <w:rPr>
                <w:sz w:val="22"/>
                <w:szCs w:val="22"/>
              </w:rPr>
              <w:t>Title:</w:t>
            </w:r>
          </w:p>
        </w:tc>
        <w:tc>
          <w:tcPr>
            <w:tcW w:w="3259" w:type="dxa"/>
          </w:tcPr>
          <w:p w14:paraId="72D61DB4" w14:textId="77777777" w:rsidR="00E75AAC" w:rsidRPr="00EC6A64" w:rsidRDefault="00E75AAC" w:rsidP="006457F0">
            <w:pPr>
              <w:pStyle w:val="BodyText"/>
              <w:keepNext/>
              <w:keepLines/>
              <w:spacing w:before="160" w:after="160"/>
              <w:rPr>
                <w:sz w:val="22"/>
                <w:szCs w:val="22"/>
              </w:rPr>
            </w:pPr>
          </w:p>
        </w:tc>
        <w:tc>
          <w:tcPr>
            <w:tcW w:w="2321" w:type="dxa"/>
          </w:tcPr>
          <w:p w14:paraId="1B3E679F" w14:textId="77777777" w:rsidR="00E75AAC" w:rsidRPr="00EC6A64" w:rsidRDefault="00E75AAC" w:rsidP="006457F0">
            <w:pPr>
              <w:pStyle w:val="BodyText"/>
              <w:keepNext/>
              <w:keepLines/>
              <w:spacing w:before="160" w:after="160"/>
              <w:rPr>
                <w:sz w:val="22"/>
                <w:szCs w:val="22"/>
              </w:rPr>
            </w:pPr>
            <w:r w:rsidRPr="00EC6A64">
              <w:rPr>
                <w:sz w:val="22"/>
                <w:szCs w:val="22"/>
              </w:rPr>
              <w:t>Title:</w:t>
            </w:r>
          </w:p>
        </w:tc>
        <w:tc>
          <w:tcPr>
            <w:tcW w:w="2322" w:type="dxa"/>
          </w:tcPr>
          <w:p w14:paraId="441A0186" w14:textId="77777777" w:rsidR="00E75AAC" w:rsidRPr="00EC6A64" w:rsidRDefault="00E75AAC" w:rsidP="006457F0">
            <w:pPr>
              <w:pStyle w:val="BodyText"/>
              <w:keepNext/>
              <w:keepLines/>
              <w:spacing w:before="160" w:after="160"/>
              <w:rPr>
                <w:sz w:val="22"/>
                <w:szCs w:val="22"/>
              </w:rPr>
            </w:pPr>
          </w:p>
        </w:tc>
      </w:tr>
      <w:tr w:rsidR="00E75AAC" w:rsidRPr="00EC6A64" w14:paraId="71675FB6" w14:textId="77777777" w:rsidTr="00A1628E">
        <w:trPr>
          <w:cantSplit/>
        </w:trPr>
        <w:tc>
          <w:tcPr>
            <w:tcW w:w="1599" w:type="dxa"/>
          </w:tcPr>
          <w:p w14:paraId="42AA2977" w14:textId="77777777" w:rsidR="00E75AAC" w:rsidRPr="00EC6A64" w:rsidRDefault="00E75AAC" w:rsidP="006457F0">
            <w:pPr>
              <w:pStyle w:val="BodyText"/>
              <w:keepNext/>
              <w:keepLines/>
              <w:spacing w:before="160" w:after="160"/>
              <w:rPr>
                <w:sz w:val="22"/>
                <w:szCs w:val="22"/>
              </w:rPr>
            </w:pPr>
            <w:r w:rsidRPr="00EC6A64">
              <w:rPr>
                <w:sz w:val="22"/>
                <w:szCs w:val="22"/>
              </w:rPr>
              <w:t>Signature:</w:t>
            </w:r>
          </w:p>
        </w:tc>
        <w:tc>
          <w:tcPr>
            <w:tcW w:w="3259" w:type="dxa"/>
          </w:tcPr>
          <w:p w14:paraId="15058829" w14:textId="77777777" w:rsidR="00E75AAC" w:rsidRPr="00EC6A64" w:rsidRDefault="00E75AAC" w:rsidP="006457F0">
            <w:pPr>
              <w:pStyle w:val="BodyText"/>
              <w:keepNext/>
              <w:keepLines/>
              <w:spacing w:before="160" w:after="160"/>
              <w:rPr>
                <w:sz w:val="22"/>
                <w:szCs w:val="22"/>
              </w:rPr>
            </w:pPr>
          </w:p>
        </w:tc>
        <w:tc>
          <w:tcPr>
            <w:tcW w:w="2321" w:type="dxa"/>
          </w:tcPr>
          <w:p w14:paraId="10453CC7" w14:textId="77777777" w:rsidR="00E75AAC" w:rsidRPr="00EC6A64" w:rsidRDefault="00E75AAC" w:rsidP="006457F0">
            <w:pPr>
              <w:pStyle w:val="BodyText"/>
              <w:keepNext/>
              <w:keepLines/>
              <w:spacing w:before="160" w:after="160"/>
              <w:rPr>
                <w:sz w:val="22"/>
                <w:szCs w:val="22"/>
              </w:rPr>
            </w:pPr>
            <w:r w:rsidRPr="00EC6A64">
              <w:rPr>
                <w:sz w:val="22"/>
                <w:szCs w:val="22"/>
              </w:rPr>
              <w:t>Signature:</w:t>
            </w:r>
          </w:p>
        </w:tc>
        <w:tc>
          <w:tcPr>
            <w:tcW w:w="2322" w:type="dxa"/>
          </w:tcPr>
          <w:p w14:paraId="4B395464" w14:textId="77777777" w:rsidR="00E75AAC" w:rsidRPr="00EC6A64" w:rsidRDefault="00E75AAC" w:rsidP="006457F0">
            <w:pPr>
              <w:pStyle w:val="BodyText"/>
              <w:keepNext/>
              <w:keepLines/>
              <w:spacing w:before="160" w:after="160"/>
              <w:rPr>
                <w:sz w:val="22"/>
                <w:szCs w:val="22"/>
              </w:rPr>
            </w:pPr>
          </w:p>
        </w:tc>
      </w:tr>
      <w:tr w:rsidR="00E75AAC" w:rsidRPr="00EC6A64" w14:paraId="620B59E3" w14:textId="77777777" w:rsidTr="00A1628E">
        <w:trPr>
          <w:cantSplit/>
        </w:trPr>
        <w:tc>
          <w:tcPr>
            <w:tcW w:w="1599" w:type="dxa"/>
          </w:tcPr>
          <w:p w14:paraId="25CFABBA" w14:textId="77777777" w:rsidR="00E75AAC" w:rsidRPr="00EC6A64" w:rsidRDefault="00E75AAC" w:rsidP="006457F0">
            <w:pPr>
              <w:pStyle w:val="BodyText"/>
              <w:keepNext/>
              <w:keepLines/>
              <w:spacing w:before="160" w:after="160"/>
              <w:rPr>
                <w:sz w:val="22"/>
                <w:szCs w:val="22"/>
              </w:rPr>
            </w:pPr>
            <w:r w:rsidRPr="00EC6A64">
              <w:rPr>
                <w:sz w:val="22"/>
                <w:szCs w:val="22"/>
              </w:rPr>
              <w:t>Date:</w:t>
            </w:r>
          </w:p>
        </w:tc>
        <w:tc>
          <w:tcPr>
            <w:tcW w:w="3259" w:type="dxa"/>
          </w:tcPr>
          <w:p w14:paraId="2AFBB38C" w14:textId="77777777" w:rsidR="00E75AAC" w:rsidRPr="00EC6A64" w:rsidRDefault="00E75AAC" w:rsidP="006457F0">
            <w:pPr>
              <w:pStyle w:val="BodyText"/>
              <w:keepNext/>
              <w:keepLines/>
              <w:spacing w:before="160" w:after="160"/>
              <w:rPr>
                <w:sz w:val="22"/>
                <w:szCs w:val="22"/>
              </w:rPr>
            </w:pPr>
          </w:p>
        </w:tc>
        <w:tc>
          <w:tcPr>
            <w:tcW w:w="2321" w:type="dxa"/>
          </w:tcPr>
          <w:p w14:paraId="1523C573" w14:textId="77777777" w:rsidR="00E75AAC" w:rsidRPr="00EC6A64" w:rsidRDefault="00E75AAC" w:rsidP="006457F0">
            <w:pPr>
              <w:pStyle w:val="BodyText"/>
              <w:keepNext/>
              <w:keepLines/>
              <w:spacing w:before="160" w:after="160"/>
              <w:rPr>
                <w:sz w:val="22"/>
                <w:szCs w:val="22"/>
              </w:rPr>
            </w:pPr>
            <w:r w:rsidRPr="00EC6A64">
              <w:rPr>
                <w:sz w:val="22"/>
                <w:szCs w:val="22"/>
              </w:rPr>
              <w:t>Date:</w:t>
            </w:r>
          </w:p>
        </w:tc>
        <w:tc>
          <w:tcPr>
            <w:tcW w:w="2322" w:type="dxa"/>
          </w:tcPr>
          <w:p w14:paraId="185A7A1D" w14:textId="77777777" w:rsidR="00E75AAC" w:rsidRPr="00EC6A64" w:rsidRDefault="00E75AAC" w:rsidP="006457F0">
            <w:pPr>
              <w:pStyle w:val="BodyText"/>
              <w:keepNext/>
              <w:keepLines/>
              <w:spacing w:before="160" w:after="160"/>
              <w:rPr>
                <w:sz w:val="22"/>
                <w:szCs w:val="22"/>
              </w:rPr>
            </w:pPr>
          </w:p>
        </w:tc>
      </w:tr>
    </w:tbl>
    <w:p w14:paraId="43813FFF" w14:textId="77777777" w:rsidR="00E75AAC" w:rsidRPr="00EC6A64" w:rsidRDefault="004B0905" w:rsidP="00F8178E">
      <w:pPr>
        <w:jc w:val="center"/>
        <w:rPr>
          <w:b/>
          <w:sz w:val="28"/>
          <w:szCs w:val="28"/>
        </w:rPr>
      </w:pPr>
      <w:r w:rsidRPr="00EC6A64">
        <w:br w:type="page"/>
      </w:r>
      <w:r w:rsidR="00E75AAC" w:rsidRPr="00EC6A64">
        <w:rPr>
          <w:b/>
          <w:sz w:val="28"/>
          <w:szCs w:val="28"/>
        </w:rPr>
        <w:lastRenderedPageBreak/>
        <w:t>SPECIAL CONDITIONS</w:t>
      </w:r>
    </w:p>
    <w:p w14:paraId="5080E4DD" w14:textId="77777777" w:rsidR="00CB06F5" w:rsidRPr="00EC6A64" w:rsidRDefault="00EF3B57" w:rsidP="00F8178E">
      <w:pPr>
        <w:rPr>
          <w:sz w:val="22"/>
          <w:szCs w:val="22"/>
        </w:rPr>
      </w:pPr>
      <w:r w:rsidRPr="00EC6A64">
        <w:rPr>
          <w:sz w:val="22"/>
          <w:szCs w:val="22"/>
        </w:rPr>
        <w:t xml:space="preserve">These conditions amplify and supplement the </w:t>
      </w:r>
      <w:r w:rsidR="004E2AD3" w:rsidRPr="00EC6A64">
        <w:rPr>
          <w:sz w:val="22"/>
          <w:szCs w:val="22"/>
        </w:rPr>
        <w:t>g</w:t>
      </w:r>
      <w:r w:rsidRPr="00EC6A64">
        <w:rPr>
          <w:sz w:val="22"/>
          <w:szCs w:val="22"/>
        </w:rPr>
        <w:t xml:space="preserve">eneral </w:t>
      </w:r>
      <w:r w:rsidR="004E2AD3" w:rsidRPr="00EC6A64">
        <w:rPr>
          <w:sz w:val="22"/>
          <w:szCs w:val="22"/>
        </w:rPr>
        <w:t>c</w:t>
      </w:r>
      <w:r w:rsidRPr="00EC6A64">
        <w:rPr>
          <w:sz w:val="22"/>
          <w:szCs w:val="22"/>
        </w:rPr>
        <w:t xml:space="preserve">onditions governing the </w:t>
      </w:r>
      <w:r w:rsidR="004E2AD3" w:rsidRPr="00EC6A64">
        <w:rPr>
          <w:sz w:val="22"/>
          <w:szCs w:val="22"/>
        </w:rPr>
        <w:t>c</w:t>
      </w:r>
      <w:r w:rsidRPr="00EC6A64">
        <w:rPr>
          <w:sz w:val="22"/>
          <w:szCs w:val="22"/>
        </w:rPr>
        <w:t xml:space="preserve">ontract. Unless the </w:t>
      </w:r>
      <w:r w:rsidR="004E2AD3" w:rsidRPr="00EC6A64">
        <w:rPr>
          <w:sz w:val="22"/>
          <w:szCs w:val="22"/>
        </w:rPr>
        <w:t>s</w:t>
      </w:r>
      <w:r w:rsidRPr="00EC6A64">
        <w:rPr>
          <w:sz w:val="22"/>
          <w:szCs w:val="22"/>
        </w:rPr>
        <w:t xml:space="preserve">pecial </w:t>
      </w:r>
      <w:r w:rsidR="004E2AD3" w:rsidRPr="00EC6A64">
        <w:rPr>
          <w:sz w:val="22"/>
          <w:szCs w:val="22"/>
        </w:rPr>
        <w:t>c</w:t>
      </w:r>
      <w:r w:rsidRPr="00EC6A64">
        <w:rPr>
          <w:sz w:val="22"/>
          <w:szCs w:val="22"/>
        </w:rPr>
        <w:t xml:space="preserve">onditions provide otherwise, the </w:t>
      </w:r>
      <w:r w:rsidR="004E2AD3" w:rsidRPr="00EC6A64">
        <w:rPr>
          <w:sz w:val="22"/>
          <w:szCs w:val="22"/>
        </w:rPr>
        <w:t>g</w:t>
      </w:r>
      <w:r w:rsidRPr="00EC6A64">
        <w:rPr>
          <w:sz w:val="22"/>
          <w:szCs w:val="22"/>
        </w:rPr>
        <w:t xml:space="preserve">eneral </w:t>
      </w:r>
      <w:r w:rsidR="004E2AD3" w:rsidRPr="00EC6A64">
        <w:rPr>
          <w:sz w:val="22"/>
          <w:szCs w:val="22"/>
        </w:rPr>
        <w:t>c</w:t>
      </w:r>
      <w:r w:rsidRPr="00EC6A64">
        <w:rPr>
          <w:sz w:val="22"/>
          <w:szCs w:val="22"/>
        </w:rPr>
        <w:t xml:space="preserve">onditions remain fully applicable. The numbering of the Articles of the </w:t>
      </w:r>
      <w:r w:rsidR="004E2AD3" w:rsidRPr="00EC6A64">
        <w:rPr>
          <w:sz w:val="22"/>
          <w:szCs w:val="22"/>
        </w:rPr>
        <w:t>s</w:t>
      </w:r>
      <w:r w:rsidRPr="00EC6A64">
        <w:rPr>
          <w:sz w:val="22"/>
          <w:szCs w:val="22"/>
        </w:rPr>
        <w:t xml:space="preserve">pecial </w:t>
      </w:r>
      <w:r w:rsidR="004E2AD3" w:rsidRPr="00EC6A64">
        <w:rPr>
          <w:sz w:val="22"/>
          <w:szCs w:val="22"/>
        </w:rPr>
        <w:t>c</w:t>
      </w:r>
      <w:r w:rsidRPr="00EC6A64">
        <w:rPr>
          <w:sz w:val="22"/>
          <w:szCs w:val="22"/>
        </w:rPr>
        <w:t xml:space="preserve">onditions is not consecutive but follows the numbering of the </w:t>
      </w:r>
      <w:r w:rsidR="004E2AD3" w:rsidRPr="00EC6A64">
        <w:rPr>
          <w:sz w:val="22"/>
          <w:szCs w:val="22"/>
        </w:rPr>
        <w:t>g</w:t>
      </w:r>
      <w:r w:rsidRPr="00EC6A64">
        <w:rPr>
          <w:sz w:val="22"/>
          <w:szCs w:val="22"/>
        </w:rPr>
        <w:t xml:space="preserve">eneral </w:t>
      </w:r>
      <w:r w:rsidR="004E2AD3" w:rsidRPr="00EC6A64">
        <w:rPr>
          <w:sz w:val="22"/>
          <w:szCs w:val="22"/>
        </w:rPr>
        <w:t>c</w:t>
      </w:r>
      <w:r w:rsidRPr="00EC6A64">
        <w:rPr>
          <w:sz w:val="22"/>
          <w:szCs w:val="22"/>
        </w:rPr>
        <w:t xml:space="preserve">onditions. </w:t>
      </w:r>
      <w:r w:rsidR="005E2075" w:rsidRPr="00EC6A64">
        <w:rPr>
          <w:sz w:val="22"/>
          <w:szCs w:val="22"/>
        </w:rPr>
        <w:t xml:space="preserve">Exceptionally, and with the approval of the </w:t>
      </w:r>
      <w:r w:rsidR="00DB4BD9" w:rsidRPr="00EC6A64">
        <w:rPr>
          <w:sz w:val="22"/>
          <w:szCs w:val="22"/>
        </w:rPr>
        <w:t>competent European Commission departments</w:t>
      </w:r>
      <w:r w:rsidR="005E2075" w:rsidRPr="00EC6A64">
        <w:rPr>
          <w:sz w:val="22"/>
          <w:szCs w:val="22"/>
        </w:rPr>
        <w:t>, o</w:t>
      </w:r>
      <w:r w:rsidRPr="00EC6A64">
        <w:rPr>
          <w:sz w:val="22"/>
          <w:szCs w:val="22"/>
        </w:rPr>
        <w:t xml:space="preserve">ther </w:t>
      </w:r>
      <w:r w:rsidR="00DB4BD9" w:rsidRPr="00EC6A64">
        <w:rPr>
          <w:sz w:val="22"/>
          <w:szCs w:val="22"/>
        </w:rPr>
        <w:t xml:space="preserve">clauses </w:t>
      </w:r>
      <w:proofErr w:type="gramStart"/>
      <w:r w:rsidR="00DB4BD9" w:rsidRPr="00EC6A64">
        <w:rPr>
          <w:sz w:val="22"/>
          <w:szCs w:val="22"/>
        </w:rPr>
        <w:t xml:space="preserve">can </w:t>
      </w:r>
      <w:r w:rsidRPr="00EC6A64">
        <w:rPr>
          <w:sz w:val="22"/>
          <w:szCs w:val="22"/>
        </w:rPr>
        <w:t>be indicated</w:t>
      </w:r>
      <w:proofErr w:type="gramEnd"/>
      <w:r w:rsidRPr="00EC6A64">
        <w:rPr>
          <w:sz w:val="22"/>
          <w:szCs w:val="22"/>
        </w:rPr>
        <w:t xml:space="preserve"> </w:t>
      </w:r>
      <w:r w:rsidR="005E2075" w:rsidRPr="00EC6A64">
        <w:rPr>
          <w:sz w:val="22"/>
          <w:szCs w:val="22"/>
        </w:rPr>
        <w:t>to cover particular situations</w:t>
      </w:r>
      <w:r w:rsidRPr="00EC6A64">
        <w:rPr>
          <w:sz w:val="22"/>
          <w:szCs w:val="22"/>
        </w:rPr>
        <w:t xml:space="preserve">. </w:t>
      </w:r>
    </w:p>
    <w:p w14:paraId="451ED1FA" w14:textId="77777777" w:rsidR="00CB06F5" w:rsidRPr="00EC6A64" w:rsidRDefault="00CB06F5" w:rsidP="00B8227D">
      <w:pPr>
        <w:spacing w:before="240" w:after="120"/>
        <w:ind w:left="1134" w:hanging="1134"/>
        <w:rPr>
          <w:b/>
        </w:rPr>
      </w:pPr>
      <w:r w:rsidRPr="00EC6A64">
        <w:rPr>
          <w:b/>
        </w:rPr>
        <w:t>Article 2</w:t>
      </w:r>
      <w:r w:rsidRPr="00EC6A64">
        <w:rPr>
          <w:b/>
        </w:rPr>
        <w:tab/>
        <w:t>Communications</w:t>
      </w:r>
    </w:p>
    <w:p w14:paraId="5C0FA6F6" w14:textId="77777777" w:rsidR="0097255E" w:rsidRPr="00EC6A64" w:rsidRDefault="00EF3B57" w:rsidP="0097255E">
      <w:pPr>
        <w:keepNext/>
        <w:keepLines/>
        <w:spacing w:after="120"/>
        <w:ind w:left="567" w:hanging="567"/>
        <w:rPr>
          <w:sz w:val="22"/>
          <w:szCs w:val="22"/>
        </w:rPr>
      </w:pPr>
      <w:r w:rsidRPr="00EC6A64">
        <w:rPr>
          <w:sz w:val="22"/>
          <w:szCs w:val="22"/>
        </w:rPr>
        <w:t>2.1</w:t>
      </w:r>
      <w:r w:rsidR="00B8227D" w:rsidRPr="00EC6A64">
        <w:rPr>
          <w:sz w:val="22"/>
          <w:szCs w:val="22"/>
        </w:rPr>
        <w:tab/>
      </w:r>
      <w:r w:rsidR="0097255E" w:rsidRPr="00EC6A64">
        <w:rPr>
          <w:sz w:val="22"/>
          <w:szCs w:val="22"/>
        </w:rPr>
        <w:t>Any written communication relating to this Contract between Contracting Authority and/or the Project Manager, on the one hand, and the Contractor on the other must state the Contract title and identification number, and must be sent by post, fax, e-mail or by hand.</w:t>
      </w:r>
    </w:p>
    <w:p w14:paraId="5F85195C" w14:textId="77777777" w:rsidR="0097255E" w:rsidRPr="00EC6A64" w:rsidRDefault="0097255E" w:rsidP="0097255E">
      <w:pPr>
        <w:keepNext/>
        <w:keepLines/>
        <w:spacing w:after="120"/>
        <w:ind w:left="567" w:hanging="567"/>
        <w:rPr>
          <w:sz w:val="22"/>
          <w:szCs w:val="22"/>
        </w:rPr>
      </w:pPr>
      <w:r w:rsidRPr="00EC6A64">
        <w:rPr>
          <w:sz w:val="22"/>
          <w:szCs w:val="22"/>
        </w:rPr>
        <w:t>For the Contracting Authority:</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6029"/>
      </w:tblGrid>
      <w:tr w:rsidR="0097255E" w:rsidRPr="00EC6A64" w14:paraId="5DB7042E" w14:textId="77777777" w:rsidTr="00DB6B1F">
        <w:tc>
          <w:tcPr>
            <w:tcW w:w="2233" w:type="dxa"/>
            <w:shd w:val="clear" w:color="auto" w:fill="D9D9D9"/>
            <w:vAlign w:val="center"/>
          </w:tcPr>
          <w:p w14:paraId="102AD124" w14:textId="77777777" w:rsidR="0097255E" w:rsidRPr="00EC6A64" w:rsidRDefault="0097255E" w:rsidP="00DB6B1F">
            <w:pPr>
              <w:keepNext/>
              <w:keepLines/>
              <w:spacing w:after="120"/>
              <w:jc w:val="left"/>
              <w:rPr>
                <w:b/>
                <w:sz w:val="22"/>
                <w:szCs w:val="22"/>
              </w:rPr>
            </w:pPr>
            <w:r w:rsidRPr="00EC6A64">
              <w:rPr>
                <w:b/>
                <w:sz w:val="22"/>
                <w:szCs w:val="22"/>
              </w:rPr>
              <w:t>Name:</w:t>
            </w:r>
          </w:p>
        </w:tc>
        <w:tc>
          <w:tcPr>
            <w:tcW w:w="6165" w:type="dxa"/>
            <w:vAlign w:val="center"/>
          </w:tcPr>
          <w:p w14:paraId="55A60913" w14:textId="77777777" w:rsidR="0097255E" w:rsidRPr="00EC6A64" w:rsidRDefault="0097255E" w:rsidP="00DB6B1F">
            <w:pPr>
              <w:keepNext/>
              <w:keepLines/>
              <w:spacing w:after="120"/>
              <w:jc w:val="left"/>
              <w:rPr>
                <w:sz w:val="22"/>
                <w:szCs w:val="22"/>
              </w:rPr>
            </w:pPr>
            <w:r w:rsidRPr="00EC6A64">
              <w:rPr>
                <w:sz w:val="22"/>
                <w:szCs w:val="22"/>
              </w:rPr>
              <w:t>Ministry of Construction, Transport and Infrastructure</w:t>
            </w:r>
          </w:p>
        </w:tc>
      </w:tr>
      <w:tr w:rsidR="0097255E" w:rsidRPr="00EC6A64" w14:paraId="336DAA12" w14:textId="77777777" w:rsidTr="00DB6B1F">
        <w:tc>
          <w:tcPr>
            <w:tcW w:w="2233" w:type="dxa"/>
            <w:shd w:val="clear" w:color="auto" w:fill="D9D9D9"/>
            <w:vAlign w:val="center"/>
          </w:tcPr>
          <w:p w14:paraId="5128303A" w14:textId="77777777" w:rsidR="0097255E" w:rsidRPr="00EC6A64" w:rsidRDefault="0097255E" w:rsidP="00DB6B1F">
            <w:pPr>
              <w:keepNext/>
              <w:keepLines/>
              <w:spacing w:after="120"/>
              <w:jc w:val="left"/>
              <w:rPr>
                <w:b/>
                <w:sz w:val="22"/>
                <w:szCs w:val="22"/>
              </w:rPr>
            </w:pPr>
            <w:r w:rsidRPr="00EC6A64">
              <w:rPr>
                <w:b/>
                <w:sz w:val="22"/>
                <w:szCs w:val="22"/>
              </w:rPr>
              <w:t>Address:</w:t>
            </w:r>
          </w:p>
        </w:tc>
        <w:tc>
          <w:tcPr>
            <w:tcW w:w="6165" w:type="dxa"/>
            <w:vAlign w:val="center"/>
          </w:tcPr>
          <w:p w14:paraId="0DCF00E8" w14:textId="77777777" w:rsidR="0097255E" w:rsidRPr="00EC6A64" w:rsidRDefault="0097255E" w:rsidP="00DB6B1F">
            <w:pPr>
              <w:spacing w:after="0"/>
              <w:jc w:val="left"/>
              <w:rPr>
                <w:sz w:val="22"/>
                <w:szCs w:val="22"/>
              </w:rPr>
            </w:pPr>
            <w:proofErr w:type="spellStart"/>
            <w:r w:rsidRPr="00EC6A64">
              <w:rPr>
                <w:sz w:val="22"/>
                <w:szCs w:val="22"/>
              </w:rPr>
              <w:t>Nemanjina</w:t>
            </w:r>
            <w:proofErr w:type="spellEnd"/>
            <w:r w:rsidRPr="00EC6A64">
              <w:rPr>
                <w:sz w:val="22"/>
                <w:szCs w:val="22"/>
              </w:rPr>
              <w:t xml:space="preserve"> 22-26, 11000 Belgrade, Republic of Serbia</w:t>
            </w:r>
          </w:p>
          <w:p w14:paraId="596283F8" w14:textId="77777777" w:rsidR="0097255E" w:rsidRPr="00EC6A64" w:rsidRDefault="0097255E" w:rsidP="00DB6B1F">
            <w:pPr>
              <w:spacing w:after="0"/>
              <w:jc w:val="left"/>
              <w:rPr>
                <w:sz w:val="22"/>
                <w:szCs w:val="22"/>
              </w:rPr>
            </w:pPr>
          </w:p>
        </w:tc>
      </w:tr>
      <w:tr w:rsidR="0097255E" w:rsidRPr="00EC6A64" w14:paraId="79904339" w14:textId="77777777" w:rsidTr="00DB6B1F">
        <w:tc>
          <w:tcPr>
            <w:tcW w:w="2233" w:type="dxa"/>
            <w:shd w:val="clear" w:color="auto" w:fill="D9D9D9"/>
            <w:vAlign w:val="center"/>
          </w:tcPr>
          <w:p w14:paraId="11223A60" w14:textId="77777777" w:rsidR="0097255E" w:rsidRPr="00EC6A64" w:rsidRDefault="0097255E" w:rsidP="00DB6B1F">
            <w:pPr>
              <w:keepNext/>
              <w:keepLines/>
              <w:spacing w:after="120"/>
              <w:jc w:val="left"/>
              <w:rPr>
                <w:b/>
                <w:sz w:val="22"/>
                <w:szCs w:val="22"/>
              </w:rPr>
            </w:pPr>
            <w:r w:rsidRPr="00EC6A64">
              <w:rPr>
                <w:b/>
                <w:sz w:val="22"/>
                <w:szCs w:val="22"/>
              </w:rPr>
              <w:t>Telephone and Fax:</w:t>
            </w:r>
          </w:p>
        </w:tc>
        <w:tc>
          <w:tcPr>
            <w:tcW w:w="6165" w:type="dxa"/>
            <w:vAlign w:val="center"/>
          </w:tcPr>
          <w:p w14:paraId="69263370" w14:textId="3493777F" w:rsidR="0097255E" w:rsidRPr="00EC6A64" w:rsidRDefault="0097255E" w:rsidP="00DB6B1F">
            <w:pPr>
              <w:spacing w:after="0"/>
              <w:jc w:val="left"/>
              <w:rPr>
                <w:sz w:val="22"/>
                <w:szCs w:val="22"/>
              </w:rPr>
            </w:pPr>
            <w:r w:rsidRPr="00EC6A64">
              <w:rPr>
                <w:sz w:val="22"/>
                <w:szCs w:val="22"/>
              </w:rPr>
              <w:t>Tel: +381 11 2691 402, Fax: +381 11 3616521</w:t>
            </w:r>
          </w:p>
        </w:tc>
      </w:tr>
      <w:tr w:rsidR="0097255E" w:rsidRPr="00EC6A64" w14:paraId="4FF6D8A8" w14:textId="77777777" w:rsidTr="00DB6B1F">
        <w:tc>
          <w:tcPr>
            <w:tcW w:w="2233" w:type="dxa"/>
            <w:shd w:val="clear" w:color="auto" w:fill="D9D9D9"/>
            <w:vAlign w:val="center"/>
          </w:tcPr>
          <w:p w14:paraId="2E6FE55C" w14:textId="77777777" w:rsidR="0097255E" w:rsidRPr="00EC6A64" w:rsidRDefault="0097255E" w:rsidP="00DB6B1F">
            <w:pPr>
              <w:keepNext/>
              <w:keepLines/>
              <w:spacing w:after="120"/>
              <w:jc w:val="left"/>
              <w:rPr>
                <w:b/>
                <w:sz w:val="22"/>
                <w:szCs w:val="22"/>
              </w:rPr>
            </w:pPr>
            <w:r w:rsidRPr="00EC6A64">
              <w:rPr>
                <w:b/>
                <w:sz w:val="22"/>
                <w:szCs w:val="22"/>
              </w:rPr>
              <w:t>e-mail:</w:t>
            </w:r>
          </w:p>
        </w:tc>
        <w:tc>
          <w:tcPr>
            <w:tcW w:w="6165" w:type="dxa"/>
            <w:vAlign w:val="center"/>
          </w:tcPr>
          <w:p w14:paraId="15BEB372" w14:textId="1D02B230" w:rsidR="0097255E" w:rsidRPr="00EC6A64" w:rsidRDefault="007D7733" w:rsidP="00DB6B1F">
            <w:pPr>
              <w:keepNext/>
              <w:keepLines/>
              <w:spacing w:after="120"/>
              <w:jc w:val="left"/>
              <w:rPr>
                <w:sz w:val="22"/>
                <w:szCs w:val="22"/>
              </w:rPr>
            </w:pPr>
            <w:hyperlink r:id="rId9" w:history="1">
              <w:r w:rsidR="00216CC1" w:rsidRPr="00216CC1">
                <w:rPr>
                  <w:rStyle w:val="Hyperlink"/>
                  <w:sz w:val="22"/>
                  <w:szCs w:val="22"/>
                </w:rPr>
                <w:t>aleksandar.banjac@mgsi.gov.rs</w:t>
              </w:r>
            </w:hyperlink>
            <w:r w:rsidR="0097255E" w:rsidRPr="00EC6A64">
              <w:rPr>
                <w:sz w:val="22"/>
                <w:szCs w:val="22"/>
              </w:rPr>
              <w:t xml:space="preserve"> </w:t>
            </w:r>
          </w:p>
        </w:tc>
      </w:tr>
    </w:tbl>
    <w:p w14:paraId="4BE2805E" w14:textId="77777777" w:rsidR="0097255E" w:rsidRPr="00EC6A64" w:rsidRDefault="0097255E" w:rsidP="0097255E">
      <w:pPr>
        <w:keepNext/>
        <w:keepLines/>
        <w:spacing w:after="120"/>
        <w:ind w:left="567" w:hanging="567"/>
        <w:rPr>
          <w:sz w:val="22"/>
          <w:szCs w:val="22"/>
        </w:rPr>
      </w:pPr>
    </w:p>
    <w:p w14:paraId="4B638019" w14:textId="77777777" w:rsidR="0097255E" w:rsidRPr="00EC6A64" w:rsidRDefault="0097255E" w:rsidP="0097255E">
      <w:pPr>
        <w:keepNext/>
        <w:keepLines/>
        <w:spacing w:after="120"/>
        <w:ind w:left="567" w:hanging="567"/>
        <w:rPr>
          <w:sz w:val="22"/>
          <w:szCs w:val="22"/>
        </w:rPr>
      </w:pPr>
      <w:r w:rsidRPr="00EC6A64">
        <w:rPr>
          <w:sz w:val="22"/>
          <w:szCs w:val="22"/>
        </w:rPr>
        <w:t>For the Contractor</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011"/>
      </w:tblGrid>
      <w:tr w:rsidR="0097255E" w:rsidRPr="00EC6A64" w14:paraId="6D3A6F22" w14:textId="77777777" w:rsidTr="00DB6B1F">
        <w:tc>
          <w:tcPr>
            <w:tcW w:w="2233" w:type="dxa"/>
            <w:shd w:val="clear" w:color="auto" w:fill="D9D9D9"/>
            <w:vAlign w:val="center"/>
          </w:tcPr>
          <w:p w14:paraId="433612C7" w14:textId="77777777" w:rsidR="0097255E" w:rsidRPr="00EC6A64" w:rsidRDefault="0097255E" w:rsidP="00DB6B1F">
            <w:pPr>
              <w:keepNext/>
              <w:keepLines/>
              <w:spacing w:after="120"/>
              <w:jc w:val="left"/>
              <w:rPr>
                <w:b/>
                <w:sz w:val="22"/>
                <w:szCs w:val="22"/>
              </w:rPr>
            </w:pPr>
            <w:r w:rsidRPr="00EC6A64">
              <w:rPr>
                <w:b/>
                <w:sz w:val="22"/>
                <w:szCs w:val="22"/>
              </w:rPr>
              <w:t>Name:</w:t>
            </w:r>
          </w:p>
        </w:tc>
        <w:tc>
          <w:tcPr>
            <w:tcW w:w="6165" w:type="dxa"/>
            <w:vAlign w:val="center"/>
          </w:tcPr>
          <w:p w14:paraId="0C7B3204" w14:textId="77777777" w:rsidR="0097255E" w:rsidRPr="00EC6A64" w:rsidRDefault="0097255E" w:rsidP="00DB6B1F">
            <w:pPr>
              <w:keepNext/>
              <w:keepLines/>
              <w:spacing w:after="120"/>
              <w:jc w:val="left"/>
              <w:rPr>
                <w:sz w:val="22"/>
                <w:szCs w:val="22"/>
              </w:rPr>
            </w:pPr>
            <w:r w:rsidRPr="00EC6A64">
              <w:rPr>
                <w:sz w:val="22"/>
                <w:szCs w:val="22"/>
              </w:rPr>
              <w:t xml:space="preserve"> </w:t>
            </w:r>
          </w:p>
        </w:tc>
      </w:tr>
      <w:tr w:rsidR="0097255E" w:rsidRPr="00EC6A64" w14:paraId="22E15E48" w14:textId="77777777" w:rsidTr="00DB6B1F">
        <w:tc>
          <w:tcPr>
            <w:tcW w:w="2233" w:type="dxa"/>
            <w:shd w:val="clear" w:color="auto" w:fill="D9D9D9"/>
            <w:vAlign w:val="center"/>
          </w:tcPr>
          <w:p w14:paraId="75C66794" w14:textId="77777777" w:rsidR="0097255E" w:rsidRPr="00EC6A64" w:rsidRDefault="0097255E" w:rsidP="00DB6B1F">
            <w:pPr>
              <w:keepNext/>
              <w:keepLines/>
              <w:spacing w:after="120"/>
              <w:jc w:val="left"/>
              <w:rPr>
                <w:b/>
                <w:sz w:val="22"/>
                <w:szCs w:val="22"/>
              </w:rPr>
            </w:pPr>
            <w:r w:rsidRPr="00EC6A64">
              <w:rPr>
                <w:b/>
                <w:sz w:val="22"/>
                <w:szCs w:val="22"/>
              </w:rPr>
              <w:t>Address:</w:t>
            </w:r>
          </w:p>
        </w:tc>
        <w:tc>
          <w:tcPr>
            <w:tcW w:w="6165" w:type="dxa"/>
            <w:vAlign w:val="center"/>
          </w:tcPr>
          <w:p w14:paraId="57809F43" w14:textId="77777777" w:rsidR="0097255E" w:rsidRPr="00EC6A64" w:rsidRDefault="0097255E" w:rsidP="00DB6B1F">
            <w:pPr>
              <w:spacing w:after="0"/>
              <w:jc w:val="left"/>
              <w:rPr>
                <w:sz w:val="22"/>
                <w:szCs w:val="22"/>
              </w:rPr>
            </w:pPr>
            <w:r w:rsidRPr="00EC6A64">
              <w:rPr>
                <w:sz w:val="22"/>
                <w:szCs w:val="22"/>
              </w:rPr>
              <w:t xml:space="preserve"> </w:t>
            </w:r>
          </w:p>
          <w:p w14:paraId="7C6AA8F9" w14:textId="77777777" w:rsidR="0097255E" w:rsidRPr="00EC6A64" w:rsidRDefault="0097255E" w:rsidP="00DB6B1F">
            <w:pPr>
              <w:spacing w:after="0"/>
              <w:jc w:val="left"/>
              <w:rPr>
                <w:sz w:val="22"/>
                <w:szCs w:val="22"/>
              </w:rPr>
            </w:pPr>
          </w:p>
        </w:tc>
      </w:tr>
      <w:tr w:rsidR="0097255E" w:rsidRPr="00EC6A64" w14:paraId="7E5168BF" w14:textId="77777777" w:rsidTr="00DB6B1F">
        <w:tc>
          <w:tcPr>
            <w:tcW w:w="2233" w:type="dxa"/>
            <w:shd w:val="clear" w:color="auto" w:fill="D9D9D9"/>
            <w:vAlign w:val="center"/>
          </w:tcPr>
          <w:p w14:paraId="3AEAB384" w14:textId="77777777" w:rsidR="0097255E" w:rsidRPr="00EC6A64" w:rsidRDefault="0097255E" w:rsidP="00DB6B1F">
            <w:pPr>
              <w:keepNext/>
              <w:keepLines/>
              <w:spacing w:after="120"/>
              <w:jc w:val="left"/>
              <w:rPr>
                <w:b/>
                <w:sz w:val="22"/>
                <w:szCs w:val="22"/>
              </w:rPr>
            </w:pPr>
            <w:r w:rsidRPr="00EC6A64">
              <w:rPr>
                <w:b/>
                <w:sz w:val="22"/>
                <w:szCs w:val="22"/>
              </w:rPr>
              <w:t>Telephone and Fax:</w:t>
            </w:r>
          </w:p>
        </w:tc>
        <w:tc>
          <w:tcPr>
            <w:tcW w:w="6165" w:type="dxa"/>
            <w:vAlign w:val="center"/>
          </w:tcPr>
          <w:p w14:paraId="58F5B41B" w14:textId="77777777" w:rsidR="0097255E" w:rsidRPr="00EC6A64" w:rsidRDefault="0097255E" w:rsidP="00DB6B1F">
            <w:pPr>
              <w:spacing w:after="0"/>
              <w:jc w:val="left"/>
              <w:rPr>
                <w:sz w:val="22"/>
                <w:szCs w:val="22"/>
              </w:rPr>
            </w:pPr>
            <w:r w:rsidRPr="00EC6A64">
              <w:rPr>
                <w:sz w:val="22"/>
                <w:szCs w:val="22"/>
              </w:rPr>
              <w:t xml:space="preserve"> </w:t>
            </w:r>
          </w:p>
          <w:p w14:paraId="650B51E3" w14:textId="77777777" w:rsidR="0097255E" w:rsidRPr="00EC6A64" w:rsidRDefault="0097255E" w:rsidP="00DB6B1F">
            <w:pPr>
              <w:keepNext/>
              <w:keepLines/>
              <w:spacing w:after="120"/>
              <w:jc w:val="left"/>
              <w:rPr>
                <w:sz w:val="22"/>
                <w:szCs w:val="22"/>
              </w:rPr>
            </w:pPr>
          </w:p>
        </w:tc>
      </w:tr>
      <w:tr w:rsidR="0097255E" w:rsidRPr="00EC6A64" w14:paraId="1A0CA3AF" w14:textId="77777777" w:rsidTr="00DB6B1F">
        <w:tc>
          <w:tcPr>
            <w:tcW w:w="2233" w:type="dxa"/>
            <w:shd w:val="clear" w:color="auto" w:fill="D9D9D9"/>
            <w:vAlign w:val="center"/>
          </w:tcPr>
          <w:p w14:paraId="142C6E30" w14:textId="77777777" w:rsidR="0097255E" w:rsidRPr="00EC6A64" w:rsidRDefault="0097255E" w:rsidP="00DB6B1F">
            <w:pPr>
              <w:keepNext/>
              <w:keepLines/>
              <w:spacing w:after="120"/>
              <w:jc w:val="left"/>
              <w:rPr>
                <w:b/>
                <w:sz w:val="22"/>
                <w:szCs w:val="22"/>
              </w:rPr>
            </w:pPr>
            <w:r w:rsidRPr="00EC6A64">
              <w:rPr>
                <w:b/>
                <w:sz w:val="22"/>
                <w:szCs w:val="22"/>
              </w:rPr>
              <w:t>e-mail:</w:t>
            </w:r>
          </w:p>
        </w:tc>
        <w:tc>
          <w:tcPr>
            <w:tcW w:w="6165" w:type="dxa"/>
            <w:vAlign w:val="center"/>
          </w:tcPr>
          <w:p w14:paraId="078BD23A" w14:textId="77777777" w:rsidR="0097255E" w:rsidRPr="00EC6A64" w:rsidRDefault="0097255E" w:rsidP="00DB6B1F">
            <w:pPr>
              <w:keepNext/>
              <w:keepLines/>
              <w:spacing w:after="120"/>
              <w:jc w:val="left"/>
              <w:rPr>
                <w:sz w:val="22"/>
                <w:szCs w:val="22"/>
              </w:rPr>
            </w:pPr>
          </w:p>
        </w:tc>
      </w:tr>
    </w:tbl>
    <w:p w14:paraId="4A6A3172" w14:textId="71F03548" w:rsidR="00CB06F5" w:rsidRPr="00EC6A64" w:rsidRDefault="00CB06F5" w:rsidP="00B8227D">
      <w:pPr>
        <w:keepNext/>
        <w:keepLines/>
        <w:spacing w:after="120"/>
        <w:ind w:left="567" w:hanging="567"/>
        <w:rPr>
          <w:sz w:val="22"/>
          <w:szCs w:val="22"/>
        </w:rPr>
      </w:pPr>
    </w:p>
    <w:p w14:paraId="66F7C325" w14:textId="77777777" w:rsidR="004F3059" w:rsidRPr="00EC6A64" w:rsidRDefault="004F3059" w:rsidP="004F3059">
      <w:pPr>
        <w:keepNext/>
        <w:keepLines/>
        <w:spacing w:after="120"/>
        <w:ind w:left="567" w:hanging="567"/>
        <w:rPr>
          <w:sz w:val="22"/>
          <w:szCs w:val="22"/>
        </w:rPr>
      </w:pPr>
      <w:r w:rsidRPr="00EC6A64">
        <w:rPr>
          <w:sz w:val="22"/>
          <w:szCs w:val="22"/>
        </w:rPr>
        <w:t>2.2</w:t>
      </w:r>
      <w:r w:rsidRPr="00EC6A64">
        <w:rPr>
          <w:sz w:val="22"/>
          <w:szCs w:val="22"/>
        </w:rPr>
        <w:tab/>
        <w:t>An electro</w:t>
      </w:r>
      <w:r w:rsidR="00174344" w:rsidRPr="00EC6A64">
        <w:rPr>
          <w:sz w:val="22"/>
          <w:szCs w:val="22"/>
        </w:rPr>
        <w:t>nic system will be used by the contracting a</w:t>
      </w:r>
      <w:r w:rsidRPr="00EC6A64">
        <w:rPr>
          <w:sz w:val="22"/>
          <w:szCs w:val="22"/>
        </w:rPr>
        <w:t>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r w:rsidR="005032DF" w:rsidRPr="00EC6A64">
        <w:rPr>
          <w:sz w:val="22"/>
          <w:szCs w:val="22"/>
        </w:rPr>
        <w:t xml:space="preserve"> With regard to interim and final reports, if they are required according to Article 26 or to the terms of reference, the contractor </w:t>
      </w:r>
      <w:proofErr w:type="gramStart"/>
      <w:r w:rsidR="005032DF" w:rsidRPr="00EC6A64">
        <w:rPr>
          <w:sz w:val="22"/>
          <w:szCs w:val="22"/>
        </w:rPr>
        <w:t>will be expected</w:t>
      </w:r>
      <w:proofErr w:type="gramEnd"/>
      <w:r w:rsidR="005032DF" w:rsidRPr="00EC6A64">
        <w:rPr>
          <w:sz w:val="22"/>
          <w:szCs w:val="22"/>
        </w:rPr>
        <w:t xml:space="preserve"> to use the forms in the electronic system for encoding and submitting the reports.</w:t>
      </w:r>
    </w:p>
    <w:p w14:paraId="4A064F63" w14:textId="77777777" w:rsidR="004F3059" w:rsidRPr="00EC6A64" w:rsidRDefault="004F3059" w:rsidP="004F3059">
      <w:pPr>
        <w:keepNext/>
        <w:keepLines/>
        <w:spacing w:after="120"/>
        <w:ind w:left="567" w:hanging="567"/>
        <w:rPr>
          <w:sz w:val="22"/>
          <w:szCs w:val="22"/>
        </w:rPr>
      </w:pPr>
      <w:r w:rsidRPr="00EC6A64">
        <w:rPr>
          <w:sz w:val="22"/>
          <w:szCs w:val="22"/>
        </w:rPr>
        <w:tab/>
        <w:t xml:space="preserve">The electronic management of the contract through the aforementioned system may commence on the date on which implementation of the contract starts, as described in Article 19 below, or </w:t>
      </w:r>
      <w:proofErr w:type="gramStart"/>
      <w:r w:rsidRPr="00EC6A64">
        <w:rPr>
          <w:sz w:val="22"/>
          <w:szCs w:val="22"/>
        </w:rPr>
        <w:t>at a later</w:t>
      </w:r>
      <w:r w:rsidR="00174344" w:rsidRPr="00EC6A64">
        <w:rPr>
          <w:sz w:val="22"/>
          <w:szCs w:val="22"/>
        </w:rPr>
        <w:t xml:space="preserve"> date</w:t>
      </w:r>
      <w:proofErr w:type="gramEnd"/>
      <w:r w:rsidR="00174344" w:rsidRPr="00EC6A64">
        <w:rPr>
          <w:sz w:val="22"/>
          <w:szCs w:val="22"/>
        </w:rPr>
        <w:t>.</w:t>
      </w:r>
      <w:r w:rsidR="005032DF" w:rsidRPr="00EC6A64">
        <w:t xml:space="preserve"> </w:t>
      </w:r>
      <w:r w:rsidR="005032DF" w:rsidRPr="00EC6A64">
        <w:rPr>
          <w:sz w:val="22"/>
          <w:szCs w:val="22"/>
        </w:rPr>
        <w:t>In the latter case, the contracting authority will inform the contractor in writing that he will be required to use the electronic system for all communications within a maximum period of 3 months</w:t>
      </w:r>
      <w:r w:rsidRPr="00EC6A64">
        <w:rPr>
          <w:sz w:val="22"/>
          <w:szCs w:val="22"/>
        </w:rPr>
        <w:t>.</w:t>
      </w:r>
    </w:p>
    <w:p w14:paraId="18E30493" w14:textId="77777777" w:rsidR="00186098" w:rsidRPr="00EC6A64" w:rsidRDefault="00186098" w:rsidP="00BD19DE">
      <w:pPr>
        <w:pStyle w:val="ListNumber"/>
        <w:numPr>
          <w:ilvl w:val="0"/>
          <w:numId w:val="0"/>
        </w:numPr>
        <w:tabs>
          <w:tab w:val="left" w:pos="1134"/>
        </w:tabs>
        <w:ind w:left="567" w:hanging="567"/>
        <w:rPr>
          <w:b/>
          <w:sz w:val="22"/>
          <w:szCs w:val="22"/>
          <w:lang w:val="en-US"/>
        </w:rPr>
      </w:pPr>
      <w:r w:rsidRPr="00EC6A64">
        <w:rPr>
          <w:b/>
          <w:sz w:val="22"/>
          <w:szCs w:val="22"/>
          <w:lang w:val="en-US"/>
        </w:rPr>
        <w:t>Article 7</w:t>
      </w:r>
      <w:r w:rsidRPr="00EC6A64">
        <w:rPr>
          <w:b/>
          <w:sz w:val="22"/>
          <w:szCs w:val="22"/>
          <w:lang w:val="en-US"/>
        </w:rPr>
        <w:tab/>
        <w:t xml:space="preserve">General </w:t>
      </w:r>
      <w:r w:rsidR="004E2AD3" w:rsidRPr="00EC6A64">
        <w:rPr>
          <w:b/>
          <w:sz w:val="22"/>
          <w:szCs w:val="22"/>
          <w:lang w:val="en-US"/>
        </w:rPr>
        <w:t>o</w:t>
      </w:r>
      <w:r w:rsidRPr="00EC6A64">
        <w:rPr>
          <w:b/>
          <w:sz w:val="22"/>
          <w:szCs w:val="22"/>
          <w:lang w:val="en-US"/>
        </w:rPr>
        <w:t>bligations</w:t>
      </w:r>
    </w:p>
    <w:p w14:paraId="583348F4" w14:textId="7F6972C4" w:rsidR="00186098" w:rsidRPr="00EC6A64" w:rsidRDefault="00186098" w:rsidP="00BD19DE">
      <w:pPr>
        <w:pStyle w:val="ListNumber"/>
        <w:numPr>
          <w:ilvl w:val="0"/>
          <w:numId w:val="0"/>
        </w:numPr>
        <w:ind w:left="567" w:hanging="567"/>
        <w:rPr>
          <w:sz w:val="22"/>
          <w:szCs w:val="22"/>
          <w:lang w:val="en-US"/>
        </w:rPr>
      </w:pPr>
      <w:r w:rsidRPr="00EC6A64">
        <w:rPr>
          <w:sz w:val="22"/>
          <w:szCs w:val="22"/>
          <w:lang w:val="en-US"/>
        </w:rPr>
        <w:t>7.8</w:t>
      </w:r>
      <w:r w:rsidRPr="00EC6A64">
        <w:rPr>
          <w:sz w:val="22"/>
          <w:szCs w:val="22"/>
          <w:lang w:val="en-US"/>
        </w:rPr>
        <w:tab/>
      </w:r>
      <w:r w:rsidR="0097255E" w:rsidRPr="00EC6A64">
        <w:rPr>
          <w:sz w:val="22"/>
          <w:szCs w:val="22"/>
          <w:lang w:val="en-US"/>
        </w:rPr>
        <w:t>The Contractor shall ensure the highest visibility to the financial contribution of the European Investment Bank</w:t>
      </w:r>
    </w:p>
    <w:p w14:paraId="208F6B3A" w14:textId="77777777" w:rsidR="0097255E" w:rsidRPr="00EC6A64" w:rsidRDefault="0097255E" w:rsidP="0097255E">
      <w:pPr>
        <w:pStyle w:val="ListNumber"/>
        <w:numPr>
          <w:ilvl w:val="0"/>
          <w:numId w:val="0"/>
        </w:numPr>
        <w:tabs>
          <w:tab w:val="left" w:pos="1134"/>
        </w:tabs>
        <w:spacing w:before="240" w:after="120"/>
        <w:ind w:left="562" w:hanging="562"/>
        <w:rPr>
          <w:b/>
          <w:sz w:val="22"/>
          <w:szCs w:val="22"/>
        </w:rPr>
      </w:pPr>
      <w:r w:rsidRPr="00EC6A64">
        <w:rPr>
          <w:b/>
          <w:sz w:val="22"/>
          <w:szCs w:val="22"/>
        </w:rPr>
        <w:t>Article 8</w:t>
      </w:r>
      <w:r w:rsidRPr="00EC6A64">
        <w:rPr>
          <w:b/>
          <w:sz w:val="22"/>
          <w:szCs w:val="22"/>
        </w:rPr>
        <w:tab/>
        <w:t>Code of Conduct</w:t>
      </w:r>
    </w:p>
    <w:p w14:paraId="39114652" w14:textId="77777777" w:rsidR="0097255E" w:rsidRPr="00EC6A64" w:rsidRDefault="0097255E" w:rsidP="0097255E">
      <w:pPr>
        <w:pStyle w:val="ListNumber"/>
        <w:numPr>
          <w:ilvl w:val="0"/>
          <w:numId w:val="0"/>
        </w:numPr>
        <w:ind w:left="567" w:hanging="567"/>
        <w:rPr>
          <w:sz w:val="22"/>
          <w:szCs w:val="22"/>
        </w:rPr>
      </w:pPr>
      <w:r w:rsidRPr="00EC6A64">
        <w:rPr>
          <w:sz w:val="22"/>
          <w:szCs w:val="22"/>
        </w:rPr>
        <w:t>8.8</w:t>
      </w:r>
      <w:r w:rsidRPr="00EC6A64">
        <w:rPr>
          <w:sz w:val="22"/>
          <w:szCs w:val="22"/>
        </w:rPr>
        <w:tab/>
        <w:t xml:space="preserve">Guide to Procurement for projects financed by the European Investment Bank, September 2018 (available at </w:t>
      </w:r>
      <w:hyperlink r:id="rId10" w:history="1">
        <w:r w:rsidRPr="00EC6A64">
          <w:rPr>
            <w:rStyle w:val="Hyperlink"/>
            <w:sz w:val="22"/>
            <w:szCs w:val="22"/>
          </w:rPr>
          <w:t>https://www.eib.org/attachments/strategies/guide_to_procurement_en.pdf</w:t>
        </w:r>
      </w:hyperlink>
      <w:r w:rsidRPr="00EC6A64">
        <w:rPr>
          <w:sz w:val="22"/>
          <w:szCs w:val="22"/>
        </w:rPr>
        <w:t xml:space="preserve">) </w:t>
      </w:r>
      <w:r w:rsidRPr="00EC6A64">
        <w:rPr>
          <w:sz w:val="22"/>
          <w:szCs w:val="22"/>
        </w:rPr>
        <w:lastRenderedPageBreak/>
        <w:t>is applicable to this contract, including the Section 1.4 (Ethical Conduct), Section 1.5 (Conflict of Interest), Section 1.7 (mandatory compliance with EIB's environmental and social safeguards), and Section 3.6 (Prohibited Conduct – Covenant of Integrity), as well as the Anti-fraud policy of the European Investment Bank (</w:t>
      </w:r>
      <w:hyperlink r:id="rId11" w:history="1">
        <w:r w:rsidRPr="00EC6A64">
          <w:rPr>
            <w:rStyle w:val="Hyperlink"/>
            <w:sz w:val="22"/>
            <w:szCs w:val="22"/>
          </w:rPr>
          <w:t>http://www.eib.org/infocentre/publications/all/anti-fraud-policy.htm)</w:t>
        </w:r>
      </w:hyperlink>
      <w:r w:rsidRPr="00EC6A64">
        <w:rPr>
          <w:sz w:val="22"/>
          <w:szCs w:val="22"/>
        </w:rPr>
        <w:t>.</w:t>
      </w:r>
    </w:p>
    <w:p w14:paraId="66C37EBE" w14:textId="77777777" w:rsidR="0097255E" w:rsidRPr="00EC6A64" w:rsidRDefault="0097255E" w:rsidP="0097255E">
      <w:pPr>
        <w:pStyle w:val="ListNumber"/>
        <w:numPr>
          <w:ilvl w:val="0"/>
          <w:numId w:val="0"/>
        </w:numPr>
        <w:tabs>
          <w:tab w:val="left" w:pos="1134"/>
        </w:tabs>
        <w:spacing w:before="240" w:after="120"/>
        <w:ind w:left="562" w:hanging="562"/>
        <w:rPr>
          <w:b/>
          <w:sz w:val="22"/>
          <w:szCs w:val="22"/>
        </w:rPr>
      </w:pPr>
      <w:r w:rsidRPr="00EC6A64">
        <w:rPr>
          <w:b/>
          <w:sz w:val="22"/>
          <w:szCs w:val="22"/>
        </w:rPr>
        <w:t>Article 9</w:t>
      </w:r>
      <w:r w:rsidRPr="00EC6A64">
        <w:rPr>
          <w:b/>
          <w:sz w:val="22"/>
          <w:szCs w:val="22"/>
        </w:rPr>
        <w:tab/>
        <w:t>Conflict of Interest</w:t>
      </w:r>
    </w:p>
    <w:p w14:paraId="74E23FBF" w14:textId="43CD6B69" w:rsidR="0097255E" w:rsidRPr="00EC6A64" w:rsidRDefault="0097255E" w:rsidP="0097255E">
      <w:pPr>
        <w:pStyle w:val="ListNumber"/>
        <w:numPr>
          <w:ilvl w:val="0"/>
          <w:numId w:val="0"/>
        </w:numPr>
        <w:ind w:left="567" w:hanging="567"/>
        <w:rPr>
          <w:sz w:val="22"/>
          <w:szCs w:val="22"/>
        </w:rPr>
      </w:pPr>
      <w:r w:rsidRPr="00EC6A64">
        <w:rPr>
          <w:sz w:val="22"/>
          <w:szCs w:val="22"/>
        </w:rPr>
        <w:t>9.7</w:t>
      </w:r>
      <w:r w:rsidRPr="00EC6A64">
        <w:rPr>
          <w:sz w:val="22"/>
          <w:szCs w:val="22"/>
        </w:rPr>
        <w:tab/>
        <w:t xml:space="preserve">Guide to Procurement for projects financed by the European Investment Bank, </w:t>
      </w:r>
      <w:r w:rsidR="00596B41">
        <w:rPr>
          <w:sz w:val="22"/>
          <w:szCs w:val="22"/>
        </w:rPr>
        <w:t xml:space="preserve">edition 2024 </w:t>
      </w:r>
      <w:r w:rsidRPr="00EC6A64">
        <w:rPr>
          <w:sz w:val="22"/>
          <w:szCs w:val="22"/>
        </w:rPr>
        <w:t xml:space="preserve"> (available at </w:t>
      </w:r>
      <w:hyperlink r:id="rId12" w:history="1">
        <w:r w:rsidRPr="00EC6A64">
          <w:rPr>
            <w:rStyle w:val="Hyperlink"/>
            <w:sz w:val="22"/>
            <w:szCs w:val="22"/>
          </w:rPr>
          <w:t>https://www.eib.org/attachments/strategies/guide_to_procurement_en.pdf</w:t>
        </w:r>
      </w:hyperlink>
      <w:r w:rsidRPr="00EC6A64">
        <w:rPr>
          <w:sz w:val="22"/>
          <w:szCs w:val="22"/>
        </w:rPr>
        <w:t>) is applicable to this contract, including the Section 1.5 (Conflict of Interest).</w:t>
      </w:r>
    </w:p>
    <w:p w14:paraId="26B484D7" w14:textId="77777777" w:rsidR="0097255E" w:rsidRPr="00EC6A64" w:rsidRDefault="0097255E" w:rsidP="0097255E">
      <w:pPr>
        <w:pStyle w:val="ListNumber"/>
        <w:numPr>
          <w:ilvl w:val="0"/>
          <w:numId w:val="0"/>
        </w:numPr>
        <w:tabs>
          <w:tab w:val="left" w:pos="1134"/>
        </w:tabs>
        <w:spacing w:before="240" w:after="120"/>
        <w:ind w:left="562" w:hanging="562"/>
        <w:rPr>
          <w:b/>
          <w:sz w:val="22"/>
          <w:szCs w:val="22"/>
        </w:rPr>
      </w:pPr>
      <w:r w:rsidRPr="00EC6A64">
        <w:rPr>
          <w:b/>
          <w:sz w:val="22"/>
          <w:szCs w:val="22"/>
        </w:rPr>
        <w:t>Article 10</w:t>
      </w:r>
      <w:r w:rsidRPr="00EC6A64">
        <w:rPr>
          <w:b/>
          <w:sz w:val="22"/>
          <w:szCs w:val="22"/>
        </w:rPr>
        <w:tab/>
        <w:t>Administrative Sanctions</w:t>
      </w:r>
    </w:p>
    <w:p w14:paraId="7658E8B8" w14:textId="3A9E7F40" w:rsidR="0097255E" w:rsidRDefault="0097255E" w:rsidP="0097255E">
      <w:pPr>
        <w:pStyle w:val="ListNumber"/>
        <w:numPr>
          <w:ilvl w:val="0"/>
          <w:numId w:val="0"/>
        </w:numPr>
        <w:ind w:left="567" w:hanging="567"/>
        <w:rPr>
          <w:sz w:val="22"/>
          <w:szCs w:val="22"/>
        </w:rPr>
      </w:pPr>
      <w:r w:rsidRPr="00EC6A64">
        <w:rPr>
          <w:sz w:val="22"/>
          <w:szCs w:val="22"/>
        </w:rPr>
        <w:t>10.5</w:t>
      </w:r>
      <w:r w:rsidRPr="00EC6A64">
        <w:rPr>
          <w:sz w:val="22"/>
          <w:szCs w:val="22"/>
        </w:rPr>
        <w:tab/>
        <w:t xml:space="preserve">Guide to Procurement for projects financed by the European Investment Bank, </w:t>
      </w:r>
      <w:r w:rsidR="00596B41">
        <w:rPr>
          <w:sz w:val="22"/>
          <w:szCs w:val="22"/>
        </w:rPr>
        <w:t xml:space="preserve">edition 2024 </w:t>
      </w:r>
      <w:r w:rsidRPr="00EC6A64">
        <w:rPr>
          <w:sz w:val="22"/>
          <w:szCs w:val="22"/>
        </w:rPr>
        <w:t xml:space="preserve"> (available at </w:t>
      </w:r>
      <w:hyperlink r:id="rId13" w:history="1">
        <w:r w:rsidRPr="00EC6A64">
          <w:rPr>
            <w:rStyle w:val="Hyperlink"/>
            <w:sz w:val="22"/>
            <w:szCs w:val="22"/>
          </w:rPr>
          <w:t>https://www.eib.org/attachments/strategies/guide_to_procurement_en.pdf</w:t>
        </w:r>
      </w:hyperlink>
      <w:r w:rsidRPr="00EC6A64">
        <w:rPr>
          <w:sz w:val="22"/>
          <w:szCs w:val="22"/>
        </w:rPr>
        <w:t>) is applicable to this contract, including the Section 1.4 (Ethical Conduct), Section 1.5 (Conflict of Interest), Section 1.7 (mandatory compliance with EIB's environmental and social safeguards), and Section 3.6 (Prohibited Conduct – Covenant of Integrity), as well as the Anti-fraud policy of the European Investment Bank (</w:t>
      </w:r>
      <w:hyperlink r:id="rId14" w:history="1">
        <w:r w:rsidRPr="00EC6A64">
          <w:rPr>
            <w:rStyle w:val="Hyperlink"/>
            <w:sz w:val="22"/>
            <w:szCs w:val="22"/>
          </w:rPr>
          <w:t>http://www.eib.org/infocentre/publications/all/anti-fraud-policy.htm)</w:t>
        </w:r>
      </w:hyperlink>
      <w:r w:rsidRPr="00EC6A64">
        <w:rPr>
          <w:sz w:val="22"/>
          <w:szCs w:val="22"/>
        </w:rPr>
        <w:t>. It should be noted that, in the Covenant of Integrity, the Contractor is requested to self-declare all sanctions and/or exclusions (including any similar decisions having the effect of imposing conditions on the tenderer or its subsidiaries or to exclude the said tenderer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and/or exclusion. In this regard, any omission or misrepresentation, made knowingly or recklessly, may be considered as fraud under the EIB Anti-Fraud Policy. Therefore, the Client reserves the right to cancel the Contract presenting an inaccurate or incomplete Covenant of Integrity, for prohibited conduct.</w:t>
      </w:r>
    </w:p>
    <w:p w14:paraId="4B86E30B" w14:textId="4B23E147" w:rsidR="006101E3" w:rsidRPr="00C407F9" w:rsidRDefault="006101E3" w:rsidP="006101E3">
      <w:pPr>
        <w:rPr>
          <w:i/>
          <w:iCs/>
        </w:rPr>
      </w:pPr>
      <w:r w:rsidRPr="00C407F9">
        <w:t>IMPOTANT</w:t>
      </w:r>
      <w:r w:rsidR="008C3140">
        <w:t xml:space="preserve">: </w:t>
      </w:r>
      <w:r w:rsidRPr="00C407F9">
        <w:t>“</w:t>
      </w:r>
      <w:r w:rsidRPr="00C407F9">
        <w:rPr>
          <w:i/>
          <w:iCs/>
        </w:rPr>
        <w:t>It should be noted that, in the Covenant of Integrity, the Contractor is requested to self-declare all sanctions and/or exclusions (including any similar decisions having the effect of imposing conditions on the tenderer or its subsidiaries or to exclude the said tenderer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and/or exclusion. In this regard, any omission or misrepresentation, made knowingly or recklessly, may be considered as fraud under the EIB Anti-Fraud Policy. Therefore, the Client reserves the right to cancel the Contract presenting an inaccurate or incomplete Covenant of Integrity, for prohibited conduct</w:t>
      </w:r>
      <w:r w:rsidRPr="00C407F9">
        <w:t xml:space="preserve">.” should be replaced by: </w:t>
      </w:r>
      <w:r w:rsidRPr="00C407F9">
        <w:rPr>
          <w:i/>
          <w:iCs/>
        </w:rPr>
        <w:t xml:space="preserve">“IMPORTANT: It should be noted that, in the Covenant of Integrity, the tenderer is requested to self-declare all sanctions and/or exclusions (including any similar decisions having the effect of imposing conditions on the tenderer or its subsidiaries or to exclude the said tenderer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w:t>
      </w:r>
      <w:r w:rsidRPr="00C407F9">
        <w:rPr>
          <w:i/>
          <w:iCs/>
        </w:rPr>
        <w:lastRenderedPageBreak/>
        <w:t>issue and the expiration or not of such decisions and of the current status of any sanction and/or exclusion. In this regard, any omission or misrepresentation, made knowingly or recklessly, may be considered as fraud under the EIB Anti-Fraud Policy. Therefore, the Client reserves the right to reject any offer presenting an inaccurate or incomplete Covenant of Integrity and may cause the rejection of the offer for prohibited conduct.”</w:t>
      </w:r>
    </w:p>
    <w:p w14:paraId="10C1096C" w14:textId="77777777" w:rsidR="006101E3" w:rsidRPr="00C407F9" w:rsidRDefault="006101E3" w:rsidP="006101E3">
      <w:pPr>
        <w:rPr>
          <w:i/>
          <w:iCs/>
        </w:rPr>
      </w:pPr>
      <w:r w:rsidRPr="00C407F9">
        <w:rPr>
          <w:i/>
          <w:iCs/>
        </w:rPr>
        <w:t>IMPORTANT: It should be noted that, in the Covenant of Integrity, the tenderer bidder is requested to self-declare on its behalf and on behalf of its joint venture partners, if any,  that neither the tenderer nor anyone, including any of its directors, employees, agents or subcontractors for the Contract, acting on its behalf with due authority or with its knowledge or consent or facilitated by it,  nor any of its parent, subsidiary or affiliate companies are subject to any of the instances  detailed in the Covenant of Integrity:</w:t>
      </w:r>
    </w:p>
    <w:p w14:paraId="58932157" w14:textId="77777777" w:rsidR="006101E3" w:rsidRPr="00C407F9" w:rsidRDefault="006101E3" w:rsidP="006101E3">
      <w:pPr>
        <w:rPr>
          <w:i/>
          <w:iCs/>
        </w:rPr>
      </w:pPr>
      <w:r w:rsidRPr="00C407F9">
        <w:rPr>
          <w:i/>
          <w:iCs/>
        </w:rPr>
        <w:t>(</w:t>
      </w:r>
      <w:proofErr w:type="spellStart"/>
      <w:r w:rsidRPr="00C407F9">
        <w:rPr>
          <w:i/>
          <w:iCs/>
        </w:rPr>
        <w:t>i</w:t>
      </w:r>
      <w:proofErr w:type="spellEnd"/>
      <w:r w:rsidRPr="00C407F9">
        <w:rPr>
          <w:i/>
          <w:iCs/>
        </w:rPr>
        <w:t>)</w:t>
      </w:r>
      <w:r w:rsidRPr="00C407F9">
        <w:rPr>
          <w:i/>
          <w:iCs/>
        </w:rPr>
        <w:tab/>
        <w:t>any Prohibited Conduct in connection with the tendering process and the commitment that neither the Bidder nor the Associated Entities and Persons will engage in such Prohibited Conduct during the execution of the Contract. Prohibited Conduct includes corruption, fraud, collusion, coercion, obstruction, theft at EIB Group premises, misuse of EIB Group resources or assets, money laundering or financing of terrorism, all as defined in the EIB Group Anti-Fraud Policy, available at https://www.eib.org/en/publications/anti-fraud-policy and as amended from time to time.</w:t>
      </w:r>
    </w:p>
    <w:p w14:paraId="1F72EDC9" w14:textId="77777777" w:rsidR="006101E3" w:rsidRPr="00C407F9" w:rsidRDefault="006101E3" w:rsidP="006101E3">
      <w:pPr>
        <w:rPr>
          <w:i/>
          <w:iCs/>
        </w:rPr>
      </w:pPr>
      <w:r w:rsidRPr="00C407F9">
        <w:rPr>
          <w:i/>
          <w:iCs/>
        </w:rPr>
        <w:t>(ii)</w:t>
      </w:r>
      <w:r w:rsidRPr="00C407F9">
        <w:rPr>
          <w:i/>
          <w:iCs/>
        </w:rPr>
        <w:tab/>
        <w:t>EU/United Nations sanctions: EU sanctions or restrictive measures pursuant to Chapter 2 of Title V of the EU Treaty and the objectives of the Common Foreign and Security Policy set out in Article 21 of the EU Treaty and Article 215 of the Treaty on the Functioning of the EU, either autonomously or pursuant to the sanctions decided by the United Nations Security Council on the basis of Article 41 of the United Nations Charter.</w:t>
      </w:r>
    </w:p>
    <w:p w14:paraId="1718F012" w14:textId="77777777" w:rsidR="006101E3" w:rsidRPr="00C407F9" w:rsidRDefault="006101E3" w:rsidP="006101E3">
      <w:pPr>
        <w:rPr>
          <w:i/>
          <w:iCs/>
        </w:rPr>
      </w:pPr>
      <w:r w:rsidRPr="00C407F9">
        <w:rPr>
          <w:i/>
          <w:iCs/>
        </w:rPr>
        <w:t>(iii)</w:t>
      </w:r>
      <w:r w:rsidRPr="00C407F9">
        <w:rPr>
          <w:i/>
          <w:iCs/>
        </w:rPr>
        <w:tab/>
        <w:t>Any exclusion by the European Investment Bank;</w:t>
      </w:r>
    </w:p>
    <w:p w14:paraId="32BE90EC" w14:textId="77777777" w:rsidR="006101E3" w:rsidRPr="00C407F9" w:rsidRDefault="006101E3" w:rsidP="006101E3">
      <w:pPr>
        <w:rPr>
          <w:i/>
          <w:iCs/>
        </w:rPr>
      </w:pPr>
      <w:r w:rsidRPr="00C407F9">
        <w:rPr>
          <w:i/>
          <w:iCs/>
        </w:rPr>
        <w:t>(iv)</w:t>
      </w:r>
      <w:r w:rsidRPr="00C407F9">
        <w:rPr>
          <w:i/>
          <w:iCs/>
        </w:rPr>
        <w:tab/>
        <w:t>Any conviction in any court or any sanction (including a fine or any other financial penalty, irrespective of whether paid yet or not) by any authority (irrespective of whether such conviction or sanction is still in force) of any offence on grounds comparable to Prohibited Conduct in connection with a tendering process or any provision of works, goods or services, during the 5 (five) years immediately preceding the date of this Covenant;</w:t>
      </w:r>
    </w:p>
    <w:p w14:paraId="53CA71EB" w14:textId="77777777" w:rsidR="006101E3" w:rsidRPr="00C407F9" w:rsidRDefault="006101E3" w:rsidP="006101E3">
      <w:pPr>
        <w:rPr>
          <w:i/>
          <w:iCs/>
        </w:rPr>
      </w:pPr>
      <w:r w:rsidRPr="00C407F9">
        <w:rPr>
          <w:i/>
          <w:iCs/>
        </w:rPr>
        <w:t>(v)</w:t>
      </w:r>
      <w:r w:rsidRPr="00C407F9">
        <w:rPr>
          <w:i/>
          <w:iCs/>
        </w:rPr>
        <w:tab/>
        <w:t>Any exclusion or enforcement actions or sanction (including any decision having an effect similar to conditional non-exclusion, temporary suspension, letters of reprimand, or self-restraint) by the EU institutions or bodies, or any multilateral development bank, on grounds comparable to Prohibited Conduct, or have been under such exclusion, enforcement action or sanction the effectiveness of which ceased no more than 5 (five) years immediately preceding the date of this Covenant. Multilateral development bank includes the World Bank Group, the African Development Bank, the Asian Development Bank, the European Bank for Reconstruction and Development, the European Investment Bank and the Inter-American Development Bank.</w:t>
      </w:r>
    </w:p>
    <w:p w14:paraId="18812974" w14:textId="77777777" w:rsidR="006101E3" w:rsidRPr="00C407F9" w:rsidRDefault="006101E3" w:rsidP="006101E3">
      <w:pPr>
        <w:rPr>
          <w:i/>
          <w:iCs/>
        </w:rPr>
      </w:pPr>
      <w:r w:rsidRPr="00C407F9">
        <w:rPr>
          <w:i/>
          <w:iCs/>
        </w:rPr>
        <w:t>If applicable, the bidder shall provide the details of all convictions, exclusions or other sanctions, exclusion/sanctions proceedings, and/or enforcement actions, listed above under paragraphs (</w:t>
      </w:r>
      <w:proofErr w:type="spellStart"/>
      <w:r w:rsidRPr="00C407F9">
        <w:rPr>
          <w:i/>
          <w:iCs/>
        </w:rPr>
        <w:t>i</w:t>
      </w:r>
      <w:proofErr w:type="spellEnd"/>
      <w:r w:rsidRPr="00C407F9">
        <w:rPr>
          <w:i/>
          <w:iCs/>
        </w:rPr>
        <w:t>) to (v), in respect of the bidder or any of its directors, employees, agents or subcontractors for the Contract, acting on its behalf with due authority or with its knowledge or consent or facilitated by it, together with details of the measures taken, or to be taken, to ensure that no Prohibited Conduct is committed in connection with the tendering process or with the execution of the Contract.</w:t>
      </w:r>
    </w:p>
    <w:p w14:paraId="76BDA8DE" w14:textId="2E1FFBE4" w:rsidR="006101E3" w:rsidRDefault="006101E3" w:rsidP="006101E3">
      <w:pPr>
        <w:pStyle w:val="ListNumber"/>
        <w:numPr>
          <w:ilvl w:val="0"/>
          <w:numId w:val="0"/>
        </w:numPr>
        <w:ind w:left="567" w:hanging="567"/>
        <w:rPr>
          <w:i/>
          <w:iCs/>
        </w:rPr>
      </w:pPr>
      <w:r w:rsidRPr="00C407F9">
        <w:rPr>
          <w:i/>
          <w:iCs/>
        </w:rPr>
        <w:lastRenderedPageBreak/>
        <w:t>In this regard, any omission or misrepresentation, made knowingly or recklessly, may be considered as fraud under the EIB Anti-Fraud Policy. Therefore, the Client/Employer reserves the right to reject any offer presenting an inaccurate or incomplete Covenant of Integrity and may cause the rejection of the offer for prohibited conduct.”</w:t>
      </w:r>
    </w:p>
    <w:p w14:paraId="14C63174" w14:textId="0FF7F428" w:rsidR="004523C7" w:rsidRPr="004523C7" w:rsidRDefault="004523C7" w:rsidP="006101E3">
      <w:pPr>
        <w:pStyle w:val="ListNumber"/>
        <w:numPr>
          <w:ilvl w:val="0"/>
          <w:numId w:val="0"/>
        </w:numPr>
        <w:ind w:left="567" w:hanging="567"/>
        <w:rPr>
          <w:b/>
          <w:bCs/>
          <w:sz w:val="22"/>
          <w:szCs w:val="22"/>
        </w:rPr>
      </w:pPr>
      <w:r>
        <w:rPr>
          <w:b/>
          <w:bCs/>
        </w:rPr>
        <w:t>Article 11 Specifications and Designs – Not applicable.</w:t>
      </w:r>
    </w:p>
    <w:p w14:paraId="4BE4D906" w14:textId="77777777" w:rsidR="0097255E" w:rsidRPr="00EC6A64" w:rsidRDefault="0097255E" w:rsidP="0097255E">
      <w:pPr>
        <w:tabs>
          <w:tab w:val="left" w:pos="1134"/>
        </w:tabs>
        <w:spacing w:before="240" w:after="120"/>
        <w:ind w:left="1134" w:hanging="1134"/>
        <w:rPr>
          <w:b/>
        </w:rPr>
      </w:pPr>
      <w:r w:rsidRPr="00EC6A64">
        <w:rPr>
          <w:b/>
        </w:rPr>
        <w:t>Article 19</w:t>
      </w:r>
      <w:r w:rsidRPr="00EC6A64">
        <w:rPr>
          <w:b/>
        </w:rPr>
        <w:tab/>
        <w:t>Implementation of the tasks and delays</w:t>
      </w:r>
    </w:p>
    <w:p w14:paraId="25669086" w14:textId="77777777" w:rsidR="0097255E" w:rsidRPr="00EC6A64" w:rsidRDefault="0097255E" w:rsidP="0097255E">
      <w:pPr>
        <w:spacing w:after="0"/>
        <w:ind w:left="567" w:hanging="567"/>
        <w:rPr>
          <w:sz w:val="22"/>
          <w:szCs w:val="22"/>
        </w:rPr>
      </w:pPr>
      <w:r w:rsidRPr="00EC6A64">
        <w:rPr>
          <w:sz w:val="22"/>
          <w:szCs w:val="22"/>
        </w:rPr>
        <w:t>19.1</w:t>
      </w:r>
      <w:r w:rsidRPr="00EC6A64">
        <w:rPr>
          <w:b/>
          <w:sz w:val="22"/>
          <w:szCs w:val="22"/>
        </w:rPr>
        <w:tab/>
      </w:r>
      <w:r w:rsidRPr="00EC6A64">
        <w:rPr>
          <w:sz w:val="22"/>
          <w:szCs w:val="22"/>
        </w:rPr>
        <w:t>The date on which implementation starts shall be within 3 months of the signature of this contract by both parties and shall be set in an administrative notice issued by the project manager.</w:t>
      </w:r>
    </w:p>
    <w:p w14:paraId="6AC33A3F" w14:textId="46355073" w:rsidR="0097255E" w:rsidRPr="00EC6A64" w:rsidRDefault="0097255E" w:rsidP="0097255E">
      <w:pPr>
        <w:spacing w:after="120"/>
        <w:ind w:left="567" w:hanging="567"/>
        <w:rPr>
          <w:sz w:val="22"/>
          <w:szCs w:val="22"/>
        </w:rPr>
      </w:pPr>
      <w:r w:rsidRPr="00EC6A64">
        <w:rPr>
          <w:sz w:val="22"/>
          <w:szCs w:val="22"/>
        </w:rPr>
        <w:t>19.2</w:t>
      </w:r>
      <w:r w:rsidRPr="00EC6A64">
        <w:rPr>
          <w:sz w:val="22"/>
          <w:szCs w:val="22"/>
        </w:rPr>
        <w:tab/>
        <w:t xml:space="preserve">The period for implementing the tasks is </w:t>
      </w:r>
      <w:proofErr w:type="gramStart"/>
      <w:r w:rsidR="006101E3">
        <w:rPr>
          <w:sz w:val="22"/>
          <w:szCs w:val="22"/>
        </w:rPr>
        <w:t xml:space="preserve">54 </w:t>
      </w:r>
      <w:r w:rsidRPr="00EC6A64">
        <w:rPr>
          <w:sz w:val="22"/>
          <w:szCs w:val="22"/>
        </w:rPr>
        <w:t xml:space="preserve"> months</w:t>
      </w:r>
      <w:proofErr w:type="gramEnd"/>
      <w:r w:rsidR="00283419" w:rsidRPr="00EC6A64">
        <w:rPr>
          <w:sz w:val="22"/>
          <w:szCs w:val="22"/>
        </w:rPr>
        <w:t xml:space="preserve"> </w:t>
      </w:r>
      <w:r w:rsidRPr="00EC6A64">
        <w:rPr>
          <w:sz w:val="22"/>
          <w:szCs w:val="22"/>
        </w:rPr>
        <w:t xml:space="preserve"> from the start date.</w:t>
      </w:r>
    </w:p>
    <w:p w14:paraId="64500B60" w14:textId="77777777" w:rsidR="002B5B66" w:rsidRPr="00EC6A64" w:rsidRDefault="002B5B66" w:rsidP="0097255E">
      <w:pPr>
        <w:spacing w:after="120"/>
        <w:ind w:left="567" w:hanging="567"/>
        <w:rPr>
          <w:sz w:val="22"/>
          <w:szCs w:val="22"/>
        </w:rPr>
      </w:pPr>
    </w:p>
    <w:p w14:paraId="3A36E687" w14:textId="77777777" w:rsidR="002B5B66" w:rsidRPr="00EC6A64" w:rsidRDefault="002B5B66" w:rsidP="002B5B66">
      <w:pPr>
        <w:keepNext/>
        <w:keepLines/>
        <w:tabs>
          <w:tab w:val="left" w:pos="1134"/>
        </w:tabs>
        <w:spacing w:before="240" w:after="120"/>
        <w:ind w:left="1134" w:hanging="1134"/>
        <w:rPr>
          <w:b/>
        </w:rPr>
      </w:pPr>
      <w:r w:rsidRPr="00EC6A64">
        <w:rPr>
          <w:b/>
        </w:rPr>
        <w:t>Article 25</w:t>
      </w:r>
      <w:r w:rsidRPr="00EC6A64">
        <w:rPr>
          <w:b/>
        </w:rPr>
        <w:tab/>
        <w:t>Verifications, Checks and Audits by European Union Bodies</w:t>
      </w:r>
    </w:p>
    <w:p w14:paraId="6736A833" w14:textId="77777777" w:rsidR="002B5B66" w:rsidRPr="00EC6A64" w:rsidRDefault="002B5B66" w:rsidP="002B5B66">
      <w:pPr>
        <w:keepNext/>
        <w:keepLines/>
        <w:tabs>
          <w:tab w:val="left" w:pos="284"/>
        </w:tabs>
        <w:spacing w:before="240" w:after="120"/>
        <w:ind w:left="1134" w:hanging="1134"/>
        <w:rPr>
          <w:b/>
        </w:rPr>
      </w:pPr>
      <w:r w:rsidRPr="00EC6A64">
        <w:rPr>
          <w:sz w:val="22"/>
          <w:szCs w:val="22"/>
        </w:rPr>
        <w:t>25.6</w:t>
      </w:r>
      <w:r w:rsidRPr="00EC6A64">
        <w:rPr>
          <w:b/>
          <w:sz w:val="22"/>
          <w:szCs w:val="22"/>
        </w:rPr>
        <w:tab/>
      </w:r>
      <w:r w:rsidRPr="00EC6A64">
        <w:rPr>
          <w:sz w:val="22"/>
          <w:szCs w:val="22"/>
        </w:rPr>
        <w:t>In accordance with the provisions of the EIB Guide to Procurement, the Contracting Authority, the Bank and auditors appointed by either of them, as well as any authority or European Union Institution or body having competence under European Union law, have the right to inspect and copy the books and records of the tenderer, contractor, supplier or consultant in connection with any Bank-financed contract.</w:t>
      </w:r>
    </w:p>
    <w:p w14:paraId="105F7C79" w14:textId="77777777" w:rsidR="002B5B66" w:rsidRPr="00EC6A64" w:rsidRDefault="002B5B66" w:rsidP="0097255E">
      <w:pPr>
        <w:spacing w:after="120"/>
        <w:ind w:left="567" w:hanging="567"/>
        <w:rPr>
          <w:sz w:val="22"/>
          <w:szCs w:val="22"/>
        </w:rPr>
      </w:pPr>
    </w:p>
    <w:p w14:paraId="6E4F72C8" w14:textId="77777777" w:rsidR="009642E7" w:rsidRPr="00EC6A64" w:rsidRDefault="00A1628E" w:rsidP="008F222F">
      <w:pPr>
        <w:keepNext/>
        <w:keepLines/>
        <w:tabs>
          <w:tab w:val="left" w:pos="1134"/>
        </w:tabs>
        <w:spacing w:before="240" w:after="120"/>
        <w:ind w:left="1134" w:hanging="1134"/>
        <w:rPr>
          <w:b/>
        </w:rPr>
      </w:pPr>
      <w:r w:rsidRPr="00EC6A64">
        <w:rPr>
          <w:b/>
        </w:rPr>
        <w:t>Article</w:t>
      </w:r>
      <w:r w:rsidR="00B8227D" w:rsidRPr="00EC6A64">
        <w:rPr>
          <w:b/>
        </w:rPr>
        <w:t xml:space="preserve"> </w:t>
      </w:r>
      <w:r w:rsidRPr="00EC6A64">
        <w:rPr>
          <w:b/>
        </w:rPr>
        <w:t>26</w:t>
      </w:r>
      <w:r w:rsidRPr="00EC6A64">
        <w:rPr>
          <w:b/>
        </w:rPr>
        <w:tab/>
      </w:r>
      <w:r w:rsidR="00EF3B57" w:rsidRPr="00EC6A64">
        <w:rPr>
          <w:b/>
        </w:rPr>
        <w:t xml:space="preserve">Interim and </w:t>
      </w:r>
      <w:r w:rsidR="00D72E94" w:rsidRPr="00EC6A64">
        <w:rPr>
          <w:b/>
        </w:rPr>
        <w:t>f</w:t>
      </w:r>
      <w:r w:rsidR="00EF3B57" w:rsidRPr="00EC6A64">
        <w:rPr>
          <w:b/>
        </w:rPr>
        <w:t xml:space="preserve">inal </w:t>
      </w:r>
      <w:r w:rsidR="00D72E94" w:rsidRPr="00EC6A64">
        <w:rPr>
          <w:b/>
        </w:rPr>
        <w:t>r</w:t>
      </w:r>
      <w:r w:rsidR="009642E7" w:rsidRPr="00EC6A64">
        <w:rPr>
          <w:b/>
        </w:rPr>
        <w:t>eport</w:t>
      </w:r>
      <w:r w:rsidR="00EF3B57" w:rsidRPr="00EC6A64">
        <w:rPr>
          <w:b/>
        </w:rPr>
        <w:t>s</w:t>
      </w:r>
      <w:bookmarkEnd w:id="0"/>
    </w:p>
    <w:p w14:paraId="78F34E2D" w14:textId="77777777" w:rsidR="009642E7" w:rsidRPr="00EC6A64" w:rsidRDefault="009642E7" w:rsidP="00B547BD">
      <w:pPr>
        <w:spacing w:after="120"/>
        <w:ind w:left="567"/>
        <w:rPr>
          <w:sz w:val="22"/>
          <w:szCs w:val="22"/>
        </w:rPr>
      </w:pPr>
      <w:r w:rsidRPr="00EC6A64">
        <w:rPr>
          <w:sz w:val="22"/>
          <w:szCs w:val="22"/>
        </w:rPr>
        <w:t xml:space="preserve">The </w:t>
      </w:r>
      <w:r w:rsidR="00C559EF" w:rsidRPr="00EC6A64">
        <w:rPr>
          <w:sz w:val="22"/>
          <w:szCs w:val="22"/>
        </w:rPr>
        <w:t>c</w:t>
      </w:r>
      <w:r w:rsidR="00805B43" w:rsidRPr="00EC6A64">
        <w:rPr>
          <w:sz w:val="22"/>
          <w:szCs w:val="22"/>
        </w:rPr>
        <w:t>ontractor</w:t>
      </w:r>
      <w:r w:rsidRPr="00EC6A64">
        <w:rPr>
          <w:sz w:val="22"/>
          <w:szCs w:val="22"/>
        </w:rPr>
        <w:t xml:space="preserve"> shall submit </w:t>
      </w:r>
      <w:r w:rsidR="00FD2EAF" w:rsidRPr="00EC6A64">
        <w:rPr>
          <w:sz w:val="22"/>
          <w:szCs w:val="22"/>
        </w:rPr>
        <w:t xml:space="preserve">progress </w:t>
      </w:r>
      <w:r w:rsidRPr="00EC6A64">
        <w:rPr>
          <w:sz w:val="22"/>
          <w:szCs w:val="22"/>
        </w:rPr>
        <w:t xml:space="preserve">reports as specified in the </w:t>
      </w:r>
      <w:r w:rsidR="00D72E94" w:rsidRPr="00EC6A64">
        <w:rPr>
          <w:sz w:val="22"/>
          <w:szCs w:val="22"/>
        </w:rPr>
        <w:t>t</w:t>
      </w:r>
      <w:r w:rsidRPr="00EC6A64">
        <w:rPr>
          <w:sz w:val="22"/>
          <w:szCs w:val="22"/>
        </w:rPr>
        <w:t xml:space="preserve">erms of </w:t>
      </w:r>
      <w:r w:rsidR="00D72E94" w:rsidRPr="00EC6A64">
        <w:rPr>
          <w:sz w:val="22"/>
          <w:szCs w:val="22"/>
        </w:rPr>
        <w:t>r</w:t>
      </w:r>
      <w:r w:rsidRPr="00EC6A64">
        <w:rPr>
          <w:sz w:val="22"/>
          <w:szCs w:val="22"/>
        </w:rPr>
        <w:t>eference.</w:t>
      </w:r>
    </w:p>
    <w:p w14:paraId="290B075D" w14:textId="77777777" w:rsidR="00B252A4" w:rsidRPr="00EC6A64" w:rsidRDefault="00B252A4" w:rsidP="008F222F">
      <w:pPr>
        <w:keepNext/>
        <w:keepLines/>
        <w:tabs>
          <w:tab w:val="left" w:pos="1134"/>
        </w:tabs>
        <w:spacing w:before="240" w:after="120"/>
        <w:ind w:left="1134" w:hanging="1134"/>
        <w:rPr>
          <w:b/>
        </w:rPr>
      </w:pPr>
      <w:r w:rsidRPr="00EC6A64">
        <w:rPr>
          <w:b/>
        </w:rPr>
        <w:t>Article 27</w:t>
      </w:r>
      <w:r w:rsidRPr="00EC6A64">
        <w:rPr>
          <w:b/>
        </w:rPr>
        <w:tab/>
        <w:t xml:space="preserve">Approval of </w:t>
      </w:r>
      <w:r w:rsidR="00D72E94" w:rsidRPr="00EC6A64">
        <w:rPr>
          <w:b/>
        </w:rPr>
        <w:t>r</w:t>
      </w:r>
      <w:r w:rsidRPr="00EC6A64">
        <w:rPr>
          <w:b/>
        </w:rPr>
        <w:t xml:space="preserve">eports and </w:t>
      </w:r>
      <w:r w:rsidR="00D72E94" w:rsidRPr="00EC6A64">
        <w:rPr>
          <w:b/>
        </w:rPr>
        <w:t>d</w:t>
      </w:r>
      <w:r w:rsidRPr="00EC6A64">
        <w:rPr>
          <w:b/>
        </w:rPr>
        <w:t>ocuments</w:t>
      </w:r>
    </w:p>
    <w:p w14:paraId="27264DBC" w14:textId="518E25D4" w:rsidR="00B252A4" w:rsidRPr="00EC6A64" w:rsidRDefault="00B252A4" w:rsidP="004443F8">
      <w:pPr>
        <w:pStyle w:val="ListNumber"/>
        <w:numPr>
          <w:ilvl w:val="0"/>
          <w:numId w:val="0"/>
        </w:numPr>
        <w:spacing w:after="120"/>
        <w:ind w:left="567" w:hanging="567"/>
        <w:rPr>
          <w:sz w:val="22"/>
          <w:szCs w:val="22"/>
        </w:rPr>
      </w:pPr>
      <w:r w:rsidRPr="00EC6A64">
        <w:rPr>
          <w:sz w:val="22"/>
          <w:szCs w:val="22"/>
        </w:rPr>
        <w:t>27.5</w:t>
      </w:r>
    </w:p>
    <w:p w14:paraId="0380DBB3" w14:textId="3886E496" w:rsidR="00B252A4" w:rsidRPr="00EC6A64" w:rsidRDefault="00B252A4" w:rsidP="00B8227D">
      <w:pPr>
        <w:pStyle w:val="ListNumber"/>
        <w:numPr>
          <w:ilvl w:val="0"/>
          <w:numId w:val="0"/>
        </w:numPr>
        <w:spacing w:after="120"/>
        <w:ind w:left="567"/>
        <w:rPr>
          <w:sz w:val="22"/>
          <w:szCs w:val="22"/>
        </w:rPr>
      </w:pPr>
      <w:r w:rsidRPr="00EC6A64">
        <w:rPr>
          <w:sz w:val="22"/>
          <w:szCs w:val="22"/>
        </w:rPr>
        <w:t xml:space="preserve">The </w:t>
      </w:r>
      <w:r w:rsidR="00C559EF" w:rsidRPr="00EC6A64">
        <w:rPr>
          <w:sz w:val="22"/>
          <w:szCs w:val="22"/>
        </w:rPr>
        <w:t>c</w:t>
      </w:r>
      <w:r w:rsidRPr="00EC6A64">
        <w:rPr>
          <w:sz w:val="22"/>
          <w:szCs w:val="22"/>
        </w:rPr>
        <w:t xml:space="preserve">ontracting </w:t>
      </w:r>
      <w:r w:rsidR="00C559EF" w:rsidRPr="00EC6A64">
        <w:rPr>
          <w:sz w:val="22"/>
          <w:szCs w:val="22"/>
        </w:rPr>
        <w:t>a</w:t>
      </w:r>
      <w:r w:rsidRPr="00EC6A64">
        <w:rPr>
          <w:sz w:val="22"/>
          <w:szCs w:val="22"/>
        </w:rPr>
        <w:t xml:space="preserve">uthority shall, within 45 days of receipt, notify the </w:t>
      </w:r>
      <w:r w:rsidR="00C559EF" w:rsidRPr="00EC6A64">
        <w:rPr>
          <w:sz w:val="22"/>
          <w:szCs w:val="22"/>
        </w:rPr>
        <w:t>c</w:t>
      </w:r>
      <w:r w:rsidRPr="00EC6A64">
        <w:rPr>
          <w:sz w:val="22"/>
          <w:szCs w:val="22"/>
        </w:rPr>
        <w:t xml:space="preserve">ontractor of its decision concerning the documents or reports received by it, giving reasons should it reject the reports or documents, or request amendments. If the </w:t>
      </w:r>
      <w:r w:rsidR="00C559EF" w:rsidRPr="00EC6A64">
        <w:rPr>
          <w:sz w:val="22"/>
          <w:szCs w:val="22"/>
        </w:rPr>
        <w:t>c</w:t>
      </w:r>
      <w:r w:rsidRPr="00EC6A64">
        <w:rPr>
          <w:sz w:val="22"/>
          <w:szCs w:val="22"/>
        </w:rPr>
        <w:t xml:space="preserve">ontracting </w:t>
      </w:r>
      <w:r w:rsidR="00C559EF" w:rsidRPr="00EC6A64">
        <w:rPr>
          <w:sz w:val="22"/>
          <w:szCs w:val="22"/>
        </w:rPr>
        <w:t>a</w:t>
      </w:r>
      <w:r w:rsidRPr="00EC6A64">
        <w:rPr>
          <w:sz w:val="22"/>
          <w:szCs w:val="22"/>
        </w:rPr>
        <w:t xml:space="preserve">uthority does not give any comments on the documents or reports within the time limit, the </w:t>
      </w:r>
      <w:r w:rsidR="00C559EF" w:rsidRPr="00EC6A64">
        <w:rPr>
          <w:sz w:val="22"/>
          <w:szCs w:val="22"/>
        </w:rPr>
        <w:t>c</w:t>
      </w:r>
      <w:r w:rsidRPr="00EC6A64">
        <w:rPr>
          <w:sz w:val="22"/>
          <w:szCs w:val="22"/>
        </w:rPr>
        <w:t xml:space="preserve">ontractor may request written acceptance of them. The documents or reports shall </w:t>
      </w:r>
      <w:r w:rsidR="00995D7A" w:rsidRPr="00EC6A64">
        <w:rPr>
          <w:sz w:val="22"/>
          <w:szCs w:val="22"/>
        </w:rPr>
        <w:t xml:space="preserve">in any case </w:t>
      </w:r>
      <w:r w:rsidRPr="00EC6A64">
        <w:rPr>
          <w:sz w:val="22"/>
          <w:szCs w:val="22"/>
        </w:rPr>
        <w:t xml:space="preserve">be deemed to have been approved by the </w:t>
      </w:r>
      <w:r w:rsidR="00C559EF" w:rsidRPr="00EC6A64">
        <w:rPr>
          <w:sz w:val="22"/>
          <w:szCs w:val="22"/>
        </w:rPr>
        <w:t>c</w:t>
      </w:r>
      <w:r w:rsidRPr="00EC6A64">
        <w:rPr>
          <w:sz w:val="22"/>
          <w:szCs w:val="22"/>
        </w:rPr>
        <w:t xml:space="preserve">ontracting </w:t>
      </w:r>
      <w:r w:rsidR="00C559EF" w:rsidRPr="00EC6A64">
        <w:rPr>
          <w:sz w:val="22"/>
          <w:szCs w:val="22"/>
        </w:rPr>
        <w:t>a</w:t>
      </w:r>
      <w:r w:rsidRPr="00EC6A64">
        <w:rPr>
          <w:sz w:val="22"/>
          <w:szCs w:val="22"/>
        </w:rPr>
        <w:t xml:space="preserve">uthority if it does not expressly inform the </w:t>
      </w:r>
      <w:r w:rsidR="00C559EF" w:rsidRPr="00EC6A64">
        <w:rPr>
          <w:sz w:val="22"/>
          <w:szCs w:val="22"/>
        </w:rPr>
        <w:t>c</w:t>
      </w:r>
      <w:r w:rsidRPr="00EC6A64">
        <w:rPr>
          <w:sz w:val="22"/>
          <w:szCs w:val="22"/>
        </w:rPr>
        <w:t xml:space="preserve">ontractor of any comments within 45 days of the receipt of the </w:t>
      </w:r>
      <w:r w:rsidR="00995D7A" w:rsidRPr="00EC6A64">
        <w:rPr>
          <w:sz w:val="22"/>
          <w:szCs w:val="22"/>
        </w:rPr>
        <w:t xml:space="preserve">documents or </w:t>
      </w:r>
      <w:r w:rsidRPr="00EC6A64">
        <w:rPr>
          <w:sz w:val="22"/>
          <w:szCs w:val="22"/>
        </w:rPr>
        <w:t>report</w:t>
      </w:r>
      <w:r w:rsidR="00995D7A" w:rsidRPr="00EC6A64">
        <w:rPr>
          <w:sz w:val="22"/>
          <w:szCs w:val="22"/>
        </w:rPr>
        <w:t>s</w:t>
      </w:r>
      <w:r w:rsidR="00730A8A" w:rsidRPr="00EC6A64">
        <w:rPr>
          <w:sz w:val="22"/>
          <w:szCs w:val="22"/>
        </w:rPr>
        <w:t>.</w:t>
      </w:r>
    </w:p>
    <w:p w14:paraId="01791090" w14:textId="77777777" w:rsidR="00694695" w:rsidRPr="00EC6A64" w:rsidRDefault="00694695" w:rsidP="0023063F">
      <w:pPr>
        <w:pStyle w:val="ListNumber"/>
        <w:numPr>
          <w:ilvl w:val="0"/>
          <w:numId w:val="0"/>
        </w:numPr>
        <w:tabs>
          <w:tab w:val="left" w:pos="1134"/>
        </w:tabs>
        <w:spacing w:after="120"/>
        <w:ind w:left="709" w:hanging="709"/>
        <w:rPr>
          <w:b/>
          <w:lang w:eastAsia="en-GB"/>
        </w:rPr>
      </w:pPr>
      <w:r w:rsidRPr="00EC6A64">
        <w:rPr>
          <w:b/>
          <w:lang w:eastAsia="en-GB"/>
        </w:rPr>
        <w:t>Article 28</w:t>
      </w:r>
      <w:r w:rsidRPr="00EC6A64">
        <w:rPr>
          <w:b/>
          <w:lang w:eastAsia="en-GB"/>
        </w:rPr>
        <w:tab/>
        <w:t>Expenditure verification</w:t>
      </w:r>
    </w:p>
    <w:p w14:paraId="1C7D1013" w14:textId="357FC11A" w:rsidR="00B00173" w:rsidRPr="00EC6A64" w:rsidRDefault="00694695" w:rsidP="00694695">
      <w:pPr>
        <w:pStyle w:val="ListNumber"/>
        <w:numPr>
          <w:ilvl w:val="0"/>
          <w:numId w:val="0"/>
        </w:numPr>
        <w:spacing w:after="120"/>
        <w:ind w:left="567" w:hanging="567"/>
        <w:rPr>
          <w:sz w:val="22"/>
          <w:szCs w:val="22"/>
        </w:rPr>
      </w:pPr>
      <w:r w:rsidRPr="00EC6A64">
        <w:rPr>
          <w:sz w:val="22"/>
          <w:szCs w:val="22"/>
        </w:rPr>
        <w:t>28.2</w:t>
      </w:r>
      <w:r w:rsidRPr="00EC6A64">
        <w:rPr>
          <w:sz w:val="22"/>
          <w:szCs w:val="22"/>
        </w:rPr>
        <w:tab/>
      </w:r>
      <w:r w:rsidR="006863E0" w:rsidRPr="00EC6A64">
        <w:rPr>
          <w:sz w:val="22"/>
          <w:szCs w:val="22"/>
        </w:rPr>
        <w:t xml:space="preserve">Fee-based contract </w:t>
      </w:r>
      <w:r w:rsidRPr="00EC6A64">
        <w:rPr>
          <w:sz w:val="22"/>
          <w:szCs w:val="22"/>
        </w:rPr>
        <w:t xml:space="preserve">The expenditure verification(s) referred to in the </w:t>
      </w:r>
      <w:r w:rsidR="004E2AD3" w:rsidRPr="00EC6A64">
        <w:rPr>
          <w:sz w:val="22"/>
          <w:szCs w:val="22"/>
        </w:rPr>
        <w:t>g</w:t>
      </w:r>
      <w:r w:rsidRPr="00EC6A64">
        <w:rPr>
          <w:sz w:val="22"/>
          <w:szCs w:val="22"/>
        </w:rPr>
        <w:t xml:space="preserve">eneral </w:t>
      </w:r>
      <w:r w:rsidR="004E2AD3" w:rsidRPr="00EC6A64">
        <w:rPr>
          <w:sz w:val="22"/>
          <w:szCs w:val="22"/>
        </w:rPr>
        <w:t>c</w:t>
      </w:r>
      <w:r w:rsidRPr="00EC6A64">
        <w:rPr>
          <w:sz w:val="22"/>
          <w:szCs w:val="22"/>
        </w:rPr>
        <w:t xml:space="preserve">onditions </w:t>
      </w:r>
      <w:r w:rsidR="00995D7A" w:rsidRPr="00EC6A64">
        <w:rPr>
          <w:sz w:val="22"/>
          <w:szCs w:val="22"/>
        </w:rPr>
        <w:t>shall</w:t>
      </w:r>
      <w:r w:rsidRPr="00EC6A64">
        <w:rPr>
          <w:sz w:val="22"/>
          <w:szCs w:val="22"/>
        </w:rPr>
        <w:t xml:space="preserve"> be carried out by </w:t>
      </w:r>
      <w:r w:rsidR="00F02542" w:rsidRPr="00EC6A64">
        <w:rPr>
          <w:sz w:val="22"/>
          <w:szCs w:val="22"/>
        </w:rPr>
        <w:t xml:space="preserve">Aleksandar Banjac, </w:t>
      </w:r>
      <w:hyperlink r:id="rId15" w:history="1">
        <w:r w:rsidR="003C5AE5" w:rsidRPr="00F04C85">
          <w:rPr>
            <w:rStyle w:val="Hyperlink"/>
            <w:sz w:val="22"/>
            <w:szCs w:val="22"/>
          </w:rPr>
          <w:t>aleksandar.banjac@mgsi.gov.rs</w:t>
        </w:r>
      </w:hyperlink>
      <w:r w:rsidR="00F02542" w:rsidRPr="00EC6A64">
        <w:rPr>
          <w:sz w:val="22"/>
          <w:szCs w:val="22"/>
        </w:rPr>
        <w:t xml:space="preserve"> </w:t>
      </w:r>
    </w:p>
    <w:p w14:paraId="04DE5F61" w14:textId="77777777" w:rsidR="009642E7" w:rsidRPr="00EC6A64" w:rsidRDefault="00A1628E" w:rsidP="004443F8">
      <w:pPr>
        <w:keepNext/>
        <w:keepLines/>
        <w:tabs>
          <w:tab w:val="left" w:pos="1134"/>
        </w:tabs>
        <w:spacing w:before="240" w:after="120"/>
        <w:ind w:left="1134" w:hanging="1134"/>
        <w:rPr>
          <w:b/>
        </w:rPr>
      </w:pPr>
      <w:r w:rsidRPr="00EC6A64">
        <w:rPr>
          <w:b/>
        </w:rPr>
        <w:t>Article 29</w:t>
      </w:r>
      <w:r w:rsidRPr="00EC6A64">
        <w:rPr>
          <w:b/>
        </w:rPr>
        <w:tab/>
      </w:r>
      <w:r w:rsidR="009642E7" w:rsidRPr="00EC6A64">
        <w:rPr>
          <w:b/>
        </w:rPr>
        <w:t>Payment</w:t>
      </w:r>
      <w:r w:rsidRPr="00EC6A64">
        <w:rPr>
          <w:b/>
        </w:rPr>
        <w:t xml:space="preserve"> and interest on late payment</w:t>
      </w:r>
      <w:bookmarkStart w:id="1" w:name="_GoBack"/>
      <w:bookmarkEnd w:id="1"/>
    </w:p>
    <w:p w14:paraId="61FDCD3D" w14:textId="77777777" w:rsidR="00B8227D" w:rsidRPr="00EC6A64" w:rsidRDefault="00A1628E" w:rsidP="004443F8">
      <w:pPr>
        <w:keepNext/>
        <w:keepLines/>
        <w:spacing w:after="120"/>
        <w:ind w:left="567" w:hanging="567"/>
        <w:rPr>
          <w:sz w:val="22"/>
          <w:szCs w:val="22"/>
          <w:highlight w:val="yellow"/>
        </w:rPr>
      </w:pPr>
      <w:r w:rsidRPr="00EC6A64">
        <w:rPr>
          <w:sz w:val="22"/>
          <w:szCs w:val="22"/>
        </w:rPr>
        <w:t>29.1</w:t>
      </w:r>
      <w:r w:rsidR="009642E7" w:rsidRPr="00EC6A64">
        <w:rPr>
          <w:sz w:val="22"/>
          <w:szCs w:val="22"/>
        </w:rPr>
        <w:tab/>
      </w:r>
      <w:r w:rsidR="00EF3B57" w:rsidRPr="00EC6A64">
        <w:rPr>
          <w:sz w:val="22"/>
          <w:szCs w:val="22"/>
        </w:rPr>
        <w:t xml:space="preserve">Payments </w:t>
      </w:r>
      <w:r w:rsidR="00995D7A" w:rsidRPr="00EC6A64">
        <w:rPr>
          <w:sz w:val="22"/>
          <w:szCs w:val="22"/>
        </w:rPr>
        <w:t>shall</w:t>
      </w:r>
      <w:r w:rsidR="00EF3B57" w:rsidRPr="00EC6A64">
        <w:rPr>
          <w:sz w:val="22"/>
          <w:szCs w:val="22"/>
        </w:rPr>
        <w:t xml:space="preserve"> be made in accordance with the following the </w:t>
      </w:r>
      <w:r w:rsidR="00B8227D" w:rsidRPr="00EC6A64">
        <w:rPr>
          <w:sz w:val="22"/>
          <w:szCs w:val="22"/>
        </w:rPr>
        <w:t>option:</w:t>
      </w:r>
      <w:r w:rsidR="00B8227D" w:rsidRPr="00EC6A64">
        <w:rPr>
          <w:sz w:val="22"/>
          <w:szCs w:val="22"/>
          <w:highlight w:val="yellow"/>
        </w:rPr>
        <w:t xml:space="preserve"> </w:t>
      </w:r>
    </w:p>
    <w:p w14:paraId="60B779CF" w14:textId="0012A948" w:rsidR="009642E7" w:rsidRPr="00EC6A64" w:rsidRDefault="009642E7" w:rsidP="00B8227D">
      <w:pPr>
        <w:keepNext/>
        <w:keepLines/>
        <w:ind w:left="567"/>
        <w:rPr>
          <w:sz w:val="22"/>
          <w:szCs w:val="22"/>
        </w:rPr>
      </w:pP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EC6A64" w14:paraId="01360A03" w14:textId="77777777" w:rsidTr="00B547BD">
        <w:trPr>
          <w:trHeight w:val="334"/>
        </w:trPr>
        <w:tc>
          <w:tcPr>
            <w:tcW w:w="1076" w:type="dxa"/>
          </w:tcPr>
          <w:p w14:paraId="79C8D7DB" w14:textId="77777777" w:rsidR="009642E7" w:rsidRPr="00EC6A64" w:rsidRDefault="009642E7" w:rsidP="00212B1D">
            <w:pPr>
              <w:spacing w:before="40" w:after="40"/>
              <w:ind w:right="-25"/>
              <w:jc w:val="center"/>
              <w:rPr>
                <w:b/>
                <w:sz w:val="22"/>
                <w:szCs w:val="22"/>
              </w:rPr>
            </w:pPr>
            <w:r w:rsidRPr="00EC6A64">
              <w:rPr>
                <w:b/>
                <w:sz w:val="22"/>
                <w:szCs w:val="22"/>
              </w:rPr>
              <w:t>Month</w:t>
            </w:r>
          </w:p>
        </w:tc>
        <w:tc>
          <w:tcPr>
            <w:tcW w:w="4594" w:type="dxa"/>
          </w:tcPr>
          <w:p w14:paraId="290DEEB6" w14:textId="77777777" w:rsidR="009642E7" w:rsidRPr="00EC6A64" w:rsidRDefault="009642E7" w:rsidP="00212B1D">
            <w:pPr>
              <w:spacing w:before="40" w:after="40"/>
              <w:rPr>
                <w:b/>
                <w:sz w:val="22"/>
                <w:szCs w:val="22"/>
              </w:rPr>
            </w:pPr>
          </w:p>
        </w:tc>
        <w:tc>
          <w:tcPr>
            <w:tcW w:w="2580" w:type="dxa"/>
          </w:tcPr>
          <w:p w14:paraId="168B833A" w14:textId="5D6C4111" w:rsidR="009642E7" w:rsidRPr="00EC6A64" w:rsidRDefault="009642E7" w:rsidP="006D5617">
            <w:pPr>
              <w:spacing w:before="40" w:after="40"/>
              <w:jc w:val="center"/>
              <w:rPr>
                <w:b/>
                <w:sz w:val="22"/>
                <w:szCs w:val="22"/>
              </w:rPr>
            </w:pPr>
            <w:r w:rsidRPr="00EC6A64">
              <w:rPr>
                <w:b/>
                <w:sz w:val="22"/>
                <w:szCs w:val="22"/>
              </w:rPr>
              <w:t>EUR</w:t>
            </w:r>
          </w:p>
        </w:tc>
      </w:tr>
      <w:tr w:rsidR="009642E7" w:rsidRPr="00EC6A64" w14:paraId="5A8994BC" w14:textId="77777777" w:rsidTr="00B547BD">
        <w:trPr>
          <w:trHeight w:val="787"/>
        </w:trPr>
        <w:tc>
          <w:tcPr>
            <w:tcW w:w="1076" w:type="dxa"/>
          </w:tcPr>
          <w:p w14:paraId="112AC293" w14:textId="77777777" w:rsidR="009642E7" w:rsidRPr="00EC6A64" w:rsidRDefault="009642E7" w:rsidP="00212B1D">
            <w:pPr>
              <w:spacing w:before="40" w:after="40"/>
              <w:ind w:right="-25"/>
              <w:jc w:val="center"/>
              <w:rPr>
                <w:b/>
                <w:sz w:val="22"/>
                <w:szCs w:val="22"/>
              </w:rPr>
            </w:pPr>
            <w:r w:rsidRPr="00EC6A64">
              <w:rPr>
                <w:b/>
                <w:sz w:val="22"/>
                <w:szCs w:val="22"/>
              </w:rPr>
              <w:lastRenderedPageBreak/>
              <w:t>1</w:t>
            </w:r>
          </w:p>
        </w:tc>
        <w:tc>
          <w:tcPr>
            <w:tcW w:w="4594" w:type="dxa"/>
          </w:tcPr>
          <w:p w14:paraId="30773EB2" w14:textId="77777777" w:rsidR="009642E7" w:rsidRPr="00EC6A64" w:rsidRDefault="009207C4" w:rsidP="004F3059">
            <w:pPr>
              <w:spacing w:before="40" w:after="40"/>
              <w:rPr>
                <w:b/>
                <w:sz w:val="22"/>
                <w:szCs w:val="22"/>
              </w:rPr>
            </w:pPr>
            <w:r w:rsidRPr="00EC6A64">
              <w:rPr>
                <w:b/>
                <w:sz w:val="22"/>
                <w:szCs w:val="22"/>
              </w:rPr>
              <w:t xml:space="preserve">Maximum </w:t>
            </w:r>
            <w:r w:rsidR="00D72E94" w:rsidRPr="00EC6A64">
              <w:rPr>
                <w:b/>
                <w:sz w:val="22"/>
                <w:szCs w:val="22"/>
              </w:rPr>
              <w:t>p</w:t>
            </w:r>
            <w:r w:rsidR="009642E7" w:rsidRPr="00EC6A64">
              <w:rPr>
                <w:b/>
                <w:sz w:val="22"/>
                <w:szCs w:val="22"/>
              </w:rPr>
              <w:t>re-financing payment</w:t>
            </w:r>
            <w:r w:rsidR="00533BD1" w:rsidRPr="00EC6A64">
              <w:rPr>
                <w:rStyle w:val="FootnoteReference"/>
                <w:rFonts w:ascii="Times New Roman" w:hAnsi="Times New Roman"/>
              </w:rPr>
              <w:footnoteReference w:id="4"/>
            </w:r>
          </w:p>
        </w:tc>
        <w:tc>
          <w:tcPr>
            <w:tcW w:w="2580" w:type="dxa"/>
          </w:tcPr>
          <w:p w14:paraId="69AD07F8" w14:textId="358F8F55" w:rsidR="00773AC9" w:rsidRPr="00EC6A64" w:rsidRDefault="009207C4" w:rsidP="00212B1D">
            <w:pPr>
              <w:spacing w:before="40" w:after="40"/>
              <w:jc w:val="center"/>
              <w:rPr>
                <w:sz w:val="22"/>
                <w:szCs w:val="22"/>
              </w:rPr>
            </w:pPr>
            <w:r w:rsidRPr="00EC6A64">
              <w:rPr>
                <w:sz w:val="22"/>
                <w:szCs w:val="22"/>
              </w:rPr>
              <w:t xml:space="preserve">Maximum </w:t>
            </w:r>
            <w:r w:rsidR="009642E7" w:rsidRPr="00EC6A64">
              <w:rPr>
                <w:sz w:val="22"/>
                <w:szCs w:val="22"/>
              </w:rPr>
              <w:t xml:space="preserve">amount </w:t>
            </w:r>
          </w:p>
          <w:p w14:paraId="2E179A5C" w14:textId="4CED5C04" w:rsidR="00533BD1" w:rsidRPr="00EC6A64" w:rsidRDefault="00F02542" w:rsidP="00B547BD">
            <w:pPr>
              <w:spacing w:before="40" w:after="40"/>
              <w:jc w:val="center"/>
              <w:rPr>
                <w:sz w:val="22"/>
                <w:szCs w:val="22"/>
              </w:rPr>
            </w:pPr>
            <w:r w:rsidRPr="00EC6A64">
              <w:rPr>
                <w:sz w:val="22"/>
                <w:szCs w:val="22"/>
              </w:rPr>
              <w:t>20</w:t>
            </w:r>
            <w:r w:rsidR="00773AC9" w:rsidRPr="00EC6A64">
              <w:rPr>
                <w:sz w:val="22"/>
                <w:szCs w:val="22"/>
              </w:rPr>
              <w:t>%</w:t>
            </w:r>
            <w:r w:rsidRPr="00EC6A64">
              <w:rPr>
                <w:sz w:val="22"/>
                <w:szCs w:val="22"/>
              </w:rPr>
              <w:t xml:space="preserve"> of the contract value</w:t>
            </w:r>
          </w:p>
        </w:tc>
      </w:tr>
      <w:tr w:rsidR="009642E7" w:rsidRPr="00EC6A64" w14:paraId="4934FB8E" w14:textId="77777777" w:rsidTr="00B547BD">
        <w:trPr>
          <w:trHeight w:val="887"/>
        </w:trPr>
        <w:tc>
          <w:tcPr>
            <w:tcW w:w="1076" w:type="dxa"/>
          </w:tcPr>
          <w:p w14:paraId="6B1BDDEA" w14:textId="77777777" w:rsidR="009642E7" w:rsidRPr="00EC6A64" w:rsidRDefault="008570F7" w:rsidP="00212B1D">
            <w:pPr>
              <w:spacing w:before="40" w:after="40"/>
              <w:ind w:right="-25"/>
              <w:jc w:val="center"/>
              <w:rPr>
                <w:b/>
                <w:sz w:val="22"/>
                <w:szCs w:val="22"/>
              </w:rPr>
            </w:pPr>
            <w:r w:rsidRPr="00EC6A64">
              <w:rPr>
                <w:b/>
                <w:sz w:val="22"/>
                <w:szCs w:val="22"/>
              </w:rPr>
              <w:t>6-monthly</w:t>
            </w:r>
          </w:p>
        </w:tc>
        <w:tc>
          <w:tcPr>
            <w:tcW w:w="4594" w:type="dxa"/>
          </w:tcPr>
          <w:p w14:paraId="271D503F" w14:textId="77777777" w:rsidR="009642E7" w:rsidRPr="00EC6A64" w:rsidRDefault="006A3247" w:rsidP="00212B1D">
            <w:pPr>
              <w:spacing w:before="40" w:after="40"/>
              <w:jc w:val="left"/>
              <w:rPr>
                <w:b/>
                <w:sz w:val="22"/>
                <w:szCs w:val="22"/>
              </w:rPr>
            </w:pPr>
            <w:r w:rsidRPr="00EC6A64">
              <w:rPr>
                <w:b/>
                <w:sz w:val="22"/>
                <w:szCs w:val="22"/>
              </w:rPr>
              <w:t>I</w:t>
            </w:r>
            <w:r w:rsidR="00533BD1" w:rsidRPr="00EC6A64">
              <w:rPr>
                <w:b/>
                <w:sz w:val="22"/>
                <w:szCs w:val="22"/>
              </w:rPr>
              <w:t xml:space="preserve">nterim payments </w:t>
            </w:r>
          </w:p>
        </w:tc>
        <w:tc>
          <w:tcPr>
            <w:tcW w:w="2580" w:type="dxa"/>
          </w:tcPr>
          <w:p w14:paraId="2A9C4CA4" w14:textId="260C2263" w:rsidR="009642E7" w:rsidRPr="00EC6A64" w:rsidRDefault="00F02542" w:rsidP="00212B1D">
            <w:pPr>
              <w:spacing w:before="40" w:after="40"/>
              <w:jc w:val="center"/>
              <w:rPr>
                <w:sz w:val="22"/>
                <w:szCs w:val="22"/>
              </w:rPr>
            </w:pPr>
            <w:r w:rsidRPr="00EC6A64">
              <w:rPr>
                <w:sz w:val="22"/>
                <w:szCs w:val="22"/>
              </w:rPr>
              <w:t>Maximum amount 70% of the contract value</w:t>
            </w:r>
            <w:r w:rsidR="009642E7" w:rsidRPr="00EC6A64">
              <w:rPr>
                <w:sz w:val="22"/>
                <w:szCs w:val="22"/>
              </w:rPr>
              <w:t xml:space="preserve"> </w:t>
            </w:r>
          </w:p>
        </w:tc>
      </w:tr>
      <w:tr w:rsidR="009642E7" w:rsidRPr="00EC6A64" w14:paraId="5C0F68CA" w14:textId="77777777" w:rsidTr="00B547BD">
        <w:trPr>
          <w:trHeight w:val="687"/>
        </w:trPr>
        <w:tc>
          <w:tcPr>
            <w:tcW w:w="1076" w:type="dxa"/>
            <w:tcBorders>
              <w:bottom w:val="nil"/>
            </w:tcBorders>
          </w:tcPr>
          <w:p w14:paraId="10A35779" w14:textId="30756204" w:rsidR="009642E7" w:rsidRPr="00EC6A64" w:rsidRDefault="00F00995" w:rsidP="00212B1D">
            <w:pPr>
              <w:spacing w:before="40" w:after="40"/>
              <w:ind w:right="-25"/>
              <w:jc w:val="center"/>
              <w:rPr>
                <w:b/>
                <w:sz w:val="22"/>
                <w:szCs w:val="22"/>
              </w:rPr>
            </w:pPr>
            <w:r>
              <w:rPr>
                <w:b/>
                <w:sz w:val="22"/>
                <w:szCs w:val="22"/>
              </w:rPr>
              <w:t>54</w:t>
            </w:r>
          </w:p>
        </w:tc>
        <w:tc>
          <w:tcPr>
            <w:tcW w:w="4594" w:type="dxa"/>
            <w:tcBorders>
              <w:bottom w:val="nil"/>
            </w:tcBorders>
          </w:tcPr>
          <w:p w14:paraId="655F6B1C" w14:textId="77777777" w:rsidR="009642E7" w:rsidRPr="00EC6A64" w:rsidRDefault="009642E7" w:rsidP="00212B1D">
            <w:pPr>
              <w:spacing w:before="40" w:after="40"/>
              <w:rPr>
                <w:b/>
                <w:sz w:val="22"/>
                <w:szCs w:val="22"/>
              </w:rPr>
            </w:pPr>
            <w:r w:rsidRPr="00EC6A64">
              <w:rPr>
                <w:b/>
                <w:sz w:val="22"/>
                <w:szCs w:val="22"/>
              </w:rPr>
              <w:t>Forecast balance</w:t>
            </w:r>
          </w:p>
        </w:tc>
        <w:tc>
          <w:tcPr>
            <w:tcW w:w="2580" w:type="dxa"/>
            <w:tcBorders>
              <w:bottom w:val="nil"/>
            </w:tcBorders>
          </w:tcPr>
          <w:p w14:paraId="189D0D2E" w14:textId="77777777" w:rsidR="009642E7" w:rsidRPr="00EC6A64" w:rsidRDefault="008570F7" w:rsidP="00212B1D">
            <w:pPr>
              <w:spacing w:after="0"/>
              <w:jc w:val="center"/>
              <w:rPr>
                <w:sz w:val="22"/>
                <w:szCs w:val="22"/>
              </w:rPr>
            </w:pPr>
            <w:r w:rsidRPr="00EC6A64">
              <w:rPr>
                <w:sz w:val="22"/>
                <w:szCs w:val="22"/>
              </w:rPr>
              <w:t>10</w:t>
            </w:r>
            <w:r w:rsidR="00CF0319" w:rsidRPr="00EC6A64">
              <w:rPr>
                <w:w w:val="50"/>
                <w:sz w:val="22"/>
                <w:szCs w:val="22"/>
              </w:rPr>
              <w:t> </w:t>
            </w:r>
            <w:r w:rsidRPr="00EC6A64">
              <w:rPr>
                <w:sz w:val="22"/>
                <w:szCs w:val="22"/>
              </w:rPr>
              <w:t>% of the maximum contract value</w:t>
            </w:r>
          </w:p>
        </w:tc>
      </w:tr>
      <w:tr w:rsidR="009642E7" w:rsidRPr="00EC6A64"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EC6A64"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EC6A64" w:rsidRDefault="009642E7" w:rsidP="00212B1D">
            <w:pPr>
              <w:spacing w:before="40" w:after="40"/>
              <w:rPr>
                <w:b/>
                <w:sz w:val="22"/>
                <w:szCs w:val="22"/>
              </w:rPr>
            </w:pPr>
            <w:r w:rsidRPr="00EC6A64">
              <w:rPr>
                <w:b/>
                <w:sz w:val="22"/>
                <w:szCs w:val="22"/>
              </w:rPr>
              <w:t>Total</w:t>
            </w:r>
          </w:p>
        </w:tc>
        <w:tc>
          <w:tcPr>
            <w:tcW w:w="2580" w:type="dxa"/>
            <w:tcBorders>
              <w:top w:val="dotted" w:sz="4" w:space="0" w:color="auto"/>
              <w:bottom w:val="single" w:sz="4" w:space="0" w:color="auto"/>
            </w:tcBorders>
            <w:shd w:val="pct10" w:color="auto" w:fill="FFFFFF"/>
          </w:tcPr>
          <w:p w14:paraId="535E0169" w14:textId="24134129" w:rsidR="009642E7" w:rsidRPr="00EC6A64" w:rsidRDefault="00F02542" w:rsidP="00212B1D">
            <w:pPr>
              <w:spacing w:after="0"/>
              <w:jc w:val="center"/>
              <w:rPr>
                <w:sz w:val="22"/>
                <w:szCs w:val="22"/>
              </w:rPr>
            </w:pPr>
            <w:r w:rsidRPr="00EC6A64">
              <w:rPr>
                <w:sz w:val="22"/>
                <w:szCs w:val="22"/>
              </w:rPr>
              <w:t>Total contract value</w:t>
            </w:r>
          </w:p>
        </w:tc>
      </w:tr>
    </w:tbl>
    <w:p w14:paraId="67F30AD6" w14:textId="77777777" w:rsidR="00F02542" w:rsidRPr="00EC6A64" w:rsidRDefault="00F02542" w:rsidP="00F02542">
      <w:pPr>
        <w:spacing w:after="0"/>
        <w:ind w:left="567" w:hanging="567"/>
        <w:rPr>
          <w:sz w:val="22"/>
          <w:szCs w:val="22"/>
        </w:rPr>
      </w:pPr>
    </w:p>
    <w:p w14:paraId="092B7268" w14:textId="48A7C9BC" w:rsidR="00F02542" w:rsidRPr="00EC6A64" w:rsidRDefault="00F02542" w:rsidP="00F02542">
      <w:pPr>
        <w:spacing w:after="0"/>
        <w:ind w:left="567" w:hanging="567"/>
        <w:rPr>
          <w:sz w:val="22"/>
          <w:szCs w:val="22"/>
        </w:rPr>
      </w:pPr>
      <w:r w:rsidRPr="00EC6A64">
        <w:rPr>
          <w:sz w:val="22"/>
          <w:szCs w:val="22"/>
        </w:rPr>
        <w:t>29.3</w:t>
      </w:r>
      <w:r w:rsidRPr="00EC6A64">
        <w:rPr>
          <w:sz w:val="22"/>
          <w:szCs w:val="22"/>
        </w:rPr>
        <w:tab/>
        <w:t>By derogation from Article 29.3 of the general conditions, once the deadline set in Article 29.1 has expired, the contractor shall, upon demand,</w:t>
      </w:r>
      <w:r w:rsidRPr="00EC6A64">
        <w:t xml:space="preserve"> </w:t>
      </w:r>
      <w:r w:rsidRPr="00EC6A64">
        <w:rPr>
          <w:sz w:val="22"/>
          <w:szCs w:val="22"/>
        </w:rPr>
        <w:t>be entitled to late-payment interest at the rate and for the period mentioned in the general conditions. The demand must be submitted within two months of receiving late payment.</w:t>
      </w:r>
    </w:p>
    <w:p w14:paraId="62D0A52B" w14:textId="5E89777C" w:rsidR="00F02542" w:rsidRPr="00EC6A64" w:rsidRDefault="00F02542" w:rsidP="00F02542">
      <w:pPr>
        <w:spacing w:after="120"/>
        <w:ind w:left="567" w:hanging="567"/>
        <w:rPr>
          <w:sz w:val="22"/>
          <w:szCs w:val="22"/>
        </w:rPr>
      </w:pPr>
      <w:r w:rsidRPr="00EC6A64">
        <w:rPr>
          <w:sz w:val="22"/>
          <w:szCs w:val="22"/>
        </w:rPr>
        <w:t>29.5</w:t>
      </w:r>
      <w:r w:rsidRPr="00EC6A64">
        <w:rPr>
          <w:sz w:val="22"/>
          <w:szCs w:val="22"/>
        </w:rPr>
        <w:tab/>
        <w:t xml:space="preserve">Payments shall be made in </w:t>
      </w:r>
      <w:r w:rsidR="002E125B" w:rsidRPr="00F06DFA">
        <w:rPr>
          <w:sz w:val="22"/>
          <w:szCs w:val="22"/>
        </w:rPr>
        <w:t>the currency or curre</w:t>
      </w:r>
      <w:r w:rsidR="002E125B" w:rsidRPr="00EC6A64">
        <w:rPr>
          <w:sz w:val="22"/>
          <w:szCs w:val="22"/>
        </w:rPr>
        <w:t>ncies in which the selected financial proposal is expressed</w:t>
      </w:r>
      <w:proofErr w:type="gramStart"/>
      <w:r w:rsidR="00EC6A64" w:rsidRPr="00EC6A64">
        <w:rPr>
          <w:sz w:val="22"/>
          <w:szCs w:val="22"/>
        </w:rPr>
        <w:t xml:space="preserve">, </w:t>
      </w:r>
      <w:r w:rsidRPr="00EC6A64">
        <w:rPr>
          <w:sz w:val="22"/>
          <w:szCs w:val="22"/>
        </w:rPr>
        <w:t xml:space="preserve"> in</w:t>
      </w:r>
      <w:proofErr w:type="gramEnd"/>
      <w:r w:rsidRPr="00EC6A64">
        <w:rPr>
          <w:sz w:val="22"/>
          <w:szCs w:val="22"/>
        </w:rPr>
        <w:t xml:space="preserve"> accordance with Articles 20.6 and 29.4 of the general conditions into the bank account notified by the contractor to the contracting authority.</w:t>
      </w:r>
    </w:p>
    <w:p w14:paraId="27E912C2" w14:textId="1F577E28" w:rsidR="00EC6A64" w:rsidRPr="00EC6A64" w:rsidRDefault="00EC6A64" w:rsidP="00EC6A64">
      <w:pPr>
        <w:tabs>
          <w:tab w:val="left" w:pos="540"/>
        </w:tabs>
        <w:ind w:left="540" w:hanging="540"/>
        <w:rPr>
          <w:sz w:val="22"/>
          <w:szCs w:val="22"/>
        </w:rPr>
      </w:pPr>
      <w:r w:rsidRPr="00EC6A64">
        <w:rPr>
          <w:sz w:val="22"/>
          <w:szCs w:val="22"/>
        </w:rPr>
        <w:t xml:space="preserve"> </w:t>
      </w:r>
    </w:p>
    <w:p w14:paraId="782F5361" w14:textId="33815666" w:rsidR="00EC6A64" w:rsidRPr="00EC6A64" w:rsidRDefault="00EC6A64" w:rsidP="00EC6A64">
      <w:pPr>
        <w:spacing w:after="120"/>
        <w:rPr>
          <w:sz w:val="22"/>
          <w:szCs w:val="22"/>
        </w:rPr>
      </w:pPr>
      <w:r w:rsidRPr="00EC6A64">
        <w:rPr>
          <w:sz w:val="22"/>
          <w:szCs w:val="22"/>
        </w:rPr>
        <w:t xml:space="preserve">(3) Any part of the remuneration that is paid in a currency different from the currency of the official index for salaries used in the adjustment formula, shall be adjusted by a correction factor </w:t>
      </w:r>
      <w:r w:rsidRPr="00EC6A64">
        <w:rPr>
          <w:i/>
          <w:sz w:val="22"/>
          <w:szCs w:val="22"/>
        </w:rPr>
        <w:t>X</w:t>
      </w:r>
      <w:r w:rsidRPr="00EC6A64">
        <w:rPr>
          <w:i/>
          <w:sz w:val="22"/>
          <w:szCs w:val="22"/>
          <w:vertAlign w:val="subscript"/>
        </w:rPr>
        <w:t>0</w:t>
      </w:r>
      <w:r w:rsidRPr="00EC6A64">
        <w:rPr>
          <w:i/>
          <w:sz w:val="22"/>
          <w:szCs w:val="22"/>
        </w:rPr>
        <w:t>/X</w:t>
      </w:r>
      <w:r w:rsidRPr="00EC6A64">
        <w:rPr>
          <w:sz w:val="22"/>
          <w:szCs w:val="22"/>
        </w:rPr>
        <w:t xml:space="preserve">.  </w:t>
      </w:r>
      <w:r w:rsidRPr="00EC6A64">
        <w:rPr>
          <w:i/>
          <w:sz w:val="22"/>
          <w:szCs w:val="22"/>
        </w:rPr>
        <w:t>X</w:t>
      </w:r>
      <w:r w:rsidRPr="00EC6A64">
        <w:rPr>
          <w:i/>
          <w:sz w:val="22"/>
          <w:szCs w:val="22"/>
          <w:vertAlign w:val="subscript"/>
        </w:rPr>
        <w:t>0</w:t>
      </w:r>
      <w:r w:rsidRPr="00EC6A64">
        <w:rPr>
          <w:i/>
          <w:sz w:val="22"/>
          <w:szCs w:val="22"/>
        </w:rPr>
        <w:t xml:space="preserve"> </w:t>
      </w:r>
      <w:r w:rsidRPr="00EC6A64">
        <w:rPr>
          <w:sz w:val="22"/>
          <w:szCs w:val="22"/>
        </w:rPr>
        <w:t xml:space="preserve">is the number of units of currency of the country of the official index, equivalent to one unit of the currency of payment on the date of the contract. </w:t>
      </w:r>
      <w:r w:rsidRPr="00EC6A64">
        <w:rPr>
          <w:i/>
          <w:sz w:val="22"/>
          <w:szCs w:val="22"/>
        </w:rPr>
        <w:t>X</w:t>
      </w:r>
      <w:r w:rsidRPr="00EC6A64">
        <w:rPr>
          <w:sz w:val="22"/>
          <w:szCs w:val="22"/>
        </w:rPr>
        <w:t xml:space="preserve"> is the number of units of currency of the country of the official index, equivalent to one unit of the currency of payment on the first day of the first month for which the adjustment is supposed to have effect. </w:t>
      </w:r>
    </w:p>
    <w:p w14:paraId="62D7E8C2" w14:textId="77777777" w:rsidR="002E125B" w:rsidRPr="00EC6A64" w:rsidRDefault="002E125B" w:rsidP="00F02542">
      <w:pPr>
        <w:spacing w:after="120"/>
        <w:ind w:left="567" w:hanging="567"/>
        <w:rPr>
          <w:sz w:val="22"/>
          <w:szCs w:val="22"/>
        </w:rPr>
      </w:pPr>
    </w:p>
    <w:p w14:paraId="479C0B93" w14:textId="77777777" w:rsidR="00A1628E" w:rsidRPr="00EC6A64" w:rsidRDefault="00A1628E" w:rsidP="004443F8">
      <w:pPr>
        <w:keepNext/>
        <w:keepLines/>
        <w:tabs>
          <w:tab w:val="left" w:pos="1134"/>
        </w:tabs>
        <w:spacing w:before="240" w:after="120"/>
        <w:ind w:left="1134" w:hanging="1134"/>
        <w:rPr>
          <w:b/>
        </w:rPr>
      </w:pPr>
      <w:r w:rsidRPr="00EC6A64">
        <w:rPr>
          <w:b/>
        </w:rPr>
        <w:t>Article 30</w:t>
      </w:r>
      <w:r w:rsidRPr="00EC6A64">
        <w:rPr>
          <w:b/>
        </w:rPr>
        <w:tab/>
        <w:t xml:space="preserve">Financial </w:t>
      </w:r>
      <w:r w:rsidR="004E2AD3" w:rsidRPr="00EC6A64">
        <w:rPr>
          <w:b/>
        </w:rPr>
        <w:t>g</w:t>
      </w:r>
      <w:r w:rsidRPr="00EC6A64">
        <w:rPr>
          <w:b/>
        </w:rPr>
        <w:t>uarantee</w:t>
      </w:r>
    </w:p>
    <w:p w14:paraId="5A9D377D" w14:textId="77777777" w:rsidR="00F02542" w:rsidRDefault="00F02542" w:rsidP="00F02542">
      <w:pPr>
        <w:spacing w:after="120"/>
        <w:ind w:left="567" w:hanging="567"/>
        <w:rPr>
          <w:bCs/>
          <w:sz w:val="22"/>
          <w:szCs w:val="22"/>
        </w:rPr>
      </w:pPr>
      <w:r w:rsidRPr="00EC6A64">
        <w:rPr>
          <w:bCs/>
          <w:sz w:val="22"/>
          <w:szCs w:val="22"/>
        </w:rPr>
        <w:t>30.1</w:t>
      </w:r>
      <w:r w:rsidRPr="00EC6A64">
        <w:rPr>
          <w:bCs/>
          <w:sz w:val="22"/>
          <w:szCs w:val="22"/>
        </w:rPr>
        <w:tab/>
        <w:t xml:space="preserve">The Contractor shall provide a financial guarantee for the full amount of the pre-financing payment. The financial guarantee shall be in the format provided for in the contract and may be provided in the form of a bank guarantee, a banker's draft, a certified cheque, a bond provided by an insurance and/or bonding company, an irrevocable letter of credit or a cash deposit made with the Contracting Authority. If the financial guarantee is to be provided in the form of a bank guarantee, a banker's draft, a certified cheque or a bond, it shall be issued by a bank or bonding and/or insurance company approved by the Contracting Authority. In case of Serbian Contractor, this financial guarantee shall be issued by a Serbian bank. For International Contractors this financial guarantee must be issued by a bank with a rating of at least BBB+ (Baa1) or equivalent. In case that bank has lower rating than required, it is required for International Contractor to provide an additional back-guarantee from a Serbian bank. The International Contractor will provide a financial guarantee via a correspondent bank in Republic of Serbia. The Contacting Authority withholds the right that in case of change of the Banks' rating during the Contract performance, the Contracting Authority may require the change of the financial guarantee or back-guarantee to the one that is acceptable to the Contracting Authority </w:t>
      </w:r>
      <w:proofErr w:type="gramStart"/>
      <w:r w:rsidRPr="00EC6A64">
        <w:rPr>
          <w:bCs/>
          <w:sz w:val="22"/>
          <w:szCs w:val="22"/>
        </w:rPr>
        <w:t>on the basis of</w:t>
      </w:r>
      <w:proofErr w:type="gramEnd"/>
      <w:r w:rsidRPr="00EC6A64">
        <w:rPr>
          <w:bCs/>
          <w:sz w:val="22"/>
          <w:szCs w:val="22"/>
        </w:rPr>
        <w:t xml:space="preserve"> this Article. This financial guarantee shall remain valid until it is released by the Contracting Authority in accordance with Article 30.5 or Article 30.6 of the General Conditions, as appropriate.</w:t>
      </w:r>
    </w:p>
    <w:p w14:paraId="0D03CBDA" w14:textId="688A8A61" w:rsidR="00596B41" w:rsidRDefault="00596B41" w:rsidP="00596B41">
      <w:pPr>
        <w:keepNext/>
        <w:keepLines/>
        <w:tabs>
          <w:tab w:val="left" w:pos="1134"/>
        </w:tabs>
        <w:spacing w:before="240" w:after="120"/>
        <w:ind w:left="1134" w:hanging="1134"/>
        <w:rPr>
          <w:b/>
        </w:rPr>
      </w:pPr>
      <w:r w:rsidRPr="00EC6A64">
        <w:rPr>
          <w:b/>
        </w:rPr>
        <w:lastRenderedPageBreak/>
        <w:t>Article 30</w:t>
      </w:r>
      <w:r w:rsidRPr="00EC6A64">
        <w:rPr>
          <w:b/>
        </w:rPr>
        <w:tab/>
      </w:r>
      <w:r>
        <w:rPr>
          <w:b/>
        </w:rPr>
        <w:t>Revision of Prices</w:t>
      </w:r>
    </w:p>
    <w:p w14:paraId="7A090665" w14:textId="77777777" w:rsidR="00596B41" w:rsidRPr="00EC6A64" w:rsidRDefault="00596B41" w:rsidP="00596B41">
      <w:pPr>
        <w:spacing w:after="120"/>
        <w:ind w:left="567" w:hanging="567"/>
        <w:rPr>
          <w:sz w:val="22"/>
          <w:szCs w:val="22"/>
        </w:rPr>
      </w:pPr>
      <w:r w:rsidRPr="00C407F9">
        <w:rPr>
          <w:bCs/>
        </w:rPr>
        <w:t xml:space="preserve">30.1. </w:t>
      </w:r>
      <w:r w:rsidRPr="00EC6A64">
        <w:rPr>
          <w:sz w:val="22"/>
          <w:szCs w:val="22"/>
        </w:rPr>
        <w:t>Price adjustment on the remuneration applies. Payments for remuneration made in foreign and/o</w:t>
      </w:r>
      <w:r>
        <w:rPr>
          <w:sz w:val="22"/>
          <w:szCs w:val="22"/>
        </w:rPr>
        <w:t xml:space="preserve">r </w:t>
      </w:r>
      <w:r w:rsidRPr="00EC6A64">
        <w:rPr>
          <w:sz w:val="22"/>
          <w:szCs w:val="22"/>
        </w:rPr>
        <w:t>local currency shall be adjusted as follows:</w:t>
      </w:r>
    </w:p>
    <w:p w14:paraId="47474CFF" w14:textId="77777777" w:rsidR="00596B41" w:rsidRPr="00EC6A64" w:rsidRDefault="00596B41" w:rsidP="00596B41">
      <w:pPr>
        <w:spacing w:after="120"/>
        <w:rPr>
          <w:sz w:val="22"/>
          <w:szCs w:val="22"/>
        </w:rPr>
      </w:pPr>
      <w:r>
        <w:rPr>
          <w:sz w:val="22"/>
          <w:szCs w:val="22"/>
        </w:rPr>
        <w:t xml:space="preserve">1. </w:t>
      </w:r>
      <w:r w:rsidRPr="00EC6A64">
        <w:rPr>
          <w:sz w:val="22"/>
          <w:szCs w:val="22"/>
        </w:rPr>
        <w:t>Remuneration paid in foreign currency on the basis of the rates set forth in monthly rates for the Experts shall be adjusted every 12 months (and, the first time, with effect for the remuneration earned in the 13</w:t>
      </w:r>
      <w:r w:rsidRPr="00EC6A64">
        <w:rPr>
          <w:sz w:val="22"/>
          <w:szCs w:val="22"/>
          <w:vertAlign w:val="superscript"/>
        </w:rPr>
        <w:t>th</w:t>
      </w:r>
      <w:r w:rsidRPr="00EC6A64">
        <w:rPr>
          <w:sz w:val="22"/>
          <w:szCs w:val="22"/>
        </w:rPr>
        <w:t xml:space="preserve"> calendar month after the date of the Contract Effectiveness date) by applying the following formula: </w:t>
      </w:r>
    </w:p>
    <w:p w14:paraId="1561B9AB" w14:textId="77777777" w:rsidR="00596B41" w:rsidRPr="00EC6A64" w:rsidRDefault="00596B41" w:rsidP="00596B41">
      <w:pPr>
        <w:numPr>
          <w:ilvl w:val="12"/>
          <w:numId w:val="0"/>
        </w:numPr>
        <w:ind w:left="540" w:right="-72"/>
        <w:rPr>
          <w:sz w:val="22"/>
          <w:szCs w:val="22"/>
        </w:rPr>
      </w:pPr>
      <w:r w:rsidRPr="00EC6A64">
        <w:rPr>
          <w:position w:val="-26"/>
          <w:sz w:val="22"/>
          <w:szCs w:val="22"/>
        </w:rPr>
        <w:object w:dxaOrig="1260" w:dyaOrig="639" w14:anchorId="129328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32.1pt" o:ole="">
            <v:imagedata r:id="rId16" o:title=""/>
          </v:shape>
          <o:OLEObject Type="Embed" ProgID="Equation.3" ShapeID="_x0000_i1025" DrawAspect="Content" ObjectID="_1815905366" r:id="rId17"/>
        </w:object>
      </w:r>
      <w:r w:rsidRPr="00EC6A64">
        <w:rPr>
          <w:sz w:val="22"/>
          <w:szCs w:val="22"/>
        </w:rPr>
        <w:t xml:space="preserve">       {</w:t>
      </w:r>
      <w:proofErr w:type="gramStart"/>
      <w:r w:rsidRPr="00EC6A64">
        <w:rPr>
          <w:sz w:val="22"/>
          <w:szCs w:val="22"/>
        </w:rPr>
        <w:t xml:space="preserve">or  </w:t>
      </w:r>
      <w:proofErr w:type="gramEnd"/>
      <w:r w:rsidRPr="00EC6A64">
        <w:rPr>
          <w:position w:val="-26"/>
          <w:sz w:val="22"/>
          <w:szCs w:val="22"/>
        </w:rPr>
        <w:object w:dxaOrig="2420" w:dyaOrig="639" w14:anchorId="32930DA3">
          <v:shape id="_x0000_i1026" type="#_x0000_t75" style="width:119.1pt;height:32.1pt" o:ole="">
            <v:imagedata r:id="rId18" o:title=""/>
          </v:shape>
          <o:OLEObject Type="Embed" ProgID="Equation.3" ShapeID="_x0000_i1026" DrawAspect="Content" ObjectID="_1815905367" r:id="rId19"/>
        </w:object>
      </w:r>
      <w:r w:rsidRPr="00EC6A64">
        <w:rPr>
          <w:sz w:val="22"/>
          <w:szCs w:val="22"/>
        </w:rPr>
        <w:t>}</w:t>
      </w:r>
    </w:p>
    <w:p w14:paraId="611C7F3B" w14:textId="77777777" w:rsidR="00596B41" w:rsidRPr="00EC6A64" w:rsidRDefault="00596B41" w:rsidP="00596B41">
      <w:pPr>
        <w:numPr>
          <w:ilvl w:val="12"/>
          <w:numId w:val="0"/>
        </w:numPr>
        <w:ind w:left="540" w:right="-72"/>
        <w:rPr>
          <w:sz w:val="22"/>
          <w:szCs w:val="22"/>
        </w:rPr>
      </w:pPr>
      <w:proofErr w:type="gramStart"/>
      <w:r w:rsidRPr="00EC6A64">
        <w:rPr>
          <w:sz w:val="22"/>
          <w:szCs w:val="22"/>
        </w:rPr>
        <w:t>where</w:t>
      </w:r>
      <w:proofErr w:type="gramEnd"/>
      <w:r w:rsidRPr="00EC6A64">
        <w:rPr>
          <w:sz w:val="22"/>
          <w:szCs w:val="22"/>
        </w:rPr>
        <w:t xml:space="preserve"> </w:t>
      </w:r>
    </w:p>
    <w:p w14:paraId="1D49D76C" w14:textId="77777777" w:rsidR="00596B41" w:rsidRPr="00EC6A64" w:rsidRDefault="00596B41" w:rsidP="00596B41">
      <w:pPr>
        <w:numPr>
          <w:ilvl w:val="12"/>
          <w:numId w:val="0"/>
        </w:numPr>
        <w:ind w:left="720" w:right="-72"/>
        <w:rPr>
          <w:sz w:val="22"/>
          <w:szCs w:val="22"/>
        </w:rPr>
      </w:pPr>
      <w:proofErr w:type="gramStart"/>
      <w:r w:rsidRPr="00EC6A64">
        <w:rPr>
          <w:i/>
          <w:sz w:val="22"/>
          <w:szCs w:val="22"/>
        </w:rPr>
        <w:t>R</w:t>
      </w:r>
      <w:r w:rsidRPr="00EC6A64">
        <w:rPr>
          <w:i/>
          <w:sz w:val="22"/>
          <w:szCs w:val="22"/>
          <w:vertAlign w:val="subscript"/>
        </w:rPr>
        <w:t>f</w:t>
      </w:r>
      <w:proofErr w:type="gramEnd"/>
      <w:r w:rsidRPr="00EC6A64">
        <w:rPr>
          <w:sz w:val="22"/>
          <w:szCs w:val="22"/>
        </w:rPr>
        <w:t xml:space="preserve"> is the adjusted remuneration; </w:t>
      </w:r>
    </w:p>
    <w:p w14:paraId="34DA0DAC" w14:textId="7A8F90A8" w:rsidR="00596B41" w:rsidRPr="00EC6A64" w:rsidRDefault="00596B41" w:rsidP="00596B41">
      <w:pPr>
        <w:numPr>
          <w:ilvl w:val="12"/>
          <w:numId w:val="0"/>
        </w:numPr>
        <w:ind w:left="720" w:right="-72"/>
        <w:rPr>
          <w:sz w:val="22"/>
          <w:szCs w:val="22"/>
        </w:rPr>
      </w:pPr>
      <w:proofErr w:type="spellStart"/>
      <w:r w:rsidRPr="00EC6A64">
        <w:rPr>
          <w:i/>
          <w:sz w:val="22"/>
          <w:szCs w:val="22"/>
        </w:rPr>
        <w:t>R</w:t>
      </w:r>
      <w:r w:rsidRPr="00EC6A64">
        <w:rPr>
          <w:i/>
          <w:sz w:val="22"/>
          <w:szCs w:val="22"/>
          <w:vertAlign w:val="subscript"/>
        </w:rPr>
        <w:t>fo</w:t>
      </w:r>
      <w:proofErr w:type="spellEnd"/>
      <w:r w:rsidRPr="00EC6A64">
        <w:rPr>
          <w:sz w:val="22"/>
          <w:szCs w:val="22"/>
        </w:rPr>
        <w:t xml:space="preserve"> is the remuneration payable </w:t>
      </w:r>
      <w:proofErr w:type="gramStart"/>
      <w:r w:rsidRPr="00EC6A64">
        <w:rPr>
          <w:sz w:val="22"/>
          <w:szCs w:val="22"/>
        </w:rPr>
        <w:t>on the basis of</w:t>
      </w:r>
      <w:proofErr w:type="gramEnd"/>
      <w:r w:rsidRPr="00EC6A64">
        <w:rPr>
          <w:sz w:val="22"/>
          <w:szCs w:val="22"/>
        </w:rPr>
        <w:t xml:space="preserve"> the remuneration rates in foreign currency;</w:t>
      </w:r>
    </w:p>
    <w:p w14:paraId="2C4B453F" w14:textId="77777777" w:rsidR="00596B41" w:rsidRPr="00EC6A64" w:rsidRDefault="00596B41" w:rsidP="00596B41">
      <w:pPr>
        <w:numPr>
          <w:ilvl w:val="12"/>
          <w:numId w:val="0"/>
        </w:numPr>
        <w:ind w:left="720" w:right="-72"/>
        <w:rPr>
          <w:sz w:val="22"/>
          <w:szCs w:val="22"/>
        </w:rPr>
      </w:pPr>
      <w:r w:rsidRPr="00EC6A64">
        <w:rPr>
          <w:i/>
          <w:sz w:val="22"/>
          <w:szCs w:val="22"/>
        </w:rPr>
        <w:t>I</w:t>
      </w:r>
      <w:r w:rsidRPr="00EC6A64">
        <w:rPr>
          <w:i/>
          <w:sz w:val="22"/>
          <w:szCs w:val="22"/>
          <w:vertAlign w:val="subscript"/>
        </w:rPr>
        <w:t>f</w:t>
      </w:r>
      <w:r w:rsidRPr="00EC6A64">
        <w:rPr>
          <w:sz w:val="22"/>
          <w:szCs w:val="22"/>
        </w:rPr>
        <w:t xml:space="preserve"> is the official index for salaries in the country of the foreign currency for the first month for which the adjustment is supposed to have effect; and </w:t>
      </w:r>
    </w:p>
    <w:p w14:paraId="5EAC397B" w14:textId="77777777" w:rsidR="00596B41" w:rsidRPr="00EC6A64" w:rsidRDefault="00596B41" w:rsidP="00596B41">
      <w:pPr>
        <w:numPr>
          <w:ilvl w:val="12"/>
          <w:numId w:val="0"/>
        </w:numPr>
        <w:ind w:left="720" w:right="-72"/>
        <w:rPr>
          <w:sz w:val="22"/>
          <w:szCs w:val="22"/>
        </w:rPr>
      </w:pPr>
      <w:r w:rsidRPr="00EC6A64">
        <w:rPr>
          <w:i/>
          <w:sz w:val="22"/>
          <w:szCs w:val="22"/>
        </w:rPr>
        <w:t>I</w:t>
      </w:r>
      <w:r w:rsidRPr="00EC6A64">
        <w:rPr>
          <w:i/>
          <w:sz w:val="22"/>
          <w:szCs w:val="22"/>
          <w:vertAlign w:val="subscript"/>
        </w:rPr>
        <w:t>fo</w:t>
      </w:r>
      <w:r w:rsidRPr="00EC6A64">
        <w:rPr>
          <w:sz w:val="22"/>
          <w:szCs w:val="22"/>
        </w:rPr>
        <w:t xml:space="preserve"> is the official index for salaries in the country of the foreign currency for the month of the date of the Contract.</w:t>
      </w:r>
    </w:p>
    <w:p w14:paraId="10261B59" w14:textId="77777777" w:rsidR="00596B41" w:rsidRPr="00EC6A64" w:rsidRDefault="00596B41" w:rsidP="00596B41">
      <w:pPr>
        <w:tabs>
          <w:tab w:val="left" w:pos="540"/>
        </w:tabs>
        <w:ind w:left="540" w:hanging="540"/>
        <w:rPr>
          <w:sz w:val="22"/>
          <w:szCs w:val="22"/>
        </w:rPr>
      </w:pPr>
      <w:r w:rsidRPr="00EC6A64">
        <w:rPr>
          <w:sz w:val="22"/>
          <w:szCs w:val="22"/>
        </w:rPr>
        <w:t xml:space="preserve">        The Consultant shall state here the name, source institution, and any necessary identifying characteristics of the official index for salaries corresponding to </w:t>
      </w:r>
      <w:r w:rsidRPr="00EC6A64">
        <w:rPr>
          <w:i/>
          <w:sz w:val="22"/>
          <w:szCs w:val="22"/>
        </w:rPr>
        <w:t>I</w:t>
      </w:r>
      <w:r w:rsidRPr="00EC6A64">
        <w:rPr>
          <w:i/>
          <w:sz w:val="22"/>
          <w:szCs w:val="22"/>
          <w:vertAlign w:val="subscript"/>
        </w:rPr>
        <w:t>f</w:t>
      </w:r>
      <w:r w:rsidRPr="00EC6A64">
        <w:rPr>
          <w:sz w:val="22"/>
          <w:szCs w:val="22"/>
        </w:rPr>
        <w:t xml:space="preserve"> and </w:t>
      </w:r>
      <w:r w:rsidRPr="00EC6A64">
        <w:rPr>
          <w:i/>
          <w:sz w:val="22"/>
          <w:szCs w:val="22"/>
        </w:rPr>
        <w:t>I</w:t>
      </w:r>
      <w:r w:rsidRPr="00EC6A64">
        <w:rPr>
          <w:i/>
          <w:sz w:val="22"/>
          <w:szCs w:val="22"/>
          <w:vertAlign w:val="subscript"/>
        </w:rPr>
        <w:t>fo</w:t>
      </w:r>
      <w:r w:rsidRPr="00EC6A64">
        <w:rPr>
          <w:sz w:val="22"/>
          <w:szCs w:val="22"/>
        </w:rPr>
        <w:t xml:space="preserve"> in the adjustment formula for remuneration paid in foreign currency: [</w:t>
      </w:r>
      <w:r w:rsidRPr="00EC6A64">
        <w:rPr>
          <w:i/>
          <w:sz w:val="22"/>
          <w:szCs w:val="22"/>
        </w:rPr>
        <w:t>Insert the name, source institution, and necessary identifying characteristics of the index for foreign currency, e.g. “Consumer Price Index for all Urban Consumers (CPI-U), not seasonally adjusted; U.S. Department of Labor, Bureau of Labor Statistics”</w:t>
      </w:r>
      <w:r w:rsidRPr="00EC6A64">
        <w:rPr>
          <w:sz w:val="22"/>
          <w:szCs w:val="22"/>
        </w:rPr>
        <w:t>]</w:t>
      </w:r>
    </w:p>
    <w:p w14:paraId="20F3DBE2" w14:textId="77777777" w:rsidR="00596B41" w:rsidRPr="00EC6A64" w:rsidRDefault="00596B41" w:rsidP="00596B41">
      <w:pPr>
        <w:numPr>
          <w:ilvl w:val="12"/>
          <w:numId w:val="0"/>
        </w:numPr>
        <w:tabs>
          <w:tab w:val="left" w:pos="540"/>
        </w:tabs>
        <w:ind w:left="540" w:right="-72" w:hanging="540"/>
        <w:rPr>
          <w:sz w:val="22"/>
          <w:szCs w:val="22"/>
        </w:rPr>
      </w:pPr>
      <w:r w:rsidRPr="00EC6A64">
        <w:rPr>
          <w:sz w:val="22"/>
          <w:szCs w:val="22"/>
        </w:rPr>
        <w:t>(2)</w:t>
      </w:r>
      <w:r w:rsidRPr="00EC6A64">
        <w:rPr>
          <w:sz w:val="22"/>
          <w:szCs w:val="22"/>
        </w:rPr>
        <w:tab/>
        <w:t xml:space="preserve">Remuneration paid in local currency pursuant to the rates set </w:t>
      </w:r>
      <w:proofErr w:type="spellStart"/>
      <w:r w:rsidRPr="00EC6A64">
        <w:rPr>
          <w:sz w:val="22"/>
          <w:szCs w:val="22"/>
        </w:rPr>
        <w:t>fo</w:t>
      </w:r>
      <w:proofErr w:type="spellEnd"/>
      <w:r w:rsidRPr="00EC6A64">
        <w:rPr>
          <w:sz w:val="22"/>
          <w:szCs w:val="22"/>
        </w:rPr>
        <w:t xml:space="preserve"> shall be adjusted every </w:t>
      </w:r>
      <w:r w:rsidRPr="00EC6A64">
        <w:rPr>
          <w:i/>
          <w:sz w:val="22"/>
          <w:szCs w:val="22"/>
        </w:rPr>
        <w:t>[insert number]</w:t>
      </w:r>
      <w:r w:rsidRPr="00EC6A64">
        <w:rPr>
          <w:sz w:val="22"/>
          <w:szCs w:val="22"/>
        </w:rPr>
        <w:t xml:space="preserve"> months (and, for the first time, with effect for the remuneration earned in the </w:t>
      </w:r>
      <w:r w:rsidRPr="00EC6A64">
        <w:rPr>
          <w:i/>
          <w:sz w:val="22"/>
          <w:szCs w:val="22"/>
        </w:rPr>
        <w:t>[insert number</w:t>
      </w:r>
      <w:proofErr w:type="gramStart"/>
      <w:r w:rsidRPr="00EC6A64">
        <w:rPr>
          <w:i/>
          <w:sz w:val="22"/>
          <w:szCs w:val="22"/>
        </w:rPr>
        <w:t>]</w:t>
      </w:r>
      <w:r w:rsidRPr="00EC6A64">
        <w:rPr>
          <w:sz w:val="22"/>
          <w:szCs w:val="22"/>
        </w:rPr>
        <w:t>the</w:t>
      </w:r>
      <w:proofErr w:type="gramEnd"/>
      <w:r w:rsidRPr="00EC6A64">
        <w:rPr>
          <w:sz w:val="22"/>
          <w:szCs w:val="22"/>
        </w:rPr>
        <w:t xml:space="preserve"> calendar month after the date of the Contract) by applying the following formula:</w:t>
      </w:r>
    </w:p>
    <w:p w14:paraId="46472992" w14:textId="77777777" w:rsidR="00596B41" w:rsidRPr="00EC6A64" w:rsidRDefault="00596B41" w:rsidP="00596B41">
      <w:pPr>
        <w:numPr>
          <w:ilvl w:val="12"/>
          <w:numId w:val="0"/>
        </w:numPr>
        <w:tabs>
          <w:tab w:val="left" w:pos="540"/>
        </w:tabs>
        <w:ind w:left="540" w:right="-72" w:hanging="540"/>
        <w:rPr>
          <w:sz w:val="22"/>
          <w:szCs w:val="22"/>
        </w:rPr>
      </w:pPr>
    </w:p>
    <w:p w14:paraId="33128FEB" w14:textId="77777777" w:rsidR="00596B41" w:rsidRPr="00EC6A64" w:rsidRDefault="00596B41" w:rsidP="00596B41">
      <w:pPr>
        <w:numPr>
          <w:ilvl w:val="12"/>
          <w:numId w:val="0"/>
        </w:numPr>
        <w:ind w:left="540" w:right="-72"/>
        <w:rPr>
          <w:sz w:val="22"/>
          <w:szCs w:val="22"/>
        </w:rPr>
      </w:pPr>
      <w:r w:rsidRPr="00EC6A64">
        <w:rPr>
          <w:position w:val="-24"/>
          <w:sz w:val="22"/>
          <w:szCs w:val="22"/>
        </w:rPr>
        <w:object w:dxaOrig="1240" w:dyaOrig="620" w14:anchorId="4E7EE2E8">
          <v:shape id="_x0000_i1027" type="#_x0000_t75" style="width:61.5pt;height:29.9pt" o:ole="">
            <v:imagedata r:id="rId20" o:title=""/>
          </v:shape>
          <o:OLEObject Type="Embed" ProgID="Equation.3" ShapeID="_x0000_i1027" DrawAspect="Content" ObjectID="_1815905368" r:id="rId21"/>
        </w:object>
      </w:r>
      <w:r w:rsidRPr="00EC6A64">
        <w:rPr>
          <w:sz w:val="22"/>
          <w:szCs w:val="22"/>
        </w:rPr>
        <w:t xml:space="preserve">       {</w:t>
      </w:r>
      <w:proofErr w:type="gramStart"/>
      <w:r w:rsidRPr="00EC6A64">
        <w:rPr>
          <w:sz w:val="22"/>
          <w:szCs w:val="22"/>
        </w:rPr>
        <w:t>or</w:t>
      </w:r>
      <w:proofErr w:type="gramEnd"/>
      <w:r w:rsidRPr="00EC6A64">
        <w:rPr>
          <w:sz w:val="22"/>
          <w:szCs w:val="22"/>
        </w:rPr>
        <w:t xml:space="preserve">     </w:t>
      </w:r>
      <w:r w:rsidRPr="00EC6A64">
        <w:rPr>
          <w:position w:val="-24"/>
          <w:sz w:val="22"/>
          <w:szCs w:val="22"/>
        </w:rPr>
        <w:object w:dxaOrig="2400" w:dyaOrig="620" w14:anchorId="74D3BD10">
          <v:shape id="_x0000_i1028" type="#_x0000_t75" style="width:119.1pt;height:29.9pt" o:ole="">
            <v:imagedata r:id="rId22" o:title=""/>
          </v:shape>
          <o:OLEObject Type="Embed" ProgID="Equation.3" ShapeID="_x0000_i1028" DrawAspect="Content" ObjectID="_1815905369" r:id="rId23"/>
        </w:object>
      </w:r>
      <w:r w:rsidRPr="00EC6A64">
        <w:rPr>
          <w:sz w:val="22"/>
          <w:szCs w:val="22"/>
        </w:rPr>
        <w:t>}</w:t>
      </w:r>
    </w:p>
    <w:p w14:paraId="6A2807F4" w14:textId="77777777" w:rsidR="00596B41" w:rsidRPr="00EC6A64" w:rsidRDefault="00596B41" w:rsidP="00596B41">
      <w:pPr>
        <w:numPr>
          <w:ilvl w:val="12"/>
          <w:numId w:val="0"/>
        </w:numPr>
        <w:ind w:left="540" w:right="-72"/>
        <w:rPr>
          <w:sz w:val="22"/>
          <w:szCs w:val="22"/>
        </w:rPr>
      </w:pPr>
      <w:proofErr w:type="gramStart"/>
      <w:r w:rsidRPr="00EC6A64">
        <w:rPr>
          <w:sz w:val="22"/>
          <w:szCs w:val="22"/>
        </w:rPr>
        <w:t>where</w:t>
      </w:r>
      <w:proofErr w:type="gramEnd"/>
      <w:r w:rsidRPr="00EC6A64">
        <w:rPr>
          <w:sz w:val="22"/>
          <w:szCs w:val="22"/>
        </w:rPr>
        <w:t xml:space="preserve"> </w:t>
      </w:r>
    </w:p>
    <w:p w14:paraId="1CC616D3" w14:textId="77777777" w:rsidR="00596B41" w:rsidRPr="00EC6A64" w:rsidRDefault="00596B41" w:rsidP="00596B41">
      <w:pPr>
        <w:numPr>
          <w:ilvl w:val="12"/>
          <w:numId w:val="0"/>
        </w:numPr>
        <w:ind w:left="720" w:right="-72"/>
        <w:rPr>
          <w:sz w:val="22"/>
          <w:szCs w:val="22"/>
        </w:rPr>
      </w:pPr>
      <w:proofErr w:type="spellStart"/>
      <w:r w:rsidRPr="00EC6A64">
        <w:rPr>
          <w:i/>
          <w:sz w:val="22"/>
          <w:szCs w:val="22"/>
        </w:rPr>
        <w:t>R</w:t>
      </w:r>
      <w:r w:rsidRPr="00EC6A64">
        <w:rPr>
          <w:i/>
          <w:sz w:val="22"/>
          <w:szCs w:val="22"/>
          <w:vertAlign w:val="subscript"/>
        </w:rPr>
        <w:t>l</w:t>
      </w:r>
      <w:proofErr w:type="spellEnd"/>
      <w:r w:rsidRPr="00EC6A64">
        <w:rPr>
          <w:sz w:val="22"/>
          <w:szCs w:val="22"/>
        </w:rPr>
        <w:t xml:space="preserve"> is the adjusted remuneration</w:t>
      </w:r>
      <w:proofErr w:type="gramStart"/>
      <w:r w:rsidRPr="00EC6A64">
        <w:rPr>
          <w:sz w:val="22"/>
          <w:szCs w:val="22"/>
        </w:rPr>
        <w:t>;</w:t>
      </w:r>
      <w:proofErr w:type="gramEnd"/>
    </w:p>
    <w:p w14:paraId="766667CD" w14:textId="77777777" w:rsidR="00596B41" w:rsidRPr="00EC6A64" w:rsidRDefault="00596B41" w:rsidP="00596B41">
      <w:pPr>
        <w:numPr>
          <w:ilvl w:val="12"/>
          <w:numId w:val="0"/>
        </w:numPr>
        <w:ind w:left="720" w:right="-72"/>
        <w:rPr>
          <w:sz w:val="22"/>
          <w:szCs w:val="22"/>
        </w:rPr>
      </w:pPr>
      <w:proofErr w:type="spellStart"/>
      <w:r w:rsidRPr="00EC6A64">
        <w:rPr>
          <w:i/>
          <w:sz w:val="22"/>
          <w:szCs w:val="22"/>
        </w:rPr>
        <w:t>R</w:t>
      </w:r>
      <w:r w:rsidRPr="00EC6A64">
        <w:rPr>
          <w:i/>
          <w:sz w:val="22"/>
          <w:szCs w:val="22"/>
          <w:vertAlign w:val="subscript"/>
        </w:rPr>
        <w:t>lo</w:t>
      </w:r>
      <w:proofErr w:type="spellEnd"/>
      <w:r w:rsidRPr="00EC6A64">
        <w:rPr>
          <w:i/>
          <w:sz w:val="22"/>
          <w:szCs w:val="22"/>
          <w:vertAlign w:val="subscript"/>
        </w:rPr>
        <w:t xml:space="preserve"> </w:t>
      </w:r>
      <w:r w:rsidRPr="00EC6A64">
        <w:rPr>
          <w:sz w:val="22"/>
          <w:szCs w:val="22"/>
        </w:rPr>
        <w:t xml:space="preserve">is the remuneration payable </w:t>
      </w:r>
      <w:proofErr w:type="gramStart"/>
      <w:r w:rsidRPr="00EC6A64">
        <w:rPr>
          <w:sz w:val="22"/>
          <w:szCs w:val="22"/>
        </w:rPr>
        <w:t>on the basis of</w:t>
      </w:r>
      <w:proofErr w:type="gramEnd"/>
      <w:r w:rsidRPr="00EC6A64">
        <w:rPr>
          <w:sz w:val="22"/>
          <w:szCs w:val="22"/>
        </w:rPr>
        <w:t xml:space="preserve"> the remuneration rates in local currency;</w:t>
      </w:r>
    </w:p>
    <w:p w14:paraId="51A92ACB" w14:textId="77777777" w:rsidR="00596B41" w:rsidRPr="00EC6A64" w:rsidRDefault="00596B41" w:rsidP="00596B41">
      <w:pPr>
        <w:numPr>
          <w:ilvl w:val="12"/>
          <w:numId w:val="0"/>
        </w:numPr>
        <w:ind w:left="720" w:right="-72"/>
        <w:rPr>
          <w:sz w:val="22"/>
          <w:szCs w:val="22"/>
        </w:rPr>
      </w:pPr>
      <w:r w:rsidRPr="00EC6A64">
        <w:rPr>
          <w:i/>
          <w:sz w:val="22"/>
          <w:szCs w:val="22"/>
        </w:rPr>
        <w:t>I</w:t>
      </w:r>
      <w:r w:rsidRPr="00EC6A64">
        <w:rPr>
          <w:i/>
          <w:sz w:val="22"/>
          <w:szCs w:val="22"/>
          <w:vertAlign w:val="subscript"/>
        </w:rPr>
        <w:t>l</w:t>
      </w:r>
      <w:r w:rsidRPr="00EC6A64">
        <w:rPr>
          <w:sz w:val="22"/>
          <w:szCs w:val="22"/>
        </w:rPr>
        <w:t xml:space="preserve"> is the official index for salaries in the Client’s country for the first month for which the adjustment is to have effect; and</w:t>
      </w:r>
    </w:p>
    <w:p w14:paraId="61DB8962" w14:textId="77777777" w:rsidR="00596B41" w:rsidRPr="00EC6A64" w:rsidRDefault="00596B41" w:rsidP="00596B41">
      <w:pPr>
        <w:numPr>
          <w:ilvl w:val="12"/>
          <w:numId w:val="0"/>
        </w:numPr>
        <w:ind w:left="720" w:right="-72"/>
        <w:rPr>
          <w:b/>
          <w:bCs/>
          <w:sz w:val="22"/>
          <w:szCs w:val="22"/>
        </w:rPr>
      </w:pPr>
      <w:r w:rsidRPr="00EC6A64">
        <w:rPr>
          <w:i/>
          <w:sz w:val="22"/>
          <w:szCs w:val="22"/>
        </w:rPr>
        <w:t>I</w:t>
      </w:r>
      <w:r w:rsidRPr="00EC6A64">
        <w:rPr>
          <w:i/>
          <w:sz w:val="22"/>
          <w:szCs w:val="22"/>
          <w:vertAlign w:val="subscript"/>
        </w:rPr>
        <w:t>lo</w:t>
      </w:r>
      <w:r w:rsidRPr="00EC6A64">
        <w:rPr>
          <w:sz w:val="22"/>
          <w:szCs w:val="22"/>
        </w:rPr>
        <w:t xml:space="preserve"> is the official index for salaries in the Client’s country for the month of the date of the Contract.</w:t>
      </w:r>
    </w:p>
    <w:p w14:paraId="3E325410" w14:textId="77777777" w:rsidR="00596B41" w:rsidRPr="00EC6A64" w:rsidRDefault="00596B41" w:rsidP="00596B41">
      <w:pPr>
        <w:numPr>
          <w:ilvl w:val="12"/>
          <w:numId w:val="0"/>
        </w:numPr>
        <w:ind w:left="720" w:right="-72"/>
        <w:rPr>
          <w:b/>
          <w:i/>
          <w:sz w:val="22"/>
          <w:szCs w:val="22"/>
        </w:rPr>
      </w:pPr>
      <w:r w:rsidRPr="00EC6A64">
        <w:rPr>
          <w:b/>
          <w:i/>
          <w:sz w:val="22"/>
          <w:szCs w:val="22"/>
        </w:rPr>
        <w:t xml:space="preserve"> </w:t>
      </w:r>
    </w:p>
    <w:p w14:paraId="2BCFAD06" w14:textId="77777777" w:rsidR="00596B41" w:rsidRPr="00EC6A64" w:rsidRDefault="00596B41" w:rsidP="00596B41">
      <w:pPr>
        <w:tabs>
          <w:tab w:val="left" w:pos="540"/>
        </w:tabs>
        <w:ind w:left="540" w:hanging="540"/>
        <w:rPr>
          <w:sz w:val="22"/>
          <w:szCs w:val="22"/>
        </w:rPr>
      </w:pPr>
      <w:r w:rsidRPr="00EC6A64">
        <w:rPr>
          <w:sz w:val="22"/>
          <w:szCs w:val="22"/>
        </w:rPr>
        <w:t xml:space="preserve">        The Client shall state here the name, source institution, and any necessary identifying characteristics of the official index for salaries corresponding to </w:t>
      </w:r>
      <w:r w:rsidRPr="00EC6A64">
        <w:rPr>
          <w:i/>
          <w:sz w:val="22"/>
          <w:szCs w:val="22"/>
        </w:rPr>
        <w:t>I</w:t>
      </w:r>
      <w:r w:rsidRPr="00EC6A64">
        <w:rPr>
          <w:i/>
          <w:sz w:val="22"/>
          <w:szCs w:val="22"/>
          <w:vertAlign w:val="subscript"/>
        </w:rPr>
        <w:t>l</w:t>
      </w:r>
      <w:r w:rsidRPr="00EC6A64">
        <w:rPr>
          <w:sz w:val="22"/>
          <w:szCs w:val="22"/>
        </w:rPr>
        <w:t xml:space="preserve"> and </w:t>
      </w:r>
      <w:r w:rsidRPr="00EC6A64">
        <w:rPr>
          <w:i/>
          <w:sz w:val="22"/>
          <w:szCs w:val="22"/>
        </w:rPr>
        <w:t>I</w:t>
      </w:r>
      <w:r w:rsidRPr="00EC6A64">
        <w:rPr>
          <w:i/>
          <w:sz w:val="22"/>
          <w:szCs w:val="22"/>
          <w:vertAlign w:val="subscript"/>
        </w:rPr>
        <w:t>lo</w:t>
      </w:r>
      <w:r w:rsidRPr="00EC6A64">
        <w:rPr>
          <w:sz w:val="22"/>
          <w:szCs w:val="22"/>
        </w:rPr>
        <w:t xml:space="preserve"> in the adjustment formula for remuneration paid in local currency: </w:t>
      </w:r>
    </w:p>
    <w:p w14:paraId="592D9665" w14:textId="77777777" w:rsidR="00596B41" w:rsidRPr="00EC6A64" w:rsidRDefault="00596B41" w:rsidP="00596B41">
      <w:pPr>
        <w:tabs>
          <w:tab w:val="left" w:pos="540"/>
        </w:tabs>
        <w:ind w:left="540" w:hanging="540"/>
        <w:rPr>
          <w:sz w:val="22"/>
          <w:szCs w:val="22"/>
        </w:rPr>
      </w:pPr>
      <w:r w:rsidRPr="00EC6A64">
        <w:rPr>
          <w:sz w:val="22"/>
          <w:szCs w:val="22"/>
        </w:rPr>
        <w:lastRenderedPageBreak/>
        <w:t>Statistical Office of the Republic of Serbia</w:t>
      </w:r>
    </w:p>
    <w:p w14:paraId="56499236" w14:textId="44EF8B04" w:rsidR="00596B41" w:rsidRPr="00C407F9" w:rsidRDefault="00596B41" w:rsidP="00596B41">
      <w:pPr>
        <w:keepNext/>
        <w:keepLines/>
        <w:tabs>
          <w:tab w:val="left" w:pos="1134"/>
        </w:tabs>
        <w:spacing w:before="240" w:after="120"/>
        <w:ind w:left="1134" w:hanging="1134"/>
        <w:rPr>
          <w:bCs/>
        </w:rPr>
      </w:pPr>
      <w:r w:rsidRPr="00EC6A64">
        <w:rPr>
          <w:sz w:val="22"/>
          <w:szCs w:val="22"/>
        </w:rPr>
        <w:t xml:space="preserve">Monthly Indices of Earnings/Total </w:t>
      </w:r>
      <w:hyperlink r:id="rId24" w:history="1">
        <w:r w:rsidRPr="00EC6A64">
          <w:rPr>
            <w:rStyle w:val="Hyperlink"/>
            <w:sz w:val="22"/>
            <w:szCs w:val="22"/>
          </w:rPr>
          <w:t>https://data.stat.gov.rs/Home/Result/24030602?languageCode=en-US</w:t>
        </w:r>
      </w:hyperlink>
    </w:p>
    <w:p w14:paraId="1DE99F23" w14:textId="77777777" w:rsidR="00596B41" w:rsidRPr="00EC6A64" w:rsidRDefault="00596B41" w:rsidP="00F02542">
      <w:pPr>
        <w:spacing w:after="120"/>
        <w:ind w:left="567" w:hanging="567"/>
        <w:rPr>
          <w:bCs/>
          <w:sz w:val="22"/>
          <w:szCs w:val="22"/>
        </w:rPr>
      </w:pPr>
    </w:p>
    <w:p w14:paraId="44F13189" w14:textId="77777777" w:rsidR="002A496E" w:rsidRPr="00EC6A64" w:rsidRDefault="002A496E" w:rsidP="00B547BD">
      <w:pPr>
        <w:keepNext/>
        <w:keepLines/>
        <w:tabs>
          <w:tab w:val="left" w:pos="1134"/>
          <w:tab w:val="left" w:pos="6495"/>
        </w:tabs>
        <w:spacing w:before="240" w:after="120"/>
        <w:ind w:left="1134" w:hanging="1134"/>
        <w:rPr>
          <w:b/>
        </w:rPr>
      </w:pPr>
      <w:r w:rsidRPr="00EC6A64">
        <w:rPr>
          <w:b/>
        </w:rPr>
        <w:t>Article 40</w:t>
      </w:r>
      <w:r w:rsidRPr="00EC6A64">
        <w:rPr>
          <w:b/>
        </w:rPr>
        <w:tab/>
        <w:t>Settlement of disputes</w:t>
      </w:r>
    </w:p>
    <w:p w14:paraId="52AE948D" w14:textId="77777777" w:rsidR="00543AF5" w:rsidRDefault="00F02542" w:rsidP="004C7C7E">
      <w:pPr>
        <w:numPr>
          <w:ilvl w:val="12"/>
          <w:numId w:val="0"/>
        </w:numPr>
        <w:ind w:right="-72"/>
        <w:rPr>
          <w:sz w:val="22"/>
          <w:szCs w:val="22"/>
        </w:rPr>
      </w:pPr>
      <w:r w:rsidRPr="00EC6A64">
        <w:rPr>
          <w:sz w:val="22"/>
          <w:szCs w:val="22"/>
        </w:rPr>
        <w:t>40.</w:t>
      </w:r>
      <w:r w:rsidR="00543AF5">
        <w:rPr>
          <w:rFonts w:asciiTheme="minorHAnsi" w:hAnsiTheme="minorHAnsi" w:cstheme="minorHAnsi"/>
          <w:sz w:val="22"/>
          <w:szCs w:val="22"/>
        </w:rPr>
        <w:t xml:space="preserve">3. </w:t>
      </w:r>
      <w:r w:rsidR="00543AF5">
        <w:rPr>
          <w:sz w:val="22"/>
          <w:szCs w:val="22"/>
        </w:rPr>
        <w:t xml:space="preserve">In an absence of amicable settlement, </w:t>
      </w:r>
      <w:proofErr w:type="spellStart"/>
      <w:r w:rsidR="00543AF5">
        <w:rPr>
          <w:sz w:val="22"/>
          <w:szCs w:val="22"/>
        </w:rPr>
        <w:t>dispuites</w:t>
      </w:r>
      <w:proofErr w:type="spellEnd"/>
      <w:r w:rsidR="00543AF5">
        <w:rPr>
          <w:sz w:val="22"/>
          <w:szCs w:val="22"/>
        </w:rPr>
        <w:t xml:space="preserve"> shall be settled </w:t>
      </w:r>
      <w:proofErr w:type="spellStart"/>
      <w:r w:rsidR="00543AF5">
        <w:rPr>
          <w:sz w:val="22"/>
          <w:szCs w:val="22"/>
        </w:rPr>
        <w:t>y</w:t>
      </w:r>
      <w:proofErr w:type="spellEnd"/>
      <w:r w:rsidR="00543AF5">
        <w:rPr>
          <w:sz w:val="22"/>
          <w:szCs w:val="22"/>
        </w:rPr>
        <w:t xml:space="preserve"> arbitration in accordance with the following provisions: </w:t>
      </w:r>
    </w:p>
    <w:p w14:paraId="33F8D269" w14:textId="78B9A160" w:rsidR="004C7C7E" w:rsidRDefault="00543AF5" w:rsidP="004C7C7E">
      <w:pPr>
        <w:numPr>
          <w:ilvl w:val="12"/>
          <w:numId w:val="0"/>
        </w:numPr>
        <w:tabs>
          <w:tab w:val="left" w:pos="1080"/>
        </w:tabs>
        <w:ind w:left="1088" w:right="-74" w:hanging="530"/>
        <w:rPr>
          <w:sz w:val="22"/>
          <w:szCs w:val="22"/>
        </w:rPr>
      </w:pPr>
      <w:r>
        <w:rPr>
          <w:sz w:val="22"/>
          <w:szCs w:val="22"/>
        </w:rPr>
        <w:t xml:space="preserve">1. </w:t>
      </w:r>
      <w:r w:rsidRPr="00C407F9">
        <w:rPr>
          <w:sz w:val="22"/>
          <w:szCs w:val="22"/>
          <w:u w:val="single"/>
        </w:rPr>
        <w:t>Selection of Arbitrators</w:t>
      </w:r>
      <w:r>
        <w:rPr>
          <w:sz w:val="22"/>
          <w:szCs w:val="22"/>
        </w:rPr>
        <w:t xml:space="preserve">: Each dispute submitted by a party to arbitration shall be heard by sole </w:t>
      </w:r>
      <w:r w:rsidR="004C7C7E">
        <w:rPr>
          <w:sz w:val="22"/>
          <w:szCs w:val="22"/>
        </w:rPr>
        <w:t>arbitrator</w:t>
      </w:r>
      <w:r>
        <w:rPr>
          <w:sz w:val="22"/>
          <w:szCs w:val="22"/>
        </w:rPr>
        <w:t xml:space="preserve"> or an arbitration panel composed of three (3) arbitrators, in accordance with the following provisions: (a)</w:t>
      </w:r>
      <w:r w:rsidRPr="00F005C5">
        <w:rPr>
          <w:rFonts w:asciiTheme="minorHAnsi" w:hAnsiTheme="minorHAnsi" w:cstheme="minorHAnsi"/>
          <w:sz w:val="22"/>
          <w:szCs w:val="22"/>
        </w:rPr>
        <w:tab/>
      </w:r>
      <w:r w:rsidRPr="00C407F9">
        <w:rPr>
          <w:sz w:val="22"/>
          <w:szCs w:val="22"/>
        </w:rPr>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C407F9">
        <w:rPr>
          <w:iCs/>
          <w:sz w:val="22"/>
          <w:szCs w:val="22"/>
        </w:rPr>
        <w:t xml:space="preserve">the Federation </w:t>
      </w:r>
      <w:r w:rsidRPr="00C407F9">
        <w:rPr>
          <w:b/>
          <w:bCs/>
          <w:iCs/>
          <w:sz w:val="22"/>
          <w:szCs w:val="22"/>
        </w:rPr>
        <w:t xml:space="preserve">Internationale des </w:t>
      </w:r>
      <w:proofErr w:type="spellStart"/>
      <w:r w:rsidRPr="00C407F9">
        <w:rPr>
          <w:b/>
          <w:bCs/>
          <w:iCs/>
          <w:sz w:val="22"/>
          <w:szCs w:val="22"/>
        </w:rPr>
        <w:t>Ingenieurs-Conseil</w:t>
      </w:r>
      <w:proofErr w:type="spellEnd"/>
      <w:r w:rsidRPr="00C407F9">
        <w:rPr>
          <w:b/>
          <w:bCs/>
          <w:iCs/>
          <w:sz w:val="22"/>
          <w:szCs w:val="22"/>
        </w:rPr>
        <w:t xml:space="preserve"> (FIDIC) of Lausanne</w:t>
      </w:r>
      <w:r w:rsidRPr="00C407F9">
        <w:rPr>
          <w:i/>
          <w:sz w:val="22"/>
          <w:szCs w:val="22"/>
        </w:rPr>
        <w:t xml:space="preserve">, </w:t>
      </w:r>
      <w:r w:rsidRPr="00C407F9">
        <w:rPr>
          <w:iCs/>
          <w:sz w:val="22"/>
          <w:szCs w:val="22"/>
        </w:rPr>
        <w:t xml:space="preserve">Switzerland </w:t>
      </w:r>
      <w:r w:rsidRPr="00C407F9">
        <w:rPr>
          <w:sz w:val="22"/>
          <w:szCs w:val="22"/>
        </w:rPr>
        <w:t xml:space="preserve">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652C88">
        <w:rPr>
          <w:b/>
          <w:bCs/>
          <w:iCs/>
          <w:sz w:val="22"/>
          <w:szCs w:val="22"/>
        </w:rPr>
        <w:t xml:space="preserve">Internationale des </w:t>
      </w:r>
      <w:proofErr w:type="spellStart"/>
      <w:r w:rsidRPr="00652C88">
        <w:rPr>
          <w:b/>
          <w:bCs/>
          <w:iCs/>
          <w:sz w:val="22"/>
          <w:szCs w:val="22"/>
        </w:rPr>
        <w:t>Ingenieurs-Conseil</w:t>
      </w:r>
      <w:proofErr w:type="spellEnd"/>
      <w:r w:rsidRPr="00652C88">
        <w:rPr>
          <w:b/>
          <w:bCs/>
          <w:iCs/>
          <w:sz w:val="22"/>
          <w:szCs w:val="22"/>
        </w:rPr>
        <w:t xml:space="preserve"> (FIDIC) of Lausanne</w:t>
      </w:r>
      <w:r w:rsidRPr="00543AF5">
        <w:rPr>
          <w:sz w:val="22"/>
          <w:szCs w:val="22"/>
        </w:rPr>
        <w:t xml:space="preserve"> </w:t>
      </w:r>
      <w:r w:rsidRPr="00C407F9">
        <w:rPr>
          <w:sz w:val="22"/>
          <w:szCs w:val="22"/>
        </w:rPr>
        <w:t>shall appoint, upon the request of either Party and from such list or otherwise, a sole arbitrator for the matter in dispute</w:t>
      </w:r>
      <w:r w:rsidR="004C7C7E" w:rsidRPr="004C7C7E">
        <w:rPr>
          <w:sz w:val="22"/>
          <w:szCs w:val="22"/>
        </w:rPr>
        <w:t xml:space="preserve">; (b) </w:t>
      </w:r>
      <w:r w:rsidR="004C7C7E" w:rsidRPr="00C407F9">
        <w:rPr>
          <w:sz w:val="22"/>
          <w:szCs w:val="22"/>
        </w:rPr>
        <w:t xml:space="preserve">Where the Parties do not agree that the dispute concerns a technical matter, the Client and the Consultant shall each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004C7C7E" w:rsidRPr="00C407F9">
        <w:rPr>
          <w:b/>
          <w:bCs/>
          <w:iCs/>
          <w:sz w:val="22"/>
          <w:szCs w:val="22"/>
        </w:rPr>
        <w:t>the International Chamber of Commerce, Paris</w:t>
      </w:r>
      <w:r w:rsidR="004C7C7E" w:rsidRPr="004C7C7E">
        <w:rPr>
          <w:b/>
          <w:bCs/>
          <w:iCs/>
          <w:sz w:val="22"/>
          <w:szCs w:val="22"/>
        </w:rPr>
        <w:t xml:space="preserve">, </w:t>
      </w:r>
      <w:r w:rsidR="004C7C7E" w:rsidRPr="00C407F9">
        <w:rPr>
          <w:sz w:val="22"/>
          <w:szCs w:val="22"/>
        </w:rPr>
        <w:t>c)</w:t>
      </w:r>
      <w:r w:rsidR="004C7C7E" w:rsidRPr="00C407F9">
        <w:rPr>
          <w:sz w:val="22"/>
          <w:szCs w:val="22"/>
        </w:rPr>
        <w:tab/>
        <w:t xml:space="preserve">If, in a dispute subject to paragraph (b) above, one Party fails to appoint its arbitrator within thirty (30) days after the other Party has appointed its arbitrator, the Party which has named an arbitrator may apply to </w:t>
      </w:r>
      <w:r w:rsidR="004C7C7E" w:rsidRPr="00C407F9">
        <w:rPr>
          <w:b/>
          <w:bCs/>
          <w:iCs/>
          <w:sz w:val="22"/>
          <w:szCs w:val="22"/>
        </w:rPr>
        <w:t>the International Chamber of Commerce, Paris</w:t>
      </w:r>
      <w:r w:rsidR="004C7C7E" w:rsidRPr="00C407F9">
        <w:rPr>
          <w:sz w:val="22"/>
          <w:szCs w:val="22"/>
        </w:rPr>
        <w:t xml:space="preserve"> to appoint a sole arbitrator for the matter in dispute, and the arbitrator appointed pursuant to such application shall be the sole arbitrator for that dispute.</w:t>
      </w:r>
    </w:p>
    <w:p w14:paraId="0B5CC6D4" w14:textId="77777777" w:rsidR="004C7C7E" w:rsidRPr="00C407F9" w:rsidRDefault="004C7C7E" w:rsidP="00C407F9">
      <w:pPr>
        <w:numPr>
          <w:ilvl w:val="12"/>
          <w:numId w:val="0"/>
        </w:numPr>
        <w:tabs>
          <w:tab w:val="left" w:pos="1080"/>
        </w:tabs>
        <w:ind w:left="1088" w:right="-74" w:hanging="530"/>
        <w:rPr>
          <w:sz w:val="22"/>
          <w:szCs w:val="22"/>
        </w:rPr>
      </w:pPr>
      <w:r>
        <w:rPr>
          <w:sz w:val="22"/>
          <w:szCs w:val="22"/>
        </w:rPr>
        <w:t xml:space="preserve">2. </w:t>
      </w:r>
      <w:r w:rsidRPr="004C7C7E">
        <w:rPr>
          <w:sz w:val="22"/>
          <w:szCs w:val="22"/>
        </w:rPr>
        <w:t>Rules of Procedure</w:t>
      </w:r>
      <w:r w:rsidRPr="00C407F9">
        <w:rPr>
          <w:sz w:val="22"/>
          <w:szCs w:val="22"/>
        </w:rPr>
        <w:t>: Except as otherwise stated herein, arbitration proceedings shall be conducted in accordance with the rules of procedure for arbitration of the United Nations Commission on International Trade Law (UNCITRAL) as in force on the date of this Contract.</w:t>
      </w:r>
    </w:p>
    <w:p w14:paraId="225871B7" w14:textId="5AFFF9A7" w:rsidR="004C7C7E" w:rsidRDefault="004C7C7E" w:rsidP="004C7C7E">
      <w:pPr>
        <w:numPr>
          <w:ilvl w:val="12"/>
          <w:numId w:val="0"/>
        </w:numPr>
        <w:tabs>
          <w:tab w:val="left" w:pos="1080"/>
        </w:tabs>
        <w:ind w:left="1088" w:right="-74" w:hanging="530"/>
        <w:rPr>
          <w:sz w:val="22"/>
          <w:szCs w:val="22"/>
        </w:rPr>
      </w:pPr>
      <w:r w:rsidRPr="00C407F9">
        <w:rPr>
          <w:sz w:val="22"/>
          <w:szCs w:val="22"/>
        </w:rPr>
        <w:t>3. Substitute Arbitrators.  If for any reason an arbitrator is unable to perform his/her function, a substitute shall be appointed in the same manner as the original arbitrator.</w:t>
      </w:r>
    </w:p>
    <w:p w14:paraId="35C014CA" w14:textId="1968FC88" w:rsidR="004C7C7E" w:rsidRDefault="004C7C7E" w:rsidP="004C7C7E">
      <w:pPr>
        <w:numPr>
          <w:ilvl w:val="12"/>
          <w:numId w:val="0"/>
        </w:numPr>
        <w:tabs>
          <w:tab w:val="left" w:pos="1080"/>
        </w:tabs>
        <w:ind w:left="1088" w:right="-74" w:hanging="530"/>
        <w:rPr>
          <w:sz w:val="22"/>
          <w:szCs w:val="22"/>
        </w:rPr>
      </w:pPr>
      <w:r w:rsidRPr="00C407F9">
        <w:rPr>
          <w:sz w:val="22"/>
          <w:szCs w:val="22"/>
        </w:rPr>
        <w:t>4. Nationality and Qualifications of Arbitrators.  The sole arbitrator or the third arbitrator appointed pursuant to paragraphs 1(a) through 1(c) above shall be an internationally recognized legal or technical expert with extensive experience in relation to the matter in dispute and shall not be a national of the Consultant’s home country or of the home country of any of their members or Parties or of the Government’s country.  For the purposes of this Clause, “home country” means any of:</w:t>
      </w:r>
      <w:r>
        <w:rPr>
          <w:sz w:val="22"/>
          <w:szCs w:val="22"/>
        </w:rPr>
        <w:t xml:space="preserve"> </w:t>
      </w:r>
      <w:r w:rsidRPr="00C407F9">
        <w:rPr>
          <w:sz w:val="22"/>
          <w:szCs w:val="22"/>
        </w:rPr>
        <w:t>(a)</w:t>
      </w:r>
      <w:r w:rsidRPr="00C407F9">
        <w:rPr>
          <w:sz w:val="22"/>
          <w:szCs w:val="22"/>
        </w:rPr>
        <w:tab/>
        <w:t>the country of incorporation of the Consultant or of any of their members or Parties; or</w:t>
      </w:r>
      <w:r>
        <w:rPr>
          <w:sz w:val="22"/>
          <w:szCs w:val="22"/>
        </w:rPr>
        <w:t xml:space="preserve"> </w:t>
      </w:r>
      <w:r w:rsidRPr="00C407F9">
        <w:rPr>
          <w:sz w:val="22"/>
          <w:szCs w:val="22"/>
        </w:rPr>
        <w:t>(b)</w:t>
      </w:r>
      <w:r w:rsidRPr="00C407F9">
        <w:rPr>
          <w:sz w:val="22"/>
          <w:szCs w:val="22"/>
        </w:rPr>
        <w:tab/>
        <w:t>the country in which the Consultant’s or any of their members’ or Parties’ principal place of business is located; or (c)</w:t>
      </w:r>
      <w:r w:rsidRPr="00C407F9">
        <w:rPr>
          <w:sz w:val="22"/>
          <w:szCs w:val="22"/>
        </w:rPr>
        <w:tab/>
        <w:t xml:space="preserve">the country of nationality of a majority of the Consultant’s </w:t>
      </w:r>
      <w:r w:rsidRPr="00C407F9">
        <w:rPr>
          <w:sz w:val="22"/>
          <w:szCs w:val="22"/>
        </w:rPr>
        <w:lastRenderedPageBreak/>
        <w:t>or of any members’ or Parties’ shareholders; o</w:t>
      </w:r>
      <w:r>
        <w:rPr>
          <w:sz w:val="22"/>
          <w:szCs w:val="22"/>
        </w:rPr>
        <w:t xml:space="preserve">r </w:t>
      </w:r>
      <w:r w:rsidRPr="00C407F9">
        <w:rPr>
          <w:sz w:val="22"/>
          <w:szCs w:val="22"/>
        </w:rPr>
        <w:t>(d)</w:t>
      </w:r>
      <w:r w:rsidRPr="00C407F9">
        <w:rPr>
          <w:sz w:val="22"/>
          <w:szCs w:val="22"/>
        </w:rPr>
        <w:tab/>
        <w:t>the country of nationality of the Sub-consultants concerned, where the dispute involves a subcontract.</w:t>
      </w:r>
    </w:p>
    <w:p w14:paraId="2C9BDDEB" w14:textId="0EC53FF1" w:rsidR="004C7C7E" w:rsidRPr="00C407F9" w:rsidRDefault="004C7C7E" w:rsidP="00C407F9">
      <w:pPr>
        <w:numPr>
          <w:ilvl w:val="12"/>
          <w:numId w:val="0"/>
        </w:numPr>
        <w:tabs>
          <w:tab w:val="left" w:pos="1080"/>
        </w:tabs>
        <w:ind w:left="1080" w:right="-72" w:hanging="540"/>
        <w:rPr>
          <w:sz w:val="22"/>
          <w:szCs w:val="22"/>
        </w:rPr>
      </w:pPr>
      <w:r>
        <w:rPr>
          <w:sz w:val="22"/>
          <w:szCs w:val="22"/>
        </w:rPr>
        <w:t xml:space="preserve">5. </w:t>
      </w:r>
      <w:r w:rsidRPr="004C7C7E">
        <w:rPr>
          <w:sz w:val="22"/>
          <w:szCs w:val="22"/>
        </w:rPr>
        <w:t xml:space="preserve">Miscellaneous: In any arbitration proceeding hereunder: (a) </w:t>
      </w:r>
      <w:r w:rsidRPr="00C407F9">
        <w:rPr>
          <w:sz w:val="22"/>
          <w:szCs w:val="22"/>
        </w:rPr>
        <w:t xml:space="preserve">proceedings shall, unless otherwise agreed by the Parties, be held in__________________ </w:t>
      </w:r>
      <w:r w:rsidRPr="00C407F9">
        <w:rPr>
          <w:i/>
          <w:sz w:val="22"/>
          <w:szCs w:val="22"/>
        </w:rPr>
        <w:t>[select a country which is neither the Client’s country nor the Consultant’s country]</w:t>
      </w:r>
      <w:r w:rsidRPr="00C407F9">
        <w:rPr>
          <w:sz w:val="22"/>
          <w:szCs w:val="22"/>
        </w:rPr>
        <w:t>; (b)</w:t>
      </w:r>
      <w:r w:rsidRPr="00C407F9">
        <w:rPr>
          <w:sz w:val="22"/>
          <w:szCs w:val="22"/>
        </w:rPr>
        <w:tab/>
        <w:t xml:space="preserve">the </w:t>
      </w:r>
      <w:r w:rsidRPr="00C407F9">
        <w:rPr>
          <w:b/>
          <w:bCs/>
          <w:sz w:val="22"/>
          <w:szCs w:val="22"/>
        </w:rPr>
        <w:t>English</w:t>
      </w:r>
      <w:r w:rsidRPr="00C407F9">
        <w:rPr>
          <w:sz w:val="22"/>
          <w:szCs w:val="22"/>
        </w:rPr>
        <w:t xml:space="preserve"> language shall be the official language for all purposes; and (c)</w:t>
      </w:r>
      <w:r w:rsidRPr="00C407F9">
        <w:rPr>
          <w:sz w:val="22"/>
          <w:szCs w:val="22"/>
        </w:rPr>
        <w:tab/>
        <w:t>the decision of the sole arbitrator or of a majority of the arbitrators (or of the third arbitrator if there is no such majority) shall be final and binding and shall be enforceable in any court of competent jurisdiction, and the Parties hereby waive any objections to or claims of immunity in respect of such enforcement.</w:t>
      </w:r>
    </w:p>
    <w:p w14:paraId="49392E42" w14:textId="6BACCAED" w:rsidR="00543AF5" w:rsidRPr="00C407F9" w:rsidRDefault="00543AF5" w:rsidP="00543AF5">
      <w:pPr>
        <w:numPr>
          <w:ilvl w:val="12"/>
          <w:numId w:val="0"/>
        </w:numPr>
        <w:tabs>
          <w:tab w:val="left" w:pos="1080"/>
        </w:tabs>
        <w:ind w:left="1088" w:right="-74" w:hanging="530"/>
        <w:rPr>
          <w:sz w:val="22"/>
          <w:szCs w:val="22"/>
        </w:rPr>
      </w:pPr>
    </w:p>
    <w:p w14:paraId="10ECC811" w14:textId="77777777" w:rsidR="00F02542" w:rsidRPr="00EC6A64" w:rsidRDefault="00F02542" w:rsidP="00440E53">
      <w:pPr>
        <w:keepNext/>
        <w:spacing w:after="120"/>
        <w:rPr>
          <w:b/>
        </w:rPr>
      </w:pPr>
    </w:p>
    <w:p w14:paraId="2EDD5F9A" w14:textId="31792E2A" w:rsidR="004E00C9" w:rsidRPr="00EC6A64" w:rsidRDefault="004E00C9" w:rsidP="00440E53">
      <w:pPr>
        <w:keepNext/>
        <w:spacing w:after="120"/>
        <w:rPr>
          <w:b/>
          <w:szCs w:val="24"/>
          <w:lang w:val="en-US"/>
        </w:rPr>
      </w:pPr>
      <w:r w:rsidRPr="00EC6A64">
        <w:rPr>
          <w:b/>
          <w:szCs w:val="24"/>
          <w:lang w:val="en-US"/>
        </w:rPr>
        <w:t>Article 41 Applicable law</w:t>
      </w:r>
    </w:p>
    <w:p w14:paraId="67EB659B" w14:textId="5BCD0773" w:rsidR="004E00C9" w:rsidRPr="00EC6A64" w:rsidRDefault="00F02542" w:rsidP="00440E53">
      <w:pPr>
        <w:spacing w:after="120"/>
        <w:rPr>
          <w:sz w:val="22"/>
          <w:szCs w:val="22"/>
          <w:lang w:val="en-US"/>
        </w:rPr>
      </w:pPr>
      <w:r w:rsidRPr="00EC6A64">
        <w:rPr>
          <w:sz w:val="22"/>
          <w:szCs w:val="22"/>
          <w:lang w:val="en-US"/>
        </w:rPr>
        <w:t>Applicable law is the law of the Republic of Serbia</w:t>
      </w:r>
    </w:p>
    <w:p w14:paraId="4CA5C7D8" w14:textId="77777777" w:rsidR="004E00C9" w:rsidRPr="00EC6A64" w:rsidRDefault="004E00C9" w:rsidP="00440E53">
      <w:pPr>
        <w:spacing w:after="120"/>
        <w:rPr>
          <w:sz w:val="22"/>
          <w:szCs w:val="22"/>
          <w:highlight w:val="yellow"/>
          <w:lang w:val="en-US"/>
        </w:rPr>
      </w:pPr>
    </w:p>
    <w:p w14:paraId="0EF08FD3" w14:textId="77777777" w:rsidR="00A20EF8" w:rsidRPr="00EC6A64" w:rsidRDefault="00A20EF8" w:rsidP="00A20EF8">
      <w:pPr>
        <w:keepNext/>
        <w:keepLines/>
        <w:tabs>
          <w:tab w:val="left" w:pos="1134"/>
        </w:tabs>
        <w:spacing w:before="240" w:after="120"/>
        <w:ind w:left="1134" w:hanging="1134"/>
        <w:rPr>
          <w:b/>
          <w:szCs w:val="24"/>
        </w:rPr>
      </w:pPr>
      <w:r w:rsidRPr="00EC6A64">
        <w:rPr>
          <w:b/>
          <w:szCs w:val="24"/>
        </w:rPr>
        <w:t>Article 42</w:t>
      </w:r>
      <w:r w:rsidRPr="00EC6A64">
        <w:rPr>
          <w:b/>
          <w:szCs w:val="24"/>
        </w:rPr>
        <w:tab/>
        <w:t>Data Protection</w:t>
      </w:r>
    </w:p>
    <w:p w14:paraId="147D0CA5" w14:textId="31BE3055" w:rsidR="00CE2938" w:rsidRPr="00EC6A64" w:rsidRDefault="00CE2938" w:rsidP="00CE2938">
      <w:pPr>
        <w:rPr>
          <w:sz w:val="22"/>
          <w:szCs w:val="22"/>
        </w:rPr>
      </w:pPr>
      <w:r w:rsidRPr="00EC6A6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68510704" w:rsidR="00CE2938" w:rsidRPr="00EC6A64" w:rsidRDefault="00CE2938" w:rsidP="00CE2938">
      <w:pPr>
        <w:rPr>
          <w:sz w:val="22"/>
          <w:szCs w:val="22"/>
          <w:u w:val="single"/>
        </w:rPr>
      </w:pPr>
      <w:r w:rsidRPr="00EC6A6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86E41">
        <w:rPr>
          <w:rStyle w:val="FootnoteReference"/>
          <w:rFonts w:ascii="Times New Roman" w:hAnsi="Times New Roman"/>
          <w:sz w:val="22"/>
          <w:szCs w:val="22"/>
        </w:rPr>
        <w:footnoteReference w:id="5"/>
      </w:r>
      <w:r w:rsidRPr="00EC6A64">
        <w:rPr>
          <w:sz w:val="22"/>
          <w:szCs w:val="22"/>
        </w:rPr>
        <w:t xml:space="preserve"> and as detailed in the specific privacy statement published at </w:t>
      </w:r>
      <w:proofErr w:type="spellStart"/>
      <w:r w:rsidRPr="00EC6A64">
        <w:rPr>
          <w:sz w:val="22"/>
          <w:szCs w:val="22"/>
        </w:rPr>
        <w:t>ePRAG</w:t>
      </w:r>
      <w:proofErr w:type="spellEnd"/>
      <w:r w:rsidRPr="00EC6A64">
        <w:rPr>
          <w:sz w:val="22"/>
          <w:szCs w:val="22"/>
        </w:rPr>
        <w:t>.</w:t>
      </w:r>
    </w:p>
    <w:p w14:paraId="029464C2" w14:textId="77F2AB21" w:rsidR="00C73B43" w:rsidRPr="00EC6A64" w:rsidRDefault="00CE2938" w:rsidP="004C4460">
      <w:pPr>
        <w:spacing w:before="240"/>
        <w:ind w:left="1417" w:hanging="1417"/>
        <w:jc w:val="left"/>
        <w:rPr>
          <w:sz w:val="22"/>
          <w:szCs w:val="22"/>
        </w:rPr>
      </w:pPr>
      <w:r w:rsidRPr="00EC6A64" w:rsidDel="00CE2938">
        <w:rPr>
          <w:sz w:val="22"/>
          <w:szCs w:val="22"/>
        </w:rPr>
        <w:t xml:space="preserve"> </w:t>
      </w:r>
    </w:p>
    <w:p w14:paraId="11EA220C" w14:textId="77777777" w:rsidR="00212B1D" w:rsidRPr="00EC6A64" w:rsidRDefault="00212B1D" w:rsidP="00C73B43">
      <w:pPr>
        <w:spacing w:before="240"/>
        <w:ind w:left="1417" w:hanging="1417"/>
        <w:jc w:val="center"/>
        <w:rPr>
          <w:sz w:val="22"/>
          <w:szCs w:val="22"/>
        </w:rPr>
      </w:pPr>
      <w:r w:rsidRPr="00EC6A64">
        <w:rPr>
          <w:sz w:val="22"/>
          <w:szCs w:val="22"/>
        </w:rPr>
        <w:t>* * *</w:t>
      </w:r>
    </w:p>
    <w:sectPr w:rsidR="00212B1D" w:rsidRPr="00EC6A64" w:rsidSect="0036136C">
      <w:footerReference w:type="default" r:id="rId25"/>
      <w:footerReference w:type="first" r:id="rId2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15651" w14:textId="77777777" w:rsidR="007D7733" w:rsidRDefault="007D7733">
      <w:r>
        <w:separator/>
      </w:r>
    </w:p>
  </w:endnote>
  <w:endnote w:type="continuationSeparator" w:id="0">
    <w:p w14:paraId="2FAC3045" w14:textId="77777777" w:rsidR="007D7733" w:rsidRDefault="007D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C627" w14:textId="7D39B0AD"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3C5AE5">
      <w:rPr>
        <w:rStyle w:val="PageNumber"/>
        <w:rFonts w:ascii="Times New Roman" w:hAnsi="Times New Roman"/>
        <w:noProof/>
        <w:sz w:val="18"/>
        <w:szCs w:val="18"/>
      </w:rPr>
      <w:t>6</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3C5AE5">
      <w:rPr>
        <w:rStyle w:val="PageNumber"/>
        <w:rFonts w:ascii="Times New Roman" w:hAnsi="Times New Roman"/>
        <w:noProof/>
        <w:sz w:val="18"/>
        <w:szCs w:val="18"/>
      </w:rPr>
      <w:t>10</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0449" w14:textId="3E7E1B48"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3D66B7">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3D66B7">
      <w:rPr>
        <w:rStyle w:val="PageNumber"/>
        <w:rFonts w:ascii="Times New Roman" w:hAnsi="Times New Roman"/>
        <w:noProof/>
        <w:sz w:val="18"/>
        <w:szCs w:val="18"/>
      </w:rPr>
      <w:t>10</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E6A01" w14:textId="77777777" w:rsidR="007D7733" w:rsidRDefault="007D7733" w:rsidP="004B7C2F">
      <w:pPr>
        <w:spacing w:before="120" w:after="0"/>
      </w:pPr>
      <w:r>
        <w:separator/>
      </w:r>
    </w:p>
  </w:footnote>
  <w:footnote w:type="continuationSeparator" w:id="0">
    <w:p w14:paraId="3B5E89C7" w14:textId="77777777" w:rsidR="007D7733" w:rsidRDefault="007D7733">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50CEB7C6"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5">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B3B1D92"/>
    <w:multiLevelType w:val="hybridMultilevel"/>
    <w:tmpl w:val="A416533C"/>
    <w:lvl w:ilvl="0" w:tplc="A704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8"/>
  </w:num>
  <w:num w:numId="10">
    <w:abstractNumId w:val="21"/>
  </w:num>
  <w:num w:numId="11">
    <w:abstractNumId w:val="8"/>
  </w:num>
  <w:num w:numId="12">
    <w:abstractNumId w:val="17"/>
  </w:num>
  <w:num w:numId="13">
    <w:abstractNumId w:val="16"/>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2"/>
  </w:num>
  <w:num w:numId="21">
    <w:abstractNumId w:val="23"/>
  </w:num>
  <w:num w:numId="22">
    <w:abstractNumId w:val="2"/>
  </w:num>
  <w:num w:numId="2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665E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16CC1"/>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80"/>
    <w:rsid w:val="002747C3"/>
    <w:rsid w:val="00283419"/>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5B66"/>
    <w:rsid w:val="002B7195"/>
    <w:rsid w:val="002C394B"/>
    <w:rsid w:val="002C5672"/>
    <w:rsid w:val="002C5DC4"/>
    <w:rsid w:val="002D2630"/>
    <w:rsid w:val="002D42AA"/>
    <w:rsid w:val="002E125B"/>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639B6"/>
    <w:rsid w:val="003701BC"/>
    <w:rsid w:val="0037119C"/>
    <w:rsid w:val="00373CEE"/>
    <w:rsid w:val="00392DCF"/>
    <w:rsid w:val="00394C7E"/>
    <w:rsid w:val="0039593C"/>
    <w:rsid w:val="003A343A"/>
    <w:rsid w:val="003A718E"/>
    <w:rsid w:val="003B09B8"/>
    <w:rsid w:val="003C141F"/>
    <w:rsid w:val="003C220B"/>
    <w:rsid w:val="003C5AE5"/>
    <w:rsid w:val="003D1F31"/>
    <w:rsid w:val="003D30A3"/>
    <w:rsid w:val="003D6395"/>
    <w:rsid w:val="003D66B7"/>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23C7"/>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4460"/>
    <w:rsid w:val="004C6B71"/>
    <w:rsid w:val="004C7C7E"/>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3AF5"/>
    <w:rsid w:val="00545963"/>
    <w:rsid w:val="00547AF0"/>
    <w:rsid w:val="00552C6E"/>
    <w:rsid w:val="00556095"/>
    <w:rsid w:val="005564B9"/>
    <w:rsid w:val="00556C12"/>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96B41"/>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1E3"/>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86E41"/>
    <w:rsid w:val="00694695"/>
    <w:rsid w:val="0069473B"/>
    <w:rsid w:val="0069567A"/>
    <w:rsid w:val="006A3247"/>
    <w:rsid w:val="006A3D39"/>
    <w:rsid w:val="006A4D22"/>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6D3"/>
    <w:rsid w:val="00793B77"/>
    <w:rsid w:val="00794625"/>
    <w:rsid w:val="00797DB2"/>
    <w:rsid w:val="007B1229"/>
    <w:rsid w:val="007B3A3F"/>
    <w:rsid w:val="007B65F1"/>
    <w:rsid w:val="007C72E0"/>
    <w:rsid w:val="007C768D"/>
    <w:rsid w:val="007C7AD1"/>
    <w:rsid w:val="007C7F72"/>
    <w:rsid w:val="007D1C20"/>
    <w:rsid w:val="007D6530"/>
    <w:rsid w:val="007D7733"/>
    <w:rsid w:val="007E3AC1"/>
    <w:rsid w:val="007E6654"/>
    <w:rsid w:val="007F1A4B"/>
    <w:rsid w:val="007F596D"/>
    <w:rsid w:val="00800A10"/>
    <w:rsid w:val="00801539"/>
    <w:rsid w:val="008041B6"/>
    <w:rsid w:val="00805B43"/>
    <w:rsid w:val="008061CE"/>
    <w:rsid w:val="00810A62"/>
    <w:rsid w:val="00815A56"/>
    <w:rsid w:val="00823508"/>
    <w:rsid w:val="008236D3"/>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97A15"/>
    <w:rsid w:val="008A04FE"/>
    <w:rsid w:val="008A0512"/>
    <w:rsid w:val="008A32B8"/>
    <w:rsid w:val="008A5656"/>
    <w:rsid w:val="008A70E6"/>
    <w:rsid w:val="008B2990"/>
    <w:rsid w:val="008B3FC1"/>
    <w:rsid w:val="008B5601"/>
    <w:rsid w:val="008B57E9"/>
    <w:rsid w:val="008B7C5E"/>
    <w:rsid w:val="008C0E91"/>
    <w:rsid w:val="008C3140"/>
    <w:rsid w:val="008D3ED6"/>
    <w:rsid w:val="008D6915"/>
    <w:rsid w:val="008E75E4"/>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30CB7"/>
    <w:rsid w:val="00933289"/>
    <w:rsid w:val="00937BFD"/>
    <w:rsid w:val="00941403"/>
    <w:rsid w:val="009416B7"/>
    <w:rsid w:val="00953EE9"/>
    <w:rsid w:val="009642E7"/>
    <w:rsid w:val="0097255E"/>
    <w:rsid w:val="00972A66"/>
    <w:rsid w:val="009740B0"/>
    <w:rsid w:val="00976498"/>
    <w:rsid w:val="0097783A"/>
    <w:rsid w:val="00980511"/>
    <w:rsid w:val="009830C1"/>
    <w:rsid w:val="00984184"/>
    <w:rsid w:val="00991F9F"/>
    <w:rsid w:val="00993B69"/>
    <w:rsid w:val="00995C32"/>
    <w:rsid w:val="00995D7A"/>
    <w:rsid w:val="009A1B63"/>
    <w:rsid w:val="009A69A8"/>
    <w:rsid w:val="009A7423"/>
    <w:rsid w:val="009B29C2"/>
    <w:rsid w:val="009B62E5"/>
    <w:rsid w:val="009B7E5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4A4F"/>
    <w:rsid w:val="00A269E4"/>
    <w:rsid w:val="00A26DE5"/>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87099"/>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AF4108"/>
    <w:rsid w:val="00B00173"/>
    <w:rsid w:val="00B055EB"/>
    <w:rsid w:val="00B06333"/>
    <w:rsid w:val="00B14DFC"/>
    <w:rsid w:val="00B15A6C"/>
    <w:rsid w:val="00B205DD"/>
    <w:rsid w:val="00B24135"/>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401"/>
    <w:rsid w:val="00B83951"/>
    <w:rsid w:val="00B858B3"/>
    <w:rsid w:val="00B90D64"/>
    <w:rsid w:val="00B93610"/>
    <w:rsid w:val="00B93DE2"/>
    <w:rsid w:val="00BA2E91"/>
    <w:rsid w:val="00BA37D8"/>
    <w:rsid w:val="00BA42A5"/>
    <w:rsid w:val="00BA46EA"/>
    <w:rsid w:val="00BA56FF"/>
    <w:rsid w:val="00BB1391"/>
    <w:rsid w:val="00BB28F8"/>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0509D"/>
    <w:rsid w:val="00C1182E"/>
    <w:rsid w:val="00C2247A"/>
    <w:rsid w:val="00C233EC"/>
    <w:rsid w:val="00C238A2"/>
    <w:rsid w:val="00C23B3C"/>
    <w:rsid w:val="00C27DA6"/>
    <w:rsid w:val="00C407F9"/>
    <w:rsid w:val="00C43DB0"/>
    <w:rsid w:val="00C45887"/>
    <w:rsid w:val="00C521B2"/>
    <w:rsid w:val="00C525EA"/>
    <w:rsid w:val="00C559EF"/>
    <w:rsid w:val="00C66262"/>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779"/>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0E6F"/>
    <w:rsid w:val="00D72E94"/>
    <w:rsid w:val="00D7349B"/>
    <w:rsid w:val="00D737B0"/>
    <w:rsid w:val="00D75B02"/>
    <w:rsid w:val="00D8486F"/>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6A64"/>
    <w:rsid w:val="00EC71E0"/>
    <w:rsid w:val="00ED0F93"/>
    <w:rsid w:val="00ED3BE3"/>
    <w:rsid w:val="00ED4FB8"/>
    <w:rsid w:val="00EE27A8"/>
    <w:rsid w:val="00EE2D30"/>
    <w:rsid w:val="00EE398A"/>
    <w:rsid w:val="00EF00F0"/>
    <w:rsid w:val="00EF2238"/>
    <w:rsid w:val="00EF293C"/>
    <w:rsid w:val="00EF3B57"/>
    <w:rsid w:val="00F00995"/>
    <w:rsid w:val="00F010C3"/>
    <w:rsid w:val="00F02542"/>
    <w:rsid w:val="00F0430A"/>
    <w:rsid w:val="00F109A6"/>
    <w:rsid w:val="00F124E9"/>
    <w:rsid w:val="00F2372F"/>
    <w:rsid w:val="00F23CF9"/>
    <w:rsid w:val="00F24B3C"/>
    <w:rsid w:val="00F25DA2"/>
    <w:rsid w:val="00F2778F"/>
    <w:rsid w:val="00F36D6F"/>
    <w:rsid w:val="00F37A08"/>
    <w:rsid w:val="00F4087E"/>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5452"/>
    <w:rsid w:val="00FD75C5"/>
    <w:rsid w:val="00FE3698"/>
    <w:rsid w:val="00FE40FD"/>
    <w:rsid w:val="00FE6E94"/>
    <w:rsid w:val="00FF3E7F"/>
    <w:rsid w:val="00FF666B"/>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E0A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UnresolvedMention">
    <w:name w:val="Unresolved Mention"/>
    <w:basedOn w:val="DefaultParagraphFont"/>
    <w:uiPriority w:val="99"/>
    <w:semiHidden/>
    <w:unhideWhenUsed/>
    <w:rsid w:val="00972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yperlink" Target="https://www.eib.org/attachments/strategies/guide_to_procurement_en.pdf" TargetMode="Externa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https://www.eib.org/attachments/strategies/guide_to_procurement_en.pdf" TargetMode="External"/><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ib.org/infocentre/publications/all/anti-fraud-policy.htm)" TargetMode="External"/><Relationship Id="rId24" Type="http://schemas.openxmlformats.org/officeDocument/2006/relationships/hyperlink" Target="https://data.stat.gov.rs/Home/Result/24030602?languageCode=en-US" TargetMode="External"/><Relationship Id="rId5" Type="http://schemas.openxmlformats.org/officeDocument/2006/relationships/webSettings" Target="webSettings.xml"/><Relationship Id="rId15" Type="http://schemas.openxmlformats.org/officeDocument/2006/relationships/hyperlink" Target="mailto:aleksandar.banjac@mgsi.gov.rs" TargetMode="External"/><Relationship Id="rId23" Type="http://schemas.openxmlformats.org/officeDocument/2006/relationships/oleObject" Target="embeddings/oleObject4.bin"/><Relationship Id="rId28" Type="http://schemas.openxmlformats.org/officeDocument/2006/relationships/theme" Target="theme/theme1.xml"/><Relationship Id="rId10" Type="http://schemas.openxmlformats.org/officeDocument/2006/relationships/hyperlink" Target="https://www.eib.org/attachments/strategies/guide_to_procurement_en.pdf"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mailto:aleksandar.banjac@mgsi.gov.rs" TargetMode="External"/><Relationship Id="rId14" Type="http://schemas.openxmlformats.org/officeDocument/2006/relationships/hyperlink" Target="http://www.eib.org/infocentre/publications/all/anti-fraud-policy.htm)" TargetMode="External"/><Relationship Id="rId22" Type="http://schemas.openxmlformats.org/officeDocument/2006/relationships/image" Target="media/image4.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EB14D-B87D-4062-BB29-0090ABE5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4251</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2025-08-02T16:27:00Z</dcterms:created>
  <dcterms:modified xsi:type="dcterms:W3CDTF">2025-08-05T11:23:00Z</dcterms:modified>
</cp:coreProperties>
</file>