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E691E" w14:textId="41DD228D" w:rsidR="0072787A" w:rsidRPr="00061CFC" w:rsidRDefault="008E7495" w:rsidP="0072787A">
      <w:pPr>
        <w:spacing w:line="259" w:lineRule="auto"/>
        <w:jc w:val="center"/>
        <w:rPr>
          <w:b/>
          <w:bCs/>
          <w:lang w:val="en-US"/>
        </w:rPr>
      </w:pPr>
      <w:r w:rsidRPr="00061CFC">
        <w:rPr>
          <w:sz w:val="22"/>
          <w:szCs w:val="22"/>
        </w:rPr>
        <w:t xml:space="preserve">Reference code: </w:t>
      </w:r>
      <w:r w:rsidR="00AE36C6" w:rsidRPr="00061CFC">
        <w:rPr>
          <w:sz w:val="22"/>
          <w:szCs w:val="22"/>
        </w:rPr>
        <w:t xml:space="preserve"> </w:t>
      </w:r>
      <w:r w:rsidR="0072787A" w:rsidRPr="00061CFC">
        <w:rPr>
          <w:b/>
          <w:bCs/>
          <w:lang w:val="en-US"/>
        </w:rPr>
        <w:t>EIB-</w:t>
      </w:r>
      <w:proofErr w:type="spellStart"/>
      <w:r w:rsidR="0072787A" w:rsidRPr="00061CFC">
        <w:rPr>
          <w:b/>
          <w:bCs/>
          <w:lang w:val="en-US"/>
        </w:rPr>
        <w:t>GtP</w:t>
      </w:r>
      <w:proofErr w:type="spellEnd"/>
      <w:r w:rsidR="0072787A" w:rsidRPr="00061CFC">
        <w:rPr>
          <w:b/>
          <w:bCs/>
          <w:lang w:val="en-US"/>
        </w:rPr>
        <w:t>/003276970/2025/</w:t>
      </w:r>
      <w:r w:rsidR="00856EDD">
        <w:rPr>
          <w:b/>
          <w:bCs/>
          <w:lang w:val="en-US"/>
        </w:rPr>
        <w:t>1</w:t>
      </w:r>
      <w:r w:rsidR="0072787A" w:rsidRPr="00061CFC">
        <w:rPr>
          <w:b/>
          <w:bCs/>
          <w:lang w:val="en-US"/>
        </w:rPr>
        <w:t xml:space="preserve">4810 </w:t>
      </w:r>
      <w:bookmarkStart w:id="0" w:name="_GoBack"/>
      <w:r w:rsidR="0072787A" w:rsidRPr="00061CFC">
        <w:rPr>
          <w:b/>
          <w:bCs/>
          <w:lang w:val="en-US"/>
        </w:rPr>
        <w:t>004</w:t>
      </w:r>
      <w:bookmarkEnd w:id="0"/>
      <w:r w:rsidR="0072787A" w:rsidRPr="00061CFC">
        <w:rPr>
          <w:b/>
          <w:bCs/>
          <w:lang w:val="en-US"/>
        </w:rPr>
        <w:t xml:space="preserve"> 003 000 001</w:t>
      </w:r>
    </w:p>
    <w:p w14:paraId="0A229A25" w14:textId="11B3562E" w:rsidR="008E7495" w:rsidRPr="00061CFC" w:rsidRDefault="008E7495" w:rsidP="00570E73">
      <w:pPr>
        <w:pStyle w:val="Subtitle"/>
        <w:spacing w:after="120"/>
        <w:rPr>
          <w:sz w:val="22"/>
          <w:szCs w:val="22"/>
          <w:lang w:val="en-US"/>
        </w:rPr>
      </w:pPr>
    </w:p>
    <w:p w14:paraId="1B63DD5B" w14:textId="612FB137" w:rsidR="00AE36C6" w:rsidRPr="00243B71" w:rsidRDefault="00AE36C6" w:rsidP="00570E73">
      <w:pPr>
        <w:spacing w:after="120"/>
        <w:jc w:val="center"/>
        <w:rPr>
          <w:b/>
          <w:sz w:val="22"/>
          <w:szCs w:val="22"/>
        </w:rPr>
      </w:pPr>
    </w:p>
    <w:p w14:paraId="65035134" w14:textId="3DF164A9" w:rsidR="00AE36C6" w:rsidRPr="00243B71" w:rsidRDefault="005125E1" w:rsidP="00570E73">
      <w:pPr>
        <w:spacing w:after="120"/>
        <w:jc w:val="center"/>
        <w:rPr>
          <w:b/>
          <w:sz w:val="22"/>
          <w:szCs w:val="22"/>
        </w:rPr>
      </w:pPr>
      <w:r w:rsidRPr="00243B71">
        <w:rPr>
          <w:b/>
          <w:sz w:val="22"/>
          <w:szCs w:val="22"/>
        </w:rPr>
        <w:t>Technical Assistance for implementation of the Serbian Inland Waterway Infrastructure Project</w:t>
      </w:r>
    </w:p>
    <w:p w14:paraId="7DB5C70A" w14:textId="77777777" w:rsidR="002A74D8" w:rsidRPr="00243B71" w:rsidRDefault="002A74D8" w:rsidP="00570E73">
      <w:pPr>
        <w:pStyle w:val="Subtitle"/>
        <w:rPr>
          <w:sz w:val="22"/>
          <w:szCs w:val="22"/>
          <w:lang w:val="en-GB"/>
        </w:rPr>
      </w:pPr>
    </w:p>
    <w:p w14:paraId="41A1D4A7" w14:textId="77777777" w:rsidR="003436FE" w:rsidRPr="00243B71" w:rsidRDefault="003436FE" w:rsidP="00570E73">
      <w:pPr>
        <w:pStyle w:val="Subtitle"/>
        <w:spacing w:after="120"/>
        <w:jc w:val="both"/>
        <w:rPr>
          <w:sz w:val="20"/>
          <w:lang w:val="en-GB"/>
        </w:rPr>
      </w:pPr>
      <w:r w:rsidRPr="00243B71">
        <w:rPr>
          <w:sz w:val="20"/>
          <w:lang w:val="en-GB"/>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7867D49E" w14:textId="77777777" w:rsidR="00E34D39" w:rsidRPr="00243B71" w:rsidRDefault="00E34D39" w:rsidP="00570E73">
      <w:pPr>
        <w:pStyle w:val="Subtitle"/>
        <w:spacing w:after="120"/>
        <w:jc w:val="both"/>
        <w:rPr>
          <w:sz w:val="20"/>
          <w:lang w:val="en-GB"/>
        </w:rPr>
      </w:pPr>
      <w:r w:rsidRPr="00243B71">
        <w:rPr>
          <w:sz w:val="20"/>
          <w:lang w:val="en-GB"/>
        </w:rPr>
        <w:t>When submitting their tenders, tenderers shou</w:t>
      </w:r>
      <w:r w:rsidR="00195F98" w:rsidRPr="00243B71">
        <w:rPr>
          <w:sz w:val="20"/>
          <w:lang w:val="en-GB"/>
        </w:rPr>
        <w:t>ld not include any personal data</w:t>
      </w:r>
      <w:r w:rsidRPr="00243B71">
        <w:rPr>
          <w:sz w:val="20"/>
          <w:lang w:val="en-GB"/>
        </w:rPr>
        <w:t xml:space="preserve"> beyond the information required in this tender dossier.</w:t>
      </w:r>
    </w:p>
    <w:p w14:paraId="605A9AA3" w14:textId="4D5840D9" w:rsidR="00FC00BE" w:rsidRPr="00243B71" w:rsidRDefault="00FC00BE" w:rsidP="00B42FCC">
      <w:pPr>
        <w:pStyle w:val="Subtitle"/>
        <w:spacing w:after="120"/>
        <w:jc w:val="both"/>
        <w:rPr>
          <w:sz w:val="20"/>
          <w:lang w:val="en-GB"/>
        </w:rPr>
      </w:pPr>
      <w:r w:rsidRPr="00243B71">
        <w:rPr>
          <w:sz w:val="20"/>
          <w:lang w:val="en-GB"/>
        </w:rPr>
        <w:t>Guide to Procurement for projects financed by the EIB from July 5, 2024 (</w:t>
      </w:r>
      <w:hyperlink r:id="rId7" w:history="1">
        <w:r w:rsidRPr="00243B71">
          <w:rPr>
            <w:sz w:val="20"/>
            <w:lang w:val="en-GB"/>
          </w:rPr>
          <w:t>https://www.eib.org/attachments/strategies/guide_to_procurement_en.pdf</w:t>
        </w:r>
      </w:hyperlink>
      <w:r w:rsidRPr="00243B71">
        <w:rPr>
          <w:sz w:val="20"/>
          <w:lang w:val="en-GB"/>
        </w:rPr>
        <w:t xml:space="preserve">) is applied to this tender, while tender document templates are from the PRAG (Practical Guide for Procurement And Grants for European Union external actions – applicable as of January 15, 2025 </w:t>
      </w:r>
      <w:hyperlink r:id="rId8" w:history="1">
        <w:r w:rsidRPr="00243B71">
          <w:rPr>
            <w:sz w:val="20"/>
            <w:lang w:val="en-GB"/>
          </w:rPr>
          <w:t>https://wikis.ec.europa.eu/display/ExactExternalWiki/ePRAG</w:t>
        </w:r>
      </w:hyperlink>
      <w:r w:rsidRPr="00243B71">
        <w:rPr>
          <w:sz w:val="20"/>
          <w:lang w:val="en-GB"/>
        </w:rPr>
        <w:t xml:space="preserve"> ).</w:t>
      </w:r>
      <w:r w:rsidR="00243B71">
        <w:rPr>
          <w:sz w:val="20"/>
          <w:lang w:val="en-GB"/>
        </w:rPr>
        <w:t xml:space="preserve"> </w:t>
      </w:r>
    </w:p>
    <w:p w14:paraId="0EB396E6" w14:textId="77777777" w:rsidR="003436FE" w:rsidRPr="00243B71" w:rsidRDefault="003436FE" w:rsidP="00F03AB1">
      <w:pPr>
        <w:numPr>
          <w:ilvl w:val="0"/>
          <w:numId w:val="4"/>
        </w:numPr>
        <w:spacing w:before="240" w:after="120"/>
        <w:jc w:val="both"/>
        <w:rPr>
          <w:b/>
          <w:sz w:val="22"/>
          <w:szCs w:val="22"/>
        </w:rPr>
      </w:pPr>
      <w:r w:rsidRPr="00243B71">
        <w:rPr>
          <w:b/>
          <w:sz w:val="22"/>
          <w:szCs w:val="22"/>
        </w:rPr>
        <w:t>Services to be provided</w:t>
      </w:r>
    </w:p>
    <w:p w14:paraId="1AB0A463" w14:textId="77777777" w:rsidR="003436FE" w:rsidRPr="00243B71" w:rsidRDefault="003436FE" w:rsidP="00570E73">
      <w:pPr>
        <w:jc w:val="both"/>
        <w:rPr>
          <w:sz w:val="22"/>
          <w:szCs w:val="22"/>
        </w:rPr>
      </w:pPr>
      <w:r w:rsidRPr="00243B71">
        <w:rPr>
          <w:sz w:val="22"/>
          <w:szCs w:val="22"/>
        </w:rPr>
        <w:t xml:space="preserve">The services required by the Contracting Authority are described in the Terms of Reference. They are set out in </w:t>
      </w:r>
      <w:r w:rsidR="00651CF6" w:rsidRPr="00243B71">
        <w:rPr>
          <w:sz w:val="22"/>
          <w:szCs w:val="22"/>
        </w:rPr>
        <w:t>the</w:t>
      </w:r>
      <w:r w:rsidRPr="00243B71">
        <w:rPr>
          <w:sz w:val="22"/>
          <w:szCs w:val="22"/>
        </w:rPr>
        <w:t xml:space="preserve"> Part B of this tender dossier.</w:t>
      </w:r>
    </w:p>
    <w:p w14:paraId="059F319A" w14:textId="77777777" w:rsidR="00954B1C" w:rsidRPr="00243B71" w:rsidRDefault="00954B1C" w:rsidP="00F03AB1">
      <w:pPr>
        <w:numPr>
          <w:ilvl w:val="0"/>
          <w:numId w:val="4"/>
        </w:numPr>
        <w:spacing w:before="240" w:after="120"/>
        <w:outlineLvl w:val="0"/>
        <w:rPr>
          <w:bCs/>
          <w:kern w:val="32"/>
          <w:sz w:val="22"/>
          <w:szCs w:val="22"/>
        </w:rPr>
      </w:pPr>
      <w:r w:rsidRPr="00243B71">
        <w:rPr>
          <w:b/>
          <w:bCs/>
          <w:kern w:val="32"/>
          <w:sz w:val="22"/>
          <w:szCs w:val="22"/>
        </w:rPr>
        <w:t>Nature of contract</w:t>
      </w:r>
    </w:p>
    <w:p w14:paraId="473E86EF" w14:textId="36A3678B" w:rsidR="00954B1C" w:rsidRPr="00243B71" w:rsidRDefault="00954B1C" w:rsidP="00487714">
      <w:pPr>
        <w:widowControl w:val="0"/>
        <w:jc w:val="both"/>
        <w:rPr>
          <w:snapToGrid w:val="0"/>
          <w:sz w:val="22"/>
          <w:szCs w:val="22"/>
          <w:lang w:eastAsia="en-US"/>
        </w:rPr>
      </w:pPr>
      <w:r w:rsidRPr="00243B71">
        <w:rPr>
          <w:snapToGrid w:val="0"/>
          <w:sz w:val="22"/>
          <w:szCs w:val="22"/>
          <w:lang w:eastAsia="en-US"/>
        </w:rPr>
        <w:t xml:space="preserve">Fee-based </w:t>
      </w:r>
    </w:p>
    <w:p w14:paraId="44CB5C2F" w14:textId="77777777" w:rsidR="003436FE" w:rsidRPr="00243B71" w:rsidRDefault="003436FE" w:rsidP="00F03AB1">
      <w:pPr>
        <w:numPr>
          <w:ilvl w:val="0"/>
          <w:numId w:val="4"/>
        </w:numPr>
        <w:spacing w:before="240" w:after="120"/>
        <w:jc w:val="both"/>
        <w:rPr>
          <w:b/>
          <w:sz w:val="22"/>
          <w:szCs w:val="22"/>
        </w:rPr>
      </w:pPr>
      <w:bookmarkStart w:id="1" w:name="_Ref499723935"/>
      <w:r w:rsidRPr="00243B71">
        <w:rPr>
          <w:b/>
          <w:sz w:val="22"/>
          <w:szCs w:val="22"/>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43B71" w14:paraId="2CCBA1D5" w14:textId="77777777" w:rsidTr="00010683">
        <w:tc>
          <w:tcPr>
            <w:tcW w:w="4820" w:type="dxa"/>
            <w:tcBorders>
              <w:bottom w:val="nil"/>
            </w:tcBorders>
          </w:tcPr>
          <w:p w14:paraId="489C5D5A" w14:textId="77777777" w:rsidR="003436FE" w:rsidRPr="00243B71" w:rsidRDefault="003436FE" w:rsidP="00487714">
            <w:pPr>
              <w:spacing w:before="60" w:after="60"/>
              <w:rPr>
                <w:sz w:val="22"/>
                <w:szCs w:val="22"/>
              </w:rPr>
            </w:pPr>
          </w:p>
        </w:tc>
        <w:tc>
          <w:tcPr>
            <w:tcW w:w="1972" w:type="dxa"/>
            <w:shd w:val="pct10" w:color="auto" w:fill="FFFFFF"/>
          </w:tcPr>
          <w:p w14:paraId="31B61D36" w14:textId="77777777" w:rsidR="003436FE" w:rsidRPr="00243B71" w:rsidRDefault="003436FE" w:rsidP="00487714">
            <w:pPr>
              <w:spacing w:before="60" w:after="60"/>
              <w:jc w:val="center"/>
              <w:rPr>
                <w:b/>
                <w:sz w:val="22"/>
                <w:szCs w:val="22"/>
              </w:rPr>
            </w:pPr>
            <w:r w:rsidRPr="00243B71">
              <w:rPr>
                <w:b/>
                <w:sz w:val="22"/>
                <w:szCs w:val="22"/>
              </w:rPr>
              <w:t>DATE</w:t>
            </w:r>
          </w:p>
        </w:tc>
        <w:tc>
          <w:tcPr>
            <w:tcW w:w="1572" w:type="dxa"/>
            <w:tcBorders>
              <w:bottom w:val="nil"/>
            </w:tcBorders>
            <w:shd w:val="pct10" w:color="auto" w:fill="FFFFFF"/>
          </w:tcPr>
          <w:p w14:paraId="328B8074" w14:textId="77777777" w:rsidR="003436FE" w:rsidRPr="00243B71" w:rsidRDefault="003436FE" w:rsidP="00487714">
            <w:pPr>
              <w:spacing w:before="60" w:after="60"/>
              <w:jc w:val="center"/>
              <w:rPr>
                <w:b/>
                <w:sz w:val="22"/>
                <w:szCs w:val="22"/>
              </w:rPr>
            </w:pPr>
            <w:r w:rsidRPr="00243B71">
              <w:rPr>
                <w:b/>
                <w:sz w:val="22"/>
                <w:szCs w:val="22"/>
              </w:rPr>
              <w:t>TIME*</w:t>
            </w:r>
          </w:p>
        </w:tc>
      </w:tr>
      <w:tr w:rsidR="00AE36C6" w:rsidRPr="00243B71" w14:paraId="26E527D7" w14:textId="77777777" w:rsidTr="00010683">
        <w:tc>
          <w:tcPr>
            <w:tcW w:w="4820" w:type="dxa"/>
            <w:shd w:val="pct10" w:color="auto" w:fill="FFFFFF"/>
          </w:tcPr>
          <w:p w14:paraId="1B0C2AFE" w14:textId="77777777" w:rsidR="00AE36C6" w:rsidRPr="00243B71" w:rsidRDefault="00AE36C6" w:rsidP="00AE36C6">
            <w:pPr>
              <w:spacing w:before="120" w:after="120"/>
              <w:rPr>
                <w:b/>
                <w:sz w:val="22"/>
                <w:szCs w:val="22"/>
              </w:rPr>
            </w:pPr>
            <w:r w:rsidRPr="00243B71">
              <w:rPr>
                <w:b/>
                <w:sz w:val="22"/>
                <w:szCs w:val="22"/>
              </w:rPr>
              <w:t>Site visit (if any)</w:t>
            </w:r>
          </w:p>
        </w:tc>
        <w:tc>
          <w:tcPr>
            <w:tcW w:w="1972" w:type="dxa"/>
          </w:tcPr>
          <w:p w14:paraId="3CDA181B" w14:textId="02AA8224" w:rsidR="00AE36C6" w:rsidRPr="004B14E8" w:rsidRDefault="00AE36C6" w:rsidP="00AE36C6">
            <w:pPr>
              <w:spacing w:before="120" w:after="120"/>
              <w:jc w:val="center"/>
              <w:rPr>
                <w:i/>
                <w:iCs/>
                <w:sz w:val="22"/>
                <w:szCs w:val="22"/>
              </w:rPr>
            </w:pPr>
            <w:r w:rsidRPr="004B14E8">
              <w:rPr>
                <w:i/>
                <w:iCs/>
                <w:sz w:val="22"/>
                <w:szCs w:val="22"/>
              </w:rPr>
              <w:t>Not applicable</w:t>
            </w:r>
          </w:p>
        </w:tc>
        <w:tc>
          <w:tcPr>
            <w:tcW w:w="1572" w:type="dxa"/>
          </w:tcPr>
          <w:p w14:paraId="15DBA8BD" w14:textId="08551396" w:rsidR="00AE36C6" w:rsidRPr="004B14E8" w:rsidRDefault="00AE36C6" w:rsidP="00AE36C6">
            <w:pPr>
              <w:spacing w:before="120" w:after="120"/>
              <w:jc w:val="center"/>
              <w:rPr>
                <w:i/>
                <w:iCs/>
                <w:sz w:val="22"/>
                <w:szCs w:val="22"/>
              </w:rPr>
            </w:pPr>
            <w:r w:rsidRPr="004B14E8">
              <w:rPr>
                <w:i/>
                <w:iCs/>
                <w:sz w:val="22"/>
                <w:szCs w:val="22"/>
              </w:rPr>
              <w:t>Not applicable</w:t>
            </w:r>
          </w:p>
        </w:tc>
      </w:tr>
      <w:tr w:rsidR="00AE36C6" w:rsidRPr="00243B71" w14:paraId="09657DEB" w14:textId="77777777" w:rsidTr="00010683">
        <w:tc>
          <w:tcPr>
            <w:tcW w:w="4820" w:type="dxa"/>
            <w:shd w:val="pct10" w:color="auto" w:fill="FFFFFF"/>
          </w:tcPr>
          <w:p w14:paraId="40361A07" w14:textId="77777777" w:rsidR="00AE36C6" w:rsidRPr="00243B71" w:rsidRDefault="00AE36C6" w:rsidP="00AE36C6">
            <w:pPr>
              <w:spacing w:before="120" w:after="120"/>
              <w:rPr>
                <w:b/>
                <w:sz w:val="22"/>
                <w:szCs w:val="22"/>
              </w:rPr>
            </w:pPr>
            <w:r w:rsidRPr="00243B71">
              <w:rPr>
                <w:b/>
                <w:sz w:val="22"/>
                <w:szCs w:val="22"/>
              </w:rPr>
              <w:t>Information meeting (if any)</w:t>
            </w:r>
          </w:p>
        </w:tc>
        <w:tc>
          <w:tcPr>
            <w:tcW w:w="1972" w:type="dxa"/>
          </w:tcPr>
          <w:p w14:paraId="76915DD9" w14:textId="5ADD0C63" w:rsidR="00AE36C6" w:rsidRPr="004B14E8" w:rsidRDefault="00AE36C6" w:rsidP="00AE36C6">
            <w:pPr>
              <w:spacing w:before="120" w:after="120"/>
              <w:jc w:val="center"/>
              <w:rPr>
                <w:i/>
                <w:iCs/>
                <w:sz w:val="22"/>
                <w:szCs w:val="22"/>
              </w:rPr>
            </w:pPr>
            <w:r w:rsidRPr="004B14E8">
              <w:rPr>
                <w:i/>
                <w:iCs/>
                <w:sz w:val="22"/>
                <w:szCs w:val="22"/>
              </w:rPr>
              <w:t>Not applicable</w:t>
            </w:r>
          </w:p>
        </w:tc>
        <w:tc>
          <w:tcPr>
            <w:tcW w:w="1572" w:type="dxa"/>
          </w:tcPr>
          <w:p w14:paraId="41CA4FD5" w14:textId="72A1DD9F" w:rsidR="00AE36C6" w:rsidRPr="004B14E8" w:rsidRDefault="00AE36C6" w:rsidP="00AE36C6">
            <w:pPr>
              <w:spacing w:before="120" w:after="120"/>
              <w:jc w:val="center"/>
              <w:rPr>
                <w:i/>
                <w:iCs/>
                <w:sz w:val="22"/>
                <w:szCs w:val="22"/>
              </w:rPr>
            </w:pPr>
            <w:r w:rsidRPr="004B14E8">
              <w:rPr>
                <w:i/>
                <w:iCs/>
                <w:sz w:val="22"/>
                <w:szCs w:val="22"/>
              </w:rPr>
              <w:t>Not applicable</w:t>
            </w:r>
          </w:p>
        </w:tc>
      </w:tr>
      <w:tr w:rsidR="00AE36C6" w:rsidRPr="00243B71" w14:paraId="7A49EC75" w14:textId="77777777" w:rsidTr="00010683">
        <w:tc>
          <w:tcPr>
            <w:tcW w:w="4820" w:type="dxa"/>
            <w:shd w:val="pct10" w:color="auto" w:fill="FFFFFF"/>
          </w:tcPr>
          <w:p w14:paraId="159C4431" w14:textId="77777777" w:rsidR="00AE36C6" w:rsidRPr="00243B71" w:rsidRDefault="00AE36C6" w:rsidP="00AE36C6">
            <w:pPr>
              <w:spacing w:before="120" w:after="120"/>
              <w:rPr>
                <w:b/>
                <w:sz w:val="22"/>
                <w:szCs w:val="22"/>
              </w:rPr>
            </w:pPr>
            <w:r w:rsidRPr="00243B71">
              <w:rPr>
                <w:b/>
                <w:sz w:val="22"/>
                <w:szCs w:val="22"/>
              </w:rPr>
              <w:t>Deadline for requesting clarification from the Contracting Authority</w:t>
            </w:r>
          </w:p>
        </w:tc>
        <w:tc>
          <w:tcPr>
            <w:tcW w:w="1972" w:type="dxa"/>
          </w:tcPr>
          <w:p w14:paraId="26F0B889" w14:textId="30DE7436" w:rsidR="00AE36C6" w:rsidRPr="004B14E8" w:rsidRDefault="004B14E8" w:rsidP="00AE36C6">
            <w:pPr>
              <w:spacing w:before="120" w:after="120"/>
              <w:jc w:val="center"/>
              <w:rPr>
                <w:i/>
                <w:iCs/>
                <w:sz w:val="22"/>
                <w:szCs w:val="22"/>
              </w:rPr>
            </w:pPr>
            <w:r w:rsidRPr="004B14E8">
              <w:rPr>
                <w:i/>
                <w:iCs/>
                <w:sz w:val="22"/>
                <w:szCs w:val="22"/>
              </w:rPr>
              <w:t>September 9, 2025</w:t>
            </w:r>
          </w:p>
        </w:tc>
        <w:tc>
          <w:tcPr>
            <w:tcW w:w="1572" w:type="dxa"/>
          </w:tcPr>
          <w:p w14:paraId="7BE4241A" w14:textId="56F0B5AB" w:rsidR="00AE36C6" w:rsidRPr="004B14E8" w:rsidRDefault="004B14E8" w:rsidP="00AE36C6">
            <w:pPr>
              <w:spacing w:before="120" w:after="120"/>
              <w:jc w:val="center"/>
              <w:rPr>
                <w:i/>
                <w:iCs/>
                <w:sz w:val="22"/>
                <w:szCs w:val="22"/>
              </w:rPr>
            </w:pPr>
            <w:r>
              <w:rPr>
                <w:i/>
                <w:iCs/>
                <w:sz w:val="22"/>
                <w:szCs w:val="22"/>
              </w:rPr>
              <w:t>12:00</w:t>
            </w:r>
          </w:p>
        </w:tc>
      </w:tr>
      <w:tr w:rsidR="00AE36C6" w:rsidRPr="00243B71" w14:paraId="34E99DE0" w14:textId="77777777" w:rsidTr="00010683">
        <w:tc>
          <w:tcPr>
            <w:tcW w:w="4820" w:type="dxa"/>
            <w:shd w:val="pct10" w:color="auto" w:fill="FFFFFF"/>
          </w:tcPr>
          <w:p w14:paraId="01013DD1" w14:textId="77777777" w:rsidR="00AE36C6" w:rsidRPr="00243B71" w:rsidRDefault="00AE36C6" w:rsidP="00AE36C6">
            <w:pPr>
              <w:spacing w:before="120" w:after="120"/>
              <w:rPr>
                <w:b/>
                <w:sz w:val="22"/>
                <w:szCs w:val="22"/>
              </w:rPr>
            </w:pPr>
            <w:r w:rsidRPr="00243B71">
              <w:rPr>
                <w:b/>
                <w:sz w:val="22"/>
                <w:szCs w:val="22"/>
              </w:rPr>
              <w:t xml:space="preserve">Last date for the Contracting Authority to issue clarification </w:t>
            </w:r>
          </w:p>
        </w:tc>
        <w:tc>
          <w:tcPr>
            <w:tcW w:w="1972" w:type="dxa"/>
          </w:tcPr>
          <w:p w14:paraId="27AD3167" w14:textId="2E6B4054" w:rsidR="00AE36C6" w:rsidRPr="004B14E8" w:rsidRDefault="004B14E8" w:rsidP="00AE36C6">
            <w:pPr>
              <w:spacing w:before="120" w:after="120"/>
              <w:jc w:val="center"/>
              <w:rPr>
                <w:i/>
                <w:iCs/>
                <w:sz w:val="22"/>
                <w:szCs w:val="22"/>
              </w:rPr>
            </w:pPr>
            <w:r w:rsidRPr="004B14E8">
              <w:rPr>
                <w:i/>
                <w:iCs/>
                <w:sz w:val="22"/>
                <w:szCs w:val="22"/>
              </w:rPr>
              <w:t>September 22, 2025</w:t>
            </w:r>
          </w:p>
        </w:tc>
        <w:tc>
          <w:tcPr>
            <w:tcW w:w="1572" w:type="dxa"/>
          </w:tcPr>
          <w:p w14:paraId="3A4CF1EB" w14:textId="319F9DC5" w:rsidR="00AE36C6" w:rsidRPr="004B14E8" w:rsidRDefault="004B14E8" w:rsidP="004B14E8">
            <w:pPr>
              <w:spacing w:before="120" w:after="120"/>
              <w:jc w:val="center"/>
              <w:rPr>
                <w:i/>
                <w:iCs/>
                <w:sz w:val="22"/>
                <w:szCs w:val="22"/>
              </w:rPr>
            </w:pPr>
            <w:r>
              <w:rPr>
                <w:i/>
                <w:iCs/>
                <w:sz w:val="22"/>
                <w:szCs w:val="22"/>
              </w:rPr>
              <w:t>23:59</w:t>
            </w:r>
          </w:p>
        </w:tc>
      </w:tr>
      <w:tr w:rsidR="008D4185" w:rsidRPr="00243B71" w14:paraId="67489D39" w14:textId="77777777" w:rsidTr="00010683">
        <w:tc>
          <w:tcPr>
            <w:tcW w:w="4820" w:type="dxa"/>
            <w:shd w:val="pct10" w:color="auto" w:fill="FFFFFF"/>
          </w:tcPr>
          <w:p w14:paraId="015A5FEA" w14:textId="77777777" w:rsidR="008D4185" w:rsidRPr="00243B71" w:rsidRDefault="008D4185" w:rsidP="008D4185">
            <w:pPr>
              <w:spacing w:before="120" w:after="120"/>
              <w:rPr>
                <w:b/>
                <w:sz w:val="22"/>
                <w:szCs w:val="22"/>
              </w:rPr>
            </w:pPr>
            <w:r w:rsidRPr="00243B71">
              <w:rPr>
                <w:b/>
                <w:sz w:val="22"/>
                <w:szCs w:val="22"/>
              </w:rPr>
              <w:t>Deadline for expression of interest</w:t>
            </w:r>
          </w:p>
        </w:tc>
        <w:tc>
          <w:tcPr>
            <w:tcW w:w="1972" w:type="dxa"/>
          </w:tcPr>
          <w:p w14:paraId="031E36B4" w14:textId="21875637" w:rsidR="008D4185" w:rsidRPr="004B14E8" w:rsidRDefault="004B14E8" w:rsidP="008D4185">
            <w:pPr>
              <w:spacing w:before="120" w:after="120"/>
              <w:jc w:val="center"/>
              <w:rPr>
                <w:i/>
                <w:iCs/>
                <w:sz w:val="22"/>
                <w:szCs w:val="22"/>
              </w:rPr>
            </w:pPr>
            <w:r w:rsidRPr="004B14E8">
              <w:rPr>
                <w:i/>
                <w:iCs/>
                <w:sz w:val="22"/>
                <w:szCs w:val="22"/>
              </w:rPr>
              <w:t>September 30, 2025</w:t>
            </w:r>
          </w:p>
        </w:tc>
        <w:tc>
          <w:tcPr>
            <w:tcW w:w="1572" w:type="dxa"/>
          </w:tcPr>
          <w:p w14:paraId="39254EB1" w14:textId="2EA289FE" w:rsidR="008D4185" w:rsidRPr="004B14E8" w:rsidRDefault="004B14E8" w:rsidP="008D4185">
            <w:pPr>
              <w:spacing w:before="120" w:after="120"/>
              <w:jc w:val="center"/>
              <w:rPr>
                <w:i/>
                <w:iCs/>
                <w:sz w:val="22"/>
                <w:szCs w:val="22"/>
              </w:rPr>
            </w:pPr>
            <w:r w:rsidRPr="004B14E8">
              <w:rPr>
                <w:i/>
                <w:iCs/>
                <w:sz w:val="22"/>
                <w:szCs w:val="22"/>
              </w:rPr>
              <w:t>11:00</w:t>
            </w:r>
          </w:p>
        </w:tc>
      </w:tr>
      <w:tr w:rsidR="008D4185" w:rsidRPr="00243B71" w14:paraId="1BB3BDD4" w14:textId="77777777" w:rsidTr="00010683">
        <w:tc>
          <w:tcPr>
            <w:tcW w:w="4820" w:type="dxa"/>
            <w:shd w:val="pct10" w:color="auto" w:fill="FFFFFF"/>
          </w:tcPr>
          <w:p w14:paraId="67C478C8" w14:textId="798EB9A6" w:rsidR="008D4185" w:rsidRPr="00243B71" w:rsidRDefault="008D4185" w:rsidP="008D4185">
            <w:pPr>
              <w:spacing w:before="120" w:after="120"/>
              <w:rPr>
                <w:b/>
                <w:sz w:val="22"/>
                <w:szCs w:val="22"/>
              </w:rPr>
            </w:pPr>
            <w:r w:rsidRPr="00243B71">
              <w:rPr>
                <w:b/>
                <w:sz w:val="22"/>
                <w:szCs w:val="22"/>
              </w:rPr>
              <w:t>Deadline for receipt of tenders by the Contracting Authority</w:t>
            </w:r>
            <w:r w:rsidR="004B14E8">
              <w:rPr>
                <w:rStyle w:val="FootnoteReference"/>
                <w:b/>
                <w:sz w:val="22"/>
                <w:szCs w:val="22"/>
              </w:rPr>
              <w:footnoteReference w:id="1"/>
            </w:r>
          </w:p>
        </w:tc>
        <w:tc>
          <w:tcPr>
            <w:tcW w:w="1972" w:type="dxa"/>
          </w:tcPr>
          <w:p w14:paraId="775A9221" w14:textId="0B9BD238" w:rsidR="008D4185" w:rsidRPr="004B14E8" w:rsidRDefault="004B14E8" w:rsidP="008D4185">
            <w:pPr>
              <w:spacing w:before="120" w:after="120"/>
              <w:jc w:val="center"/>
              <w:rPr>
                <w:i/>
                <w:iCs/>
                <w:sz w:val="22"/>
                <w:szCs w:val="22"/>
              </w:rPr>
            </w:pPr>
            <w:r w:rsidRPr="004B14E8">
              <w:rPr>
                <w:i/>
                <w:iCs/>
                <w:sz w:val="22"/>
                <w:szCs w:val="22"/>
              </w:rPr>
              <w:t>September 30, 2025</w:t>
            </w:r>
          </w:p>
        </w:tc>
        <w:tc>
          <w:tcPr>
            <w:tcW w:w="1572" w:type="dxa"/>
          </w:tcPr>
          <w:p w14:paraId="68A4F765" w14:textId="2AC2EA68" w:rsidR="008D4185" w:rsidRPr="004B14E8" w:rsidRDefault="004B14E8" w:rsidP="008D4185">
            <w:pPr>
              <w:spacing w:before="120" w:after="120"/>
              <w:jc w:val="center"/>
              <w:rPr>
                <w:i/>
                <w:iCs/>
                <w:sz w:val="22"/>
                <w:szCs w:val="22"/>
              </w:rPr>
            </w:pPr>
            <w:r w:rsidRPr="004B14E8">
              <w:rPr>
                <w:i/>
                <w:iCs/>
                <w:sz w:val="22"/>
                <w:szCs w:val="22"/>
              </w:rPr>
              <w:t>11:00</w:t>
            </w:r>
          </w:p>
        </w:tc>
      </w:tr>
      <w:tr w:rsidR="00651945" w:rsidRPr="00243B71" w14:paraId="134D6874" w14:textId="77777777" w:rsidTr="00010683">
        <w:tc>
          <w:tcPr>
            <w:tcW w:w="4820" w:type="dxa"/>
            <w:shd w:val="pct10" w:color="auto" w:fill="FFFFFF"/>
          </w:tcPr>
          <w:p w14:paraId="73567A65" w14:textId="243723B6" w:rsidR="00651945" w:rsidRPr="00243B71" w:rsidRDefault="00651945" w:rsidP="008D4185">
            <w:pPr>
              <w:spacing w:before="120" w:after="120"/>
              <w:rPr>
                <w:b/>
                <w:sz w:val="22"/>
                <w:szCs w:val="22"/>
              </w:rPr>
            </w:pPr>
            <w:r>
              <w:rPr>
                <w:b/>
                <w:sz w:val="22"/>
                <w:szCs w:val="22"/>
              </w:rPr>
              <w:t>Public opening of the Technical Proposals</w:t>
            </w:r>
            <w:r w:rsidR="004B14E8">
              <w:rPr>
                <w:rStyle w:val="FootnoteReference"/>
                <w:b/>
                <w:sz w:val="22"/>
                <w:szCs w:val="22"/>
              </w:rPr>
              <w:footnoteReference w:id="2"/>
            </w:r>
          </w:p>
        </w:tc>
        <w:tc>
          <w:tcPr>
            <w:tcW w:w="1972" w:type="dxa"/>
          </w:tcPr>
          <w:p w14:paraId="57A275A4" w14:textId="7049D215" w:rsidR="00651945" w:rsidRPr="004B14E8" w:rsidRDefault="004B14E8" w:rsidP="008D4185">
            <w:pPr>
              <w:spacing w:before="120" w:after="120"/>
              <w:jc w:val="center"/>
              <w:rPr>
                <w:i/>
                <w:iCs/>
                <w:sz w:val="22"/>
                <w:szCs w:val="22"/>
              </w:rPr>
            </w:pPr>
            <w:r w:rsidRPr="004B14E8">
              <w:rPr>
                <w:i/>
                <w:iCs/>
                <w:sz w:val="22"/>
                <w:szCs w:val="22"/>
              </w:rPr>
              <w:t>September 30, 2025</w:t>
            </w:r>
          </w:p>
        </w:tc>
        <w:tc>
          <w:tcPr>
            <w:tcW w:w="1572" w:type="dxa"/>
          </w:tcPr>
          <w:p w14:paraId="0E8805A6" w14:textId="46F7AEC0" w:rsidR="00651945" w:rsidRPr="004B14E8" w:rsidRDefault="004B14E8" w:rsidP="008D4185">
            <w:pPr>
              <w:spacing w:before="120" w:after="120"/>
              <w:jc w:val="center"/>
              <w:rPr>
                <w:i/>
                <w:iCs/>
                <w:sz w:val="22"/>
                <w:szCs w:val="22"/>
              </w:rPr>
            </w:pPr>
            <w:r w:rsidRPr="004B14E8">
              <w:rPr>
                <w:i/>
                <w:iCs/>
                <w:sz w:val="22"/>
                <w:szCs w:val="22"/>
              </w:rPr>
              <w:t>15:00</w:t>
            </w:r>
          </w:p>
        </w:tc>
      </w:tr>
      <w:tr w:rsidR="008D4185" w:rsidRPr="00243B71" w14:paraId="2EAB87BA" w14:textId="77777777" w:rsidTr="00010683">
        <w:tc>
          <w:tcPr>
            <w:tcW w:w="4820" w:type="dxa"/>
            <w:shd w:val="pct10" w:color="auto" w:fill="FFFFFF"/>
          </w:tcPr>
          <w:p w14:paraId="59862337" w14:textId="77777777" w:rsidR="008D4185" w:rsidRPr="00243B71" w:rsidRDefault="008D4185" w:rsidP="008D4185">
            <w:pPr>
              <w:spacing w:before="120" w:after="120"/>
              <w:rPr>
                <w:b/>
                <w:sz w:val="22"/>
                <w:szCs w:val="22"/>
              </w:rPr>
            </w:pPr>
            <w:r w:rsidRPr="00243B71">
              <w:rPr>
                <w:b/>
                <w:sz w:val="22"/>
                <w:szCs w:val="22"/>
              </w:rPr>
              <w:t>Interviews (if any)</w:t>
            </w:r>
          </w:p>
        </w:tc>
        <w:tc>
          <w:tcPr>
            <w:tcW w:w="1972" w:type="dxa"/>
          </w:tcPr>
          <w:p w14:paraId="0A01CD79" w14:textId="4F1C73EB" w:rsidR="008D4185" w:rsidRPr="004B14E8" w:rsidRDefault="004B14E8" w:rsidP="008D4185">
            <w:pPr>
              <w:spacing w:before="120" w:after="120"/>
              <w:jc w:val="center"/>
              <w:rPr>
                <w:i/>
                <w:iCs/>
                <w:sz w:val="22"/>
                <w:szCs w:val="22"/>
              </w:rPr>
            </w:pPr>
            <w:r w:rsidRPr="004B14E8">
              <w:rPr>
                <w:i/>
                <w:iCs/>
                <w:sz w:val="22"/>
                <w:szCs w:val="22"/>
              </w:rPr>
              <w:t>Not applicable</w:t>
            </w:r>
          </w:p>
        </w:tc>
        <w:tc>
          <w:tcPr>
            <w:tcW w:w="1572" w:type="dxa"/>
          </w:tcPr>
          <w:p w14:paraId="0234624B" w14:textId="33F2EE29" w:rsidR="008D4185" w:rsidRPr="004B14E8" w:rsidRDefault="004B14E8" w:rsidP="008D4185">
            <w:pPr>
              <w:spacing w:before="120" w:after="120"/>
              <w:jc w:val="center"/>
              <w:rPr>
                <w:i/>
                <w:iCs/>
                <w:sz w:val="22"/>
                <w:szCs w:val="22"/>
              </w:rPr>
            </w:pPr>
            <w:r>
              <w:rPr>
                <w:i/>
                <w:iCs/>
                <w:sz w:val="22"/>
                <w:szCs w:val="22"/>
              </w:rPr>
              <w:t>-</w:t>
            </w:r>
          </w:p>
        </w:tc>
      </w:tr>
      <w:tr w:rsidR="008D4185" w:rsidRPr="00243B71" w14:paraId="0020546A" w14:textId="77777777" w:rsidTr="00010683">
        <w:tc>
          <w:tcPr>
            <w:tcW w:w="4820" w:type="dxa"/>
            <w:shd w:val="pct10" w:color="auto" w:fill="FFFFFF"/>
          </w:tcPr>
          <w:p w14:paraId="0582B20F" w14:textId="77777777" w:rsidR="008D4185" w:rsidRPr="00243B71" w:rsidRDefault="008D4185" w:rsidP="008D4185">
            <w:pPr>
              <w:spacing w:before="120" w:after="120"/>
              <w:rPr>
                <w:b/>
                <w:sz w:val="22"/>
                <w:szCs w:val="22"/>
              </w:rPr>
            </w:pPr>
            <w:r w:rsidRPr="00243B71">
              <w:rPr>
                <w:b/>
                <w:sz w:val="22"/>
                <w:szCs w:val="22"/>
              </w:rPr>
              <w:t>Completion date for evaluating technical offers</w:t>
            </w:r>
          </w:p>
        </w:tc>
        <w:tc>
          <w:tcPr>
            <w:tcW w:w="1972" w:type="dxa"/>
          </w:tcPr>
          <w:p w14:paraId="01F59882" w14:textId="678630E6" w:rsidR="008D4185" w:rsidRPr="004B14E8" w:rsidRDefault="004B14E8" w:rsidP="008D4185">
            <w:pPr>
              <w:spacing w:before="120" w:after="120"/>
              <w:jc w:val="center"/>
              <w:rPr>
                <w:i/>
                <w:iCs/>
                <w:sz w:val="22"/>
                <w:szCs w:val="22"/>
              </w:rPr>
            </w:pPr>
            <w:r w:rsidRPr="004B14E8">
              <w:rPr>
                <w:i/>
                <w:iCs/>
                <w:sz w:val="22"/>
                <w:szCs w:val="22"/>
              </w:rPr>
              <w:t>November 2025</w:t>
            </w:r>
          </w:p>
        </w:tc>
        <w:tc>
          <w:tcPr>
            <w:tcW w:w="1572" w:type="dxa"/>
          </w:tcPr>
          <w:p w14:paraId="45E86966" w14:textId="77B7A7A8" w:rsidR="008D4185" w:rsidRPr="004B14E8" w:rsidRDefault="004B14E8" w:rsidP="008D4185">
            <w:pPr>
              <w:spacing w:before="120" w:after="120"/>
              <w:jc w:val="center"/>
              <w:rPr>
                <w:i/>
                <w:iCs/>
                <w:sz w:val="22"/>
                <w:szCs w:val="22"/>
              </w:rPr>
            </w:pPr>
            <w:r>
              <w:rPr>
                <w:i/>
                <w:iCs/>
                <w:sz w:val="22"/>
                <w:szCs w:val="22"/>
              </w:rPr>
              <w:t>-</w:t>
            </w:r>
          </w:p>
        </w:tc>
      </w:tr>
      <w:tr w:rsidR="004B14E8" w:rsidRPr="00243B71" w14:paraId="68579790" w14:textId="77777777" w:rsidTr="00010683">
        <w:tc>
          <w:tcPr>
            <w:tcW w:w="4820" w:type="dxa"/>
            <w:shd w:val="pct10" w:color="auto" w:fill="FFFFFF"/>
          </w:tcPr>
          <w:p w14:paraId="73530F44" w14:textId="77777777" w:rsidR="004B14E8" w:rsidRPr="00243B71" w:rsidRDefault="004B14E8" w:rsidP="004B14E8">
            <w:pPr>
              <w:spacing w:before="120" w:after="120"/>
              <w:rPr>
                <w:b/>
                <w:sz w:val="22"/>
                <w:szCs w:val="22"/>
              </w:rPr>
            </w:pPr>
            <w:r w:rsidRPr="00243B71">
              <w:rPr>
                <w:b/>
                <w:sz w:val="22"/>
                <w:szCs w:val="22"/>
              </w:rPr>
              <w:t xml:space="preserve">Notification of award </w:t>
            </w:r>
          </w:p>
        </w:tc>
        <w:tc>
          <w:tcPr>
            <w:tcW w:w="1972" w:type="dxa"/>
          </w:tcPr>
          <w:p w14:paraId="547D9CB6" w14:textId="0A8B8AD1" w:rsidR="004B14E8" w:rsidRPr="004B14E8" w:rsidRDefault="004B14E8" w:rsidP="004B14E8">
            <w:pPr>
              <w:spacing w:before="120" w:after="120"/>
              <w:jc w:val="center"/>
              <w:rPr>
                <w:i/>
                <w:iCs/>
                <w:sz w:val="22"/>
                <w:szCs w:val="22"/>
              </w:rPr>
            </w:pPr>
            <w:r w:rsidRPr="004B14E8">
              <w:rPr>
                <w:i/>
                <w:iCs/>
                <w:sz w:val="22"/>
                <w:szCs w:val="22"/>
              </w:rPr>
              <w:t>November 2025</w:t>
            </w:r>
          </w:p>
        </w:tc>
        <w:tc>
          <w:tcPr>
            <w:tcW w:w="1572" w:type="dxa"/>
          </w:tcPr>
          <w:p w14:paraId="71F1E7D4" w14:textId="4F7B9A6D" w:rsidR="004B14E8" w:rsidRPr="004B14E8" w:rsidRDefault="004B14E8" w:rsidP="004B14E8">
            <w:pPr>
              <w:spacing w:before="120" w:after="120"/>
              <w:jc w:val="center"/>
              <w:rPr>
                <w:i/>
                <w:iCs/>
                <w:sz w:val="22"/>
                <w:szCs w:val="22"/>
              </w:rPr>
            </w:pPr>
            <w:r>
              <w:rPr>
                <w:i/>
                <w:iCs/>
                <w:sz w:val="22"/>
                <w:szCs w:val="22"/>
              </w:rPr>
              <w:t>-</w:t>
            </w:r>
          </w:p>
        </w:tc>
      </w:tr>
      <w:tr w:rsidR="004B14E8" w:rsidRPr="00243B71" w14:paraId="7CB58C6B" w14:textId="77777777" w:rsidTr="00010683">
        <w:tc>
          <w:tcPr>
            <w:tcW w:w="4820" w:type="dxa"/>
            <w:shd w:val="pct10" w:color="auto" w:fill="FFFFFF"/>
          </w:tcPr>
          <w:p w14:paraId="035E70B8" w14:textId="77777777" w:rsidR="004B14E8" w:rsidRPr="00243B71" w:rsidRDefault="004B14E8" w:rsidP="004B14E8">
            <w:pPr>
              <w:spacing w:before="120" w:after="120"/>
              <w:rPr>
                <w:b/>
                <w:sz w:val="22"/>
                <w:szCs w:val="22"/>
              </w:rPr>
            </w:pPr>
            <w:r w:rsidRPr="00243B71">
              <w:rPr>
                <w:b/>
                <w:sz w:val="22"/>
                <w:szCs w:val="22"/>
              </w:rPr>
              <w:lastRenderedPageBreak/>
              <w:t>Contract signature</w:t>
            </w:r>
          </w:p>
        </w:tc>
        <w:tc>
          <w:tcPr>
            <w:tcW w:w="1972" w:type="dxa"/>
          </w:tcPr>
          <w:p w14:paraId="5916EA8E" w14:textId="3D3D2D6A" w:rsidR="004B14E8" w:rsidRPr="004B14E8" w:rsidRDefault="004B14E8" w:rsidP="004B14E8">
            <w:pPr>
              <w:spacing w:before="120" w:after="120"/>
              <w:jc w:val="center"/>
              <w:rPr>
                <w:i/>
                <w:iCs/>
                <w:sz w:val="22"/>
                <w:szCs w:val="22"/>
                <w:highlight w:val="green"/>
              </w:rPr>
            </w:pPr>
            <w:r w:rsidRPr="004B14E8">
              <w:rPr>
                <w:i/>
                <w:iCs/>
                <w:sz w:val="22"/>
                <w:szCs w:val="22"/>
              </w:rPr>
              <w:t>November 2025</w:t>
            </w:r>
          </w:p>
        </w:tc>
        <w:tc>
          <w:tcPr>
            <w:tcW w:w="1572" w:type="dxa"/>
          </w:tcPr>
          <w:p w14:paraId="5F312DC3" w14:textId="5798010F" w:rsidR="004B14E8" w:rsidRPr="004B14E8" w:rsidRDefault="004B14E8" w:rsidP="004B14E8">
            <w:pPr>
              <w:spacing w:before="120" w:after="120"/>
              <w:jc w:val="center"/>
              <w:rPr>
                <w:i/>
                <w:iCs/>
                <w:sz w:val="22"/>
                <w:szCs w:val="22"/>
              </w:rPr>
            </w:pPr>
            <w:r>
              <w:rPr>
                <w:i/>
                <w:iCs/>
                <w:sz w:val="22"/>
                <w:szCs w:val="22"/>
              </w:rPr>
              <w:t>-</w:t>
            </w:r>
          </w:p>
        </w:tc>
      </w:tr>
      <w:tr w:rsidR="004B14E8" w:rsidRPr="00243B71" w14:paraId="4A5A47E5" w14:textId="77777777" w:rsidTr="00010683">
        <w:tc>
          <w:tcPr>
            <w:tcW w:w="4820" w:type="dxa"/>
            <w:shd w:val="pct10" w:color="auto" w:fill="FFFFFF"/>
          </w:tcPr>
          <w:p w14:paraId="5BD8EB5E" w14:textId="77777777" w:rsidR="004B14E8" w:rsidRPr="00243B71" w:rsidRDefault="004B14E8" w:rsidP="004B14E8">
            <w:pPr>
              <w:spacing w:before="120" w:after="120"/>
              <w:rPr>
                <w:b/>
                <w:sz w:val="22"/>
                <w:szCs w:val="22"/>
              </w:rPr>
            </w:pPr>
            <w:r w:rsidRPr="00243B71">
              <w:rPr>
                <w:b/>
                <w:sz w:val="22"/>
                <w:szCs w:val="22"/>
              </w:rPr>
              <w:t>Start date</w:t>
            </w:r>
          </w:p>
        </w:tc>
        <w:tc>
          <w:tcPr>
            <w:tcW w:w="1972" w:type="dxa"/>
          </w:tcPr>
          <w:p w14:paraId="2BCA50CA" w14:textId="21A893EE" w:rsidR="004B14E8" w:rsidRPr="004B14E8" w:rsidRDefault="004B14E8" w:rsidP="004B14E8">
            <w:pPr>
              <w:spacing w:before="120" w:after="120"/>
              <w:jc w:val="center"/>
              <w:rPr>
                <w:i/>
                <w:iCs/>
                <w:sz w:val="22"/>
                <w:szCs w:val="22"/>
              </w:rPr>
            </w:pPr>
            <w:r w:rsidRPr="004B14E8">
              <w:rPr>
                <w:i/>
                <w:iCs/>
                <w:sz w:val="22"/>
                <w:szCs w:val="22"/>
              </w:rPr>
              <w:t>December 2025</w:t>
            </w:r>
          </w:p>
        </w:tc>
        <w:tc>
          <w:tcPr>
            <w:tcW w:w="1572" w:type="dxa"/>
          </w:tcPr>
          <w:p w14:paraId="0B8A0E7B" w14:textId="6BA1E394" w:rsidR="004B14E8" w:rsidRPr="004B14E8" w:rsidRDefault="004B14E8" w:rsidP="004B14E8">
            <w:pPr>
              <w:spacing w:before="120" w:after="120"/>
              <w:jc w:val="center"/>
              <w:rPr>
                <w:i/>
                <w:iCs/>
                <w:sz w:val="22"/>
                <w:szCs w:val="22"/>
              </w:rPr>
            </w:pPr>
            <w:r>
              <w:rPr>
                <w:i/>
                <w:iCs/>
                <w:sz w:val="22"/>
                <w:szCs w:val="22"/>
              </w:rPr>
              <w:t>-</w:t>
            </w:r>
          </w:p>
        </w:tc>
      </w:tr>
    </w:tbl>
    <w:p w14:paraId="0484F369" w14:textId="7F99F96B" w:rsidR="003436FE" w:rsidRPr="00243B71" w:rsidRDefault="003436FE" w:rsidP="00570E73">
      <w:pPr>
        <w:spacing w:before="120"/>
        <w:rPr>
          <w:b/>
          <w:sz w:val="22"/>
          <w:szCs w:val="22"/>
        </w:rPr>
      </w:pPr>
      <w:r w:rsidRPr="00243B71">
        <w:rPr>
          <w:b/>
          <w:sz w:val="22"/>
          <w:szCs w:val="22"/>
        </w:rPr>
        <w:t>* All times are in the time zone of the country of the Contracting Authority</w:t>
      </w:r>
      <w:r w:rsidRPr="00243B71">
        <w:rPr>
          <w:b/>
          <w:sz w:val="22"/>
          <w:szCs w:val="22"/>
        </w:rPr>
        <w:br/>
      </w:r>
      <w:r w:rsidR="008D4185" w:rsidRPr="00243B71">
        <w:rPr>
          <w:sz w:val="22"/>
          <w:szCs w:val="22"/>
          <w:vertAlign w:val="superscript"/>
        </w:rPr>
        <w:t xml:space="preserve">+ </w:t>
      </w:r>
      <w:r w:rsidRPr="00243B71">
        <w:rPr>
          <w:b/>
          <w:sz w:val="22"/>
          <w:szCs w:val="22"/>
        </w:rPr>
        <w:t>Provisional date</w:t>
      </w:r>
    </w:p>
    <w:p w14:paraId="7B7AC71A" w14:textId="77777777" w:rsidR="003436FE" w:rsidRPr="00243B71" w:rsidRDefault="003436FE" w:rsidP="00F03AB1">
      <w:pPr>
        <w:numPr>
          <w:ilvl w:val="0"/>
          <w:numId w:val="4"/>
        </w:numPr>
        <w:spacing w:before="240" w:after="120"/>
        <w:jc w:val="both"/>
        <w:rPr>
          <w:b/>
          <w:sz w:val="22"/>
          <w:szCs w:val="22"/>
        </w:rPr>
      </w:pPr>
      <w:bookmarkStart w:id="2" w:name="_Ref499615030"/>
      <w:r w:rsidRPr="00243B71">
        <w:rPr>
          <w:b/>
          <w:sz w:val="22"/>
          <w:szCs w:val="22"/>
        </w:rPr>
        <w:t>Participation</w:t>
      </w:r>
      <w:r w:rsidR="00840772" w:rsidRPr="00243B71">
        <w:rPr>
          <w:b/>
          <w:sz w:val="22"/>
          <w:szCs w:val="22"/>
        </w:rPr>
        <w:t xml:space="preserve"> </w:t>
      </w:r>
      <w:r w:rsidR="007E7D2E" w:rsidRPr="00243B71">
        <w:rPr>
          <w:b/>
          <w:sz w:val="22"/>
          <w:szCs w:val="22"/>
        </w:rPr>
        <w:t xml:space="preserve">and </w:t>
      </w:r>
      <w:r w:rsidRPr="00243B71">
        <w:rPr>
          <w:b/>
          <w:sz w:val="22"/>
          <w:szCs w:val="22"/>
        </w:rPr>
        <w:t>subcontracting</w:t>
      </w:r>
      <w:bookmarkEnd w:id="2"/>
    </w:p>
    <w:p w14:paraId="303526FC" w14:textId="1DE4983A" w:rsidR="00EF2ABB" w:rsidRPr="00243B71" w:rsidRDefault="00711DC2" w:rsidP="00EF2ABB">
      <w:pPr>
        <w:pStyle w:val="BodyText"/>
        <w:numPr>
          <w:ilvl w:val="0"/>
          <w:numId w:val="2"/>
        </w:numPr>
        <w:tabs>
          <w:tab w:val="clear" w:pos="570"/>
        </w:tabs>
        <w:spacing w:after="120"/>
        <w:ind w:left="426" w:hanging="426"/>
        <w:jc w:val="both"/>
        <w:rPr>
          <w:sz w:val="22"/>
          <w:szCs w:val="22"/>
        </w:rPr>
      </w:pPr>
      <w:r w:rsidRPr="00243B71">
        <w:rPr>
          <w:sz w:val="22"/>
          <w:szCs w:val="22"/>
        </w:rPr>
        <w:t xml:space="preserve">Participation is open to interested legal and natural persons – participating either individually or in a grouping (consortium) of candidates. </w:t>
      </w:r>
    </w:p>
    <w:p w14:paraId="022552D0" w14:textId="77777777" w:rsidR="00697DB0" w:rsidRPr="00243B71" w:rsidRDefault="00697DB0" w:rsidP="00EF2ABB">
      <w:pPr>
        <w:pStyle w:val="BodyText"/>
        <w:numPr>
          <w:ilvl w:val="0"/>
          <w:numId w:val="2"/>
        </w:numPr>
        <w:tabs>
          <w:tab w:val="clear" w:pos="570"/>
        </w:tabs>
        <w:spacing w:after="120"/>
        <w:ind w:left="426" w:hanging="426"/>
        <w:jc w:val="both"/>
        <w:rPr>
          <w:sz w:val="22"/>
          <w:szCs w:val="22"/>
        </w:rPr>
      </w:pPr>
      <w:r w:rsidRPr="00243B71">
        <w:rPr>
          <w:sz w:val="22"/>
          <w:szCs w:val="22"/>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p>
    <w:p w14:paraId="6CE6B10E" w14:textId="000FA42B" w:rsidR="003436FE" w:rsidRPr="00651945" w:rsidRDefault="003436FE" w:rsidP="00651945">
      <w:pPr>
        <w:pStyle w:val="BodyText"/>
        <w:numPr>
          <w:ilvl w:val="0"/>
          <w:numId w:val="2"/>
        </w:numPr>
        <w:tabs>
          <w:tab w:val="clear" w:pos="570"/>
        </w:tabs>
        <w:spacing w:after="120"/>
        <w:ind w:left="426" w:hanging="426"/>
        <w:jc w:val="both"/>
        <w:rPr>
          <w:b/>
          <w:sz w:val="22"/>
          <w:szCs w:val="22"/>
        </w:rPr>
      </w:pPr>
      <w:r w:rsidRPr="00243B71">
        <w:rPr>
          <w:sz w:val="22"/>
          <w:szCs w:val="22"/>
        </w:rPr>
        <w:t xml:space="preserve">Natural or legal persons are not entitled to participate in this tender procedure or be awarded a contract if </w:t>
      </w:r>
      <w:r w:rsidR="00FC00BE" w:rsidRPr="00243B71">
        <w:rPr>
          <w:sz w:val="22"/>
          <w:szCs w:val="22"/>
        </w:rPr>
        <w:t xml:space="preserve">they are in any of the situation mentioned in the Guide to Procurement for projects financed by the European Investment Bank, 5 July 2024 (available at </w:t>
      </w:r>
      <w:hyperlink r:id="rId9" w:history="1">
        <w:r w:rsidR="00FC00BE" w:rsidRPr="00243B71">
          <w:rPr>
            <w:rStyle w:val="Hyperlink"/>
            <w:sz w:val="22"/>
            <w:szCs w:val="22"/>
          </w:rPr>
          <w:t>https://www.eib.org/attachments/strategies/guide_to_procurement_en.pdf</w:t>
        </w:r>
      </w:hyperlink>
      <w:r w:rsidR="00FC00BE" w:rsidRPr="00243B71">
        <w:rPr>
          <w:sz w:val="22"/>
          <w:szCs w:val="22"/>
        </w:rPr>
        <w:t>), Section 1.4 (Ethical Conduct), Section 1.5 (Conflict of Interest), and Section 3.6 (Prohibited Conduct – Covenant of Integrity), and Anti-fraud policy of the European Investment Bank (</w:t>
      </w:r>
      <w:hyperlink r:id="rId10" w:history="1">
        <w:r w:rsidR="00FC00BE" w:rsidRPr="00243B71">
          <w:rPr>
            <w:rStyle w:val="Hyperlink"/>
            <w:sz w:val="22"/>
            <w:szCs w:val="22"/>
          </w:rPr>
          <w:t>http://www.eib.org/infocentre/publications/all/anti-fraud-policy.htm</w:t>
        </w:r>
      </w:hyperlink>
      <w:r w:rsidR="00FC00BE" w:rsidRPr="00243B71">
        <w:rPr>
          <w:sz w:val="22"/>
          <w:szCs w:val="22"/>
        </w:rPr>
        <w:t xml:space="preserve">). </w:t>
      </w:r>
    </w:p>
    <w:p w14:paraId="3917F080" w14:textId="77777777" w:rsidR="003436FE" w:rsidRPr="00243B71" w:rsidRDefault="003436FE" w:rsidP="00487714">
      <w:pPr>
        <w:pStyle w:val="BodyText"/>
        <w:numPr>
          <w:ilvl w:val="0"/>
          <w:numId w:val="2"/>
        </w:numPr>
        <w:tabs>
          <w:tab w:val="clear" w:pos="570"/>
        </w:tabs>
        <w:spacing w:after="120"/>
        <w:ind w:left="426" w:hanging="432"/>
        <w:jc w:val="both"/>
        <w:rPr>
          <w:sz w:val="22"/>
          <w:szCs w:val="22"/>
        </w:rPr>
      </w:pPr>
      <w:r w:rsidRPr="00243B71">
        <w:rPr>
          <w:sz w:val="22"/>
          <w:szCs w:val="22"/>
        </w:rPr>
        <w:t xml:space="preserve">Subcontracting is </w:t>
      </w:r>
      <w:r w:rsidR="00EC2DD9" w:rsidRPr="00243B71">
        <w:rPr>
          <w:sz w:val="22"/>
          <w:szCs w:val="22"/>
        </w:rPr>
        <w:t xml:space="preserve">allowed. </w:t>
      </w:r>
      <w:r w:rsidRPr="00243B71">
        <w:rPr>
          <w:sz w:val="22"/>
          <w:szCs w:val="22"/>
        </w:rPr>
        <w:t xml:space="preserve">If the tenderer intends to subcontract one or more parts of the contracted services, this must be clearly stated in the </w:t>
      </w:r>
      <w:r w:rsidR="000913E8" w:rsidRPr="00243B71">
        <w:rPr>
          <w:sz w:val="22"/>
          <w:szCs w:val="22"/>
        </w:rPr>
        <w:t xml:space="preserve">Organisation and Methodology and the </w:t>
      </w:r>
      <w:r w:rsidRPr="00243B71">
        <w:rPr>
          <w:sz w:val="22"/>
          <w:szCs w:val="22"/>
        </w:rPr>
        <w:t xml:space="preserve">Tender submission form. </w:t>
      </w:r>
    </w:p>
    <w:p w14:paraId="66724107" w14:textId="7E80A815" w:rsidR="007614D8" w:rsidRPr="00243B71" w:rsidRDefault="003436FE" w:rsidP="007614D8">
      <w:pPr>
        <w:pStyle w:val="BodyText"/>
        <w:numPr>
          <w:ilvl w:val="0"/>
          <w:numId w:val="2"/>
        </w:numPr>
        <w:tabs>
          <w:tab w:val="clear" w:pos="570"/>
        </w:tabs>
        <w:spacing w:after="120"/>
        <w:ind w:left="426" w:hanging="432"/>
        <w:jc w:val="both"/>
        <w:rPr>
          <w:sz w:val="22"/>
          <w:szCs w:val="22"/>
        </w:rPr>
      </w:pPr>
      <w:r w:rsidRPr="00243B71">
        <w:rPr>
          <w:sz w:val="22"/>
          <w:szCs w:val="22"/>
        </w:rPr>
        <w:t xml:space="preserve">Even if subcontracting is allowed, the </w:t>
      </w:r>
      <w:r w:rsidR="009F3459" w:rsidRPr="00243B71">
        <w:rPr>
          <w:sz w:val="22"/>
          <w:szCs w:val="22"/>
        </w:rPr>
        <w:t>tenderer</w:t>
      </w:r>
      <w:r w:rsidRPr="00243B71">
        <w:rPr>
          <w:sz w:val="22"/>
          <w:szCs w:val="22"/>
        </w:rPr>
        <w:t xml:space="preserve"> must intend to provide the majority of the services itself</w:t>
      </w:r>
      <w:r w:rsidR="00B74FE3" w:rsidRPr="00243B71">
        <w:rPr>
          <w:sz w:val="22"/>
          <w:szCs w:val="22"/>
        </w:rPr>
        <w:t xml:space="preserve"> </w:t>
      </w:r>
      <w:r w:rsidR="008716ED" w:rsidRPr="00243B71">
        <w:rPr>
          <w:sz w:val="22"/>
          <w:szCs w:val="22"/>
        </w:rPr>
        <w:t>except for</w:t>
      </w:r>
      <w:r w:rsidR="00B74FE3" w:rsidRPr="00243B71">
        <w:rPr>
          <w:sz w:val="22"/>
          <w:szCs w:val="22"/>
        </w:rPr>
        <w:t xml:space="preserve"> the tasks entrusted to experts either as natural persons or </w:t>
      </w:r>
      <w:r w:rsidR="0077724A" w:rsidRPr="00243B71">
        <w:rPr>
          <w:sz w:val="22"/>
          <w:szCs w:val="22"/>
        </w:rPr>
        <w:t>single-member</w:t>
      </w:r>
      <w:r w:rsidR="00B74FE3" w:rsidRPr="00243B71">
        <w:rPr>
          <w:sz w:val="22"/>
          <w:szCs w:val="22"/>
        </w:rPr>
        <w:t xml:space="preserve"> companies.</w:t>
      </w:r>
      <w:r w:rsidR="00852D3B" w:rsidRPr="00243B71">
        <w:rPr>
          <w:sz w:val="22"/>
          <w:szCs w:val="22"/>
        </w:rPr>
        <w:t xml:space="preserve"> In this respect, note that the individual experts recruited for the project as key or non-key experts are not regarded as sub-contractors.</w:t>
      </w:r>
      <w:r w:rsidRPr="00243B71">
        <w:rPr>
          <w:sz w:val="22"/>
          <w:szCs w:val="22"/>
        </w:rPr>
        <w:t xml:space="preserve"> </w:t>
      </w:r>
    </w:p>
    <w:p w14:paraId="4CEBFF80" w14:textId="2490FFD9" w:rsidR="005001F3" w:rsidRPr="00243B71" w:rsidRDefault="00FC00BE" w:rsidP="00487714">
      <w:pPr>
        <w:pStyle w:val="BodyText"/>
        <w:numPr>
          <w:ilvl w:val="0"/>
          <w:numId w:val="2"/>
        </w:numPr>
        <w:tabs>
          <w:tab w:val="clear" w:pos="570"/>
        </w:tabs>
        <w:spacing w:after="120"/>
        <w:ind w:left="426" w:hanging="432"/>
        <w:jc w:val="both"/>
        <w:rPr>
          <w:sz w:val="22"/>
          <w:szCs w:val="22"/>
        </w:rPr>
      </w:pPr>
      <w:r w:rsidRPr="00243B71">
        <w:rPr>
          <w:sz w:val="22"/>
          <w:szCs w:val="22"/>
        </w:rPr>
        <w:t>All subcontractors must be eligible for the contract. If the identity of the intended subcontractor is already known at the time of submitting the tender, the tenderer must furnish a statement guaranteeing the eligibility of the subcontractor. If any subcontractor identified in this way does not meet the eligibility criteria, the tender shall be rejected. If the identity of the subcontractor is not known at the time of submitting the tender, any subcontract must be awarded according to Article 4 of the general conditions of the contract. Subcontractors cannot be in any of the exclusion situations listed in the Guide to Procurement for projects financed by the European Investment Bank, 5 July 2024 (</w:t>
      </w:r>
      <w:hyperlink r:id="rId11" w:history="1">
        <w:r w:rsidRPr="00243B71">
          <w:rPr>
            <w:rStyle w:val="Hyperlink"/>
            <w:sz w:val="22"/>
            <w:szCs w:val="22"/>
          </w:rPr>
          <w:t>https://www.eib.org/attachments/strategies/guide_to_procurement_en.pdf</w:t>
        </w:r>
      </w:hyperlink>
      <w:r w:rsidRPr="00243B71">
        <w:rPr>
          <w:sz w:val="22"/>
          <w:szCs w:val="22"/>
        </w:rPr>
        <w:t xml:space="preserve">). </w:t>
      </w:r>
      <w:r w:rsidR="003436FE" w:rsidRPr="00243B71">
        <w:rPr>
          <w:sz w:val="22"/>
          <w:szCs w:val="22"/>
        </w:rPr>
        <w:t>Whenever requested by the Contracting Authority, the successful tenderer/</w:t>
      </w:r>
      <w:r w:rsidR="0004095E" w:rsidRPr="00243B71">
        <w:rPr>
          <w:sz w:val="22"/>
          <w:szCs w:val="22"/>
        </w:rPr>
        <w:t>contractor</w:t>
      </w:r>
      <w:r w:rsidR="003436FE" w:rsidRPr="00243B71">
        <w:rPr>
          <w:sz w:val="22"/>
          <w:szCs w:val="22"/>
        </w:rPr>
        <w:t xml:space="preserve"> shall submit a declaration from the intended subcontractor that it is not in one of the exclusion situations. In the event of doubt, the Contracting Authority shall request documentary evidence that the subcontractor is not in a situation of exclusion. </w:t>
      </w:r>
    </w:p>
    <w:p w14:paraId="14B5A4D3" w14:textId="77777777" w:rsidR="003436FE" w:rsidRPr="00243B71" w:rsidRDefault="003436FE" w:rsidP="002D7371">
      <w:pPr>
        <w:pStyle w:val="BodyText"/>
        <w:numPr>
          <w:ilvl w:val="0"/>
          <w:numId w:val="2"/>
        </w:numPr>
        <w:tabs>
          <w:tab w:val="clear" w:pos="570"/>
        </w:tabs>
        <w:spacing w:after="120"/>
        <w:ind w:left="426" w:hanging="432"/>
        <w:jc w:val="both"/>
        <w:rPr>
          <w:sz w:val="22"/>
          <w:szCs w:val="22"/>
        </w:rPr>
      </w:pPr>
      <w:r w:rsidRPr="00243B71">
        <w:rPr>
          <w:sz w:val="22"/>
          <w:szCs w:val="22"/>
        </w:rPr>
        <w:t>If the offer includes subcontracting, it is recommended that the contractual arrangements between the tenderer and its subcontractors include mediation, according to national and international practices, as a method of dispute resolution</w:t>
      </w:r>
      <w:r w:rsidR="007D5FE8" w:rsidRPr="00243B71">
        <w:rPr>
          <w:sz w:val="22"/>
          <w:szCs w:val="22"/>
        </w:rPr>
        <w:t>.</w:t>
      </w:r>
    </w:p>
    <w:p w14:paraId="46F252B2" w14:textId="77777777" w:rsidR="00EC2DD9" w:rsidRPr="00243B71" w:rsidRDefault="00EC2DD9" w:rsidP="00F03AB1">
      <w:pPr>
        <w:numPr>
          <w:ilvl w:val="0"/>
          <w:numId w:val="4"/>
        </w:numPr>
        <w:spacing w:before="240" w:after="120"/>
        <w:rPr>
          <w:b/>
          <w:bCs/>
          <w:kern w:val="32"/>
          <w:sz w:val="22"/>
          <w:szCs w:val="22"/>
        </w:rPr>
      </w:pPr>
      <w:r w:rsidRPr="00243B71">
        <w:rPr>
          <w:b/>
          <w:bCs/>
          <w:kern w:val="32"/>
          <w:sz w:val="22"/>
          <w:szCs w:val="22"/>
        </w:rPr>
        <w:t>Selection criteria</w:t>
      </w:r>
    </w:p>
    <w:p w14:paraId="64C0BBAF" w14:textId="11BF9DCF" w:rsidR="00EC2DD9" w:rsidRPr="00243B71" w:rsidRDefault="00EC2DD9" w:rsidP="00570E73">
      <w:pPr>
        <w:widowControl w:val="0"/>
        <w:spacing w:after="120"/>
        <w:ind w:right="-1"/>
        <w:jc w:val="both"/>
        <w:rPr>
          <w:snapToGrid w:val="0"/>
          <w:sz w:val="22"/>
          <w:szCs w:val="22"/>
          <w:lang w:eastAsia="en-US"/>
        </w:rPr>
      </w:pPr>
      <w:r w:rsidRPr="00243B71">
        <w:rPr>
          <w:snapToGrid w:val="0"/>
          <w:sz w:val="22"/>
          <w:szCs w:val="22"/>
          <w:lang w:eastAsia="en-US"/>
        </w:rPr>
        <w:t xml:space="preserve">The following selection criteria will be applied to tenderers. </w:t>
      </w:r>
      <w:r w:rsidR="00EB296B">
        <w:rPr>
          <w:snapToGrid w:val="0"/>
          <w:sz w:val="22"/>
          <w:szCs w:val="22"/>
          <w:lang w:eastAsia="en-US"/>
        </w:rPr>
        <w:t xml:space="preserve">In case the candidate is consortium the leader must meet 50% of the requirements while each member shall meet at least 25% of the requirements. </w:t>
      </w:r>
    </w:p>
    <w:p w14:paraId="50ED264E" w14:textId="631DC225" w:rsidR="00EC2DD9" w:rsidRPr="00243B71" w:rsidRDefault="00EC2DD9" w:rsidP="00570E73">
      <w:pPr>
        <w:widowControl w:val="0"/>
        <w:tabs>
          <w:tab w:val="left" w:pos="0"/>
        </w:tabs>
        <w:spacing w:after="120"/>
        <w:ind w:left="426" w:right="-1" w:hanging="426"/>
        <w:jc w:val="both"/>
        <w:rPr>
          <w:snapToGrid w:val="0"/>
          <w:sz w:val="22"/>
          <w:szCs w:val="22"/>
          <w:lang w:eastAsia="en-US"/>
        </w:rPr>
      </w:pPr>
      <w:r w:rsidRPr="00243B71">
        <w:rPr>
          <w:snapToGrid w:val="0"/>
          <w:sz w:val="22"/>
          <w:szCs w:val="22"/>
          <w:lang w:eastAsia="en-US"/>
        </w:rPr>
        <w:t>1)</w:t>
      </w:r>
      <w:r w:rsidRPr="00243B71">
        <w:rPr>
          <w:snapToGrid w:val="0"/>
          <w:sz w:val="22"/>
          <w:szCs w:val="22"/>
          <w:lang w:eastAsia="en-US"/>
        </w:rPr>
        <w:tab/>
      </w:r>
      <w:r w:rsidRPr="00243B71">
        <w:rPr>
          <w:b/>
          <w:snapToGrid w:val="0"/>
          <w:sz w:val="22"/>
          <w:szCs w:val="22"/>
          <w:u w:val="single"/>
          <w:lang w:eastAsia="en-US"/>
        </w:rPr>
        <w:t>Economic and financial capacity of tenderer</w:t>
      </w:r>
      <w:r w:rsidRPr="00243B71">
        <w:rPr>
          <w:snapToGrid w:val="0"/>
          <w:sz w:val="22"/>
          <w:szCs w:val="22"/>
          <w:lang w:eastAsia="en-US"/>
        </w:rPr>
        <w:t xml:space="preserve"> (based on item 3 of the tender submission form). In case the tenderer </w:t>
      </w:r>
      <w:r w:rsidRPr="00243B71">
        <w:rPr>
          <w:snapToGrid w:val="0"/>
          <w:sz w:val="22"/>
          <w:szCs w:val="22"/>
          <w:shd w:val="clear" w:color="auto" w:fill="FFFFFF"/>
          <w:lang w:eastAsia="en-US"/>
        </w:rPr>
        <w:t>(</w:t>
      </w:r>
      <w:r w:rsidRPr="00243B71">
        <w:rPr>
          <w:i/>
          <w:snapToGrid w:val="0"/>
          <w:sz w:val="22"/>
          <w:szCs w:val="22"/>
          <w:lang w:eastAsia="en-US"/>
        </w:rPr>
        <w:t>leader or any of the members of the consortium</w:t>
      </w:r>
      <w:r w:rsidRPr="00243B71">
        <w:rPr>
          <w:snapToGrid w:val="0"/>
          <w:sz w:val="22"/>
          <w:szCs w:val="22"/>
          <w:lang w:eastAsia="en-US"/>
        </w:rPr>
        <w:t xml:space="preserve">) is a public body, equivalent information should be provided. </w:t>
      </w:r>
    </w:p>
    <w:p w14:paraId="34E3503C" w14:textId="77777777" w:rsidR="00DC2F4A" w:rsidRPr="00243B71" w:rsidRDefault="00DC2F4A" w:rsidP="00570E73">
      <w:pPr>
        <w:widowControl w:val="0"/>
        <w:tabs>
          <w:tab w:val="left" w:pos="0"/>
        </w:tabs>
        <w:spacing w:after="120"/>
        <w:ind w:left="426" w:right="-1" w:hanging="426"/>
        <w:jc w:val="both"/>
        <w:rPr>
          <w:b/>
          <w:snapToGrid w:val="0"/>
          <w:sz w:val="22"/>
          <w:szCs w:val="22"/>
          <w:lang w:eastAsia="en-US"/>
        </w:rPr>
      </w:pPr>
      <w:r w:rsidRPr="00243B71">
        <w:rPr>
          <w:snapToGrid w:val="0"/>
          <w:sz w:val="22"/>
          <w:szCs w:val="22"/>
          <w:lang w:eastAsia="en-US"/>
        </w:rPr>
        <w:lastRenderedPageBreak/>
        <w:tab/>
      </w:r>
      <w:r w:rsidRPr="00243B71">
        <w:rPr>
          <w:b/>
          <w:snapToGrid w:val="0"/>
          <w:sz w:val="22"/>
          <w:szCs w:val="22"/>
          <w:lang w:eastAsia="en-US"/>
        </w:rPr>
        <w:t>Legal persons:</w:t>
      </w:r>
    </w:p>
    <w:p w14:paraId="0F89D5BB" w14:textId="23FA27ED" w:rsidR="002D7371" w:rsidRPr="00243B71" w:rsidRDefault="00250A0B" w:rsidP="00F03AB1">
      <w:pPr>
        <w:widowControl w:val="0"/>
        <w:numPr>
          <w:ilvl w:val="0"/>
          <w:numId w:val="14"/>
        </w:numPr>
        <w:tabs>
          <w:tab w:val="left" w:pos="851"/>
        </w:tabs>
        <w:spacing w:after="120"/>
        <w:ind w:left="851" w:right="-1" w:hanging="425"/>
        <w:jc w:val="both"/>
        <w:rPr>
          <w:i/>
          <w:snapToGrid w:val="0"/>
          <w:sz w:val="22"/>
          <w:szCs w:val="22"/>
          <w:lang w:eastAsia="en-US"/>
        </w:rPr>
      </w:pPr>
      <w:r w:rsidRPr="00243B71">
        <w:rPr>
          <w:snapToGrid w:val="0"/>
          <w:sz w:val="22"/>
          <w:szCs w:val="22"/>
          <w:lang w:eastAsia="en-US"/>
        </w:rPr>
        <w:t>The annual turnover (</w:t>
      </w:r>
      <w:r w:rsidRPr="00243B71">
        <w:rPr>
          <w:i/>
          <w:iCs/>
          <w:snapToGrid w:val="0"/>
          <w:sz w:val="22"/>
          <w:szCs w:val="22"/>
          <w:lang w:eastAsia="en-US"/>
        </w:rPr>
        <w:t>if the candidate is an individual legal entity</w:t>
      </w:r>
      <w:r w:rsidRPr="00243B71">
        <w:rPr>
          <w:snapToGrid w:val="0"/>
          <w:sz w:val="22"/>
          <w:szCs w:val="22"/>
          <w:lang w:eastAsia="en-US"/>
        </w:rPr>
        <w:t>) or the average annual turnover (</w:t>
      </w:r>
      <w:r w:rsidRPr="00243B71">
        <w:rPr>
          <w:i/>
          <w:iCs/>
          <w:snapToGrid w:val="0"/>
          <w:sz w:val="22"/>
          <w:szCs w:val="22"/>
          <w:lang w:eastAsia="en-US"/>
        </w:rPr>
        <w:t>if the candidate is a consortium</w:t>
      </w:r>
      <w:r w:rsidRPr="00243B71">
        <w:rPr>
          <w:snapToGrid w:val="0"/>
          <w:sz w:val="22"/>
          <w:szCs w:val="22"/>
          <w:lang w:eastAsia="en-US"/>
        </w:rPr>
        <w:t xml:space="preserve">) of the candidate must </w:t>
      </w:r>
      <w:r w:rsidR="003160C5" w:rsidRPr="00243B71">
        <w:rPr>
          <w:snapToGrid w:val="0"/>
          <w:sz w:val="22"/>
          <w:szCs w:val="22"/>
          <w:lang w:eastAsia="en-US"/>
        </w:rPr>
        <w:t>be at least EUR 1.</w:t>
      </w:r>
      <w:r w:rsidR="00B42FCC" w:rsidRPr="00243B71">
        <w:rPr>
          <w:snapToGrid w:val="0"/>
          <w:sz w:val="22"/>
          <w:szCs w:val="22"/>
          <w:lang w:eastAsia="en-US"/>
        </w:rPr>
        <w:t>0</w:t>
      </w:r>
      <w:r w:rsidR="003160C5" w:rsidRPr="00243B71">
        <w:rPr>
          <w:snapToGrid w:val="0"/>
          <w:sz w:val="22"/>
          <w:szCs w:val="22"/>
          <w:lang w:eastAsia="en-US"/>
        </w:rPr>
        <w:t xml:space="preserve">00.000  </w:t>
      </w:r>
      <w:r w:rsidRPr="00243B71">
        <w:rPr>
          <w:snapToGrid w:val="0"/>
          <w:sz w:val="22"/>
          <w:szCs w:val="22"/>
          <w:lang w:eastAsia="en-US"/>
        </w:rPr>
        <w:t xml:space="preserve"> for each of the last three years (202</w:t>
      </w:r>
      <w:r w:rsidR="003160C5" w:rsidRPr="00243B71">
        <w:rPr>
          <w:snapToGrid w:val="0"/>
          <w:sz w:val="22"/>
          <w:szCs w:val="22"/>
          <w:lang w:eastAsia="en-US"/>
        </w:rPr>
        <w:t>2</w:t>
      </w:r>
      <w:r w:rsidRPr="00243B71">
        <w:rPr>
          <w:snapToGrid w:val="0"/>
          <w:sz w:val="22"/>
          <w:szCs w:val="22"/>
          <w:lang w:eastAsia="en-US"/>
        </w:rPr>
        <w:t>, 202</w:t>
      </w:r>
      <w:r w:rsidR="003160C5" w:rsidRPr="00243B71">
        <w:rPr>
          <w:snapToGrid w:val="0"/>
          <w:sz w:val="22"/>
          <w:szCs w:val="22"/>
          <w:lang w:eastAsia="en-US"/>
        </w:rPr>
        <w:t>3</w:t>
      </w:r>
      <w:r w:rsidRPr="00243B71">
        <w:rPr>
          <w:snapToGrid w:val="0"/>
          <w:sz w:val="22"/>
          <w:szCs w:val="22"/>
          <w:lang w:eastAsia="en-US"/>
        </w:rPr>
        <w:t xml:space="preserve"> &amp; 20</w:t>
      </w:r>
      <w:r w:rsidR="003160C5" w:rsidRPr="00243B71">
        <w:rPr>
          <w:snapToGrid w:val="0"/>
          <w:sz w:val="22"/>
          <w:szCs w:val="22"/>
          <w:lang w:eastAsia="en-US"/>
        </w:rPr>
        <w:t>24</w:t>
      </w:r>
      <w:r w:rsidRPr="00243B71">
        <w:rPr>
          <w:snapToGrid w:val="0"/>
          <w:sz w:val="22"/>
          <w:szCs w:val="22"/>
          <w:lang w:eastAsia="en-US"/>
        </w:rPr>
        <w:t>) for which accounts have been closed.</w:t>
      </w:r>
    </w:p>
    <w:p w14:paraId="35D928CC" w14:textId="77777777" w:rsidR="00EC2DD9" w:rsidRPr="00243B71" w:rsidRDefault="00EC2DD9" w:rsidP="002D7371">
      <w:pPr>
        <w:widowControl w:val="0"/>
        <w:tabs>
          <w:tab w:val="left" w:pos="851"/>
        </w:tabs>
        <w:spacing w:after="120"/>
        <w:ind w:left="426" w:right="-1"/>
        <w:jc w:val="both"/>
        <w:rPr>
          <w:i/>
          <w:snapToGrid w:val="0"/>
          <w:sz w:val="22"/>
          <w:szCs w:val="22"/>
          <w:lang w:eastAsia="en-US"/>
        </w:rPr>
      </w:pPr>
      <w:r w:rsidRPr="00243B71">
        <w:rPr>
          <w:b/>
          <w:i/>
          <w:snapToGrid w:val="0"/>
          <w:sz w:val="22"/>
          <w:szCs w:val="22"/>
          <w:lang w:eastAsia="en-US"/>
        </w:rPr>
        <w:t>Note to tenderers:</w:t>
      </w:r>
      <w:r w:rsidRPr="00243B71">
        <w:rPr>
          <w:i/>
          <w:snapToGrid w:val="0"/>
          <w:sz w:val="22"/>
          <w:szCs w:val="22"/>
          <w:lang w:eastAsia="en-US"/>
        </w:rPr>
        <w:t xml:space="preserve"> In the tender form, please make sure to specify the actual financial year(s) for which the data is provided.</w:t>
      </w:r>
      <w:r w:rsidR="003D4D4A" w:rsidRPr="00243B71">
        <w:rPr>
          <w:i/>
          <w:snapToGrid w:val="0"/>
          <w:sz w:val="22"/>
          <w:szCs w:val="22"/>
          <w:lang w:eastAsia="en-US"/>
        </w:rPr>
        <w:t xml:space="preserve"> </w:t>
      </w:r>
    </w:p>
    <w:p w14:paraId="6850B8F8" w14:textId="77777777" w:rsidR="00EC2DD9" w:rsidRPr="00243B71" w:rsidRDefault="00EC2DD9" w:rsidP="00570E73">
      <w:pPr>
        <w:widowControl w:val="0"/>
        <w:spacing w:after="120"/>
        <w:ind w:left="426" w:right="-1" w:hanging="426"/>
        <w:jc w:val="both"/>
        <w:rPr>
          <w:snapToGrid w:val="0"/>
          <w:sz w:val="22"/>
          <w:szCs w:val="22"/>
          <w:lang w:eastAsia="en-US"/>
        </w:rPr>
      </w:pPr>
      <w:r w:rsidRPr="00243B71">
        <w:rPr>
          <w:snapToGrid w:val="0"/>
          <w:sz w:val="22"/>
          <w:szCs w:val="22"/>
          <w:lang w:eastAsia="en-US"/>
        </w:rPr>
        <w:t>2)</w:t>
      </w:r>
      <w:r w:rsidRPr="00243B71">
        <w:rPr>
          <w:snapToGrid w:val="0"/>
          <w:sz w:val="22"/>
          <w:szCs w:val="22"/>
          <w:lang w:eastAsia="en-US"/>
        </w:rPr>
        <w:tab/>
      </w:r>
      <w:r w:rsidRPr="00243B71">
        <w:rPr>
          <w:b/>
          <w:snapToGrid w:val="0"/>
          <w:sz w:val="22"/>
          <w:szCs w:val="22"/>
          <w:u w:val="single"/>
          <w:lang w:eastAsia="en-US"/>
        </w:rPr>
        <w:t>Professional capacity of tenderer</w:t>
      </w:r>
      <w:r w:rsidRPr="00243B71">
        <w:rPr>
          <w:snapToGrid w:val="0"/>
          <w:sz w:val="22"/>
          <w:szCs w:val="22"/>
          <w:lang w:eastAsia="en-US"/>
        </w:rPr>
        <w:t xml:space="preserve"> (based on items 4 and 5 of the tender </w:t>
      </w:r>
      <w:r w:rsidR="00147EE1" w:rsidRPr="00243B71">
        <w:rPr>
          <w:snapToGrid w:val="0"/>
          <w:sz w:val="22"/>
          <w:szCs w:val="22"/>
          <w:lang w:eastAsia="en-US"/>
        </w:rPr>
        <w:t xml:space="preserve">submission </w:t>
      </w:r>
      <w:r w:rsidRPr="00243B71">
        <w:rPr>
          <w:snapToGrid w:val="0"/>
          <w:sz w:val="22"/>
          <w:szCs w:val="22"/>
          <w:lang w:eastAsia="en-US"/>
        </w:rPr>
        <w:t>form)</w:t>
      </w:r>
    </w:p>
    <w:p w14:paraId="7BD4FE3F" w14:textId="77777777" w:rsidR="003D4D4A" w:rsidRPr="00243B71" w:rsidRDefault="003D4D4A" w:rsidP="00570E73">
      <w:pPr>
        <w:widowControl w:val="0"/>
        <w:spacing w:after="120"/>
        <w:ind w:left="426" w:right="-1"/>
        <w:jc w:val="both"/>
        <w:rPr>
          <w:snapToGrid w:val="0"/>
          <w:sz w:val="22"/>
          <w:szCs w:val="22"/>
          <w:lang w:eastAsia="en-US"/>
        </w:rPr>
      </w:pPr>
      <w:r w:rsidRPr="00243B71">
        <w:rPr>
          <w:snapToGrid w:val="0"/>
          <w:sz w:val="22"/>
          <w:szCs w:val="22"/>
          <w:lang w:eastAsia="en-US"/>
        </w:rPr>
        <w:t>The reference period which will be taken into account will be the last three years from submission deadline.</w:t>
      </w:r>
    </w:p>
    <w:p w14:paraId="352AB644" w14:textId="77777777" w:rsidR="00E90C55" w:rsidRPr="00243B71" w:rsidRDefault="003D4D4A" w:rsidP="00570E73">
      <w:pPr>
        <w:widowControl w:val="0"/>
        <w:spacing w:after="120"/>
        <w:ind w:right="-1" w:firstLine="426"/>
        <w:jc w:val="both"/>
        <w:rPr>
          <w:snapToGrid w:val="0"/>
          <w:sz w:val="22"/>
          <w:szCs w:val="22"/>
          <w:lang w:eastAsia="en-US"/>
        </w:rPr>
      </w:pPr>
      <w:r w:rsidRPr="00243B71">
        <w:rPr>
          <w:b/>
          <w:snapToGrid w:val="0"/>
          <w:sz w:val="22"/>
          <w:szCs w:val="22"/>
          <w:lang w:eastAsia="en-US"/>
        </w:rPr>
        <w:t>Legal persons:</w:t>
      </w:r>
    </w:p>
    <w:p w14:paraId="57230D66" w14:textId="10FE0233" w:rsidR="00250A0B" w:rsidRPr="00243B71" w:rsidRDefault="00250A0B" w:rsidP="00F03AB1">
      <w:pPr>
        <w:widowControl w:val="0"/>
        <w:numPr>
          <w:ilvl w:val="0"/>
          <w:numId w:val="19"/>
        </w:numPr>
        <w:tabs>
          <w:tab w:val="left" w:pos="851"/>
        </w:tabs>
        <w:spacing w:after="120"/>
        <w:ind w:right="-1"/>
        <w:jc w:val="both"/>
        <w:rPr>
          <w:snapToGrid w:val="0"/>
          <w:sz w:val="22"/>
          <w:szCs w:val="22"/>
          <w:lang w:eastAsia="en-US"/>
        </w:rPr>
      </w:pPr>
      <w:r w:rsidRPr="00243B71">
        <w:rPr>
          <w:snapToGrid w:val="0"/>
          <w:sz w:val="22"/>
          <w:szCs w:val="22"/>
          <w:lang w:eastAsia="en-US"/>
        </w:rPr>
        <w:t>The number of the permanent staff of the candidate (individual legal entity or consortium overall) currently working in fields related to this contract (</w:t>
      </w:r>
      <w:r w:rsidR="003160C5" w:rsidRPr="00243B71">
        <w:rPr>
          <w:snapToGrid w:val="0"/>
          <w:sz w:val="22"/>
          <w:szCs w:val="22"/>
          <w:lang w:eastAsia="en-US"/>
        </w:rPr>
        <w:t>transport infrastructure management</w:t>
      </w:r>
      <w:r w:rsidRPr="00243B71">
        <w:rPr>
          <w:snapToGrid w:val="0"/>
          <w:sz w:val="22"/>
          <w:szCs w:val="22"/>
          <w:lang w:eastAsia="en-US"/>
        </w:rPr>
        <w:t xml:space="preserve">), must be at least </w:t>
      </w:r>
      <w:r w:rsidR="00FC2476" w:rsidRPr="00243B71">
        <w:rPr>
          <w:snapToGrid w:val="0"/>
          <w:sz w:val="22"/>
          <w:szCs w:val="22"/>
          <w:lang w:eastAsia="en-US"/>
        </w:rPr>
        <w:t xml:space="preserve">5 </w:t>
      </w:r>
      <w:r w:rsidRPr="00243B71">
        <w:rPr>
          <w:snapToGrid w:val="0"/>
          <w:sz w:val="22"/>
          <w:szCs w:val="22"/>
          <w:lang w:eastAsia="en-US"/>
        </w:rPr>
        <w:t>for each of the last three (3) years (202</w:t>
      </w:r>
      <w:r w:rsidR="003160C5" w:rsidRPr="00243B71">
        <w:rPr>
          <w:snapToGrid w:val="0"/>
          <w:sz w:val="22"/>
          <w:szCs w:val="22"/>
          <w:lang w:eastAsia="en-US"/>
        </w:rPr>
        <w:t>2</w:t>
      </w:r>
      <w:r w:rsidRPr="00243B71">
        <w:rPr>
          <w:snapToGrid w:val="0"/>
          <w:sz w:val="22"/>
          <w:szCs w:val="22"/>
          <w:lang w:eastAsia="en-US"/>
        </w:rPr>
        <w:t>, 202</w:t>
      </w:r>
      <w:r w:rsidR="003160C5" w:rsidRPr="00243B71">
        <w:rPr>
          <w:snapToGrid w:val="0"/>
          <w:sz w:val="22"/>
          <w:szCs w:val="22"/>
          <w:lang w:eastAsia="en-US"/>
        </w:rPr>
        <w:t>3</w:t>
      </w:r>
      <w:r w:rsidRPr="00243B71">
        <w:rPr>
          <w:snapToGrid w:val="0"/>
          <w:sz w:val="22"/>
          <w:szCs w:val="22"/>
          <w:lang w:eastAsia="en-US"/>
        </w:rPr>
        <w:t xml:space="preserve"> &amp; 202</w:t>
      </w:r>
      <w:r w:rsidR="003160C5" w:rsidRPr="00243B71">
        <w:rPr>
          <w:snapToGrid w:val="0"/>
          <w:sz w:val="22"/>
          <w:szCs w:val="22"/>
          <w:lang w:eastAsia="en-US"/>
        </w:rPr>
        <w:t>4</w:t>
      </w:r>
      <w:r w:rsidRPr="00243B71">
        <w:rPr>
          <w:snapToGrid w:val="0"/>
          <w:sz w:val="22"/>
          <w:szCs w:val="22"/>
          <w:lang w:eastAsia="en-US"/>
        </w:rPr>
        <w:t xml:space="preserve">). </w:t>
      </w:r>
    </w:p>
    <w:p w14:paraId="3EF7A6A8" w14:textId="44366619" w:rsidR="00250A0B" w:rsidRPr="00243B71" w:rsidRDefault="00250A0B" w:rsidP="00FC2476">
      <w:pPr>
        <w:widowControl w:val="0"/>
        <w:numPr>
          <w:ilvl w:val="0"/>
          <w:numId w:val="19"/>
        </w:numPr>
        <w:tabs>
          <w:tab w:val="left" w:pos="851"/>
          <w:tab w:val="num" w:pos="1145"/>
        </w:tabs>
        <w:spacing w:after="120"/>
        <w:ind w:right="-1"/>
        <w:jc w:val="both"/>
        <w:rPr>
          <w:snapToGrid w:val="0"/>
          <w:sz w:val="22"/>
          <w:szCs w:val="22"/>
          <w:lang w:eastAsia="en-US"/>
        </w:rPr>
      </w:pPr>
      <w:r w:rsidRPr="00243B71">
        <w:rPr>
          <w:snapToGrid w:val="0"/>
          <w:sz w:val="22"/>
          <w:szCs w:val="22"/>
          <w:lang w:eastAsia="en-US"/>
        </w:rPr>
        <w:t>For each of the last three years (202</w:t>
      </w:r>
      <w:r w:rsidR="003160C5" w:rsidRPr="00243B71">
        <w:rPr>
          <w:snapToGrid w:val="0"/>
          <w:sz w:val="22"/>
          <w:szCs w:val="22"/>
          <w:lang w:eastAsia="en-US"/>
        </w:rPr>
        <w:t>2</w:t>
      </w:r>
      <w:r w:rsidRPr="00243B71">
        <w:rPr>
          <w:snapToGrid w:val="0"/>
          <w:sz w:val="22"/>
          <w:szCs w:val="22"/>
          <w:lang w:eastAsia="en-US"/>
        </w:rPr>
        <w:t>, 202</w:t>
      </w:r>
      <w:r w:rsidR="003160C5" w:rsidRPr="00243B71">
        <w:rPr>
          <w:snapToGrid w:val="0"/>
          <w:sz w:val="22"/>
          <w:szCs w:val="22"/>
          <w:lang w:eastAsia="en-US"/>
        </w:rPr>
        <w:t>3</w:t>
      </w:r>
      <w:r w:rsidRPr="00243B71">
        <w:rPr>
          <w:snapToGrid w:val="0"/>
          <w:sz w:val="22"/>
          <w:szCs w:val="22"/>
          <w:lang w:eastAsia="en-US"/>
        </w:rPr>
        <w:t xml:space="preserve"> &amp; 202</w:t>
      </w:r>
      <w:r w:rsidR="003160C5" w:rsidRPr="00243B71">
        <w:rPr>
          <w:snapToGrid w:val="0"/>
          <w:sz w:val="22"/>
          <w:szCs w:val="22"/>
          <w:lang w:eastAsia="en-US"/>
        </w:rPr>
        <w:t>4</w:t>
      </w:r>
      <w:r w:rsidRPr="00243B71">
        <w:rPr>
          <w:snapToGrid w:val="0"/>
          <w:sz w:val="22"/>
          <w:szCs w:val="22"/>
          <w:lang w:eastAsia="en-US"/>
        </w:rPr>
        <w:t xml:space="preserve">), at least </w:t>
      </w:r>
      <w:r w:rsidR="00FC2476" w:rsidRPr="00243B71">
        <w:rPr>
          <w:snapToGrid w:val="0"/>
          <w:sz w:val="22"/>
          <w:szCs w:val="22"/>
          <w:lang w:eastAsia="en-US"/>
        </w:rPr>
        <w:t>2</w:t>
      </w:r>
      <w:r w:rsidRPr="00243B71">
        <w:rPr>
          <w:snapToGrid w:val="0"/>
          <w:sz w:val="22"/>
          <w:szCs w:val="22"/>
          <w:lang w:eastAsia="en-US"/>
        </w:rPr>
        <w:t xml:space="preserve">0% of the overall number of staff of the candidate (individual legal entity or consortium overall) is permanent. </w:t>
      </w:r>
      <w:r w:rsidRPr="00243B71">
        <w:rPr>
          <w:b/>
          <w:bCs/>
          <w:snapToGrid w:val="0"/>
          <w:sz w:val="22"/>
          <w:szCs w:val="22"/>
          <w:lang w:eastAsia="en-US"/>
        </w:rPr>
        <w:t>Note to candidates:</w:t>
      </w:r>
      <w:r w:rsidRPr="00243B71">
        <w:rPr>
          <w:snapToGrid w:val="0"/>
          <w:sz w:val="22"/>
          <w:szCs w:val="22"/>
          <w:lang w:eastAsia="en-US"/>
        </w:rPr>
        <w:t xml:space="preserve"> In the application form, please make sure to include</w:t>
      </w:r>
      <w:r w:rsidRPr="00243B71">
        <w:rPr>
          <w:i/>
          <w:iCs/>
          <w:sz w:val="22"/>
          <w:szCs w:val="22"/>
        </w:rPr>
        <w:t xml:space="preserve"> the actual year for which the data is provided.</w:t>
      </w:r>
    </w:p>
    <w:p w14:paraId="6DACBC22" w14:textId="491FAE8F" w:rsidR="00E90C55" w:rsidRPr="00243B71" w:rsidRDefault="00EC2DD9" w:rsidP="00250A0B">
      <w:pPr>
        <w:widowControl w:val="0"/>
        <w:tabs>
          <w:tab w:val="left" w:pos="851"/>
        </w:tabs>
        <w:spacing w:after="120"/>
        <w:ind w:left="786" w:right="-1"/>
        <w:jc w:val="both"/>
        <w:rPr>
          <w:snapToGrid w:val="0"/>
          <w:sz w:val="22"/>
          <w:szCs w:val="22"/>
          <w:lang w:eastAsia="en-US"/>
        </w:rPr>
      </w:pPr>
      <w:r w:rsidRPr="00243B71">
        <w:rPr>
          <w:b/>
          <w:i/>
          <w:snapToGrid w:val="0"/>
          <w:sz w:val="22"/>
          <w:szCs w:val="22"/>
          <w:lang w:eastAsia="en-US"/>
        </w:rPr>
        <w:t>Note to tenderers:</w:t>
      </w:r>
      <w:r w:rsidRPr="00243B71">
        <w:rPr>
          <w:i/>
          <w:snapToGrid w:val="0"/>
          <w:sz w:val="22"/>
          <w:szCs w:val="22"/>
          <w:lang w:eastAsia="en-US"/>
        </w:rPr>
        <w:t xml:space="preserve"> In the </w:t>
      </w:r>
      <w:r w:rsidR="00FC2476" w:rsidRPr="00243B71">
        <w:rPr>
          <w:i/>
          <w:snapToGrid w:val="0"/>
          <w:sz w:val="22"/>
          <w:szCs w:val="22"/>
          <w:lang w:eastAsia="en-US"/>
        </w:rPr>
        <w:t>application</w:t>
      </w:r>
      <w:r w:rsidRPr="00243B71">
        <w:rPr>
          <w:i/>
          <w:snapToGrid w:val="0"/>
          <w:sz w:val="22"/>
          <w:szCs w:val="22"/>
          <w:lang w:eastAsia="en-US"/>
        </w:rPr>
        <w:t xml:space="preserve"> form, please make sure to specify the actual year for which the data is provided.</w:t>
      </w:r>
      <w:r w:rsidR="00E90C55" w:rsidRPr="00243B71">
        <w:rPr>
          <w:i/>
          <w:snapToGrid w:val="0"/>
          <w:sz w:val="22"/>
          <w:szCs w:val="22"/>
          <w:lang w:eastAsia="en-US"/>
        </w:rPr>
        <w:t xml:space="preserve"> </w:t>
      </w:r>
    </w:p>
    <w:p w14:paraId="4B53642B" w14:textId="04108FBD" w:rsidR="00FC2476" w:rsidRPr="00243B71" w:rsidRDefault="00EC2DD9" w:rsidP="00FC2476">
      <w:pPr>
        <w:widowControl w:val="0"/>
        <w:spacing w:after="120"/>
        <w:ind w:left="426" w:right="-1"/>
        <w:jc w:val="both"/>
        <w:rPr>
          <w:snapToGrid w:val="0"/>
          <w:sz w:val="22"/>
          <w:szCs w:val="22"/>
          <w:lang w:eastAsia="en-US"/>
        </w:rPr>
      </w:pPr>
      <w:r w:rsidRPr="00243B71">
        <w:rPr>
          <w:snapToGrid w:val="0"/>
          <w:sz w:val="22"/>
          <w:szCs w:val="22"/>
          <w:lang w:eastAsia="en-US"/>
        </w:rPr>
        <w:t>3)</w:t>
      </w:r>
      <w:r w:rsidRPr="00243B71">
        <w:rPr>
          <w:snapToGrid w:val="0"/>
          <w:sz w:val="22"/>
          <w:szCs w:val="22"/>
          <w:lang w:eastAsia="en-US"/>
        </w:rPr>
        <w:tab/>
      </w:r>
      <w:r w:rsidRPr="00243B71">
        <w:rPr>
          <w:b/>
          <w:snapToGrid w:val="0"/>
          <w:sz w:val="22"/>
          <w:szCs w:val="22"/>
          <w:u w:val="single"/>
          <w:lang w:eastAsia="en-US"/>
        </w:rPr>
        <w:t xml:space="preserve">Technical capacity of </w:t>
      </w:r>
      <w:r w:rsidR="00B236F5" w:rsidRPr="00243B71">
        <w:rPr>
          <w:b/>
          <w:snapToGrid w:val="0"/>
          <w:sz w:val="22"/>
          <w:szCs w:val="22"/>
          <w:u w:val="single"/>
          <w:lang w:eastAsia="en-US"/>
        </w:rPr>
        <w:t>tenderer</w:t>
      </w:r>
      <w:r w:rsidRPr="00243B71">
        <w:rPr>
          <w:snapToGrid w:val="0"/>
          <w:sz w:val="22"/>
          <w:szCs w:val="22"/>
          <w:lang w:eastAsia="en-US"/>
        </w:rPr>
        <w:t xml:space="preserve"> (based on items 5 and 6 of the tender </w:t>
      </w:r>
      <w:r w:rsidR="00147EE1" w:rsidRPr="00243B71">
        <w:rPr>
          <w:snapToGrid w:val="0"/>
          <w:sz w:val="22"/>
          <w:szCs w:val="22"/>
          <w:lang w:eastAsia="en-US"/>
        </w:rPr>
        <w:t xml:space="preserve">submission </w:t>
      </w:r>
      <w:r w:rsidRPr="00243B71">
        <w:rPr>
          <w:snapToGrid w:val="0"/>
          <w:sz w:val="22"/>
          <w:szCs w:val="22"/>
          <w:lang w:eastAsia="en-US"/>
        </w:rPr>
        <w:t>form</w:t>
      </w:r>
      <w:r w:rsidR="00AB1C71" w:rsidRPr="00243B71">
        <w:rPr>
          <w:snapToGrid w:val="0"/>
          <w:sz w:val="22"/>
          <w:szCs w:val="22"/>
          <w:lang w:eastAsia="en-US"/>
        </w:rPr>
        <w:t>). The</w:t>
      </w:r>
      <w:r w:rsidR="00B42FCC" w:rsidRPr="00243B71">
        <w:rPr>
          <w:snapToGrid w:val="0"/>
          <w:sz w:val="22"/>
          <w:szCs w:val="22"/>
          <w:lang w:eastAsia="en-US"/>
        </w:rPr>
        <w:t xml:space="preserve"> reference period which will be taken into account will be the last ten years</w:t>
      </w:r>
      <w:r w:rsidR="00FC2476" w:rsidRPr="00243B71">
        <w:rPr>
          <w:snapToGrid w:val="0"/>
          <w:sz w:val="22"/>
          <w:szCs w:val="22"/>
          <w:lang w:eastAsia="en-US"/>
        </w:rPr>
        <w:t xml:space="preserve"> </w:t>
      </w:r>
      <w:r w:rsidR="00B42FCC" w:rsidRPr="00243B71">
        <w:rPr>
          <w:snapToGrid w:val="0"/>
          <w:sz w:val="22"/>
          <w:szCs w:val="22"/>
          <w:lang w:eastAsia="en-US"/>
        </w:rPr>
        <w:t xml:space="preserve">from submission deadline. </w:t>
      </w:r>
    </w:p>
    <w:p w14:paraId="646D1232" w14:textId="46F1F511" w:rsidR="00FC2476" w:rsidRPr="00243B71" w:rsidRDefault="00FC2476" w:rsidP="00FC2476">
      <w:pPr>
        <w:widowControl w:val="0"/>
        <w:spacing w:after="120"/>
        <w:ind w:left="426" w:right="-1"/>
        <w:jc w:val="both"/>
        <w:rPr>
          <w:b/>
          <w:snapToGrid w:val="0"/>
          <w:sz w:val="22"/>
          <w:szCs w:val="22"/>
          <w:lang w:eastAsia="en-US"/>
        </w:rPr>
      </w:pPr>
      <w:r w:rsidRPr="00243B71">
        <w:rPr>
          <w:b/>
          <w:snapToGrid w:val="0"/>
          <w:sz w:val="22"/>
          <w:szCs w:val="22"/>
          <w:lang w:eastAsia="en-US"/>
        </w:rPr>
        <w:t>Legal persons:</w:t>
      </w:r>
    </w:p>
    <w:p w14:paraId="37C6E4F0" w14:textId="02DBC2B1" w:rsidR="00E90C55" w:rsidRPr="00243B71" w:rsidRDefault="00B42FCC" w:rsidP="00FC2476">
      <w:pPr>
        <w:widowControl w:val="0"/>
        <w:spacing w:after="120"/>
        <w:ind w:left="426" w:right="-1"/>
        <w:jc w:val="both"/>
        <w:rPr>
          <w:snapToGrid w:val="0"/>
          <w:sz w:val="22"/>
          <w:szCs w:val="22"/>
          <w:lang w:eastAsia="en-US"/>
        </w:rPr>
      </w:pPr>
      <w:r w:rsidRPr="00243B71">
        <w:rPr>
          <w:snapToGrid w:val="0"/>
          <w:sz w:val="22"/>
          <w:szCs w:val="22"/>
          <w:lang w:eastAsia="en-US"/>
        </w:rPr>
        <w:t xml:space="preserve">The candidate </w:t>
      </w:r>
      <w:r w:rsidRPr="00243B71">
        <w:rPr>
          <w:sz w:val="22"/>
          <w:szCs w:val="22"/>
        </w:rPr>
        <w:t>(</w:t>
      </w:r>
      <w:r w:rsidRPr="00243B71">
        <w:rPr>
          <w:i/>
          <w:sz w:val="22"/>
          <w:szCs w:val="22"/>
        </w:rPr>
        <w:t>individual legal entity or consortium altogether</w:t>
      </w:r>
      <w:r w:rsidRPr="00243B71">
        <w:rPr>
          <w:sz w:val="22"/>
          <w:szCs w:val="22"/>
        </w:rPr>
        <w:t xml:space="preserve">) </w:t>
      </w:r>
      <w:r w:rsidRPr="00243B71">
        <w:rPr>
          <w:snapToGrid w:val="0"/>
          <w:sz w:val="22"/>
          <w:szCs w:val="22"/>
          <w:lang w:eastAsia="en-US"/>
        </w:rPr>
        <w:t xml:space="preserve">has successfully completed, with final payment made or completion certificate issued by the client at any time between January 1, 2015 up to the deadline of submission of applications as indicated under 23 below, either alone, as leader of a consortium, or as a member of a consortium with a minimum </w:t>
      </w:r>
      <w:r w:rsidRPr="00F84B7A">
        <w:rPr>
          <w:snapToGrid w:val="0"/>
          <w:sz w:val="22"/>
          <w:szCs w:val="22"/>
          <w:lang w:eastAsia="en-US"/>
        </w:rPr>
        <w:t xml:space="preserve">participation of 50% of the </w:t>
      </w:r>
      <w:proofErr w:type="gramStart"/>
      <w:r w:rsidRPr="00F84B7A">
        <w:rPr>
          <w:snapToGrid w:val="0"/>
          <w:sz w:val="22"/>
          <w:szCs w:val="22"/>
          <w:lang w:eastAsia="en-US"/>
        </w:rPr>
        <w:t>project</w:t>
      </w:r>
      <w:r w:rsidR="00D47524" w:rsidRPr="00F84B7A">
        <w:rPr>
          <w:snapToGrid w:val="0"/>
          <w:sz w:val="22"/>
          <w:szCs w:val="22"/>
          <w:lang w:eastAsia="en-US"/>
        </w:rPr>
        <w:t xml:space="preserve">s </w:t>
      </w:r>
      <w:r w:rsidRPr="00F84B7A">
        <w:rPr>
          <w:snapToGrid w:val="0"/>
          <w:sz w:val="22"/>
          <w:szCs w:val="22"/>
          <w:lang w:eastAsia="en-US"/>
        </w:rPr>
        <w:t xml:space="preserve"> brought</w:t>
      </w:r>
      <w:proofErr w:type="gramEnd"/>
      <w:r w:rsidRPr="00F84B7A">
        <w:rPr>
          <w:snapToGrid w:val="0"/>
          <w:sz w:val="22"/>
          <w:szCs w:val="22"/>
          <w:lang w:eastAsia="en-US"/>
        </w:rPr>
        <w:t xml:space="preserve"> as reference</w:t>
      </w:r>
      <w:r w:rsidR="00D47524" w:rsidRPr="00F84B7A">
        <w:rPr>
          <w:snapToGrid w:val="0"/>
          <w:sz w:val="22"/>
          <w:szCs w:val="22"/>
          <w:lang w:eastAsia="en-US"/>
        </w:rPr>
        <w:t xml:space="preserve">. </w:t>
      </w:r>
      <w:r w:rsidR="00D47524" w:rsidRPr="00061CFC">
        <w:rPr>
          <w:snapToGrid w:val="0"/>
          <w:sz w:val="22"/>
          <w:szCs w:val="22"/>
          <w:lang w:eastAsia="en-US"/>
        </w:rPr>
        <w:t>Completion means that the contract the tenderer refers to could have been started/implemented/completed at any time during the indicated period, but it does not necessarily have to be started during that period, nor implemented within the entire period”.</w:t>
      </w:r>
      <w:r w:rsidR="009A03D0" w:rsidRPr="00F84B7A">
        <w:rPr>
          <w:snapToGrid w:val="0"/>
          <w:sz w:val="22"/>
          <w:szCs w:val="22"/>
          <w:lang w:eastAsia="en-US"/>
        </w:rPr>
        <w:t xml:space="preserve"> . If a tenderer refers to amounts originally stated in a currency other than the one required, the source and date of the exchange rate used must be provided. The reference projects are:</w:t>
      </w:r>
    </w:p>
    <w:p w14:paraId="64F1E049" w14:textId="3D6D1032" w:rsidR="006654D6" w:rsidRPr="00243B71" w:rsidRDefault="001D4F4C" w:rsidP="006654D6">
      <w:pPr>
        <w:widowControl w:val="0"/>
        <w:tabs>
          <w:tab w:val="left" w:pos="993"/>
        </w:tabs>
        <w:spacing w:after="120"/>
        <w:ind w:left="993" w:right="-1" w:hanging="567"/>
        <w:jc w:val="both"/>
        <w:rPr>
          <w:sz w:val="22"/>
          <w:szCs w:val="22"/>
        </w:rPr>
      </w:pPr>
      <w:r w:rsidRPr="00243B71">
        <w:rPr>
          <w:sz w:val="22"/>
          <w:szCs w:val="22"/>
        </w:rPr>
        <w:t>(a)</w:t>
      </w:r>
      <w:r w:rsidRPr="00243B71">
        <w:rPr>
          <w:sz w:val="22"/>
          <w:szCs w:val="22"/>
        </w:rPr>
        <w:tab/>
      </w:r>
      <w:r w:rsidR="00B42FCC" w:rsidRPr="00243B71">
        <w:rPr>
          <w:bCs/>
          <w:sz w:val="22"/>
          <w:szCs w:val="22"/>
        </w:rPr>
        <w:t>A</w:t>
      </w:r>
      <w:r w:rsidR="006654D6" w:rsidRPr="00243B71">
        <w:rPr>
          <w:bCs/>
          <w:sz w:val="22"/>
          <w:szCs w:val="22"/>
        </w:rPr>
        <w:t xml:space="preserve">t least </w:t>
      </w:r>
      <w:r w:rsidR="003160C5" w:rsidRPr="00243B71">
        <w:rPr>
          <w:bCs/>
          <w:sz w:val="22"/>
          <w:szCs w:val="22"/>
        </w:rPr>
        <w:t xml:space="preserve">two </w:t>
      </w:r>
      <w:r w:rsidR="006654D6" w:rsidRPr="00243B71">
        <w:rPr>
          <w:bCs/>
          <w:sz w:val="22"/>
          <w:szCs w:val="22"/>
        </w:rPr>
        <w:t>(</w:t>
      </w:r>
      <w:r w:rsidR="003160C5" w:rsidRPr="00243B71">
        <w:rPr>
          <w:bCs/>
          <w:sz w:val="22"/>
          <w:szCs w:val="22"/>
        </w:rPr>
        <w:t>2</w:t>
      </w:r>
      <w:r w:rsidR="006654D6" w:rsidRPr="00243B71">
        <w:rPr>
          <w:bCs/>
          <w:sz w:val="22"/>
          <w:szCs w:val="22"/>
        </w:rPr>
        <w:t>) proje</w:t>
      </w:r>
      <w:r w:rsidR="00391E31">
        <w:rPr>
          <w:bCs/>
          <w:sz w:val="22"/>
          <w:szCs w:val="22"/>
        </w:rPr>
        <w:t>cts</w:t>
      </w:r>
      <w:r w:rsidR="006654D6" w:rsidRPr="00243B71">
        <w:rPr>
          <w:sz w:val="22"/>
          <w:szCs w:val="22"/>
        </w:rPr>
        <w:t xml:space="preserve"> </w:t>
      </w:r>
      <w:r w:rsidR="003160C5" w:rsidRPr="00243B71">
        <w:rPr>
          <w:sz w:val="22"/>
          <w:szCs w:val="22"/>
        </w:rPr>
        <w:t>of a minimum value of EUR 1.</w:t>
      </w:r>
      <w:r w:rsidR="0017343C" w:rsidRPr="00243B71">
        <w:rPr>
          <w:sz w:val="22"/>
          <w:szCs w:val="22"/>
        </w:rPr>
        <w:t>5</w:t>
      </w:r>
      <w:r w:rsidR="003160C5" w:rsidRPr="00243B71">
        <w:rPr>
          <w:sz w:val="22"/>
          <w:szCs w:val="22"/>
        </w:rPr>
        <w:t xml:space="preserve">00.000. </w:t>
      </w:r>
      <w:proofErr w:type="gramStart"/>
      <w:r w:rsidR="0017343C" w:rsidRPr="00243B71">
        <w:rPr>
          <w:sz w:val="22"/>
          <w:szCs w:val="22"/>
        </w:rPr>
        <w:t>equivalent</w:t>
      </w:r>
      <w:proofErr w:type="gramEnd"/>
      <w:r w:rsidR="0017343C" w:rsidRPr="00243B71">
        <w:rPr>
          <w:sz w:val="22"/>
          <w:szCs w:val="22"/>
        </w:rPr>
        <w:t xml:space="preserve">, with activities related to infrastructure investment management, </w:t>
      </w:r>
      <w:r w:rsidR="00AB1C71" w:rsidRPr="00243B71">
        <w:rPr>
          <w:sz w:val="22"/>
          <w:szCs w:val="22"/>
        </w:rPr>
        <w:t>covering preparation</w:t>
      </w:r>
      <w:r w:rsidR="0017343C" w:rsidRPr="00243B71">
        <w:rPr>
          <w:sz w:val="22"/>
          <w:szCs w:val="22"/>
        </w:rPr>
        <w:t xml:space="preserve">, planning, procurement and contract management activities. </w:t>
      </w:r>
    </w:p>
    <w:p w14:paraId="3517EC6E" w14:textId="1284C5C5" w:rsidR="0017343C" w:rsidRPr="00243B71" w:rsidRDefault="006654D6" w:rsidP="0017343C">
      <w:pPr>
        <w:widowControl w:val="0"/>
        <w:tabs>
          <w:tab w:val="left" w:pos="993"/>
        </w:tabs>
        <w:spacing w:after="120"/>
        <w:ind w:left="993" w:right="-1" w:hanging="567"/>
        <w:jc w:val="both"/>
        <w:rPr>
          <w:sz w:val="22"/>
          <w:szCs w:val="22"/>
        </w:rPr>
      </w:pPr>
      <w:r w:rsidRPr="00243B71">
        <w:rPr>
          <w:sz w:val="22"/>
          <w:szCs w:val="22"/>
        </w:rPr>
        <w:t>(b)</w:t>
      </w:r>
      <w:r w:rsidRPr="00243B71">
        <w:rPr>
          <w:sz w:val="22"/>
          <w:szCs w:val="22"/>
        </w:rPr>
        <w:tab/>
      </w:r>
      <w:r w:rsidR="0017343C" w:rsidRPr="00243B71">
        <w:rPr>
          <w:sz w:val="22"/>
          <w:szCs w:val="22"/>
        </w:rPr>
        <w:t>At least</w:t>
      </w:r>
      <w:r w:rsidR="00862EA2">
        <w:rPr>
          <w:sz w:val="22"/>
          <w:szCs w:val="22"/>
        </w:rPr>
        <w:t xml:space="preserve"> two</w:t>
      </w:r>
      <w:r w:rsidR="0017343C" w:rsidRPr="00243B71">
        <w:rPr>
          <w:sz w:val="22"/>
          <w:szCs w:val="22"/>
        </w:rPr>
        <w:t xml:space="preserve"> </w:t>
      </w:r>
      <w:r w:rsidR="00862EA2">
        <w:rPr>
          <w:sz w:val="22"/>
          <w:szCs w:val="22"/>
        </w:rPr>
        <w:t>(</w:t>
      </w:r>
      <w:r w:rsidR="0017343C" w:rsidRPr="00243B71">
        <w:rPr>
          <w:sz w:val="22"/>
          <w:szCs w:val="22"/>
        </w:rPr>
        <w:t>2</w:t>
      </w:r>
      <w:r w:rsidR="00862EA2">
        <w:rPr>
          <w:sz w:val="22"/>
          <w:szCs w:val="22"/>
        </w:rPr>
        <w:t>)</w:t>
      </w:r>
      <w:r w:rsidR="0017343C" w:rsidRPr="00243B71">
        <w:rPr>
          <w:sz w:val="22"/>
          <w:szCs w:val="22"/>
        </w:rPr>
        <w:t xml:space="preserve"> projects of a minimum value of EUR 500.000 equivalent, with activities related to inland waterways infrastructures feasibility studies</w:t>
      </w:r>
      <w:r w:rsidR="007216D0">
        <w:rPr>
          <w:sz w:val="22"/>
          <w:szCs w:val="22"/>
        </w:rPr>
        <w:t xml:space="preserve"> and/or</w:t>
      </w:r>
      <w:r w:rsidR="0017343C" w:rsidRPr="00243B71">
        <w:rPr>
          <w:sz w:val="22"/>
          <w:szCs w:val="22"/>
        </w:rPr>
        <w:t xml:space="preserve"> design</w:t>
      </w:r>
      <w:r w:rsidR="007216D0">
        <w:rPr>
          <w:sz w:val="22"/>
          <w:szCs w:val="22"/>
        </w:rPr>
        <w:t xml:space="preserve"> and/or</w:t>
      </w:r>
      <w:r w:rsidR="0017343C" w:rsidRPr="00243B71">
        <w:rPr>
          <w:sz w:val="22"/>
          <w:szCs w:val="22"/>
        </w:rPr>
        <w:t xml:space="preserve"> management support and/or works supervision</w:t>
      </w:r>
      <w:r w:rsidR="007216D0">
        <w:rPr>
          <w:sz w:val="22"/>
          <w:szCs w:val="22"/>
        </w:rPr>
        <w:t>.</w:t>
      </w:r>
    </w:p>
    <w:p w14:paraId="7F397FBF" w14:textId="0F24A296" w:rsidR="00590369" w:rsidRPr="00243B71" w:rsidRDefault="00590369" w:rsidP="006654D6">
      <w:pPr>
        <w:pStyle w:val="Blockquote"/>
        <w:spacing w:before="0" w:after="120"/>
        <w:ind w:left="426" w:right="26"/>
        <w:jc w:val="both"/>
        <w:rPr>
          <w:b/>
          <w:i/>
          <w:sz w:val="22"/>
          <w:szCs w:val="22"/>
          <w:lang w:val="en-GB"/>
        </w:rPr>
      </w:pPr>
      <w:r w:rsidRPr="00243B71">
        <w:rPr>
          <w:b/>
          <w:i/>
          <w:sz w:val="22"/>
          <w:szCs w:val="22"/>
          <w:lang w:val="en-GB"/>
        </w:rPr>
        <w:t>Please note that the number of references to be provided must not exceed 15 references.</w:t>
      </w:r>
    </w:p>
    <w:p w14:paraId="03F2CF15" w14:textId="77777777" w:rsidR="00B42FCC" w:rsidRPr="00243B71" w:rsidRDefault="00B42FCC" w:rsidP="006654D6">
      <w:pPr>
        <w:widowControl w:val="0"/>
        <w:spacing w:after="120"/>
        <w:ind w:left="426" w:right="-1"/>
        <w:jc w:val="both"/>
        <w:rPr>
          <w:snapToGrid w:val="0"/>
          <w:sz w:val="22"/>
          <w:szCs w:val="22"/>
          <w:lang w:eastAsia="en-US"/>
        </w:rPr>
      </w:pPr>
      <w:r w:rsidRPr="00243B71">
        <w:rPr>
          <w:snapToGrid w:val="0"/>
          <w:sz w:val="22"/>
          <w:szCs w:val="22"/>
          <w:lang w:eastAsia="en-US"/>
        </w:rPr>
        <w:t>A single reference may be used to fulfil one or more criteria.</w:t>
      </w:r>
    </w:p>
    <w:p w14:paraId="150606F3" w14:textId="7E3DEDFC" w:rsidR="006654D6" w:rsidRPr="00243B71" w:rsidRDefault="006654D6" w:rsidP="006654D6">
      <w:pPr>
        <w:widowControl w:val="0"/>
        <w:spacing w:after="120"/>
        <w:ind w:left="426" w:right="-1"/>
        <w:jc w:val="both"/>
        <w:rPr>
          <w:snapToGrid w:val="0"/>
          <w:sz w:val="22"/>
          <w:szCs w:val="22"/>
          <w:lang w:eastAsia="en-US"/>
        </w:rPr>
      </w:pPr>
      <w:r w:rsidRPr="00243B71">
        <w:rPr>
          <w:snapToGrid w:val="0"/>
          <w:sz w:val="22"/>
          <w:szCs w:val="22"/>
          <w:lang w:eastAsia="en-US"/>
        </w:rPr>
        <w:t>Previous experience which caused breach of contract and termination by a Contracting Authority shall not be used as reference</w:t>
      </w:r>
    </w:p>
    <w:p w14:paraId="234551C0" w14:textId="77777777" w:rsidR="006654D6" w:rsidRPr="00243B71" w:rsidRDefault="006654D6" w:rsidP="006654D6">
      <w:pPr>
        <w:widowControl w:val="0"/>
        <w:spacing w:after="120"/>
        <w:ind w:left="426" w:right="-1"/>
        <w:jc w:val="both"/>
        <w:rPr>
          <w:snapToGrid w:val="0"/>
          <w:sz w:val="22"/>
          <w:szCs w:val="22"/>
          <w:lang w:eastAsia="en-US"/>
        </w:rPr>
      </w:pPr>
      <w:r w:rsidRPr="00243B71">
        <w:rPr>
          <w:snapToGrid w:val="0"/>
          <w:sz w:val="22"/>
          <w:szCs w:val="22"/>
          <w:lang w:eastAsia="en-US"/>
        </w:rPr>
        <w:t xml:space="preserve">With regard to criteria relating to economic and financial standing and to criteria relating to technical and professional ability, an economic operator could, where appropriate and for a particular contract, rely on the capacities of another entity of the same group as the tenderer. </w:t>
      </w:r>
    </w:p>
    <w:p w14:paraId="355DF271" w14:textId="350C7910" w:rsidR="006654D6" w:rsidRPr="00243B71" w:rsidRDefault="006654D6" w:rsidP="006654D6">
      <w:pPr>
        <w:widowControl w:val="0"/>
        <w:spacing w:after="120"/>
        <w:ind w:left="426" w:right="-1"/>
        <w:jc w:val="both"/>
        <w:rPr>
          <w:snapToGrid w:val="0"/>
          <w:sz w:val="22"/>
          <w:szCs w:val="22"/>
          <w:lang w:eastAsia="en-US"/>
        </w:rPr>
      </w:pPr>
      <w:r w:rsidRPr="00243B71">
        <w:rPr>
          <w:snapToGrid w:val="0"/>
          <w:sz w:val="22"/>
          <w:szCs w:val="22"/>
          <w:lang w:eastAsia="en-US"/>
        </w:rPr>
        <w:t xml:space="preserve">If the tenderer relies on the capacities of other entities (the same group) it must, in that case, prove to the Contracting Authority that it will have at its disposal the resources necessary for </w:t>
      </w:r>
      <w:r w:rsidRPr="00243B71">
        <w:rPr>
          <w:snapToGrid w:val="0"/>
          <w:sz w:val="22"/>
          <w:szCs w:val="22"/>
          <w:lang w:eastAsia="en-US"/>
        </w:rPr>
        <w:lastRenderedPageBreak/>
        <w:t>performance of the contract, for example by producing a commitment (refer to the letter of undertaking model - Part C) on the part of those entities to place those resources at its disposal. Such entities, for instance the parent company of the economic operator, must respect the same rules of eligibility - notably that of nationality – and must fulfil the same relevant selection criteria as the economic operator. The contracting authority shall verify whether there are grounds for exclusion. The contracting authority shall require that the economic operator replaces an entity which does not meet a relevant selection criterion, or in respect of which there are compulsory grounds for exclusion. The contracting authority may require that the economic operator substitutes an entity in respect of which there are non-compulsory grounds for exclusion. 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liable for the execution of the contract.</w:t>
      </w:r>
    </w:p>
    <w:p w14:paraId="568EED97" w14:textId="77777777" w:rsidR="00EC2DD9" w:rsidRPr="00243B71" w:rsidRDefault="00EC2DD9" w:rsidP="00F03AB1">
      <w:pPr>
        <w:numPr>
          <w:ilvl w:val="0"/>
          <w:numId w:val="4"/>
        </w:numPr>
        <w:tabs>
          <w:tab w:val="num" w:pos="720"/>
        </w:tabs>
        <w:spacing w:before="240" w:after="120"/>
        <w:outlineLvl w:val="0"/>
        <w:rPr>
          <w:b/>
          <w:bCs/>
          <w:kern w:val="32"/>
          <w:sz w:val="22"/>
          <w:szCs w:val="22"/>
        </w:rPr>
      </w:pPr>
      <w:r w:rsidRPr="00243B71">
        <w:rPr>
          <w:b/>
          <w:bCs/>
          <w:kern w:val="32"/>
          <w:sz w:val="22"/>
          <w:szCs w:val="22"/>
        </w:rPr>
        <w:t>Award criteria</w:t>
      </w:r>
    </w:p>
    <w:p w14:paraId="443D9964" w14:textId="77777777" w:rsidR="00EC2DD9" w:rsidRPr="00243B71" w:rsidRDefault="001D4F4C" w:rsidP="00570E73">
      <w:pPr>
        <w:widowControl w:val="0"/>
        <w:ind w:right="357"/>
        <w:jc w:val="both"/>
        <w:rPr>
          <w:snapToGrid w:val="0"/>
          <w:sz w:val="22"/>
          <w:szCs w:val="22"/>
          <w:lang w:eastAsia="en-US"/>
        </w:rPr>
      </w:pPr>
      <w:r w:rsidRPr="00243B71">
        <w:rPr>
          <w:snapToGrid w:val="0"/>
          <w:sz w:val="22"/>
          <w:szCs w:val="22"/>
          <w:lang w:eastAsia="en-US"/>
        </w:rPr>
        <w:t>Best price-quality ratio.</w:t>
      </w:r>
      <w:r w:rsidR="00EC2DD9" w:rsidRPr="00243B71">
        <w:rPr>
          <w:snapToGrid w:val="0"/>
          <w:sz w:val="22"/>
          <w:szCs w:val="22"/>
          <w:lang w:eastAsia="en-US"/>
        </w:rPr>
        <w:t xml:space="preserve"> </w:t>
      </w:r>
    </w:p>
    <w:p w14:paraId="0A325B83" w14:textId="77777777" w:rsidR="003436FE" w:rsidRPr="00243B71" w:rsidRDefault="003436FE" w:rsidP="00F03AB1">
      <w:pPr>
        <w:widowControl w:val="0"/>
        <w:numPr>
          <w:ilvl w:val="0"/>
          <w:numId w:val="4"/>
        </w:numPr>
        <w:spacing w:before="240" w:after="120"/>
        <w:jc w:val="both"/>
        <w:rPr>
          <w:b/>
          <w:sz w:val="22"/>
          <w:szCs w:val="22"/>
        </w:rPr>
      </w:pPr>
      <w:r w:rsidRPr="00243B71">
        <w:rPr>
          <w:b/>
          <w:sz w:val="22"/>
          <w:szCs w:val="22"/>
        </w:rPr>
        <w:t>Content of tenders</w:t>
      </w:r>
    </w:p>
    <w:p w14:paraId="48ED5D52" w14:textId="77777777" w:rsidR="003436FE" w:rsidRPr="00243B71" w:rsidRDefault="003436FE" w:rsidP="00570E73">
      <w:pPr>
        <w:pStyle w:val="Heading2"/>
        <w:keepNext w:val="0"/>
        <w:widowControl w:val="0"/>
        <w:tabs>
          <w:tab w:val="clear" w:pos="426"/>
        </w:tabs>
        <w:spacing w:after="120"/>
        <w:jc w:val="both"/>
        <w:rPr>
          <w:sz w:val="22"/>
          <w:szCs w:val="22"/>
          <w:lang w:val="en-GB"/>
        </w:rPr>
      </w:pPr>
      <w:r w:rsidRPr="00243B71">
        <w:rPr>
          <w:sz w:val="22"/>
          <w:szCs w:val="22"/>
          <w:lang w:val="en-GB"/>
        </w:rPr>
        <w:t>Offers, all correspondence and documents related to the tender exchanged by the tenderer and the Contracting Authority must be written in English.</w:t>
      </w:r>
    </w:p>
    <w:p w14:paraId="5521FD7C" w14:textId="77777777" w:rsidR="003436FE" w:rsidRPr="00243B71" w:rsidRDefault="003436FE" w:rsidP="00570E73">
      <w:pPr>
        <w:pStyle w:val="Heading2"/>
        <w:keepNext w:val="0"/>
        <w:widowControl w:val="0"/>
        <w:tabs>
          <w:tab w:val="clear" w:pos="426"/>
        </w:tabs>
        <w:spacing w:after="120"/>
        <w:jc w:val="both"/>
        <w:rPr>
          <w:sz w:val="22"/>
          <w:szCs w:val="22"/>
          <w:lang w:val="en-GB"/>
        </w:rPr>
      </w:pPr>
      <w:r w:rsidRPr="00243B71">
        <w:rPr>
          <w:sz w:val="22"/>
          <w:szCs w:val="22"/>
          <w:lang w:val="en-GB"/>
        </w:rPr>
        <w:t xml:space="preserve">Supporting documents and printed literature furnished by the tenderer may be in another language, provided they are </w:t>
      </w:r>
      <w:r w:rsidRPr="00243B71">
        <w:rPr>
          <w:b/>
          <w:sz w:val="22"/>
          <w:szCs w:val="22"/>
          <w:lang w:val="en-GB"/>
        </w:rPr>
        <w:t>accompanied by a translation into the language of the procedure</w:t>
      </w:r>
      <w:r w:rsidRPr="00243B71">
        <w:rPr>
          <w:sz w:val="22"/>
          <w:szCs w:val="22"/>
          <w:lang w:val="en-GB"/>
        </w:rPr>
        <w:t xml:space="preserve">. For the purposes of interpreting the tender, the language of the procedure has precedence. </w:t>
      </w:r>
    </w:p>
    <w:p w14:paraId="14067111" w14:textId="729E5B85" w:rsidR="003436FE" w:rsidRPr="00243B71" w:rsidRDefault="003436FE" w:rsidP="00570E73">
      <w:pPr>
        <w:widowControl w:val="0"/>
        <w:spacing w:after="120"/>
        <w:jc w:val="both"/>
        <w:rPr>
          <w:sz w:val="22"/>
          <w:szCs w:val="22"/>
        </w:rPr>
      </w:pPr>
      <w:r w:rsidRPr="00243B71">
        <w:rPr>
          <w:sz w:val="22"/>
          <w:szCs w:val="22"/>
        </w:rPr>
        <w:t xml:space="preserve">The </w:t>
      </w:r>
      <w:r w:rsidRPr="00243B71">
        <w:rPr>
          <w:b/>
          <w:sz w:val="22"/>
          <w:szCs w:val="22"/>
        </w:rPr>
        <w:t>tender must comprise a Technical offer and a Financial offer</w:t>
      </w:r>
      <w:r w:rsidRPr="00243B71">
        <w:rPr>
          <w:sz w:val="22"/>
          <w:szCs w:val="22"/>
        </w:rPr>
        <w:t xml:space="preserve">, which must be </w:t>
      </w:r>
      <w:r w:rsidRPr="00243B71">
        <w:rPr>
          <w:b/>
          <w:sz w:val="22"/>
          <w:szCs w:val="22"/>
        </w:rPr>
        <w:t>submitted in separate</w:t>
      </w:r>
      <w:r w:rsidR="008F153D" w:rsidRPr="00243B71">
        <w:rPr>
          <w:b/>
          <w:sz w:val="22"/>
          <w:szCs w:val="22"/>
        </w:rPr>
        <w:t xml:space="preserve"> </w:t>
      </w:r>
      <w:r w:rsidR="00FC2476" w:rsidRPr="00243B71">
        <w:rPr>
          <w:b/>
          <w:sz w:val="22"/>
          <w:szCs w:val="22"/>
        </w:rPr>
        <w:t>envelopes</w:t>
      </w:r>
      <w:r w:rsidR="00A90D58" w:rsidRPr="00243B71">
        <w:rPr>
          <w:b/>
          <w:sz w:val="22"/>
          <w:szCs w:val="22"/>
        </w:rPr>
        <w:t xml:space="preserve"> </w:t>
      </w:r>
      <w:r w:rsidR="00A90D58" w:rsidRPr="00243B71">
        <w:rPr>
          <w:sz w:val="22"/>
          <w:szCs w:val="22"/>
        </w:rPr>
        <w:t>(see item 11 below)</w:t>
      </w:r>
      <w:r w:rsidR="008F153D" w:rsidRPr="00243B71">
        <w:rPr>
          <w:sz w:val="22"/>
          <w:szCs w:val="22"/>
        </w:rPr>
        <w:t>.</w:t>
      </w:r>
      <w:r w:rsidRPr="00243B71">
        <w:rPr>
          <w:sz w:val="22"/>
          <w:szCs w:val="22"/>
        </w:rPr>
        <w:t xml:space="preserve"> Failure to fulfil the requirements in clauses </w:t>
      </w:r>
      <w:r w:rsidR="00BD2A62" w:rsidRPr="00243B71">
        <w:rPr>
          <w:sz w:val="22"/>
          <w:szCs w:val="22"/>
        </w:rPr>
        <w:t>7</w:t>
      </w:r>
      <w:r w:rsidR="00A95F3C" w:rsidRPr="00243B71">
        <w:rPr>
          <w:sz w:val="22"/>
          <w:szCs w:val="22"/>
        </w:rPr>
        <w:t xml:space="preserve">.1, </w:t>
      </w:r>
      <w:r w:rsidR="00BD2A62" w:rsidRPr="00243B71">
        <w:rPr>
          <w:sz w:val="22"/>
          <w:szCs w:val="22"/>
        </w:rPr>
        <w:t>7</w:t>
      </w:r>
      <w:r w:rsidRPr="00243B71">
        <w:rPr>
          <w:sz w:val="22"/>
          <w:szCs w:val="22"/>
        </w:rPr>
        <w:t xml:space="preserve">.2 and </w:t>
      </w:r>
      <w:r w:rsidR="00A95F3C" w:rsidRPr="00243B71">
        <w:rPr>
          <w:sz w:val="22"/>
          <w:szCs w:val="22"/>
        </w:rPr>
        <w:t>1</w:t>
      </w:r>
      <w:r w:rsidR="00BD2A62" w:rsidRPr="00243B71">
        <w:rPr>
          <w:sz w:val="22"/>
          <w:szCs w:val="22"/>
        </w:rPr>
        <w:t>1</w:t>
      </w:r>
      <w:r w:rsidRPr="00243B71">
        <w:rPr>
          <w:sz w:val="22"/>
          <w:szCs w:val="22"/>
        </w:rPr>
        <w:t xml:space="preserve"> will constitute </w:t>
      </w:r>
      <w:r w:rsidR="00CB5402" w:rsidRPr="00243B71">
        <w:rPr>
          <w:sz w:val="22"/>
          <w:szCs w:val="22"/>
        </w:rPr>
        <w:t>an irregularity</w:t>
      </w:r>
      <w:r w:rsidRPr="00243B71">
        <w:rPr>
          <w:sz w:val="22"/>
          <w:szCs w:val="22"/>
        </w:rPr>
        <w:t xml:space="preserve"> and may result in rejection of the tender.</w:t>
      </w:r>
    </w:p>
    <w:p w14:paraId="7B7A205D" w14:textId="7E43C554" w:rsidR="00F24F72" w:rsidRPr="00243B71" w:rsidRDefault="00C03394" w:rsidP="00F24F72">
      <w:pPr>
        <w:spacing w:after="120"/>
        <w:jc w:val="both"/>
        <w:rPr>
          <w:sz w:val="22"/>
          <w:szCs w:val="22"/>
        </w:rPr>
      </w:pPr>
      <w:r w:rsidRPr="00243B71">
        <w:rPr>
          <w:sz w:val="22"/>
          <w:szCs w:val="22"/>
        </w:rPr>
        <w:t>The content of the technical offer should be structured as follows:</w:t>
      </w:r>
    </w:p>
    <w:p w14:paraId="17388F2B" w14:textId="4D51AC48" w:rsidR="00F24F72" w:rsidRPr="00D80AD6" w:rsidRDefault="00F24F72" w:rsidP="00F03AB1">
      <w:pPr>
        <w:numPr>
          <w:ilvl w:val="0"/>
          <w:numId w:val="18"/>
        </w:numPr>
        <w:spacing w:after="60"/>
        <w:jc w:val="both"/>
        <w:rPr>
          <w:sz w:val="22"/>
          <w:szCs w:val="22"/>
        </w:rPr>
      </w:pPr>
      <w:r w:rsidRPr="00243B71">
        <w:rPr>
          <w:sz w:val="22"/>
          <w:szCs w:val="22"/>
        </w:rPr>
        <w:t>Administrative documents: Tender Submission Form including declarations and statement of exclusivity and availability;</w:t>
      </w:r>
      <w:r w:rsidR="009A03D0">
        <w:rPr>
          <w:sz w:val="22"/>
          <w:szCs w:val="22"/>
        </w:rPr>
        <w:t xml:space="preserve"> Covenant of Integrity, Social and Environmental Covenant, </w:t>
      </w:r>
      <w:r w:rsidR="009A03D0" w:rsidRPr="00243B71">
        <w:rPr>
          <w:sz w:val="22"/>
          <w:szCs w:val="22"/>
        </w:rPr>
        <w:t>Legal</w:t>
      </w:r>
      <w:r w:rsidRPr="00243B71">
        <w:rPr>
          <w:sz w:val="22"/>
          <w:szCs w:val="22"/>
        </w:rPr>
        <w:t xml:space="preserve"> entity file; Power of Attorney etc</w:t>
      </w:r>
      <w:r w:rsidR="009A03D0">
        <w:rPr>
          <w:sz w:val="22"/>
          <w:szCs w:val="22"/>
        </w:rPr>
        <w:t xml:space="preserve">. IMPORTANT: </w:t>
      </w:r>
      <w:r w:rsidR="006526C8">
        <w:rPr>
          <w:i/>
          <w:iCs/>
          <w:sz w:val="22"/>
          <w:szCs w:val="22"/>
        </w:rPr>
        <w:t>“I</w:t>
      </w:r>
      <w:r w:rsidR="009A03D0">
        <w:rPr>
          <w:i/>
          <w:iCs/>
          <w:sz w:val="22"/>
          <w:szCs w:val="22"/>
        </w:rPr>
        <w:t xml:space="preserve">t should be noted that, in the Covenant of Integrity, the tenderer is requested to self-declare all sanctions and/or exclusions (including any similar decision having the effect of imposing condition on the tenderer or its subsidiaries or to exclude </w:t>
      </w:r>
      <w:r w:rsidR="006526C8">
        <w:rPr>
          <w:i/>
          <w:iCs/>
          <w:sz w:val="22"/>
          <w:szCs w:val="22"/>
        </w:rPr>
        <w:t xml:space="preserve">the said </w:t>
      </w:r>
      <w:proofErr w:type="spellStart"/>
      <w:r w:rsidR="006526C8">
        <w:rPr>
          <w:i/>
          <w:iCs/>
          <w:sz w:val="22"/>
          <w:szCs w:val="22"/>
        </w:rPr>
        <w:t>tenerer</w:t>
      </w:r>
      <w:proofErr w:type="spellEnd"/>
      <w:r w:rsidR="006526C8">
        <w:rPr>
          <w:i/>
          <w:iCs/>
          <w:sz w:val="22"/>
          <w:szCs w:val="22"/>
        </w:rPr>
        <w:t xml:space="preserve"> or its subsidiaries, such as temporary suspension, conditional non-exclusion, </w:t>
      </w:r>
      <w:proofErr w:type="spellStart"/>
      <w:r w:rsidR="006526C8">
        <w:rPr>
          <w:i/>
          <w:iCs/>
          <w:sz w:val="22"/>
          <w:szCs w:val="22"/>
        </w:rPr>
        <w:t>etc</w:t>
      </w:r>
      <w:proofErr w:type="spellEnd"/>
      <w:r w:rsidR="006526C8">
        <w:rPr>
          <w:i/>
          <w:iCs/>
          <w:sz w:val="22"/>
          <w:szCs w:val="22"/>
        </w:rPr>
        <w:t xml:space="preserve">) imposed by the European institutions or any multilateral development banks (including the World Bank Group, the </w:t>
      </w:r>
      <w:proofErr w:type="spellStart"/>
      <w:r w:rsidR="006526C8">
        <w:rPr>
          <w:i/>
          <w:iCs/>
          <w:sz w:val="22"/>
          <w:szCs w:val="22"/>
        </w:rPr>
        <w:t>Aftican</w:t>
      </w:r>
      <w:proofErr w:type="spellEnd"/>
      <w:r w:rsidR="006526C8">
        <w:rPr>
          <w:i/>
          <w:iCs/>
          <w:sz w:val="22"/>
          <w:szCs w:val="22"/>
        </w:rPr>
        <w:t xml:space="preserve"> Development Bank, the Asian Development Bank, the European Bank for Reconstruction and Development, European Investment Bank or Inter-American Development Bank), regardless of the date of issue and the expiration or not of such decision and of the current status of any sanction and/or exclusion. In this regard, any omission or misinterpretation, made knowingly or recklessly, may be considered as fraud under the EIB Anti-Fraud Policy. Therefore, the </w:t>
      </w:r>
      <w:proofErr w:type="spellStart"/>
      <w:r w:rsidR="006526C8">
        <w:rPr>
          <w:i/>
          <w:iCs/>
          <w:sz w:val="22"/>
          <w:szCs w:val="22"/>
        </w:rPr>
        <w:t>Clinet</w:t>
      </w:r>
      <w:proofErr w:type="spellEnd"/>
      <w:r w:rsidR="006526C8">
        <w:rPr>
          <w:i/>
          <w:iCs/>
          <w:sz w:val="22"/>
          <w:szCs w:val="22"/>
        </w:rPr>
        <w:t xml:space="preserve"> reserves the right to reject any offer presenting an inaccurate or incomplete Covenant of Integrity and may cause the rejection of the offer for prohibited conduct.” </w:t>
      </w:r>
      <w:r w:rsidR="0083186F">
        <w:rPr>
          <w:i/>
          <w:iCs/>
          <w:sz w:val="22"/>
          <w:szCs w:val="22"/>
        </w:rPr>
        <w:t xml:space="preserve">IMPORTANT: “It should be noted that, in the Covenant of Integrity, the tenderer is requested to self-declare on its </w:t>
      </w:r>
      <w:proofErr w:type="spellStart"/>
      <w:r w:rsidR="0083186F">
        <w:rPr>
          <w:i/>
          <w:iCs/>
          <w:sz w:val="22"/>
          <w:szCs w:val="22"/>
        </w:rPr>
        <w:t>belhaf</w:t>
      </w:r>
      <w:proofErr w:type="spellEnd"/>
      <w:r w:rsidR="0083186F">
        <w:rPr>
          <w:i/>
          <w:iCs/>
          <w:sz w:val="22"/>
          <w:szCs w:val="22"/>
        </w:rPr>
        <w:t xml:space="preserve"> and on behalf of its joint </w:t>
      </w:r>
      <w:proofErr w:type="spellStart"/>
      <w:r w:rsidR="0083186F">
        <w:rPr>
          <w:i/>
          <w:iCs/>
          <w:sz w:val="22"/>
          <w:szCs w:val="22"/>
        </w:rPr>
        <w:t>ventyre</w:t>
      </w:r>
      <w:proofErr w:type="spellEnd"/>
      <w:r w:rsidR="0083186F">
        <w:rPr>
          <w:i/>
          <w:iCs/>
          <w:sz w:val="22"/>
          <w:szCs w:val="22"/>
        </w:rPr>
        <w:t xml:space="preserve"> partners, if any, that neither the tenderer not anyone, including any of its directors, employees, agents or subcontractors for the Contract, acting on its behalf with due authority or with its knowledge or consent or facilitated by it, not any of its parent, subsidiary or affiliate companies are subject to any of the instances detailed in the Covenant of Integrity: (</w:t>
      </w:r>
      <w:proofErr w:type="spellStart"/>
      <w:r w:rsidR="0083186F">
        <w:rPr>
          <w:i/>
          <w:iCs/>
          <w:sz w:val="22"/>
          <w:szCs w:val="22"/>
        </w:rPr>
        <w:t>i</w:t>
      </w:r>
      <w:proofErr w:type="spellEnd"/>
      <w:r w:rsidR="0083186F">
        <w:rPr>
          <w:i/>
          <w:iCs/>
          <w:sz w:val="22"/>
          <w:szCs w:val="22"/>
        </w:rPr>
        <w:t xml:space="preserve">) any Prohibited Conduct in connection with the tendering process and the commitment that neither the Bidder not the Associated Entities and Persons will engage in such Prohibited Conduct during the execution of the Contract. Prohibited Conduct includes corruption, fraud, collusion, coercion, obstruction, theft at EIB Group premises, misuse of EIB Group resources or assets, money laundering or </w:t>
      </w:r>
      <w:r w:rsidR="0083186F">
        <w:rPr>
          <w:i/>
          <w:iCs/>
          <w:sz w:val="22"/>
          <w:szCs w:val="22"/>
        </w:rPr>
        <w:lastRenderedPageBreak/>
        <w:t xml:space="preserve">financing of terrorism, all as defined in the EIB </w:t>
      </w:r>
      <w:r w:rsidR="00D80AD6">
        <w:rPr>
          <w:i/>
          <w:iCs/>
          <w:sz w:val="22"/>
          <w:szCs w:val="22"/>
        </w:rPr>
        <w:t>Group</w:t>
      </w:r>
      <w:r w:rsidR="0083186F">
        <w:rPr>
          <w:i/>
          <w:iCs/>
          <w:sz w:val="22"/>
          <w:szCs w:val="22"/>
        </w:rPr>
        <w:t xml:space="preserve"> Anti-Fraud Policy, available at </w:t>
      </w:r>
      <w:hyperlink r:id="rId12" w:history="1">
        <w:r w:rsidR="0083186F" w:rsidRPr="000F3F86">
          <w:rPr>
            <w:rStyle w:val="Hyperlink"/>
            <w:i/>
            <w:iCs/>
            <w:sz w:val="22"/>
            <w:szCs w:val="22"/>
          </w:rPr>
          <w:t>https://www.eib.org/en/publications/anti-fraud-policy</w:t>
        </w:r>
      </w:hyperlink>
      <w:r w:rsidR="0083186F">
        <w:rPr>
          <w:i/>
          <w:iCs/>
          <w:sz w:val="22"/>
          <w:szCs w:val="22"/>
        </w:rPr>
        <w:t xml:space="preserve"> and as </w:t>
      </w:r>
      <w:r w:rsidR="00D80AD6">
        <w:rPr>
          <w:i/>
          <w:iCs/>
          <w:sz w:val="22"/>
          <w:szCs w:val="22"/>
        </w:rPr>
        <w:t xml:space="preserve">amended from time to time. </w:t>
      </w:r>
      <w:r w:rsidR="00D80AD6" w:rsidRPr="00D80AD6">
        <w:rPr>
          <w:i/>
          <w:iCs/>
          <w:sz w:val="22"/>
          <w:szCs w:val="22"/>
        </w:rPr>
        <w:t xml:space="preserve">(ii) EU/United Nations </w:t>
      </w:r>
      <w:proofErr w:type="gramStart"/>
      <w:r w:rsidR="00D80AD6" w:rsidRPr="00061CFC">
        <w:rPr>
          <w:i/>
          <w:iCs/>
          <w:sz w:val="22"/>
          <w:szCs w:val="22"/>
        </w:rPr>
        <w:t>sanctions :</w:t>
      </w:r>
      <w:proofErr w:type="gramEnd"/>
      <w:r w:rsidR="00D80AD6" w:rsidRPr="00D80AD6">
        <w:rPr>
          <w:i/>
          <w:iCs/>
          <w:sz w:val="22"/>
          <w:szCs w:val="22"/>
        </w:rPr>
        <w:t xml:space="preserve"> EU sanctions or restrictive measures</w:t>
      </w:r>
      <w:r w:rsidR="00D80AD6" w:rsidRPr="00061CFC">
        <w:rPr>
          <w:i/>
          <w:iCs/>
          <w:sz w:val="22"/>
          <w:szCs w:val="22"/>
        </w:rPr>
        <w:t xml:space="preserve"> pursuant to Chapter 2 of Title V of the EU T</w:t>
      </w:r>
      <w:r w:rsidR="00D80AD6">
        <w:rPr>
          <w:i/>
          <w:iCs/>
          <w:sz w:val="22"/>
          <w:szCs w:val="22"/>
        </w:rPr>
        <w:t xml:space="preserve">reaty and the objectives of the Common Foreign and Security Policy set out in Article 21 of the EU  Treaty and Article 215 of the Treaty on the Functions of the EU, either autonomously or pursuant to the sanctions decided by the United Nations Security Council on the basis of Article 41 of the United Nations Charter. (iii) Any exclusion by the European Investment Bank; (iv) Any conviction in any court or any sanction (including a fine or any other financial penalty, irrespective of whether paid yet or not) by any authority (irrespective of whether such conviction or sanction is still in force) of any offence on grounds comparable to Prohibited Conduct in connection with a tendering process or any provision of works, goods or services, during the 5 (five) years immediately preceding the date of this Covenant; (v) Any exclusion or enforcement actions or sanction (including any decision having an effect similar to conditional non-exclusion, temporary suspension, letters of reprimand, or self-restraint) by the EU institutions or bodies, or any multilateral development bank, on grounds comparable to Prohibited Conduct, or have been under such exclusion, enforcement action or sanction the effectiveness of which ceased no more than 5 (five) years immediately preceding the date of this Covenant. Multilateral development bank includes the World Bank Group, the African Development Bank, the Asian Development Bank, the European Bank for Reconstruction and Development, the European Investment Bank and the Inter-American Development Bank. </w:t>
      </w:r>
      <w:r w:rsidR="00887DB2">
        <w:rPr>
          <w:i/>
          <w:iCs/>
          <w:sz w:val="22"/>
          <w:szCs w:val="22"/>
        </w:rPr>
        <w:t>If applicable, the bidder shall provide the details of all convictions, exclusions or other sanctions, exclusion/sanctions proceedings, and/or enforcement actions, listed above under paragraphs (</w:t>
      </w:r>
      <w:proofErr w:type="spellStart"/>
      <w:r w:rsidR="00887DB2">
        <w:rPr>
          <w:i/>
          <w:iCs/>
          <w:sz w:val="22"/>
          <w:szCs w:val="22"/>
        </w:rPr>
        <w:t>i</w:t>
      </w:r>
      <w:proofErr w:type="spellEnd"/>
      <w:r w:rsidR="00887DB2">
        <w:rPr>
          <w:i/>
          <w:iCs/>
          <w:sz w:val="22"/>
          <w:szCs w:val="22"/>
        </w:rPr>
        <w:t xml:space="preserve">) to (v), in respect of the bidder or any of its directors, employees, agents or subcontractors for the Contract, acting on its behalf with due authority or with its knowledge or consent or facilitated by it, together with details of the measures taken, or to be taken, to ensure that no Prohibited Conduct is committed in connection with the tendering process or with the execution of the Contract. In this regard, any omission or misrepresentation, made knowingly or recklessly, may be considered as fraud under the EIB Anti-Fraud Policy. Therefore, the Client/Employer reserves the right to reject any offer presenting an inaccurate or incomplete Covenant of Integrity and may cause the rejection of the offer for prohibited conduct.”  </w:t>
      </w:r>
    </w:p>
    <w:p w14:paraId="6FD91001" w14:textId="77777777" w:rsidR="00F24F72" w:rsidRPr="00243B71" w:rsidRDefault="00F24F72" w:rsidP="00F03AB1">
      <w:pPr>
        <w:numPr>
          <w:ilvl w:val="0"/>
          <w:numId w:val="18"/>
        </w:numPr>
        <w:spacing w:after="60"/>
        <w:jc w:val="both"/>
        <w:rPr>
          <w:sz w:val="22"/>
          <w:szCs w:val="22"/>
        </w:rPr>
      </w:pPr>
      <w:r w:rsidRPr="00243B71">
        <w:rPr>
          <w:sz w:val="22"/>
          <w:szCs w:val="22"/>
        </w:rPr>
        <w:t>Organisation and methodology,</w:t>
      </w:r>
    </w:p>
    <w:p w14:paraId="7547D6B8" w14:textId="77777777" w:rsidR="00F24F72" w:rsidRPr="00243B71" w:rsidRDefault="00F24F72" w:rsidP="00F03AB1">
      <w:pPr>
        <w:numPr>
          <w:ilvl w:val="0"/>
          <w:numId w:val="18"/>
        </w:numPr>
        <w:spacing w:after="60"/>
        <w:jc w:val="both"/>
        <w:rPr>
          <w:sz w:val="22"/>
          <w:szCs w:val="22"/>
        </w:rPr>
      </w:pPr>
      <w:r w:rsidRPr="00243B71">
        <w:rPr>
          <w:sz w:val="22"/>
          <w:szCs w:val="22"/>
        </w:rPr>
        <w:t>CVs,</w:t>
      </w:r>
    </w:p>
    <w:p w14:paraId="60054176" w14:textId="77777777" w:rsidR="00F24F72" w:rsidRPr="00243B71" w:rsidRDefault="00F24F72" w:rsidP="00F03AB1">
      <w:pPr>
        <w:numPr>
          <w:ilvl w:val="0"/>
          <w:numId w:val="18"/>
        </w:numPr>
        <w:spacing w:after="120"/>
        <w:jc w:val="both"/>
        <w:rPr>
          <w:sz w:val="22"/>
          <w:szCs w:val="22"/>
        </w:rPr>
      </w:pPr>
      <w:r w:rsidRPr="00243B71">
        <w:rPr>
          <w:sz w:val="22"/>
          <w:szCs w:val="22"/>
        </w:rPr>
        <w:t>Supporting documents for the CVs (diplomas and employer certificates or references).</w:t>
      </w:r>
    </w:p>
    <w:p w14:paraId="44AD2602" w14:textId="77777777" w:rsidR="00F24F72" w:rsidRPr="00243B71" w:rsidRDefault="00F24F72" w:rsidP="00570E73">
      <w:pPr>
        <w:widowControl w:val="0"/>
        <w:spacing w:after="120"/>
        <w:ind w:left="567" w:hanging="567"/>
        <w:jc w:val="both"/>
        <w:rPr>
          <w:b/>
          <w:sz w:val="22"/>
          <w:szCs w:val="22"/>
        </w:rPr>
      </w:pPr>
    </w:p>
    <w:p w14:paraId="4197E1E9" w14:textId="77777777" w:rsidR="003436FE" w:rsidRPr="00243B71" w:rsidRDefault="00BD2A62" w:rsidP="00570E73">
      <w:pPr>
        <w:widowControl w:val="0"/>
        <w:spacing w:after="120"/>
        <w:ind w:left="567" w:hanging="567"/>
        <w:jc w:val="both"/>
        <w:rPr>
          <w:b/>
          <w:sz w:val="22"/>
          <w:szCs w:val="22"/>
        </w:rPr>
      </w:pPr>
      <w:r w:rsidRPr="00243B71">
        <w:rPr>
          <w:b/>
          <w:sz w:val="22"/>
          <w:szCs w:val="22"/>
        </w:rPr>
        <w:t>7</w:t>
      </w:r>
      <w:r w:rsidR="003436FE" w:rsidRPr="00243B71">
        <w:rPr>
          <w:b/>
          <w:sz w:val="22"/>
          <w:szCs w:val="22"/>
        </w:rPr>
        <w:t>.1</w:t>
      </w:r>
      <w:r w:rsidR="00010683" w:rsidRPr="00243B71">
        <w:rPr>
          <w:b/>
          <w:sz w:val="22"/>
          <w:szCs w:val="22"/>
        </w:rPr>
        <w:t>.</w:t>
      </w:r>
      <w:r w:rsidR="003436FE" w:rsidRPr="00243B71">
        <w:rPr>
          <w:b/>
          <w:sz w:val="22"/>
          <w:szCs w:val="22"/>
        </w:rPr>
        <w:tab/>
        <w:t>Technical offer</w:t>
      </w:r>
    </w:p>
    <w:p w14:paraId="7AC2708C" w14:textId="77777777" w:rsidR="003436FE" w:rsidRPr="00243B71" w:rsidRDefault="003436FE" w:rsidP="00570E73">
      <w:pPr>
        <w:widowControl w:val="0"/>
        <w:spacing w:after="120"/>
        <w:jc w:val="both"/>
        <w:rPr>
          <w:sz w:val="22"/>
          <w:szCs w:val="22"/>
        </w:rPr>
      </w:pPr>
      <w:r w:rsidRPr="00243B71">
        <w:rPr>
          <w:sz w:val="22"/>
          <w:szCs w:val="22"/>
        </w:rPr>
        <w:t>The Technical offer must include the following documents:</w:t>
      </w:r>
    </w:p>
    <w:p w14:paraId="1064A0F3" w14:textId="77777777" w:rsidR="00CA7115" w:rsidRPr="00243B71" w:rsidRDefault="003436FE" w:rsidP="00570E73">
      <w:pPr>
        <w:widowControl w:val="0"/>
        <w:numPr>
          <w:ilvl w:val="0"/>
          <w:numId w:val="3"/>
        </w:numPr>
        <w:tabs>
          <w:tab w:val="num" w:pos="567"/>
        </w:tabs>
        <w:spacing w:after="120"/>
        <w:ind w:left="567" w:hanging="567"/>
        <w:jc w:val="both"/>
        <w:rPr>
          <w:sz w:val="22"/>
          <w:szCs w:val="22"/>
        </w:rPr>
      </w:pPr>
      <w:r w:rsidRPr="00243B71">
        <w:rPr>
          <w:b/>
          <w:sz w:val="22"/>
          <w:szCs w:val="22"/>
          <w:u w:val="single"/>
        </w:rPr>
        <w:t>Tender submission form</w:t>
      </w:r>
      <w:r w:rsidRPr="00243B71">
        <w:rPr>
          <w:sz w:val="22"/>
          <w:szCs w:val="22"/>
        </w:rPr>
        <w:t xml:space="preserve"> (see Part </w:t>
      </w:r>
      <w:r w:rsidR="00D86F3D" w:rsidRPr="00243B71">
        <w:rPr>
          <w:sz w:val="22"/>
          <w:szCs w:val="22"/>
        </w:rPr>
        <w:t>C</w:t>
      </w:r>
      <w:r w:rsidRPr="00243B71">
        <w:rPr>
          <w:sz w:val="22"/>
          <w:szCs w:val="22"/>
        </w:rPr>
        <w:t xml:space="preserve"> of this tender dossier) including:</w:t>
      </w:r>
    </w:p>
    <w:p w14:paraId="7F7F47F1" w14:textId="08F62819" w:rsidR="003436FE" w:rsidRPr="00243B71" w:rsidRDefault="003436FE" w:rsidP="00F03AB1">
      <w:pPr>
        <w:numPr>
          <w:ilvl w:val="0"/>
          <w:numId w:val="5"/>
        </w:numPr>
        <w:tabs>
          <w:tab w:val="clear" w:pos="360"/>
          <w:tab w:val="num" w:pos="851"/>
        </w:tabs>
        <w:spacing w:after="120"/>
        <w:ind w:left="851" w:hanging="284"/>
        <w:jc w:val="both"/>
        <w:rPr>
          <w:sz w:val="22"/>
          <w:szCs w:val="22"/>
        </w:rPr>
      </w:pPr>
      <w:r w:rsidRPr="00243B71">
        <w:rPr>
          <w:sz w:val="22"/>
          <w:szCs w:val="22"/>
        </w:rPr>
        <w:t>Signed statements of exclusivity and availability (using the template included with the tender submission form), one for each key expert, the purpose of which are as follows:</w:t>
      </w:r>
    </w:p>
    <w:p w14:paraId="50F7D532" w14:textId="77777777" w:rsidR="003436FE" w:rsidRPr="00243B71" w:rsidRDefault="003436FE" w:rsidP="00F03AB1">
      <w:pPr>
        <w:numPr>
          <w:ilvl w:val="0"/>
          <w:numId w:val="7"/>
        </w:numPr>
        <w:tabs>
          <w:tab w:val="clear" w:pos="360"/>
        </w:tabs>
        <w:spacing w:after="120"/>
        <w:ind w:left="1276"/>
        <w:jc w:val="both"/>
        <w:rPr>
          <w:sz w:val="22"/>
          <w:szCs w:val="22"/>
        </w:rPr>
      </w:pPr>
      <w:r w:rsidRPr="00243B71">
        <w:rPr>
          <w:sz w:val="22"/>
          <w:szCs w:val="22"/>
        </w:rPr>
        <w:t>The key experts proposed in this tender must not be part of any other tender submitted for this tender procedure. They must therefore commit themselves exclusively to the tenderer.</w:t>
      </w:r>
    </w:p>
    <w:p w14:paraId="4EBAC7B0" w14:textId="77777777" w:rsidR="003436FE" w:rsidRPr="00243B71" w:rsidRDefault="003436FE" w:rsidP="00F03AB1">
      <w:pPr>
        <w:numPr>
          <w:ilvl w:val="0"/>
          <w:numId w:val="7"/>
        </w:numPr>
        <w:tabs>
          <w:tab w:val="clear" w:pos="360"/>
        </w:tabs>
        <w:spacing w:after="120"/>
        <w:ind w:left="1276" w:hanging="357"/>
        <w:jc w:val="both"/>
        <w:rPr>
          <w:sz w:val="22"/>
          <w:szCs w:val="22"/>
        </w:rPr>
      </w:pPr>
      <w:r w:rsidRPr="00243B71">
        <w:rPr>
          <w:sz w:val="22"/>
          <w:szCs w:val="22"/>
        </w:rPr>
        <w:t>Each key expert must also undertake to be available, able and willing to work for the whole period scheduled for his/her input to implement the tasks set out in the Terms of Reference and/or in the Organisation and methodology.</w:t>
      </w:r>
    </w:p>
    <w:p w14:paraId="6E8B93AF" w14:textId="77777777" w:rsidR="003436FE" w:rsidRPr="00243B71" w:rsidRDefault="003436FE" w:rsidP="00570E73">
      <w:pPr>
        <w:pStyle w:val="BodyText2"/>
        <w:tabs>
          <w:tab w:val="clear" w:pos="567"/>
        </w:tabs>
        <w:spacing w:after="120"/>
        <w:ind w:left="851"/>
        <w:rPr>
          <w:sz w:val="22"/>
          <w:szCs w:val="22"/>
        </w:rPr>
      </w:pPr>
      <w:r w:rsidRPr="00243B71">
        <w:rPr>
          <w:sz w:val="22"/>
          <w:szCs w:val="22"/>
        </w:rPr>
        <w:t>Note that non-key experts must not be asked to sign statements of exclusivity and availability.</w:t>
      </w:r>
    </w:p>
    <w:p w14:paraId="0F7C08C1" w14:textId="77777777" w:rsidR="00871BF5" w:rsidRPr="00243B71" w:rsidRDefault="003436FE" w:rsidP="00570E73">
      <w:pPr>
        <w:pStyle w:val="BodyText2"/>
        <w:tabs>
          <w:tab w:val="clear" w:pos="567"/>
        </w:tabs>
        <w:spacing w:after="120"/>
        <w:ind w:left="851"/>
        <w:rPr>
          <w:sz w:val="22"/>
          <w:szCs w:val="22"/>
        </w:rPr>
      </w:pPr>
      <w:r w:rsidRPr="00243B71">
        <w:rPr>
          <w:sz w:val="22"/>
          <w:szCs w:val="22"/>
        </w:rPr>
        <w:t xml:space="preserve">Any expert working on </w:t>
      </w:r>
      <w:r w:rsidR="00A95F3C" w:rsidRPr="00243B71">
        <w:rPr>
          <w:sz w:val="22"/>
          <w:szCs w:val="22"/>
        </w:rPr>
        <w:t>another</w:t>
      </w:r>
      <w:r w:rsidRPr="00243B71">
        <w:rPr>
          <w:sz w:val="22"/>
          <w:szCs w:val="22"/>
        </w:rPr>
        <w:t xml:space="preserve">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w:t>
      </w:r>
      <w:r w:rsidRPr="00243B71">
        <w:rPr>
          <w:sz w:val="22"/>
          <w:szCs w:val="22"/>
        </w:rPr>
        <w:lastRenderedPageBreak/>
        <w:t>availability in your tender must not overlap with dates on which he/she is committed to work as a key expert on any other contract.</w:t>
      </w:r>
    </w:p>
    <w:p w14:paraId="7BAD9E3A" w14:textId="2F69F8D6" w:rsidR="005D5638" w:rsidRPr="00243B71" w:rsidRDefault="005D5638" w:rsidP="00570E73">
      <w:pPr>
        <w:pStyle w:val="BodyText2"/>
        <w:tabs>
          <w:tab w:val="clear" w:pos="567"/>
        </w:tabs>
        <w:spacing w:after="120"/>
        <w:ind w:left="851"/>
        <w:rPr>
          <w:sz w:val="22"/>
          <w:szCs w:val="22"/>
        </w:rPr>
      </w:pPr>
      <w:r w:rsidRPr="00243B71">
        <w:rPr>
          <w:sz w:val="22"/>
          <w:szCs w:val="22"/>
        </w:rPr>
        <w:t>For experts presented as part-time key experts, it is up to the tenderer in its Organisation and Methodolo</w:t>
      </w:r>
      <w:r w:rsidR="00A95F3C" w:rsidRPr="00243B71">
        <w:rPr>
          <w:sz w:val="22"/>
          <w:szCs w:val="22"/>
        </w:rPr>
        <w:t>gy (s</w:t>
      </w:r>
      <w:r w:rsidRPr="00243B71">
        <w:rPr>
          <w:sz w:val="22"/>
          <w:szCs w:val="22"/>
        </w:rPr>
        <w:t xml:space="preserve">ee </w:t>
      </w:r>
      <w:r w:rsidR="00EE5217" w:rsidRPr="00243B71">
        <w:rPr>
          <w:sz w:val="22"/>
          <w:szCs w:val="22"/>
        </w:rPr>
        <w:t>item</w:t>
      </w:r>
      <w:r w:rsidRPr="00243B71">
        <w:rPr>
          <w:sz w:val="22"/>
          <w:szCs w:val="22"/>
        </w:rPr>
        <w:t xml:space="preserve"> </w:t>
      </w:r>
      <w:r w:rsidR="00EE5217" w:rsidRPr="00243B71">
        <w:rPr>
          <w:sz w:val="22"/>
          <w:szCs w:val="22"/>
        </w:rPr>
        <w:t>7</w:t>
      </w:r>
      <w:r w:rsidRPr="00243B71">
        <w:rPr>
          <w:sz w:val="22"/>
          <w:szCs w:val="22"/>
        </w:rPr>
        <w:t xml:space="preserve">.1. (2) </w:t>
      </w:r>
      <w:proofErr w:type="gramStart"/>
      <w:r w:rsidRPr="00243B71">
        <w:rPr>
          <w:sz w:val="22"/>
          <w:szCs w:val="22"/>
        </w:rPr>
        <w:t>of</w:t>
      </w:r>
      <w:proofErr w:type="gramEnd"/>
      <w:r w:rsidRPr="00243B71">
        <w:rPr>
          <w:sz w:val="22"/>
          <w:szCs w:val="22"/>
        </w:rPr>
        <w:t xml:space="preserve"> the present Instructions to Tenderers) to demonstrat</w:t>
      </w:r>
      <w:r w:rsidR="00860ACA" w:rsidRPr="00243B71">
        <w:rPr>
          <w:sz w:val="22"/>
          <w:szCs w:val="22"/>
        </w:rPr>
        <w:t xml:space="preserve">e that the key expert workload </w:t>
      </w:r>
      <w:r w:rsidRPr="00243B71">
        <w:rPr>
          <w:sz w:val="22"/>
          <w:szCs w:val="22"/>
        </w:rPr>
        <w:t xml:space="preserve">is compatible with the </w:t>
      </w:r>
      <w:r w:rsidR="00282621" w:rsidRPr="00243B71">
        <w:rPr>
          <w:sz w:val="22"/>
          <w:szCs w:val="22"/>
        </w:rPr>
        <w:t xml:space="preserve">level of </w:t>
      </w:r>
      <w:r w:rsidRPr="00243B71">
        <w:rPr>
          <w:sz w:val="22"/>
          <w:szCs w:val="22"/>
        </w:rPr>
        <w:t>engagemen</w:t>
      </w:r>
      <w:r w:rsidR="00E23162" w:rsidRPr="00243B71">
        <w:rPr>
          <w:sz w:val="22"/>
          <w:szCs w:val="22"/>
        </w:rPr>
        <w:t>t described in the Terms of References.</w:t>
      </w:r>
    </w:p>
    <w:p w14:paraId="4E9C0870" w14:textId="77777777" w:rsidR="003436FE" w:rsidRPr="00243B71" w:rsidRDefault="003436FE" w:rsidP="00570E73">
      <w:pPr>
        <w:pStyle w:val="BodyText2"/>
        <w:tabs>
          <w:tab w:val="clear" w:pos="567"/>
        </w:tabs>
        <w:spacing w:after="120"/>
        <w:ind w:left="851"/>
        <w:rPr>
          <w:sz w:val="22"/>
          <w:szCs w:val="22"/>
        </w:rPr>
      </w:pPr>
      <w:r w:rsidRPr="00243B71">
        <w:rPr>
          <w:sz w:val="22"/>
          <w:szCs w:val="22"/>
        </w:rPr>
        <w:t xml:space="preserve">The expert may participate in parallel tender procedures but must inform the Contracting Authority of these in the Statement of Exclusivity and Availability. Furthermore, the expert </w:t>
      </w:r>
      <w:r w:rsidR="00495144" w:rsidRPr="00243B71">
        <w:rPr>
          <w:sz w:val="22"/>
          <w:szCs w:val="22"/>
        </w:rPr>
        <w:t>is expected to</w:t>
      </w:r>
      <w:r w:rsidR="00495144" w:rsidRPr="00243B71" w:rsidDel="00495144">
        <w:rPr>
          <w:sz w:val="22"/>
          <w:szCs w:val="22"/>
        </w:rPr>
        <w:t xml:space="preserve"> </w:t>
      </w:r>
      <w:r w:rsidRPr="00243B71">
        <w:rPr>
          <w:sz w:val="22"/>
          <w:szCs w:val="22"/>
        </w:rPr>
        <w:t xml:space="preserve">notify the tenderer immediately if he/she is successful in another tender procedure and he/she </w:t>
      </w:r>
      <w:r w:rsidR="00495144" w:rsidRPr="00243B71">
        <w:rPr>
          <w:sz w:val="22"/>
          <w:szCs w:val="22"/>
        </w:rPr>
        <w:t>is expected to</w:t>
      </w:r>
      <w:r w:rsidRPr="00243B71">
        <w:rPr>
          <w:sz w:val="22"/>
          <w:szCs w:val="22"/>
        </w:rPr>
        <w:t xml:space="preserve"> accept the first engagement offered to him/her chronologically.</w:t>
      </w:r>
    </w:p>
    <w:p w14:paraId="52FC83C8" w14:textId="77777777" w:rsidR="003436FE" w:rsidRPr="00243B71" w:rsidRDefault="003436FE" w:rsidP="00570E73">
      <w:pPr>
        <w:pStyle w:val="BodyText2"/>
        <w:tabs>
          <w:tab w:val="clear" w:pos="567"/>
        </w:tabs>
        <w:spacing w:after="120"/>
        <w:ind w:left="851"/>
        <w:rPr>
          <w:sz w:val="22"/>
          <w:szCs w:val="22"/>
        </w:rPr>
      </w:pPr>
      <w:r w:rsidRPr="00243B71">
        <w:rPr>
          <w:sz w:val="22"/>
          <w:szCs w:val="22"/>
        </w:rPr>
        <w:t xml:space="preserve">If a key expert is proposed as a key expert by more than one tenderer with the agreement of the key expert, the corresponding tenders </w:t>
      </w:r>
      <w:r w:rsidR="00443293" w:rsidRPr="00243B71">
        <w:rPr>
          <w:sz w:val="22"/>
          <w:szCs w:val="22"/>
        </w:rPr>
        <w:t>will</w:t>
      </w:r>
      <w:r w:rsidRPr="00243B71">
        <w:rPr>
          <w:sz w:val="22"/>
          <w:szCs w:val="22"/>
        </w:rPr>
        <w:t xml:space="preserve"> be rejected. The same applies if the key expert proposed has been involved in the preparation of the </w:t>
      </w:r>
      <w:r w:rsidR="003A511B" w:rsidRPr="00243B71">
        <w:rPr>
          <w:sz w:val="22"/>
          <w:szCs w:val="22"/>
        </w:rPr>
        <w:t>current assignment</w:t>
      </w:r>
      <w:r w:rsidRPr="00243B71">
        <w:rPr>
          <w:sz w:val="22"/>
          <w:szCs w:val="22"/>
        </w:rPr>
        <w:t xml:space="preserve">. The expert concerned will be excluded from this tender procedure and may also be excluded from other </w:t>
      </w:r>
      <w:r w:rsidR="00DE268A" w:rsidRPr="00243B71">
        <w:rPr>
          <w:sz w:val="22"/>
          <w:szCs w:val="22"/>
        </w:rPr>
        <w:t>EIB</w:t>
      </w:r>
      <w:r w:rsidRPr="00243B71">
        <w:rPr>
          <w:sz w:val="22"/>
          <w:szCs w:val="22"/>
        </w:rPr>
        <w:t>-financed contracts.</w:t>
      </w:r>
    </w:p>
    <w:p w14:paraId="3C587A5B" w14:textId="77777777" w:rsidR="003436FE" w:rsidRPr="00243B71" w:rsidRDefault="003436FE" w:rsidP="00570E73">
      <w:pPr>
        <w:pStyle w:val="BodyText2"/>
        <w:widowControl w:val="0"/>
        <w:tabs>
          <w:tab w:val="clear" w:pos="567"/>
        </w:tabs>
        <w:spacing w:after="120"/>
        <w:ind w:left="851"/>
        <w:rPr>
          <w:sz w:val="22"/>
          <w:szCs w:val="22"/>
        </w:rPr>
      </w:pPr>
      <w:r w:rsidRPr="00243B71">
        <w:rPr>
          <w:sz w:val="22"/>
          <w:szCs w:val="22"/>
        </w:rPr>
        <w:t xml:space="preserve">Having selected a firm partly on the basis of an evaluation of the key experts presented in the tender, the Contracting Authority expects the contract to be executed by these specific experts. </w:t>
      </w:r>
      <w:r w:rsidR="006F5D6C" w:rsidRPr="00243B71">
        <w:rPr>
          <w:sz w:val="22"/>
          <w:szCs w:val="22"/>
        </w:rPr>
        <w:t>However, a</w:t>
      </w:r>
      <w:r w:rsidRPr="00243B71">
        <w:rPr>
          <w:sz w:val="22"/>
          <w:szCs w:val="22"/>
        </w:rPr>
        <w:t xml:space="preserve">fter the </w:t>
      </w:r>
      <w:r w:rsidR="006F5D6C" w:rsidRPr="00243B71">
        <w:rPr>
          <w:sz w:val="22"/>
          <w:szCs w:val="22"/>
        </w:rPr>
        <w:t>award</w:t>
      </w:r>
      <w:r w:rsidRPr="00243B71">
        <w:rPr>
          <w:sz w:val="22"/>
          <w:szCs w:val="22"/>
        </w:rPr>
        <w:t xml:space="preserve"> </w:t>
      </w:r>
      <w:r w:rsidR="008531BA" w:rsidRPr="00243B71">
        <w:rPr>
          <w:sz w:val="22"/>
          <w:szCs w:val="22"/>
        </w:rPr>
        <w:t xml:space="preserve">letter, </w:t>
      </w:r>
      <w:r w:rsidRPr="00243B71">
        <w:rPr>
          <w:sz w:val="22"/>
          <w:szCs w:val="22"/>
        </w:rPr>
        <w:t xml:space="preserve">the </w:t>
      </w:r>
      <w:r w:rsidR="003121C6" w:rsidRPr="00243B71">
        <w:rPr>
          <w:sz w:val="22"/>
          <w:szCs w:val="22"/>
        </w:rPr>
        <w:t xml:space="preserve">selected </w:t>
      </w:r>
      <w:r w:rsidRPr="00243B71">
        <w:rPr>
          <w:sz w:val="22"/>
          <w:szCs w:val="22"/>
        </w:rPr>
        <w:t>tenderer may propose replacement</w:t>
      </w:r>
      <w:r w:rsidR="003121C6" w:rsidRPr="00243B71">
        <w:rPr>
          <w:sz w:val="22"/>
          <w:szCs w:val="22"/>
        </w:rPr>
        <w:t>s</w:t>
      </w:r>
      <w:r w:rsidRPr="00243B71">
        <w:rPr>
          <w:sz w:val="22"/>
          <w:szCs w:val="22"/>
        </w:rPr>
        <w:t xml:space="preserve"> </w:t>
      </w:r>
      <w:r w:rsidR="003121C6" w:rsidRPr="00243B71">
        <w:rPr>
          <w:sz w:val="22"/>
          <w:szCs w:val="22"/>
        </w:rPr>
        <w:t>for the key experts under certain conditions (for further information see point 1</w:t>
      </w:r>
      <w:r w:rsidR="00EE5217" w:rsidRPr="00243B71">
        <w:rPr>
          <w:sz w:val="22"/>
          <w:szCs w:val="22"/>
        </w:rPr>
        <w:t>9</w:t>
      </w:r>
      <w:r w:rsidR="003121C6" w:rsidRPr="00243B71">
        <w:rPr>
          <w:sz w:val="22"/>
          <w:szCs w:val="22"/>
        </w:rPr>
        <w:t>).</w:t>
      </w:r>
    </w:p>
    <w:p w14:paraId="295AC1B6" w14:textId="77777777" w:rsidR="003436FE" w:rsidRPr="00243B71" w:rsidRDefault="003436FE" w:rsidP="00F03AB1">
      <w:pPr>
        <w:numPr>
          <w:ilvl w:val="0"/>
          <w:numId w:val="5"/>
        </w:numPr>
        <w:tabs>
          <w:tab w:val="clear" w:pos="360"/>
          <w:tab w:val="num" w:pos="851"/>
        </w:tabs>
        <w:spacing w:after="120"/>
        <w:ind w:left="851" w:hanging="284"/>
        <w:jc w:val="both"/>
        <w:rPr>
          <w:sz w:val="22"/>
          <w:szCs w:val="22"/>
        </w:rPr>
      </w:pPr>
      <w:r w:rsidRPr="00243B71">
        <w:rPr>
          <w:sz w:val="22"/>
          <w:szCs w:val="22"/>
          <w:u w:val="single"/>
        </w:rPr>
        <w:t>A signed</w:t>
      </w:r>
      <w:r w:rsidRPr="00243B71">
        <w:rPr>
          <w:b/>
          <w:sz w:val="22"/>
          <w:szCs w:val="22"/>
          <w:u w:val="single"/>
        </w:rPr>
        <w:t xml:space="preserve"> declaration</w:t>
      </w:r>
      <w:r w:rsidRPr="00243B71">
        <w:rPr>
          <w:sz w:val="22"/>
          <w:szCs w:val="22"/>
        </w:rPr>
        <w:t xml:space="preserve"> from each legal entity identified in the tender submission form, using the format attached to the tender submission form.</w:t>
      </w:r>
    </w:p>
    <w:p w14:paraId="19C635FE" w14:textId="77777777" w:rsidR="007D3002" w:rsidRPr="00243B71" w:rsidRDefault="007D3002" w:rsidP="00F03AB1">
      <w:pPr>
        <w:numPr>
          <w:ilvl w:val="0"/>
          <w:numId w:val="5"/>
        </w:numPr>
        <w:tabs>
          <w:tab w:val="clear" w:pos="360"/>
          <w:tab w:val="num" w:pos="851"/>
        </w:tabs>
        <w:spacing w:after="120"/>
        <w:ind w:left="851" w:hanging="284"/>
        <w:jc w:val="both"/>
        <w:rPr>
          <w:sz w:val="22"/>
          <w:szCs w:val="22"/>
        </w:rPr>
      </w:pPr>
      <w:r w:rsidRPr="00243B71">
        <w:rPr>
          <w:sz w:val="22"/>
          <w:szCs w:val="22"/>
          <w:u w:val="single"/>
        </w:rPr>
        <w:t xml:space="preserve">A signed </w:t>
      </w:r>
      <w:r w:rsidRPr="00243B71">
        <w:rPr>
          <w:b/>
          <w:sz w:val="22"/>
          <w:szCs w:val="22"/>
          <w:u w:val="single"/>
        </w:rPr>
        <w:t>Declaration of honour on exclusion and selection criteria</w:t>
      </w:r>
      <w:r w:rsidRPr="00243B71">
        <w:rPr>
          <w:sz w:val="22"/>
          <w:szCs w:val="22"/>
        </w:rPr>
        <w:t xml:space="preserve"> from each legal entity identified in the tender submission form, using the format attached to the tender submission form</w:t>
      </w:r>
    </w:p>
    <w:p w14:paraId="641200B4" w14:textId="0A3A4663" w:rsidR="003436FE" w:rsidRPr="00243B71" w:rsidRDefault="003436FE" w:rsidP="00F03AB1">
      <w:pPr>
        <w:numPr>
          <w:ilvl w:val="0"/>
          <w:numId w:val="5"/>
        </w:numPr>
        <w:tabs>
          <w:tab w:val="clear" w:pos="360"/>
          <w:tab w:val="num" w:pos="851"/>
        </w:tabs>
        <w:spacing w:after="120"/>
        <w:ind w:left="851" w:hanging="284"/>
        <w:jc w:val="both"/>
        <w:rPr>
          <w:sz w:val="22"/>
          <w:szCs w:val="22"/>
        </w:rPr>
      </w:pPr>
      <w:r w:rsidRPr="00243B71">
        <w:rPr>
          <w:sz w:val="22"/>
          <w:szCs w:val="22"/>
          <w:u w:val="single"/>
        </w:rPr>
        <w:t xml:space="preserve">The </w:t>
      </w:r>
      <w:r w:rsidRPr="00243B71">
        <w:rPr>
          <w:b/>
          <w:sz w:val="22"/>
          <w:szCs w:val="22"/>
          <w:u w:val="single"/>
        </w:rPr>
        <w:t>legal entity file</w:t>
      </w:r>
      <w:r w:rsidRPr="00243B71">
        <w:rPr>
          <w:sz w:val="22"/>
          <w:szCs w:val="22"/>
          <w:u w:val="single"/>
        </w:rPr>
        <w:t xml:space="preserve"> and supporting documents</w:t>
      </w:r>
      <w:r w:rsidR="00764914" w:rsidRPr="00243B71">
        <w:rPr>
          <w:sz w:val="22"/>
          <w:szCs w:val="22"/>
          <w:u w:val="single"/>
        </w:rPr>
        <w:t xml:space="preserve"> </w:t>
      </w:r>
      <w:r w:rsidR="00764914" w:rsidRPr="00243B71">
        <w:rPr>
          <w:sz w:val="22"/>
          <w:szCs w:val="22"/>
        </w:rPr>
        <w:t xml:space="preserve">(in case of consortium, </w:t>
      </w:r>
      <w:r w:rsidR="00450845" w:rsidRPr="00243B71">
        <w:rPr>
          <w:sz w:val="22"/>
          <w:szCs w:val="22"/>
        </w:rPr>
        <w:t xml:space="preserve">these documents should be provided by </w:t>
      </w:r>
      <w:r w:rsidR="00764914" w:rsidRPr="00243B71">
        <w:rPr>
          <w:sz w:val="22"/>
          <w:szCs w:val="22"/>
        </w:rPr>
        <w:t>all the members)</w:t>
      </w:r>
      <w:r w:rsidR="00450845" w:rsidRPr="00243B71">
        <w:rPr>
          <w:sz w:val="22"/>
          <w:szCs w:val="22"/>
        </w:rPr>
        <w:t>.</w:t>
      </w:r>
      <w:r w:rsidRPr="00243B71">
        <w:rPr>
          <w:sz w:val="22"/>
          <w:szCs w:val="22"/>
        </w:rPr>
        <w:t xml:space="preserve"> </w:t>
      </w:r>
      <w:r w:rsidR="00450845" w:rsidRPr="00243B71">
        <w:rPr>
          <w:sz w:val="22"/>
          <w:szCs w:val="22"/>
        </w:rPr>
        <w:t>I</w:t>
      </w:r>
      <w:r w:rsidRPr="00243B71">
        <w:rPr>
          <w:sz w:val="22"/>
          <w:szCs w:val="22"/>
        </w:rPr>
        <w:t>f the tenderer has already signed another contr</w:t>
      </w:r>
      <w:r w:rsidR="00FB37E7" w:rsidRPr="00243B71">
        <w:rPr>
          <w:sz w:val="22"/>
          <w:szCs w:val="22"/>
        </w:rPr>
        <w:t xml:space="preserve">act with the </w:t>
      </w:r>
      <w:r w:rsidR="00846255" w:rsidRPr="00243B71">
        <w:rPr>
          <w:sz w:val="22"/>
          <w:szCs w:val="22"/>
        </w:rPr>
        <w:t>Contracting Authority</w:t>
      </w:r>
      <w:r w:rsidRPr="00243B71">
        <w:rPr>
          <w:sz w:val="22"/>
          <w:szCs w:val="22"/>
        </w:rPr>
        <w:t>, it may provide instead either its legal entity number or a copy of the legal entity file provided on that occasion, unless it has changed its legal status in the meantime.</w:t>
      </w:r>
    </w:p>
    <w:p w14:paraId="21B1D268" w14:textId="77777777" w:rsidR="003436FE" w:rsidRPr="00243B71" w:rsidRDefault="003436FE" w:rsidP="00F03AB1">
      <w:pPr>
        <w:numPr>
          <w:ilvl w:val="0"/>
          <w:numId w:val="5"/>
        </w:numPr>
        <w:tabs>
          <w:tab w:val="clear" w:pos="360"/>
          <w:tab w:val="num" w:pos="851"/>
        </w:tabs>
        <w:spacing w:after="120"/>
        <w:ind w:left="851" w:hanging="284"/>
        <w:jc w:val="both"/>
        <w:rPr>
          <w:sz w:val="22"/>
          <w:szCs w:val="22"/>
          <w:u w:val="single"/>
        </w:rPr>
      </w:pPr>
      <w:r w:rsidRPr="00243B71">
        <w:rPr>
          <w:sz w:val="22"/>
          <w:szCs w:val="22"/>
          <w:u w:val="single"/>
        </w:rPr>
        <w:t>Duly authorised signature</w:t>
      </w:r>
      <w:r w:rsidRPr="00243B71">
        <w:rPr>
          <w:sz w:val="22"/>
          <w:szCs w:val="22"/>
        </w:rPr>
        <w:t xml:space="preserve">: </w:t>
      </w:r>
      <w:r w:rsidRPr="00243B71">
        <w:rPr>
          <w:b/>
          <w:sz w:val="22"/>
          <w:szCs w:val="22"/>
        </w:rPr>
        <w:t>an official document</w:t>
      </w:r>
      <w:r w:rsidRPr="00243B71">
        <w:rPr>
          <w:sz w:val="22"/>
          <w:szCs w:val="22"/>
        </w:rPr>
        <w:t xml:space="preserve"> (statutes, power of attorney, notary statement, etc.) proving that the person who</w:t>
      </w:r>
      <w:r w:rsidR="007458C3" w:rsidRPr="00243B71">
        <w:rPr>
          <w:sz w:val="22"/>
          <w:szCs w:val="22"/>
        </w:rPr>
        <w:t xml:space="preserve"> signs on behalf of the company AND/OR </w:t>
      </w:r>
      <w:r w:rsidRPr="00243B71">
        <w:rPr>
          <w:sz w:val="22"/>
          <w:szCs w:val="22"/>
        </w:rPr>
        <w:t xml:space="preserve">joint venture/consortium is duly authorised to do so. </w:t>
      </w:r>
      <w:r w:rsidR="00E12CBD" w:rsidRPr="00243B71">
        <w:rPr>
          <w:sz w:val="22"/>
          <w:szCs w:val="22"/>
          <w:u w:val="single"/>
        </w:rPr>
        <w:t xml:space="preserve">Please highlight in your offer the document and the place in the respective document where </w:t>
      </w:r>
      <w:r w:rsidR="00851503" w:rsidRPr="00243B71">
        <w:rPr>
          <w:sz w:val="22"/>
          <w:szCs w:val="22"/>
          <w:u w:val="single"/>
        </w:rPr>
        <w:t>this authorisation is mentioned</w:t>
      </w:r>
      <w:r w:rsidR="00E12CBD" w:rsidRPr="00243B71">
        <w:rPr>
          <w:sz w:val="22"/>
          <w:szCs w:val="22"/>
          <w:u w:val="single"/>
        </w:rPr>
        <w:t>.</w:t>
      </w:r>
    </w:p>
    <w:p w14:paraId="3DE1B187" w14:textId="77777777" w:rsidR="003436FE" w:rsidRPr="00243B71" w:rsidRDefault="003436FE" w:rsidP="00570E73">
      <w:pPr>
        <w:numPr>
          <w:ilvl w:val="0"/>
          <w:numId w:val="3"/>
        </w:numPr>
        <w:tabs>
          <w:tab w:val="num" w:pos="567"/>
        </w:tabs>
        <w:spacing w:after="120"/>
        <w:ind w:left="567" w:hanging="567"/>
        <w:jc w:val="both"/>
        <w:rPr>
          <w:sz w:val="22"/>
          <w:szCs w:val="22"/>
        </w:rPr>
      </w:pPr>
      <w:r w:rsidRPr="00243B71">
        <w:rPr>
          <w:b/>
          <w:sz w:val="22"/>
          <w:szCs w:val="22"/>
          <w:u w:val="single"/>
        </w:rPr>
        <w:t>Organisation and methodology</w:t>
      </w:r>
      <w:r w:rsidRPr="00243B71">
        <w:rPr>
          <w:sz w:val="22"/>
          <w:szCs w:val="22"/>
        </w:rPr>
        <w:t xml:space="preserve"> (will become Annex to the contract), to be drawn up by the tenderer using the</w:t>
      </w:r>
      <w:r w:rsidR="008E5F98" w:rsidRPr="00243B71">
        <w:rPr>
          <w:sz w:val="22"/>
          <w:szCs w:val="22"/>
        </w:rPr>
        <w:t xml:space="preserve"> following</w:t>
      </w:r>
      <w:r w:rsidRPr="00243B71">
        <w:rPr>
          <w:sz w:val="22"/>
          <w:szCs w:val="22"/>
        </w:rPr>
        <w:t xml:space="preserve"> </w:t>
      </w:r>
      <w:r w:rsidR="00BF4B36" w:rsidRPr="00243B71">
        <w:rPr>
          <w:sz w:val="22"/>
          <w:szCs w:val="22"/>
        </w:rPr>
        <w:t>instructions</w:t>
      </w:r>
      <w:r w:rsidR="008E5F98" w:rsidRPr="00243B71">
        <w:rPr>
          <w:sz w:val="22"/>
          <w:szCs w:val="22"/>
        </w:rPr>
        <w:t>:</w:t>
      </w:r>
    </w:p>
    <w:p w14:paraId="16646867" w14:textId="77777777" w:rsidR="008E5F98" w:rsidRPr="00243B71" w:rsidRDefault="008E5F98" w:rsidP="00570E73">
      <w:pPr>
        <w:spacing w:after="120"/>
        <w:ind w:left="567"/>
        <w:jc w:val="both"/>
        <w:rPr>
          <w:b/>
          <w:bCs/>
          <w:sz w:val="22"/>
          <w:szCs w:val="22"/>
        </w:rPr>
      </w:pPr>
      <w:r w:rsidRPr="00243B71">
        <w:rPr>
          <w:b/>
          <w:bCs/>
          <w:sz w:val="22"/>
          <w:szCs w:val="22"/>
        </w:rPr>
        <w:t>Rationale</w:t>
      </w:r>
    </w:p>
    <w:p w14:paraId="25060186" w14:textId="77777777" w:rsidR="008E5F98" w:rsidRPr="00243B71" w:rsidRDefault="008E5F98" w:rsidP="00F03AB1">
      <w:pPr>
        <w:numPr>
          <w:ilvl w:val="0"/>
          <w:numId w:val="11"/>
        </w:numPr>
        <w:spacing w:after="120"/>
        <w:jc w:val="both"/>
        <w:rPr>
          <w:sz w:val="22"/>
          <w:szCs w:val="22"/>
        </w:rPr>
      </w:pPr>
      <w:r w:rsidRPr="00243B71">
        <w:rPr>
          <w:sz w:val="22"/>
          <w:szCs w:val="22"/>
        </w:rPr>
        <w:t>Any comments on the Terms of reference of importance for the successful execution of activities, in particular its objectives and expected results, thus demonstrating the degree of understanding of the contract. An opinion on the key issues related to the achievement of the contract objectives and expected results.</w:t>
      </w:r>
    </w:p>
    <w:p w14:paraId="72753DCE" w14:textId="517C8423" w:rsidR="008E5F98" w:rsidRPr="00243B71" w:rsidRDefault="008E5F98" w:rsidP="00F03AB1">
      <w:pPr>
        <w:numPr>
          <w:ilvl w:val="0"/>
          <w:numId w:val="11"/>
        </w:numPr>
        <w:tabs>
          <w:tab w:val="num" w:pos="153"/>
        </w:tabs>
        <w:spacing w:after="120"/>
        <w:jc w:val="both"/>
        <w:rPr>
          <w:sz w:val="22"/>
          <w:szCs w:val="22"/>
        </w:rPr>
      </w:pPr>
      <w:r w:rsidRPr="00243B71">
        <w:rPr>
          <w:sz w:val="22"/>
          <w:szCs w:val="22"/>
        </w:rPr>
        <w:t>An explanation of the risks and assumptions affecting the execution of the contract.</w:t>
      </w:r>
      <w:r w:rsidR="00871BF5" w:rsidRPr="00243B71">
        <w:rPr>
          <w:sz w:val="22"/>
          <w:szCs w:val="22"/>
        </w:rPr>
        <w:t xml:space="preserve"> A risk analysis matrix comprising for each identified risk its level of impact and likelihood and proposed mitigation measures. </w:t>
      </w:r>
    </w:p>
    <w:p w14:paraId="16D0F6A8" w14:textId="77777777" w:rsidR="008E5F98" w:rsidRPr="00243B71" w:rsidRDefault="008E5F98" w:rsidP="00570E73">
      <w:pPr>
        <w:spacing w:after="120"/>
        <w:ind w:left="567"/>
        <w:jc w:val="both"/>
        <w:rPr>
          <w:b/>
          <w:bCs/>
          <w:sz w:val="22"/>
          <w:szCs w:val="22"/>
        </w:rPr>
      </w:pPr>
      <w:r w:rsidRPr="00243B71">
        <w:rPr>
          <w:b/>
          <w:bCs/>
          <w:sz w:val="22"/>
          <w:szCs w:val="22"/>
        </w:rPr>
        <w:t>Strategy</w:t>
      </w:r>
    </w:p>
    <w:p w14:paraId="69935762" w14:textId="77777777" w:rsidR="008E5F98" w:rsidRPr="00243B71" w:rsidRDefault="008E5F98" w:rsidP="00F03AB1">
      <w:pPr>
        <w:numPr>
          <w:ilvl w:val="0"/>
          <w:numId w:val="12"/>
        </w:numPr>
        <w:tabs>
          <w:tab w:val="num" w:pos="153"/>
        </w:tabs>
        <w:spacing w:after="120"/>
        <w:jc w:val="both"/>
        <w:rPr>
          <w:sz w:val="22"/>
          <w:szCs w:val="22"/>
        </w:rPr>
      </w:pPr>
      <w:r w:rsidRPr="00243B71">
        <w:rPr>
          <w:sz w:val="22"/>
          <w:szCs w:val="22"/>
        </w:rPr>
        <w:t>An outline of the approach proposed for contract implementation.</w:t>
      </w:r>
    </w:p>
    <w:p w14:paraId="548C27F6" w14:textId="77777777" w:rsidR="008E5F98" w:rsidRPr="00243B71" w:rsidRDefault="008E5F98" w:rsidP="00F03AB1">
      <w:pPr>
        <w:numPr>
          <w:ilvl w:val="0"/>
          <w:numId w:val="12"/>
        </w:numPr>
        <w:tabs>
          <w:tab w:val="num" w:pos="153"/>
        </w:tabs>
        <w:spacing w:after="120"/>
        <w:jc w:val="both"/>
        <w:rPr>
          <w:sz w:val="22"/>
          <w:szCs w:val="22"/>
        </w:rPr>
      </w:pPr>
      <w:r w:rsidRPr="00243B71">
        <w:rPr>
          <w:sz w:val="22"/>
          <w:szCs w:val="22"/>
        </w:rPr>
        <w:t>A list of the proposed activities considered to be necessary to achieve the contract objectives.</w:t>
      </w:r>
    </w:p>
    <w:p w14:paraId="1FE5EEA6" w14:textId="77777777" w:rsidR="008E5F98" w:rsidRPr="00243B71" w:rsidRDefault="008E5F98" w:rsidP="00F03AB1">
      <w:pPr>
        <w:numPr>
          <w:ilvl w:val="0"/>
          <w:numId w:val="12"/>
        </w:numPr>
        <w:tabs>
          <w:tab w:val="num" w:pos="153"/>
        </w:tabs>
        <w:spacing w:after="120"/>
        <w:jc w:val="both"/>
        <w:rPr>
          <w:sz w:val="22"/>
          <w:szCs w:val="22"/>
        </w:rPr>
      </w:pPr>
      <w:r w:rsidRPr="00243B71">
        <w:rPr>
          <w:sz w:val="22"/>
          <w:szCs w:val="22"/>
        </w:rPr>
        <w:lastRenderedPageBreak/>
        <w:t>The related inputs and outputs.</w:t>
      </w:r>
    </w:p>
    <w:p w14:paraId="53010775" w14:textId="77777777" w:rsidR="008E5F98" w:rsidRPr="00243B71" w:rsidRDefault="00EE5217" w:rsidP="00F03AB1">
      <w:pPr>
        <w:numPr>
          <w:ilvl w:val="0"/>
          <w:numId w:val="12"/>
        </w:numPr>
        <w:spacing w:after="120"/>
        <w:jc w:val="both"/>
        <w:rPr>
          <w:sz w:val="22"/>
          <w:szCs w:val="22"/>
        </w:rPr>
      </w:pPr>
      <w:r w:rsidRPr="00243B71">
        <w:rPr>
          <w:sz w:val="22"/>
          <w:szCs w:val="22"/>
        </w:rPr>
        <w:t>&lt;</w:t>
      </w:r>
      <w:proofErr w:type="gramStart"/>
      <w:r w:rsidRPr="00243B71">
        <w:rPr>
          <w:i/>
          <w:sz w:val="22"/>
          <w:szCs w:val="22"/>
        </w:rPr>
        <w:t>if</w:t>
      </w:r>
      <w:proofErr w:type="gramEnd"/>
      <w:r w:rsidRPr="00243B71">
        <w:rPr>
          <w:i/>
          <w:sz w:val="22"/>
          <w:szCs w:val="22"/>
        </w:rPr>
        <w:t xml:space="preserve"> applicable</w:t>
      </w:r>
      <w:r w:rsidRPr="00243B71">
        <w:rPr>
          <w:sz w:val="22"/>
          <w:szCs w:val="22"/>
        </w:rPr>
        <w:t xml:space="preserve">&gt; </w:t>
      </w:r>
      <w:r w:rsidR="008E5F98" w:rsidRPr="00243B71">
        <w:rPr>
          <w:sz w:val="22"/>
          <w:szCs w:val="22"/>
        </w:rPr>
        <w:t>In the case of a tender being submitted by a consortium, a description of the input from each of the consortium members and the distribution and interaction of tasks and responsibilities between them.</w:t>
      </w:r>
      <w:r w:rsidRPr="00243B71">
        <w:rPr>
          <w:sz w:val="22"/>
          <w:szCs w:val="22"/>
        </w:rPr>
        <w:t xml:space="preserve"> </w:t>
      </w:r>
      <w:r w:rsidR="00756886" w:rsidRPr="00243B71">
        <w:rPr>
          <w:sz w:val="22"/>
          <w:szCs w:val="22"/>
        </w:rPr>
        <w:t xml:space="preserve">Furthermore, the involvement of all members of the consortium will be considered added value in the tender evaluation. </w:t>
      </w:r>
      <w:r w:rsidRPr="00243B71">
        <w:rPr>
          <w:sz w:val="22"/>
          <w:szCs w:val="22"/>
        </w:rPr>
        <w:t>If the tender is submitted by a single company, the total of available points for this part in the evaluation grid will be allocated</w:t>
      </w:r>
      <w:r w:rsidR="00756886" w:rsidRPr="00243B71">
        <w:rPr>
          <w:sz w:val="22"/>
          <w:szCs w:val="22"/>
        </w:rPr>
        <w:t>.</w:t>
      </w:r>
    </w:p>
    <w:p w14:paraId="6987F356" w14:textId="77777777" w:rsidR="008E5F98" w:rsidRPr="00243B71" w:rsidRDefault="008E5F98" w:rsidP="00F03AB1">
      <w:pPr>
        <w:numPr>
          <w:ilvl w:val="0"/>
          <w:numId w:val="12"/>
        </w:numPr>
        <w:tabs>
          <w:tab w:val="num" w:pos="153"/>
        </w:tabs>
        <w:spacing w:after="120"/>
        <w:jc w:val="both"/>
        <w:rPr>
          <w:sz w:val="22"/>
          <w:szCs w:val="22"/>
        </w:rPr>
      </w:pPr>
      <w:r w:rsidRPr="00243B71">
        <w:rPr>
          <w:sz w:val="22"/>
          <w:szCs w:val="22"/>
        </w:rPr>
        <w:t>A description of the support facilities (backstopping) that the team of experts will have from the contractor during the execution of the contract.</w:t>
      </w:r>
    </w:p>
    <w:p w14:paraId="1F8F104C" w14:textId="77777777" w:rsidR="008E5F98" w:rsidRPr="00243B71" w:rsidRDefault="00EE5217" w:rsidP="00F03AB1">
      <w:pPr>
        <w:numPr>
          <w:ilvl w:val="0"/>
          <w:numId w:val="12"/>
        </w:numPr>
        <w:tabs>
          <w:tab w:val="num" w:pos="153"/>
        </w:tabs>
        <w:spacing w:after="120"/>
        <w:jc w:val="both"/>
        <w:rPr>
          <w:sz w:val="22"/>
          <w:szCs w:val="22"/>
        </w:rPr>
      </w:pPr>
      <w:r w:rsidRPr="00243B71">
        <w:rPr>
          <w:sz w:val="22"/>
          <w:szCs w:val="22"/>
        </w:rPr>
        <w:t>&lt;</w:t>
      </w:r>
      <w:proofErr w:type="gramStart"/>
      <w:r w:rsidRPr="00243B71">
        <w:rPr>
          <w:i/>
          <w:sz w:val="22"/>
          <w:szCs w:val="22"/>
        </w:rPr>
        <w:t>if</w:t>
      </w:r>
      <w:proofErr w:type="gramEnd"/>
      <w:r w:rsidRPr="00243B71">
        <w:rPr>
          <w:i/>
          <w:sz w:val="22"/>
          <w:szCs w:val="22"/>
        </w:rPr>
        <w:t xml:space="preserve"> applicable</w:t>
      </w:r>
      <w:r w:rsidRPr="00243B71">
        <w:rPr>
          <w:sz w:val="22"/>
          <w:szCs w:val="22"/>
        </w:rPr>
        <w:t xml:space="preserve">&gt; </w:t>
      </w:r>
      <w:r w:rsidR="008E5F98" w:rsidRPr="00243B71">
        <w:rPr>
          <w:sz w:val="22"/>
          <w:szCs w:val="22"/>
        </w:rPr>
        <w:t>A description of sub-contracting arrangements foreseen, with a clear indication of the tasks that will be entrusted to a sub-contractor and a statement by the tenderer guaranteeing the eligibility of any sub-contractor.</w:t>
      </w:r>
      <w:r w:rsidRPr="00243B71">
        <w:rPr>
          <w:sz w:val="22"/>
          <w:szCs w:val="22"/>
        </w:rPr>
        <w:t xml:space="preserve"> If the tender does not include subcontracting, the total of available points for this part in the evaluation grid will be allocated.</w:t>
      </w:r>
    </w:p>
    <w:p w14:paraId="4E70F638" w14:textId="77777777" w:rsidR="00756886" w:rsidRPr="00243B71" w:rsidRDefault="00756886" w:rsidP="00F03AB1">
      <w:pPr>
        <w:numPr>
          <w:ilvl w:val="0"/>
          <w:numId w:val="12"/>
        </w:numPr>
        <w:tabs>
          <w:tab w:val="num" w:pos="153"/>
        </w:tabs>
        <w:spacing w:after="120"/>
        <w:jc w:val="both"/>
        <w:rPr>
          <w:sz w:val="22"/>
          <w:szCs w:val="22"/>
        </w:rPr>
      </w:pPr>
      <w:r w:rsidRPr="00243B71">
        <w:rPr>
          <w:sz w:val="22"/>
          <w:szCs w:val="22"/>
        </w:rPr>
        <w:t>&lt;</w:t>
      </w:r>
      <w:proofErr w:type="gramStart"/>
      <w:r w:rsidRPr="00243B71">
        <w:rPr>
          <w:i/>
          <w:sz w:val="22"/>
          <w:szCs w:val="22"/>
        </w:rPr>
        <w:t>if</w:t>
      </w:r>
      <w:proofErr w:type="gramEnd"/>
      <w:r w:rsidRPr="00243B71">
        <w:rPr>
          <w:i/>
          <w:sz w:val="22"/>
          <w:szCs w:val="22"/>
        </w:rPr>
        <w:t xml:space="preserve"> applicable</w:t>
      </w:r>
      <w:r w:rsidRPr="00243B71">
        <w:rPr>
          <w:sz w:val="22"/>
          <w:szCs w:val="22"/>
        </w:rPr>
        <w:t>&gt; A description of the undertaking arrangements with clear indications of the resources the tenderer plan to rely on and in which conditions the support will apply. If the tender does not include undertaking arrangements, the total of available points for this part in the evaluation grid will be allocated.</w:t>
      </w:r>
    </w:p>
    <w:p w14:paraId="5EA2AE8A" w14:textId="77777777" w:rsidR="008E5F98" w:rsidRPr="00243B71" w:rsidRDefault="008E5F98" w:rsidP="00570E73">
      <w:pPr>
        <w:spacing w:after="120"/>
        <w:ind w:left="567"/>
        <w:jc w:val="both"/>
        <w:rPr>
          <w:b/>
          <w:bCs/>
          <w:sz w:val="22"/>
          <w:szCs w:val="22"/>
        </w:rPr>
      </w:pPr>
      <w:r w:rsidRPr="00243B71">
        <w:rPr>
          <w:b/>
          <w:bCs/>
          <w:sz w:val="22"/>
          <w:szCs w:val="22"/>
        </w:rPr>
        <w:t>Timetable of activities</w:t>
      </w:r>
    </w:p>
    <w:p w14:paraId="220EC910" w14:textId="77777777" w:rsidR="008E5F98" w:rsidRPr="00243B71" w:rsidRDefault="008E5F98" w:rsidP="00F03AB1">
      <w:pPr>
        <w:numPr>
          <w:ilvl w:val="0"/>
          <w:numId w:val="13"/>
        </w:numPr>
        <w:tabs>
          <w:tab w:val="num" w:pos="153"/>
        </w:tabs>
        <w:spacing w:after="120"/>
        <w:ind w:hanging="513"/>
        <w:jc w:val="both"/>
        <w:rPr>
          <w:sz w:val="22"/>
          <w:szCs w:val="22"/>
        </w:rPr>
      </w:pPr>
      <w:r w:rsidRPr="00243B71">
        <w:rPr>
          <w:sz w:val="22"/>
          <w:szCs w:val="22"/>
        </w:rPr>
        <w:t>The timing, sequence and duration of the proposed activities, taking into account mobilisation time.</w:t>
      </w:r>
    </w:p>
    <w:p w14:paraId="2C4437FD" w14:textId="77777777" w:rsidR="008E5F98" w:rsidRPr="00243B71" w:rsidRDefault="008E5F98" w:rsidP="00F03AB1">
      <w:pPr>
        <w:numPr>
          <w:ilvl w:val="0"/>
          <w:numId w:val="13"/>
        </w:numPr>
        <w:tabs>
          <w:tab w:val="num" w:pos="153"/>
        </w:tabs>
        <w:spacing w:after="120"/>
        <w:ind w:hanging="513"/>
        <w:jc w:val="both"/>
        <w:rPr>
          <w:sz w:val="22"/>
          <w:szCs w:val="22"/>
        </w:rPr>
      </w:pPr>
      <w:r w:rsidRPr="00243B71">
        <w:rPr>
          <w:sz w:val="22"/>
          <w:szCs w:val="22"/>
        </w:rPr>
        <w:t>The identification and timing of major milestones in execution of the contract, including an indication of how the achievement of these would be reflected in any reports, particularly those stipulated in the Terms of reference.</w:t>
      </w:r>
    </w:p>
    <w:p w14:paraId="5024C232" w14:textId="514B271D" w:rsidR="008E69A8" w:rsidRPr="00243B71" w:rsidRDefault="008E69A8" w:rsidP="00570E73">
      <w:pPr>
        <w:spacing w:after="120"/>
        <w:jc w:val="both"/>
        <w:rPr>
          <w:sz w:val="22"/>
          <w:szCs w:val="22"/>
        </w:rPr>
      </w:pPr>
      <w:r w:rsidRPr="00243B71">
        <w:rPr>
          <w:sz w:val="22"/>
          <w:szCs w:val="22"/>
        </w:rPr>
        <w:t xml:space="preserve">The ‘Estimated number of </w:t>
      </w:r>
      <w:r w:rsidR="005122F6">
        <w:rPr>
          <w:sz w:val="22"/>
          <w:szCs w:val="22"/>
        </w:rPr>
        <w:t>months</w:t>
      </w:r>
      <w:r w:rsidRPr="00243B71">
        <w:rPr>
          <w:sz w:val="22"/>
          <w:szCs w:val="22"/>
        </w:rPr>
        <w:t>’ worksheet (in the budget breakdown spreadsheet) must be included in the Organisation and methodology.</w:t>
      </w:r>
    </w:p>
    <w:p w14:paraId="2D3AD779" w14:textId="44ECE10C" w:rsidR="003436FE" w:rsidRPr="00243B71" w:rsidRDefault="003436FE" w:rsidP="00570E73">
      <w:pPr>
        <w:numPr>
          <w:ilvl w:val="0"/>
          <w:numId w:val="3"/>
        </w:numPr>
        <w:tabs>
          <w:tab w:val="num" w:pos="567"/>
        </w:tabs>
        <w:spacing w:after="120"/>
        <w:ind w:left="567" w:hanging="567"/>
        <w:jc w:val="both"/>
        <w:rPr>
          <w:sz w:val="22"/>
          <w:szCs w:val="22"/>
        </w:rPr>
      </w:pPr>
      <w:r w:rsidRPr="00243B71">
        <w:rPr>
          <w:b/>
          <w:sz w:val="22"/>
          <w:szCs w:val="22"/>
          <w:u w:val="single"/>
        </w:rPr>
        <w:t>Key experts</w:t>
      </w:r>
      <w:r w:rsidR="00EC2DD9" w:rsidRPr="00243B71">
        <w:rPr>
          <w:b/>
          <w:sz w:val="22"/>
          <w:szCs w:val="22"/>
          <w:u w:val="single"/>
        </w:rPr>
        <w:t xml:space="preserve"> </w:t>
      </w:r>
      <w:r w:rsidRPr="00243B71">
        <w:rPr>
          <w:sz w:val="22"/>
          <w:szCs w:val="22"/>
        </w:rPr>
        <w:t>(to become Annex to the contract). The key experts are those whose involvement is considered to be instrumental to achieve the contract objectives.</w:t>
      </w:r>
      <w:r w:rsidR="0090313A" w:rsidRPr="00243B71">
        <w:rPr>
          <w:sz w:val="22"/>
          <w:szCs w:val="22"/>
        </w:rPr>
        <w:t xml:space="preserve"> </w:t>
      </w:r>
      <w:r w:rsidRPr="00243B71">
        <w:rPr>
          <w:sz w:val="22"/>
          <w:szCs w:val="22"/>
        </w:rPr>
        <w:t xml:space="preserve">Their positions and responsibilities are defined in the Terms of Reference and they are subject to evaluation according to the evaluation grid in Part C of this tender dossier. </w:t>
      </w:r>
    </w:p>
    <w:p w14:paraId="45691898" w14:textId="33E37769" w:rsidR="003436FE" w:rsidRPr="00243B71" w:rsidRDefault="00EC2B2F" w:rsidP="00570E73">
      <w:pPr>
        <w:spacing w:after="120"/>
        <w:ind w:left="567"/>
        <w:jc w:val="both"/>
        <w:rPr>
          <w:sz w:val="22"/>
          <w:szCs w:val="22"/>
        </w:rPr>
      </w:pPr>
      <w:r w:rsidRPr="00243B71">
        <w:rPr>
          <w:sz w:val="22"/>
          <w:szCs w:val="22"/>
        </w:rPr>
        <w:t>Part C of this tender dossier</w:t>
      </w:r>
      <w:r w:rsidR="003436FE" w:rsidRPr="00243B71">
        <w:rPr>
          <w:sz w:val="22"/>
          <w:szCs w:val="22"/>
        </w:rPr>
        <w:t xml:space="preserve"> contains the templates that tenderers must use, including:</w:t>
      </w:r>
    </w:p>
    <w:p w14:paraId="6BE15EAD" w14:textId="77777777" w:rsidR="003436FE" w:rsidRPr="00243B71" w:rsidRDefault="003436FE" w:rsidP="00B86324">
      <w:pPr>
        <w:numPr>
          <w:ilvl w:val="0"/>
          <w:numId w:val="1"/>
        </w:numPr>
        <w:tabs>
          <w:tab w:val="clear" w:pos="360"/>
        </w:tabs>
        <w:spacing w:after="120"/>
        <w:ind w:left="851" w:hanging="283"/>
        <w:jc w:val="both"/>
        <w:rPr>
          <w:sz w:val="22"/>
          <w:szCs w:val="22"/>
        </w:rPr>
      </w:pPr>
      <w:r w:rsidRPr="00243B71">
        <w:rPr>
          <w:sz w:val="22"/>
          <w:szCs w:val="22"/>
        </w:rPr>
        <w:t>a list of the names of the key experts;</w:t>
      </w:r>
    </w:p>
    <w:p w14:paraId="3FF9FC6C" w14:textId="77777777" w:rsidR="003436FE" w:rsidRPr="00243B71" w:rsidRDefault="003436FE" w:rsidP="00B86324">
      <w:pPr>
        <w:numPr>
          <w:ilvl w:val="0"/>
          <w:numId w:val="1"/>
        </w:numPr>
        <w:tabs>
          <w:tab w:val="clear" w:pos="360"/>
        </w:tabs>
        <w:spacing w:after="120"/>
        <w:ind w:left="851" w:hanging="283"/>
        <w:jc w:val="both"/>
        <w:rPr>
          <w:sz w:val="22"/>
          <w:szCs w:val="22"/>
        </w:rPr>
      </w:pPr>
      <w:proofErr w:type="gramStart"/>
      <w:r w:rsidRPr="00243B71">
        <w:rPr>
          <w:sz w:val="22"/>
          <w:szCs w:val="22"/>
        </w:rPr>
        <w:t>the</w:t>
      </w:r>
      <w:proofErr w:type="gramEnd"/>
      <w:r w:rsidRPr="00243B71">
        <w:rPr>
          <w:sz w:val="22"/>
          <w:szCs w:val="22"/>
        </w:rPr>
        <w:t xml:space="preserve"> CVs of each of the key experts. Each CV </w:t>
      </w:r>
      <w:r w:rsidR="00AA3043" w:rsidRPr="00243B71">
        <w:rPr>
          <w:sz w:val="22"/>
          <w:szCs w:val="22"/>
        </w:rPr>
        <w:t xml:space="preserve">should </w:t>
      </w:r>
      <w:r w:rsidRPr="00243B71">
        <w:rPr>
          <w:sz w:val="22"/>
          <w:szCs w:val="22"/>
        </w:rPr>
        <w:t xml:space="preserve">be no longer than </w:t>
      </w:r>
      <w:r w:rsidR="0004651B" w:rsidRPr="00243B71">
        <w:rPr>
          <w:sz w:val="22"/>
          <w:szCs w:val="22"/>
        </w:rPr>
        <w:t>5</w:t>
      </w:r>
      <w:r w:rsidRPr="00243B71">
        <w:rPr>
          <w:sz w:val="22"/>
          <w:szCs w:val="22"/>
        </w:rPr>
        <w:t xml:space="preserve"> pages and only one CV </w:t>
      </w:r>
      <w:r w:rsidR="00AA3043" w:rsidRPr="00243B71">
        <w:rPr>
          <w:sz w:val="22"/>
          <w:szCs w:val="22"/>
        </w:rPr>
        <w:t xml:space="preserve">must </w:t>
      </w:r>
      <w:r w:rsidRPr="00243B71">
        <w:rPr>
          <w:sz w:val="22"/>
          <w:szCs w:val="22"/>
        </w:rPr>
        <w:t xml:space="preserve">be provided for each position identified in the Terms of Reference. </w:t>
      </w:r>
      <w:r w:rsidR="00134836" w:rsidRPr="00243B71">
        <w:rPr>
          <w:sz w:val="22"/>
          <w:szCs w:val="22"/>
        </w:rPr>
        <w:t>In case of CVs longer than 5 pages, only the first 5</w:t>
      </w:r>
      <w:r w:rsidR="001905E9" w:rsidRPr="00243B71">
        <w:rPr>
          <w:sz w:val="22"/>
          <w:szCs w:val="22"/>
        </w:rPr>
        <w:t xml:space="preserve"> pages will be taken into account. N</w:t>
      </w:r>
      <w:r w:rsidRPr="00243B71">
        <w:rPr>
          <w:sz w:val="22"/>
          <w:szCs w:val="22"/>
        </w:rPr>
        <w:t xml:space="preserve">on-key experts </w:t>
      </w:r>
      <w:r w:rsidR="001905E9" w:rsidRPr="00243B71">
        <w:rPr>
          <w:sz w:val="22"/>
          <w:szCs w:val="22"/>
        </w:rPr>
        <w:t xml:space="preserve">CVs are not necessary. </w:t>
      </w:r>
    </w:p>
    <w:p w14:paraId="74559286" w14:textId="77777777" w:rsidR="00B31376" w:rsidRPr="00243B71" w:rsidRDefault="003436FE" w:rsidP="00570E73">
      <w:pPr>
        <w:spacing w:after="120"/>
        <w:ind w:left="567"/>
        <w:jc w:val="both"/>
        <w:rPr>
          <w:sz w:val="22"/>
          <w:szCs w:val="22"/>
        </w:rPr>
      </w:pPr>
      <w:r w:rsidRPr="00243B71">
        <w:rPr>
          <w:b/>
          <w:sz w:val="22"/>
          <w:szCs w:val="22"/>
        </w:rPr>
        <w:t xml:space="preserve">The qualifications and experience of each key expert must clearly match the profiles indicated in the Terms of Reference. </w:t>
      </w:r>
      <w:r w:rsidR="0063462A" w:rsidRPr="00243B71">
        <w:rPr>
          <w:b/>
          <w:sz w:val="22"/>
          <w:szCs w:val="22"/>
        </w:rPr>
        <w:t>I</w:t>
      </w:r>
      <w:r w:rsidR="00B31376" w:rsidRPr="00243B71">
        <w:rPr>
          <w:b/>
          <w:sz w:val="22"/>
          <w:szCs w:val="22"/>
        </w:rPr>
        <w:t xml:space="preserve">f an expert does not </w:t>
      </w:r>
      <w:r w:rsidR="00DC767D" w:rsidRPr="00243B71">
        <w:rPr>
          <w:b/>
          <w:sz w:val="22"/>
          <w:szCs w:val="22"/>
        </w:rPr>
        <w:t>meet the</w:t>
      </w:r>
      <w:r w:rsidR="00B31376" w:rsidRPr="00243B71">
        <w:rPr>
          <w:b/>
          <w:sz w:val="22"/>
          <w:szCs w:val="22"/>
        </w:rPr>
        <w:t xml:space="preserve"> requirements for</w:t>
      </w:r>
      <w:r w:rsidR="0063462A" w:rsidRPr="00243B71">
        <w:rPr>
          <w:b/>
          <w:sz w:val="22"/>
          <w:szCs w:val="22"/>
        </w:rPr>
        <w:t xml:space="preserve"> each evaluation criterion</w:t>
      </w:r>
      <w:r w:rsidR="00B31376" w:rsidRPr="00243B71">
        <w:rPr>
          <w:b/>
          <w:sz w:val="22"/>
          <w:szCs w:val="22"/>
        </w:rPr>
        <w:t xml:space="preserve"> </w:t>
      </w:r>
      <w:r w:rsidR="0063462A" w:rsidRPr="00243B71">
        <w:rPr>
          <w:b/>
          <w:sz w:val="22"/>
          <w:szCs w:val="22"/>
        </w:rPr>
        <w:t xml:space="preserve">(i.e. </w:t>
      </w:r>
      <w:r w:rsidR="00B31376" w:rsidRPr="00243B71">
        <w:rPr>
          <w:b/>
          <w:sz w:val="22"/>
          <w:szCs w:val="22"/>
        </w:rPr>
        <w:t>qualification and skills, general professional experience and specific professional experience</w:t>
      </w:r>
      <w:r w:rsidR="0063462A" w:rsidRPr="00243B71">
        <w:rPr>
          <w:b/>
          <w:sz w:val="22"/>
          <w:szCs w:val="22"/>
        </w:rPr>
        <w:t>)</w:t>
      </w:r>
      <w:r w:rsidR="001917FA" w:rsidRPr="00243B71">
        <w:rPr>
          <w:b/>
          <w:sz w:val="22"/>
          <w:szCs w:val="22"/>
        </w:rPr>
        <w:t>, he/she will be assessed accordingly</w:t>
      </w:r>
      <w:r w:rsidR="00134836" w:rsidRPr="00243B71">
        <w:rPr>
          <w:b/>
          <w:sz w:val="22"/>
          <w:szCs w:val="22"/>
        </w:rPr>
        <w:t xml:space="preserve"> </w:t>
      </w:r>
      <w:r w:rsidR="00134836" w:rsidRPr="00243B71">
        <w:rPr>
          <w:sz w:val="22"/>
          <w:szCs w:val="22"/>
        </w:rPr>
        <w:t>(see the note below at 1</w:t>
      </w:r>
      <w:r w:rsidR="00E007FD" w:rsidRPr="00243B71">
        <w:rPr>
          <w:sz w:val="22"/>
          <w:szCs w:val="22"/>
        </w:rPr>
        <w:t>5</w:t>
      </w:r>
      <w:r w:rsidR="00134836" w:rsidRPr="00243B71">
        <w:rPr>
          <w:sz w:val="22"/>
          <w:szCs w:val="22"/>
        </w:rPr>
        <w:t>.2).</w:t>
      </w:r>
      <w:r w:rsidR="00B31376" w:rsidRPr="00243B71">
        <w:rPr>
          <w:sz w:val="22"/>
          <w:szCs w:val="22"/>
        </w:rPr>
        <w:t xml:space="preserve"> </w:t>
      </w:r>
    </w:p>
    <w:p w14:paraId="11E30FF9" w14:textId="77777777" w:rsidR="003436FE" w:rsidRPr="00243B71" w:rsidRDefault="003436FE" w:rsidP="00570E73">
      <w:pPr>
        <w:pStyle w:val="BodyTextIndent"/>
        <w:tabs>
          <w:tab w:val="clear" w:pos="567"/>
        </w:tabs>
        <w:ind w:firstLine="0"/>
        <w:rPr>
          <w:b/>
          <w:sz w:val="22"/>
          <w:szCs w:val="22"/>
        </w:rPr>
      </w:pPr>
      <w:r w:rsidRPr="00243B71">
        <w:rPr>
          <w:b/>
          <w:sz w:val="22"/>
          <w:szCs w:val="22"/>
        </w:rPr>
        <w:t>Tenderers must provide the following documents for any key experts proposed:</w:t>
      </w:r>
    </w:p>
    <w:p w14:paraId="4EE88F82" w14:textId="77777777" w:rsidR="003436FE" w:rsidRPr="00243B71" w:rsidRDefault="003436FE" w:rsidP="00570E73">
      <w:pPr>
        <w:pStyle w:val="BodyTextIndent"/>
        <w:tabs>
          <w:tab w:val="clear" w:pos="567"/>
        </w:tabs>
        <w:spacing w:after="0"/>
        <w:ind w:left="851" w:hanging="142"/>
        <w:rPr>
          <w:sz w:val="22"/>
          <w:szCs w:val="22"/>
        </w:rPr>
      </w:pPr>
      <w:r w:rsidRPr="00243B71">
        <w:rPr>
          <w:sz w:val="22"/>
          <w:szCs w:val="22"/>
        </w:rPr>
        <w:t>-</w:t>
      </w:r>
      <w:r w:rsidRPr="00243B71">
        <w:rPr>
          <w:sz w:val="22"/>
          <w:szCs w:val="22"/>
        </w:rPr>
        <w:tab/>
      </w:r>
      <w:proofErr w:type="gramStart"/>
      <w:r w:rsidRPr="00243B71">
        <w:rPr>
          <w:sz w:val="22"/>
          <w:szCs w:val="22"/>
        </w:rPr>
        <w:t>a</w:t>
      </w:r>
      <w:proofErr w:type="gramEnd"/>
      <w:r w:rsidRPr="00243B71">
        <w:rPr>
          <w:sz w:val="22"/>
          <w:szCs w:val="22"/>
        </w:rPr>
        <w:t xml:space="preserve"> copy of the diplomas mentioned in their CVs,</w:t>
      </w:r>
    </w:p>
    <w:p w14:paraId="4AD65614" w14:textId="77777777" w:rsidR="003436FE" w:rsidRPr="00243B71" w:rsidRDefault="003436FE" w:rsidP="00570E73">
      <w:pPr>
        <w:pStyle w:val="BodyTextIndent"/>
        <w:tabs>
          <w:tab w:val="clear" w:pos="567"/>
        </w:tabs>
        <w:ind w:left="851" w:hanging="142"/>
        <w:rPr>
          <w:sz w:val="22"/>
          <w:szCs w:val="22"/>
        </w:rPr>
      </w:pPr>
      <w:r w:rsidRPr="00243B71">
        <w:rPr>
          <w:sz w:val="22"/>
          <w:szCs w:val="22"/>
        </w:rPr>
        <w:t>-</w:t>
      </w:r>
      <w:r w:rsidRPr="00243B71">
        <w:rPr>
          <w:sz w:val="22"/>
          <w:szCs w:val="22"/>
        </w:rPr>
        <w:tab/>
      </w:r>
      <w:proofErr w:type="gramStart"/>
      <w:r w:rsidRPr="00243B71">
        <w:rPr>
          <w:sz w:val="22"/>
          <w:szCs w:val="22"/>
        </w:rPr>
        <w:t>a</w:t>
      </w:r>
      <w:proofErr w:type="gramEnd"/>
      <w:r w:rsidRPr="00243B71">
        <w:rPr>
          <w:sz w:val="22"/>
          <w:szCs w:val="22"/>
        </w:rPr>
        <w:t xml:space="preserve"> copy of employer certificates or references proving the professional experience indicated in their CVs. </w:t>
      </w:r>
    </w:p>
    <w:p w14:paraId="1BB10DAB" w14:textId="77777777" w:rsidR="006C13E7" w:rsidRPr="00243B71" w:rsidRDefault="003436FE" w:rsidP="00CB2949">
      <w:pPr>
        <w:pStyle w:val="BodyTextIndent"/>
        <w:tabs>
          <w:tab w:val="clear" w:pos="567"/>
        </w:tabs>
        <w:ind w:firstLine="0"/>
        <w:rPr>
          <w:sz w:val="22"/>
          <w:szCs w:val="22"/>
        </w:rPr>
      </w:pPr>
      <w:r w:rsidRPr="00243B71">
        <w:rPr>
          <w:sz w:val="22"/>
          <w:szCs w:val="22"/>
        </w:rPr>
        <w:t xml:space="preserve">Only diplomas and documented experience will be taken into account. </w:t>
      </w:r>
      <w:r w:rsidR="006C13E7" w:rsidRPr="00243B71">
        <w:rPr>
          <w:sz w:val="22"/>
          <w:szCs w:val="22"/>
        </w:rPr>
        <w:t xml:space="preserve">Previous experience which </w:t>
      </w:r>
      <w:r w:rsidR="00135920" w:rsidRPr="00243B71">
        <w:rPr>
          <w:sz w:val="22"/>
          <w:szCs w:val="22"/>
        </w:rPr>
        <w:t>caused breach</w:t>
      </w:r>
      <w:r w:rsidR="006C13E7" w:rsidRPr="00243B71">
        <w:rPr>
          <w:sz w:val="22"/>
          <w:szCs w:val="22"/>
        </w:rPr>
        <w:t xml:space="preserve"> of contract and termination shall not be used as reference.</w:t>
      </w:r>
    </w:p>
    <w:p w14:paraId="726608C6" w14:textId="77777777" w:rsidR="003121C6" w:rsidRPr="00243B71" w:rsidRDefault="00396D4A" w:rsidP="00570E73">
      <w:pPr>
        <w:numPr>
          <w:ilvl w:val="0"/>
          <w:numId w:val="3"/>
        </w:numPr>
        <w:tabs>
          <w:tab w:val="num" w:pos="567"/>
        </w:tabs>
        <w:spacing w:after="120"/>
        <w:ind w:left="567" w:hanging="567"/>
        <w:jc w:val="both"/>
        <w:rPr>
          <w:sz w:val="22"/>
          <w:szCs w:val="22"/>
        </w:rPr>
      </w:pPr>
      <w:r w:rsidRPr="00243B71">
        <w:rPr>
          <w:sz w:val="22"/>
          <w:szCs w:val="22"/>
        </w:rPr>
        <w:t>Non key experts may also be instrumental to achieve the contract objectives. However, they are not subject to evaluation by the evaluation Committee. Their positions and responsibilities</w:t>
      </w:r>
      <w:r w:rsidR="00134836" w:rsidRPr="00243B71">
        <w:rPr>
          <w:sz w:val="22"/>
          <w:szCs w:val="22"/>
        </w:rPr>
        <w:t xml:space="preserve"> may be defined in </w:t>
      </w:r>
      <w:r w:rsidRPr="00243B71">
        <w:rPr>
          <w:sz w:val="22"/>
          <w:szCs w:val="22"/>
        </w:rPr>
        <w:t>the Terms of Reference</w:t>
      </w:r>
      <w:r w:rsidR="002D1FA8" w:rsidRPr="00243B71">
        <w:rPr>
          <w:sz w:val="22"/>
          <w:szCs w:val="22"/>
        </w:rPr>
        <w:t xml:space="preserve"> </w:t>
      </w:r>
      <w:r w:rsidR="00E80FBD" w:rsidRPr="00243B71">
        <w:rPr>
          <w:sz w:val="22"/>
          <w:szCs w:val="22"/>
        </w:rPr>
        <w:t xml:space="preserve">(Part </w:t>
      </w:r>
      <w:r w:rsidR="00A455C6" w:rsidRPr="00243B71">
        <w:rPr>
          <w:sz w:val="22"/>
          <w:szCs w:val="22"/>
        </w:rPr>
        <w:t>B</w:t>
      </w:r>
      <w:r w:rsidR="00E80FBD" w:rsidRPr="00243B71">
        <w:rPr>
          <w:sz w:val="22"/>
          <w:szCs w:val="22"/>
        </w:rPr>
        <w:t xml:space="preserve"> of this tender dossier)</w:t>
      </w:r>
      <w:r w:rsidRPr="00243B71">
        <w:rPr>
          <w:sz w:val="22"/>
          <w:szCs w:val="22"/>
        </w:rPr>
        <w:t>.</w:t>
      </w:r>
    </w:p>
    <w:p w14:paraId="4F6B81D9" w14:textId="77777777" w:rsidR="00D9640C" w:rsidRPr="00243B71" w:rsidRDefault="00D9640C" w:rsidP="00570E73">
      <w:pPr>
        <w:spacing w:after="120"/>
        <w:jc w:val="both"/>
        <w:rPr>
          <w:sz w:val="22"/>
          <w:szCs w:val="22"/>
        </w:rPr>
      </w:pPr>
      <w:r w:rsidRPr="00243B71">
        <w:rPr>
          <w:sz w:val="22"/>
          <w:szCs w:val="22"/>
          <w:lang w:bidi="kn-IN"/>
        </w:rPr>
        <w:lastRenderedPageBreak/>
        <w:t>If the documentary evidence submitted is not written into the language of the procedure, a translation into this langua</w:t>
      </w:r>
      <w:r w:rsidR="00694974" w:rsidRPr="00243B71">
        <w:rPr>
          <w:sz w:val="22"/>
          <w:szCs w:val="22"/>
          <w:lang w:bidi="kn-IN"/>
        </w:rPr>
        <w:t>ge</w:t>
      </w:r>
      <w:r w:rsidRPr="00243B71">
        <w:rPr>
          <w:sz w:val="22"/>
          <w:szCs w:val="22"/>
          <w:lang w:bidi="kn-IN"/>
        </w:rPr>
        <w:t xml:space="preserve"> must be attached</w:t>
      </w:r>
      <w:r w:rsidRPr="00243B71">
        <w:rPr>
          <w:sz w:val="22"/>
          <w:szCs w:val="22"/>
        </w:rPr>
        <w:t>. Documentary proof or statements may be in original or copy. If copies are submitted, the originals must be available to send to the Contracting Authority upon request.</w:t>
      </w:r>
    </w:p>
    <w:p w14:paraId="6A614DA7" w14:textId="77777777" w:rsidR="003436FE" w:rsidRPr="00243B71" w:rsidRDefault="003436FE" w:rsidP="00570E73">
      <w:pPr>
        <w:spacing w:after="120"/>
        <w:jc w:val="both"/>
        <w:rPr>
          <w:b/>
          <w:sz w:val="22"/>
          <w:szCs w:val="22"/>
        </w:rPr>
      </w:pPr>
      <w:r w:rsidRPr="00243B71">
        <w:rPr>
          <w:b/>
          <w:sz w:val="22"/>
          <w:szCs w:val="22"/>
        </w:rPr>
        <w:t>Tenderers are reminded that the provision of false information in this tender procedure may lead to</w:t>
      </w:r>
      <w:r w:rsidR="00EB0510" w:rsidRPr="00243B71">
        <w:rPr>
          <w:b/>
          <w:sz w:val="22"/>
          <w:szCs w:val="22"/>
        </w:rPr>
        <w:t xml:space="preserve"> the rejection of their tender and to</w:t>
      </w:r>
      <w:r w:rsidRPr="00243B71">
        <w:rPr>
          <w:b/>
          <w:sz w:val="22"/>
          <w:szCs w:val="22"/>
        </w:rPr>
        <w:t xml:space="preserve"> their exclusion from</w:t>
      </w:r>
      <w:r w:rsidR="00617691" w:rsidRPr="00243B71">
        <w:rPr>
          <w:b/>
          <w:sz w:val="22"/>
          <w:szCs w:val="22"/>
        </w:rPr>
        <w:t xml:space="preserve"> </w:t>
      </w:r>
      <w:r w:rsidR="00E80FBD" w:rsidRPr="00243B71">
        <w:rPr>
          <w:b/>
          <w:sz w:val="22"/>
          <w:szCs w:val="22"/>
        </w:rPr>
        <w:t>EIB</w:t>
      </w:r>
      <w:r w:rsidR="00134836" w:rsidRPr="00243B71">
        <w:rPr>
          <w:b/>
          <w:sz w:val="22"/>
          <w:szCs w:val="22"/>
        </w:rPr>
        <w:t xml:space="preserve"> tender</w:t>
      </w:r>
      <w:r w:rsidRPr="00243B71">
        <w:rPr>
          <w:b/>
          <w:sz w:val="22"/>
          <w:szCs w:val="22"/>
        </w:rPr>
        <w:t xml:space="preserve"> </w:t>
      </w:r>
      <w:r w:rsidR="00617691" w:rsidRPr="00243B71">
        <w:rPr>
          <w:b/>
          <w:sz w:val="22"/>
          <w:szCs w:val="22"/>
        </w:rPr>
        <w:t xml:space="preserve">procedures and </w:t>
      </w:r>
      <w:r w:rsidRPr="00243B71">
        <w:rPr>
          <w:b/>
          <w:sz w:val="22"/>
          <w:szCs w:val="22"/>
        </w:rPr>
        <w:t>contracts.</w:t>
      </w:r>
    </w:p>
    <w:p w14:paraId="31ECE81F" w14:textId="77777777" w:rsidR="003436FE" w:rsidRPr="00243B71" w:rsidRDefault="00EE5217" w:rsidP="00570E73">
      <w:pPr>
        <w:spacing w:after="120"/>
        <w:ind w:left="567" w:hanging="567"/>
        <w:jc w:val="both"/>
        <w:rPr>
          <w:b/>
          <w:sz w:val="22"/>
          <w:szCs w:val="22"/>
        </w:rPr>
      </w:pPr>
      <w:r w:rsidRPr="00243B71">
        <w:rPr>
          <w:b/>
          <w:sz w:val="22"/>
          <w:szCs w:val="22"/>
        </w:rPr>
        <w:t>7</w:t>
      </w:r>
      <w:r w:rsidR="003436FE" w:rsidRPr="00243B71">
        <w:rPr>
          <w:b/>
          <w:sz w:val="22"/>
          <w:szCs w:val="22"/>
        </w:rPr>
        <w:t>.2</w:t>
      </w:r>
      <w:r w:rsidR="00010683" w:rsidRPr="00243B71">
        <w:rPr>
          <w:b/>
          <w:sz w:val="22"/>
          <w:szCs w:val="22"/>
        </w:rPr>
        <w:t>.</w:t>
      </w:r>
      <w:r w:rsidR="003436FE" w:rsidRPr="00243B71">
        <w:rPr>
          <w:b/>
          <w:sz w:val="22"/>
          <w:szCs w:val="22"/>
        </w:rPr>
        <w:tab/>
        <w:t>Financial offer</w:t>
      </w:r>
    </w:p>
    <w:p w14:paraId="039DC11E" w14:textId="79AEBE02" w:rsidR="00694AA0" w:rsidRPr="00243B71" w:rsidRDefault="00A240DB" w:rsidP="00694AA0">
      <w:pPr>
        <w:shd w:val="clear" w:color="auto" w:fill="FFFFFF"/>
        <w:spacing w:after="120"/>
        <w:jc w:val="both"/>
        <w:rPr>
          <w:sz w:val="22"/>
          <w:szCs w:val="22"/>
        </w:rPr>
      </w:pPr>
      <w:r w:rsidRPr="00243B71">
        <w:rPr>
          <w:sz w:val="22"/>
          <w:szCs w:val="22"/>
        </w:rPr>
        <w:t>The Financial offer must be presented in Euro and must include the following documents (using the templates included in the fee-based version of the Financial offer (see part C of this tender dossier</w:t>
      </w:r>
      <w:proofErr w:type="gramStart"/>
      <w:r w:rsidRPr="00243B71">
        <w:rPr>
          <w:sz w:val="22"/>
          <w:szCs w:val="22"/>
        </w:rPr>
        <w:t>):</w:t>
      </w:r>
      <w:proofErr w:type="gramEnd"/>
      <w:r w:rsidRPr="00243B71">
        <w:rPr>
          <w:sz w:val="22"/>
          <w:szCs w:val="22"/>
        </w:rPr>
        <w:t xml:space="preserve"> </w:t>
      </w:r>
    </w:p>
    <w:p w14:paraId="5606440F" w14:textId="77777777" w:rsidR="00A240DB" w:rsidRPr="00243B71" w:rsidRDefault="00A240DB" w:rsidP="00F03AB1">
      <w:pPr>
        <w:numPr>
          <w:ilvl w:val="0"/>
          <w:numId w:val="15"/>
        </w:numPr>
        <w:shd w:val="clear" w:color="auto" w:fill="FFFFFF"/>
        <w:spacing w:after="120"/>
        <w:ind w:left="426" w:hanging="426"/>
        <w:jc w:val="both"/>
        <w:rPr>
          <w:sz w:val="22"/>
          <w:szCs w:val="22"/>
        </w:rPr>
      </w:pPr>
      <w:r w:rsidRPr="00243B71">
        <w:rPr>
          <w:sz w:val="22"/>
          <w:szCs w:val="22"/>
        </w:rPr>
        <w:t>Budget breakdown</w:t>
      </w:r>
    </w:p>
    <w:p w14:paraId="496DDB13" w14:textId="66D23AB3" w:rsidR="00A240DB" w:rsidRDefault="0072787A" w:rsidP="00F03AB1">
      <w:pPr>
        <w:numPr>
          <w:ilvl w:val="0"/>
          <w:numId w:val="8"/>
        </w:numPr>
        <w:shd w:val="clear" w:color="auto" w:fill="FFFFFF"/>
        <w:tabs>
          <w:tab w:val="clear" w:pos="360"/>
        </w:tabs>
        <w:spacing w:after="120"/>
        <w:ind w:left="426" w:hanging="426"/>
        <w:jc w:val="both"/>
        <w:rPr>
          <w:sz w:val="22"/>
          <w:szCs w:val="22"/>
        </w:rPr>
      </w:pPr>
      <w:r>
        <w:rPr>
          <w:sz w:val="22"/>
          <w:szCs w:val="22"/>
        </w:rPr>
        <w:t>person/m</w:t>
      </w:r>
      <w:r w:rsidR="00461340">
        <w:rPr>
          <w:sz w:val="22"/>
          <w:szCs w:val="22"/>
        </w:rPr>
        <w:t>onths</w:t>
      </w:r>
    </w:p>
    <w:p w14:paraId="0DE5DF74" w14:textId="77777777" w:rsidR="0072787A" w:rsidRPr="00243B71" w:rsidRDefault="0072787A" w:rsidP="00061CFC">
      <w:pPr>
        <w:shd w:val="clear" w:color="auto" w:fill="FFFFFF"/>
        <w:spacing w:after="120"/>
        <w:jc w:val="both"/>
        <w:rPr>
          <w:sz w:val="22"/>
          <w:szCs w:val="22"/>
        </w:rPr>
      </w:pPr>
    </w:p>
    <w:p w14:paraId="167A49C3" w14:textId="77777777" w:rsidR="00A240DB" w:rsidRPr="00243B71" w:rsidRDefault="00A240DB" w:rsidP="00570E73">
      <w:pPr>
        <w:shd w:val="clear" w:color="auto" w:fill="FFFFFF"/>
        <w:spacing w:after="120"/>
        <w:jc w:val="both"/>
        <w:rPr>
          <w:sz w:val="22"/>
          <w:szCs w:val="22"/>
        </w:rPr>
      </w:pPr>
      <w:r w:rsidRPr="00243B71">
        <w:rPr>
          <w:b/>
          <w:sz w:val="22"/>
          <w:szCs w:val="22"/>
        </w:rPr>
        <w:t>To complete the spreadsheet</w:t>
      </w:r>
      <w:r w:rsidRPr="00243B71">
        <w:rPr>
          <w:sz w:val="22"/>
          <w:szCs w:val="22"/>
        </w:rPr>
        <w:t>:</w:t>
      </w:r>
    </w:p>
    <w:p w14:paraId="6C6C79DB" w14:textId="77777777" w:rsidR="00A240DB" w:rsidRPr="00243B71" w:rsidRDefault="00A240DB" w:rsidP="00F03AB1">
      <w:pPr>
        <w:numPr>
          <w:ilvl w:val="0"/>
          <w:numId w:val="9"/>
        </w:numPr>
        <w:shd w:val="clear" w:color="auto" w:fill="FFFFFF"/>
        <w:spacing w:after="120"/>
        <w:ind w:left="426" w:hanging="426"/>
        <w:jc w:val="both"/>
        <w:rPr>
          <w:sz w:val="22"/>
          <w:szCs w:val="22"/>
        </w:rPr>
      </w:pPr>
      <w:r w:rsidRPr="00243B71">
        <w:rPr>
          <w:sz w:val="22"/>
          <w:szCs w:val="22"/>
        </w:rPr>
        <w:t>Enter the fee rates for each category of expert in the first worksheet (‘Budget breakdown’)</w:t>
      </w:r>
    </w:p>
    <w:p w14:paraId="188BB35B" w14:textId="2656A6D3" w:rsidR="00A240DB" w:rsidRPr="00243B71" w:rsidRDefault="00A240DB" w:rsidP="00F03AB1">
      <w:pPr>
        <w:numPr>
          <w:ilvl w:val="0"/>
          <w:numId w:val="9"/>
        </w:numPr>
        <w:shd w:val="clear" w:color="auto" w:fill="FFFFFF"/>
        <w:spacing w:after="120"/>
        <w:ind w:left="426" w:hanging="426"/>
        <w:jc w:val="both"/>
        <w:rPr>
          <w:sz w:val="22"/>
          <w:szCs w:val="22"/>
        </w:rPr>
      </w:pPr>
      <w:r w:rsidRPr="00243B71">
        <w:rPr>
          <w:sz w:val="22"/>
          <w:szCs w:val="22"/>
        </w:rPr>
        <w:t xml:space="preserve">Enter the estimated numbers of </w:t>
      </w:r>
      <w:r w:rsidR="0072787A">
        <w:rPr>
          <w:sz w:val="22"/>
          <w:szCs w:val="22"/>
        </w:rPr>
        <w:t>per</w:t>
      </w:r>
      <w:r w:rsidR="005122F6">
        <w:rPr>
          <w:sz w:val="22"/>
          <w:szCs w:val="22"/>
        </w:rPr>
        <w:t>son</w:t>
      </w:r>
      <w:r w:rsidR="0072787A">
        <w:rPr>
          <w:sz w:val="22"/>
          <w:szCs w:val="22"/>
        </w:rPr>
        <w:t>/</w:t>
      </w:r>
      <w:r w:rsidR="00461340">
        <w:rPr>
          <w:sz w:val="22"/>
          <w:szCs w:val="22"/>
        </w:rPr>
        <w:t>months</w:t>
      </w:r>
      <w:r w:rsidRPr="00243B71">
        <w:rPr>
          <w:sz w:val="22"/>
          <w:szCs w:val="22"/>
        </w:rPr>
        <w:t xml:space="preserve"> for each category of expert during the period of implementation of the tasks in the second worksheet (‘</w:t>
      </w:r>
      <w:r w:rsidR="0072787A">
        <w:rPr>
          <w:sz w:val="22"/>
          <w:szCs w:val="22"/>
        </w:rPr>
        <w:t>person/m</w:t>
      </w:r>
      <w:r w:rsidR="00461340">
        <w:rPr>
          <w:sz w:val="22"/>
          <w:szCs w:val="22"/>
        </w:rPr>
        <w:t>onths</w:t>
      </w:r>
      <w:r w:rsidRPr="00243B71">
        <w:rPr>
          <w:sz w:val="22"/>
          <w:szCs w:val="22"/>
        </w:rPr>
        <w:t>’)</w:t>
      </w:r>
    </w:p>
    <w:p w14:paraId="426C7A02" w14:textId="77777777" w:rsidR="00A240DB" w:rsidRPr="00243B71" w:rsidRDefault="00A240DB" w:rsidP="00F03AB1">
      <w:pPr>
        <w:numPr>
          <w:ilvl w:val="0"/>
          <w:numId w:val="9"/>
        </w:numPr>
        <w:shd w:val="clear" w:color="auto" w:fill="FFFFFF"/>
        <w:spacing w:after="120"/>
        <w:ind w:left="426" w:hanging="426"/>
        <w:jc w:val="both"/>
        <w:rPr>
          <w:sz w:val="22"/>
          <w:szCs w:val="22"/>
        </w:rPr>
      </w:pPr>
      <w:r w:rsidRPr="00243B71">
        <w:rPr>
          <w:sz w:val="22"/>
          <w:szCs w:val="22"/>
        </w:rPr>
        <w:t>Enter the provision for incidental expenditure given in the Terms of Reference in the first worksheet (‘Budget breakdown’)</w:t>
      </w:r>
    </w:p>
    <w:p w14:paraId="5691714C" w14:textId="77777777" w:rsidR="00A240DB" w:rsidRPr="00243B71" w:rsidRDefault="00A240DB" w:rsidP="00F03AB1">
      <w:pPr>
        <w:numPr>
          <w:ilvl w:val="0"/>
          <w:numId w:val="9"/>
        </w:numPr>
        <w:shd w:val="clear" w:color="auto" w:fill="FFFFFF"/>
        <w:spacing w:after="120"/>
        <w:ind w:left="426" w:hanging="426"/>
        <w:jc w:val="both"/>
        <w:rPr>
          <w:sz w:val="22"/>
          <w:szCs w:val="22"/>
        </w:rPr>
      </w:pPr>
      <w:r w:rsidRPr="00243B71">
        <w:rPr>
          <w:sz w:val="22"/>
          <w:szCs w:val="22"/>
        </w:rPr>
        <w:t>Enter the provision for expenditure verification given in the Terms of Reference in the first worksheet (‘Budget breakdown’).</w:t>
      </w:r>
    </w:p>
    <w:p w14:paraId="24B450E5" w14:textId="77777777" w:rsidR="00B83EEC" w:rsidRPr="00243B71" w:rsidRDefault="00A240DB" w:rsidP="00570E73">
      <w:pPr>
        <w:shd w:val="clear" w:color="auto" w:fill="FFFFFF"/>
        <w:spacing w:after="120"/>
        <w:jc w:val="both"/>
        <w:rPr>
          <w:sz w:val="22"/>
          <w:szCs w:val="22"/>
        </w:rPr>
      </w:pPr>
      <w:r w:rsidRPr="00243B71">
        <w:rPr>
          <w:sz w:val="22"/>
          <w:szCs w:val="22"/>
        </w:rPr>
        <w:t xml:space="preserve">The estimated budget for incidental expenditure and expenditure verification </w:t>
      </w:r>
      <w:r w:rsidR="003A511B" w:rsidRPr="00243B71">
        <w:rPr>
          <w:sz w:val="22"/>
          <w:szCs w:val="22"/>
        </w:rPr>
        <w:t>is</w:t>
      </w:r>
      <w:r w:rsidRPr="00243B71">
        <w:rPr>
          <w:sz w:val="22"/>
          <w:szCs w:val="22"/>
        </w:rPr>
        <w:t xml:space="preserve"> to be filled </w:t>
      </w:r>
      <w:r w:rsidR="003A511B" w:rsidRPr="00243B71">
        <w:rPr>
          <w:sz w:val="22"/>
          <w:szCs w:val="22"/>
        </w:rPr>
        <w:t xml:space="preserve">in according to </w:t>
      </w:r>
      <w:r w:rsidRPr="00243B71">
        <w:rPr>
          <w:sz w:val="22"/>
          <w:szCs w:val="22"/>
        </w:rPr>
        <w:t xml:space="preserve">the </w:t>
      </w:r>
      <w:r w:rsidR="003A511B" w:rsidRPr="00243B71">
        <w:rPr>
          <w:sz w:val="22"/>
          <w:szCs w:val="22"/>
        </w:rPr>
        <w:t xml:space="preserve">amount indicated </w:t>
      </w:r>
      <w:r w:rsidRPr="00243B71">
        <w:rPr>
          <w:sz w:val="22"/>
          <w:szCs w:val="22"/>
        </w:rPr>
        <w:t xml:space="preserve">in the </w:t>
      </w:r>
      <w:r w:rsidR="003A511B" w:rsidRPr="00243B71">
        <w:rPr>
          <w:sz w:val="22"/>
          <w:szCs w:val="22"/>
        </w:rPr>
        <w:t>Terms of Reference</w:t>
      </w:r>
      <w:r w:rsidRPr="00243B71">
        <w:rPr>
          <w:sz w:val="22"/>
          <w:szCs w:val="22"/>
        </w:rPr>
        <w:t>.</w:t>
      </w:r>
    </w:p>
    <w:p w14:paraId="5D42550A" w14:textId="7C695296" w:rsidR="00A02FB1" w:rsidRPr="00B20D04" w:rsidRDefault="003A511B" w:rsidP="00061CFC">
      <w:pPr>
        <w:numPr>
          <w:ilvl w:val="0"/>
          <w:numId w:val="24"/>
        </w:numPr>
        <w:spacing w:before="120" w:after="120"/>
        <w:rPr>
          <w:sz w:val="22"/>
          <w:szCs w:val="22"/>
        </w:rPr>
      </w:pPr>
      <w:r w:rsidRPr="00243B71">
        <w:rPr>
          <w:sz w:val="22"/>
          <w:szCs w:val="22"/>
        </w:rPr>
        <w:t xml:space="preserve">Note that a schedule based on the ‘Estimated number of </w:t>
      </w:r>
      <w:r w:rsidR="0072787A">
        <w:rPr>
          <w:sz w:val="22"/>
          <w:szCs w:val="22"/>
        </w:rPr>
        <w:t>person/</w:t>
      </w:r>
      <w:r w:rsidR="00461340">
        <w:rPr>
          <w:sz w:val="22"/>
          <w:szCs w:val="22"/>
        </w:rPr>
        <w:t>months</w:t>
      </w:r>
      <w:r w:rsidRPr="00243B71">
        <w:rPr>
          <w:sz w:val="22"/>
          <w:szCs w:val="22"/>
        </w:rPr>
        <w:t>’ worksheet within this spreadsheet must also be included as part of the Organisation and Methodology in the technical offer.</w:t>
      </w:r>
    </w:p>
    <w:p w14:paraId="44487949" w14:textId="68C0ED76" w:rsidR="003436FE" w:rsidRDefault="003436FE" w:rsidP="00570E73">
      <w:pPr>
        <w:shd w:val="clear" w:color="auto" w:fill="FFFFFF"/>
        <w:spacing w:after="120"/>
        <w:jc w:val="both"/>
        <w:rPr>
          <w:sz w:val="22"/>
          <w:szCs w:val="22"/>
        </w:rPr>
      </w:pPr>
      <w:r w:rsidRPr="007216D0">
        <w:rPr>
          <w:sz w:val="22"/>
          <w:szCs w:val="22"/>
        </w:rPr>
        <w:t xml:space="preserve"> Payments</w:t>
      </w:r>
      <w:r w:rsidRPr="00243B71">
        <w:rPr>
          <w:sz w:val="22"/>
          <w:szCs w:val="22"/>
        </w:rPr>
        <w:t xml:space="preserve"> under this contract will be made in </w:t>
      </w:r>
      <w:r w:rsidR="006F25A2" w:rsidRPr="00243B71">
        <w:rPr>
          <w:sz w:val="22"/>
          <w:szCs w:val="22"/>
        </w:rPr>
        <w:t>the currency of the tender.</w:t>
      </w:r>
      <w:r w:rsidRPr="00243B71">
        <w:rPr>
          <w:sz w:val="22"/>
          <w:szCs w:val="22"/>
        </w:rPr>
        <w:t xml:space="preserve"> </w:t>
      </w:r>
    </w:p>
    <w:p w14:paraId="4B6E9DA9" w14:textId="77777777" w:rsidR="0072787A" w:rsidRPr="002B370E" w:rsidRDefault="0072787A" w:rsidP="0072787A">
      <w:pPr>
        <w:shd w:val="clear" w:color="auto" w:fill="FFFFFF"/>
        <w:spacing w:before="120" w:after="120"/>
        <w:jc w:val="both"/>
        <w:rPr>
          <w:sz w:val="22"/>
          <w:szCs w:val="22"/>
        </w:rPr>
      </w:pPr>
      <w:r>
        <w:rPr>
          <w:sz w:val="22"/>
          <w:szCs w:val="22"/>
        </w:rPr>
        <w:t xml:space="preserve">A price adjustment provision for foreign and/or local inflation for remuneration rates applies to this contract. </w:t>
      </w:r>
    </w:p>
    <w:p w14:paraId="6DA33316" w14:textId="75470647" w:rsidR="0072787A" w:rsidRPr="002B370E" w:rsidRDefault="0072787A" w:rsidP="0072787A">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Pr>
          <w:sz w:val="22"/>
          <w:szCs w:val="22"/>
        </w:rPr>
        <w:t>s:</w:t>
      </w:r>
      <w:r w:rsidRPr="002B370E">
        <w:rPr>
          <w:sz w:val="22"/>
          <w:szCs w:val="22"/>
        </w:rPr>
        <w:t xml:space="preserve"> </w:t>
      </w:r>
    </w:p>
    <w:p w14:paraId="28EBB2E7" w14:textId="77777777" w:rsidR="0072787A" w:rsidRDefault="0072787A" w:rsidP="0072787A">
      <w:pPr>
        <w:shd w:val="clear" w:color="auto" w:fill="FFFFFF"/>
        <w:spacing w:before="120" w:after="120"/>
        <w:jc w:val="both"/>
        <w:rPr>
          <w:sz w:val="22"/>
          <w:szCs w:val="22"/>
          <w:u w:val="single"/>
        </w:rPr>
      </w:pPr>
      <w:r w:rsidRPr="002B370E">
        <w:rPr>
          <w:sz w:val="22"/>
          <w:szCs w:val="22"/>
          <w:u w:val="single"/>
        </w:rPr>
        <w:t>Exemption of taxes</w:t>
      </w:r>
    </w:p>
    <w:p w14:paraId="753B0E93" w14:textId="77777777" w:rsidR="0072787A" w:rsidRPr="00BB2C8F" w:rsidRDefault="0072787A" w:rsidP="0072787A">
      <w:pPr>
        <w:spacing w:before="120"/>
        <w:jc w:val="both"/>
        <w:rPr>
          <w:sz w:val="22"/>
          <w:szCs w:val="22"/>
        </w:rPr>
      </w:pPr>
      <w:r w:rsidRPr="00BB2C8F">
        <w:rPr>
          <w:sz w:val="22"/>
          <w:szCs w:val="22"/>
        </w:rPr>
        <w:t>The Accepted Contract Amount shall be deemed to include</w:t>
      </w:r>
      <w:r>
        <w:rPr>
          <w:sz w:val="22"/>
          <w:szCs w:val="22"/>
        </w:rPr>
        <w:t>:</w:t>
      </w:r>
    </w:p>
    <w:p w14:paraId="75AB0241" w14:textId="77777777" w:rsidR="0072787A" w:rsidRPr="00BA22D6" w:rsidRDefault="0072787A" w:rsidP="0072787A">
      <w:pPr>
        <w:numPr>
          <w:ilvl w:val="0"/>
          <w:numId w:val="25"/>
        </w:numPr>
        <w:spacing w:before="120"/>
        <w:jc w:val="both"/>
        <w:rPr>
          <w:sz w:val="22"/>
          <w:szCs w:val="22"/>
        </w:rPr>
      </w:pPr>
      <w:r w:rsidRPr="00BA22D6">
        <w:rPr>
          <w:sz w:val="22"/>
          <w:szCs w:val="22"/>
        </w:rPr>
        <w:t>all taxes, business taxes, duties, port dues, quay dues, and other charges that may be levied in accordance with laws and regulations in force on the date 28 days prior to the latest date for submission of tender, imposed outside the Employer's Country,</w:t>
      </w:r>
    </w:p>
    <w:p w14:paraId="3C826456" w14:textId="77777777" w:rsidR="0072787A" w:rsidRDefault="0072787A" w:rsidP="0072787A">
      <w:pPr>
        <w:numPr>
          <w:ilvl w:val="0"/>
          <w:numId w:val="25"/>
        </w:numPr>
        <w:spacing w:before="120"/>
        <w:jc w:val="both"/>
        <w:rPr>
          <w:sz w:val="22"/>
          <w:szCs w:val="22"/>
        </w:rPr>
      </w:pPr>
      <w:proofErr w:type="gramStart"/>
      <w:r w:rsidRPr="00BA22D6">
        <w:rPr>
          <w:sz w:val="22"/>
          <w:szCs w:val="22"/>
        </w:rPr>
        <w:t>taxes</w:t>
      </w:r>
      <w:proofErr w:type="gramEnd"/>
      <w:r w:rsidRPr="00BA22D6">
        <w:rPr>
          <w:sz w:val="22"/>
          <w:szCs w:val="22"/>
        </w:rPr>
        <w:t xml:space="preserve"> and other charges, in compliance with the national laws in force on the date 28 days prior to the latest date for submission of tender, concerning the execution of the project, imposed within the Employer’s country, on services performed under the Contract.</w:t>
      </w:r>
    </w:p>
    <w:p w14:paraId="7150004B" w14:textId="77777777" w:rsidR="0072787A" w:rsidRPr="00F77BF8" w:rsidRDefault="0072787A" w:rsidP="0072787A">
      <w:pPr>
        <w:numPr>
          <w:ilvl w:val="0"/>
          <w:numId w:val="25"/>
        </w:numPr>
        <w:spacing w:before="120"/>
        <w:jc w:val="both"/>
        <w:rPr>
          <w:sz w:val="22"/>
          <w:szCs w:val="22"/>
        </w:rPr>
      </w:pPr>
      <w:r w:rsidRPr="00B8674D">
        <w:rPr>
          <w:sz w:val="22"/>
          <w:szCs w:val="22"/>
        </w:rPr>
        <w:t>VAT on Payment Certificates will be paid in compliance with the national laws concerning the execution of the project.</w:t>
      </w:r>
    </w:p>
    <w:p w14:paraId="28D83D2B" w14:textId="77777777" w:rsidR="0072787A" w:rsidRDefault="0072787A" w:rsidP="00570E73">
      <w:pPr>
        <w:shd w:val="clear" w:color="auto" w:fill="FFFFFF"/>
        <w:spacing w:after="120"/>
        <w:jc w:val="both"/>
        <w:rPr>
          <w:sz w:val="22"/>
          <w:szCs w:val="22"/>
        </w:rPr>
      </w:pPr>
    </w:p>
    <w:p w14:paraId="59C9ED39" w14:textId="77777777" w:rsidR="00061CFC" w:rsidRPr="00243B71" w:rsidRDefault="00061CFC" w:rsidP="00570E73">
      <w:pPr>
        <w:shd w:val="clear" w:color="auto" w:fill="FFFFFF"/>
        <w:spacing w:after="120"/>
        <w:jc w:val="both"/>
        <w:rPr>
          <w:sz w:val="22"/>
          <w:szCs w:val="22"/>
        </w:rPr>
      </w:pPr>
    </w:p>
    <w:p w14:paraId="4E1E84BF" w14:textId="77777777" w:rsidR="003436FE" w:rsidRPr="00243B71" w:rsidRDefault="003436FE" w:rsidP="00F03AB1">
      <w:pPr>
        <w:numPr>
          <w:ilvl w:val="0"/>
          <w:numId w:val="4"/>
        </w:numPr>
        <w:spacing w:before="240" w:after="120"/>
        <w:jc w:val="both"/>
        <w:rPr>
          <w:b/>
          <w:sz w:val="22"/>
          <w:szCs w:val="22"/>
        </w:rPr>
      </w:pPr>
      <w:r w:rsidRPr="00243B71">
        <w:rPr>
          <w:b/>
          <w:sz w:val="22"/>
          <w:szCs w:val="22"/>
        </w:rPr>
        <w:lastRenderedPageBreak/>
        <w:t>Variant solutions</w:t>
      </w:r>
    </w:p>
    <w:p w14:paraId="03D77F23" w14:textId="77777777" w:rsidR="003436FE" w:rsidRPr="00243B71" w:rsidRDefault="003436FE" w:rsidP="00570E73">
      <w:pPr>
        <w:rPr>
          <w:sz w:val="22"/>
          <w:szCs w:val="22"/>
        </w:rPr>
      </w:pPr>
      <w:r w:rsidRPr="00243B71">
        <w:rPr>
          <w:sz w:val="22"/>
          <w:szCs w:val="22"/>
        </w:rPr>
        <w:t>Tend</w:t>
      </w:r>
      <w:r w:rsidR="009E627F" w:rsidRPr="00243B71">
        <w:rPr>
          <w:sz w:val="22"/>
          <w:szCs w:val="22"/>
        </w:rPr>
        <w:t xml:space="preserve">erers </w:t>
      </w:r>
      <w:r w:rsidRPr="00243B71">
        <w:rPr>
          <w:b/>
          <w:sz w:val="22"/>
          <w:szCs w:val="22"/>
        </w:rPr>
        <w:t>are</w:t>
      </w:r>
      <w:r w:rsidR="009E627F" w:rsidRPr="00243B71">
        <w:rPr>
          <w:b/>
          <w:sz w:val="22"/>
          <w:szCs w:val="22"/>
        </w:rPr>
        <w:t xml:space="preserve"> </w:t>
      </w:r>
      <w:r w:rsidRPr="00243B71">
        <w:rPr>
          <w:b/>
          <w:sz w:val="22"/>
          <w:szCs w:val="22"/>
        </w:rPr>
        <w:t>not</w:t>
      </w:r>
      <w:r w:rsidRPr="00243B71">
        <w:rPr>
          <w:sz w:val="22"/>
          <w:szCs w:val="22"/>
        </w:rPr>
        <w:t xml:space="preserve"> authorised to tender for a variant in addition to this tender.</w:t>
      </w:r>
    </w:p>
    <w:p w14:paraId="7D351CD4" w14:textId="77777777" w:rsidR="003436FE" w:rsidRPr="00243B71" w:rsidRDefault="003436FE" w:rsidP="00F03AB1">
      <w:pPr>
        <w:numPr>
          <w:ilvl w:val="0"/>
          <w:numId w:val="4"/>
        </w:numPr>
        <w:spacing w:before="240" w:after="120"/>
        <w:jc w:val="both"/>
        <w:rPr>
          <w:b/>
          <w:sz w:val="22"/>
          <w:szCs w:val="22"/>
        </w:rPr>
      </w:pPr>
      <w:r w:rsidRPr="00243B71">
        <w:rPr>
          <w:b/>
          <w:sz w:val="22"/>
          <w:szCs w:val="22"/>
        </w:rPr>
        <w:t>Period during which tenders are binding</w:t>
      </w:r>
    </w:p>
    <w:p w14:paraId="799FFD47" w14:textId="48B035AB" w:rsidR="006F4960" w:rsidRPr="00243B71" w:rsidRDefault="003436FE" w:rsidP="00570E73">
      <w:pPr>
        <w:spacing w:after="120"/>
        <w:jc w:val="both"/>
        <w:rPr>
          <w:sz w:val="22"/>
          <w:szCs w:val="22"/>
        </w:rPr>
      </w:pPr>
      <w:r w:rsidRPr="00243B71">
        <w:rPr>
          <w:sz w:val="22"/>
          <w:szCs w:val="22"/>
        </w:rPr>
        <w:t xml:space="preserve">Tenderers are bound by their tenders for </w:t>
      </w:r>
      <w:r w:rsidR="00846255" w:rsidRPr="00243B71">
        <w:rPr>
          <w:sz w:val="22"/>
          <w:szCs w:val="22"/>
        </w:rPr>
        <w:t>1</w:t>
      </w:r>
      <w:r w:rsidR="00391E31">
        <w:rPr>
          <w:sz w:val="22"/>
          <w:szCs w:val="22"/>
        </w:rPr>
        <w:t>1</w:t>
      </w:r>
      <w:r w:rsidR="00846255" w:rsidRPr="00243B71">
        <w:rPr>
          <w:sz w:val="22"/>
          <w:szCs w:val="22"/>
        </w:rPr>
        <w:t>0 days</w:t>
      </w:r>
      <w:r w:rsidR="00A26B63" w:rsidRPr="00243B71">
        <w:rPr>
          <w:sz w:val="22"/>
          <w:szCs w:val="22"/>
        </w:rPr>
        <w:t xml:space="preserve"> </w:t>
      </w:r>
      <w:r w:rsidRPr="00243B71">
        <w:rPr>
          <w:sz w:val="22"/>
          <w:szCs w:val="22"/>
        </w:rPr>
        <w:t>after the deadline for submitting tenders</w:t>
      </w:r>
      <w:r w:rsidR="006F4960" w:rsidRPr="00243B71">
        <w:rPr>
          <w:sz w:val="22"/>
          <w:szCs w:val="22"/>
        </w:rPr>
        <w:t>.</w:t>
      </w:r>
      <w:r w:rsidR="00574DD1" w:rsidRPr="00243B71">
        <w:rPr>
          <w:sz w:val="22"/>
          <w:szCs w:val="22"/>
        </w:rPr>
        <w:t xml:space="preserve"> </w:t>
      </w:r>
    </w:p>
    <w:p w14:paraId="09C48E33" w14:textId="77777777" w:rsidR="00CF36CE" w:rsidRPr="00243B71" w:rsidRDefault="00CF36CE" w:rsidP="00570E73">
      <w:pPr>
        <w:pStyle w:val="BodyText"/>
        <w:tabs>
          <w:tab w:val="left" w:pos="567"/>
        </w:tabs>
        <w:jc w:val="both"/>
        <w:rPr>
          <w:sz w:val="22"/>
          <w:szCs w:val="22"/>
        </w:rPr>
      </w:pPr>
      <w:r w:rsidRPr="00243B71">
        <w:rPr>
          <w:sz w:val="22"/>
          <w:szCs w:val="22"/>
        </w:rPr>
        <w:t xml:space="preserve">The Contracting Authority may ask </w:t>
      </w:r>
      <w:r w:rsidR="005219CB" w:rsidRPr="00243B71">
        <w:rPr>
          <w:sz w:val="22"/>
          <w:szCs w:val="22"/>
        </w:rPr>
        <w:t>t</w:t>
      </w:r>
      <w:r w:rsidRPr="00243B71">
        <w:rPr>
          <w:sz w:val="22"/>
          <w:szCs w:val="22"/>
        </w:rPr>
        <w:t>he tenderer</w:t>
      </w:r>
      <w:r w:rsidR="005219CB" w:rsidRPr="00243B71">
        <w:rPr>
          <w:sz w:val="22"/>
          <w:szCs w:val="22"/>
        </w:rPr>
        <w:t>s</w:t>
      </w:r>
      <w:r w:rsidRPr="00243B71">
        <w:rPr>
          <w:sz w:val="22"/>
          <w:szCs w:val="22"/>
        </w:rPr>
        <w:t xml:space="preserve"> to extend the period for a specific number of days, as deemed necessary.</w:t>
      </w:r>
    </w:p>
    <w:p w14:paraId="548FE250" w14:textId="77777777" w:rsidR="003436FE" w:rsidRPr="00243B71" w:rsidRDefault="003436FE" w:rsidP="00F03AB1">
      <w:pPr>
        <w:numPr>
          <w:ilvl w:val="0"/>
          <w:numId w:val="4"/>
        </w:numPr>
        <w:spacing w:before="240" w:after="120"/>
        <w:jc w:val="both"/>
        <w:rPr>
          <w:b/>
          <w:sz w:val="22"/>
          <w:szCs w:val="22"/>
        </w:rPr>
      </w:pPr>
      <w:r w:rsidRPr="00243B71">
        <w:rPr>
          <w:b/>
          <w:sz w:val="22"/>
          <w:szCs w:val="22"/>
        </w:rPr>
        <w:t>Additional information before the deadline for submitting tenders</w:t>
      </w:r>
    </w:p>
    <w:p w14:paraId="2EEA0236" w14:textId="77777777" w:rsidR="003436FE" w:rsidRPr="00243B71" w:rsidRDefault="003436FE" w:rsidP="00570E73">
      <w:pPr>
        <w:spacing w:after="120"/>
        <w:jc w:val="both"/>
        <w:rPr>
          <w:sz w:val="22"/>
          <w:szCs w:val="22"/>
        </w:rPr>
      </w:pPr>
      <w:r w:rsidRPr="00243B71">
        <w:rPr>
          <w:sz w:val="22"/>
          <w:szCs w:val="22"/>
        </w:rPr>
        <w:t xml:space="preserve">The tender dossier should be clear enough to avoid </w:t>
      </w:r>
      <w:r w:rsidR="00B236F5" w:rsidRPr="00243B71">
        <w:rPr>
          <w:sz w:val="22"/>
          <w:szCs w:val="22"/>
        </w:rPr>
        <w:t>tenderers</w:t>
      </w:r>
      <w:r w:rsidRPr="00243B71">
        <w:rPr>
          <w:sz w:val="22"/>
          <w:szCs w:val="22"/>
        </w:rPr>
        <w:t xml:space="preserve"> having to request additional information during the procedure. </w:t>
      </w:r>
    </w:p>
    <w:p w14:paraId="6263A1B7" w14:textId="08C277B9" w:rsidR="006D36BE" w:rsidRDefault="003436FE" w:rsidP="00570E73">
      <w:pPr>
        <w:spacing w:after="120"/>
        <w:jc w:val="both"/>
        <w:rPr>
          <w:sz w:val="22"/>
          <w:szCs w:val="22"/>
        </w:rPr>
      </w:pPr>
      <w:r w:rsidRPr="00243B71">
        <w:rPr>
          <w:sz w:val="22"/>
          <w:szCs w:val="22"/>
        </w:rPr>
        <w:t xml:space="preserve">Tenderers may submit questions in writing </w:t>
      </w:r>
      <w:r w:rsidR="005F42E1" w:rsidRPr="00243B71">
        <w:rPr>
          <w:b/>
          <w:sz w:val="22"/>
          <w:szCs w:val="22"/>
        </w:rPr>
        <w:t xml:space="preserve">by </w:t>
      </w:r>
      <w:r w:rsidR="00CC421E" w:rsidRPr="00243B71">
        <w:rPr>
          <w:b/>
          <w:sz w:val="22"/>
          <w:szCs w:val="22"/>
        </w:rPr>
        <w:t xml:space="preserve">the deadline specified in item 3 above </w:t>
      </w:r>
      <w:r w:rsidR="00391E31">
        <w:rPr>
          <w:sz w:val="22"/>
          <w:szCs w:val="22"/>
        </w:rPr>
        <w:t xml:space="preserve">specifying the publication reference and the contract title to </w:t>
      </w:r>
      <w:r w:rsidR="00846255" w:rsidRPr="00243B71">
        <w:rPr>
          <w:sz w:val="22"/>
          <w:szCs w:val="22"/>
        </w:rPr>
        <w:t>the Contracting Authority.</w:t>
      </w:r>
    </w:p>
    <w:p w14:paraId="568E05A6" w14:textId="217BA3CC" w:rsidR="00391E31" w:rsidRPr="00243B71" w:rsidRDefault="00391E31" w:rsidP="00391E31">
      <w:pPr>
        <w:spacing w:after="120"/>
        <w:rPr>
          <w:sz w:val="22"/>
          <w:szCs w:val="22"/>
        </w:rPr>
      </w:pPr>
      <w:r>
        <w:rPr>
          <w:sz w:val="22"/>
          <w:szCs w:val="22"/>
        </w:rPr>
        <w:t>Ministry of Construction, Transport and Infrastructure</w:t>
      </w:r>
      <w:r w:rsidRPr="00513581">
        <w:rPr>
          <w:sz w:val="22"/>
          <w:szCs w:val="22"/>
          <w:highlight w:val="yellow"/>
        </w:rPr>
        <w:br/>
      </w:r>
      <w:proofErr w:type="spellStart"/>
      <w:r>
        <w:rPr>
          <w:sz w:val="22"/>
          <w:szCs w:val="22"/>
        </w:rPr>
        <w:t>Nemanjina</w:t>
      </w:r>
      <w:proofErr w:type="spellEnd"/>
      <w:r>
        <w:rPr>
          <w:sz w:val="22"/>
          <w:szCs w:val="22"/>
        </w:rPr>
        <w:t xml:space="preserve"> 22-26</w:t>
      </w:r>
      <w:r w:rsidRPr="00552272">
        <w:rPr>
          <w:sz w:val="22"/>
          <w:szCs w:val="22"/>
        </w:rPr>
        <w:t xml:space="preserve">, 11000 Belgrade, Republic of Serbia </w:t>
      </w:r>
      <w:r w:rsidRPr="00552272">
        <w:rPr>
          <w:sz w:val="22"/>
          <w:szCs w:val="22"/>
        </w:rPr>
        <w:br/>
        <w:t>Fax No:</w:t>
      </w:r>
      <w:r>
        <w:rPr>
          <w:sz w:val="22"/>
          <w:szCs w:val="22"/>
        </w:rPr>
        <w:t xml:space="preserve"> </w:t>
      </w:r>
      <w:r w:rsidRPr="00552272">
        <w:rPr>
          <w:sz w:val="22"/>
          <w:szCs w:val="22"/>
        </w:rPr>
        <w:t>+381 11 3</w:t>
      </w:r>
      <w:r>
        <w:rPr>
          <w:sz w:val="22"/>
          <w:szCs w:val="22"/>
        </w:rPr>
        <w:t xml:space="preserve">616521 </w:t>
      </w:r>
      <w:r w:rsidRPr="00513581">
        <w:rPr>
          <w:sz w:val="22"/>
          <w:szCs w:val="22"/>
          <w:highlight w:val="yellow"/>
        </w:rPr>
        <w:br/>
      </w:r>
      <w:r w:rsidRPr="005B65BB">
        <w:rPr>
          <w:sz w:val="22"/>
          <w:szCs w:val="22"/>
        </w:rPr>
        <w:t>E-mail:</w:t>
      </w:r>
      <w:r>
        <w:rPr>
          <w:sz w:val="22"/>
          <w:szCs w:val="22"/>
        </w:rPr>
        <w:t xml:space="preserve"> </w:t>
      </w:r>
      <w:hyperlink r:id="rId13" w:history="1">
        <w:r w:rsidRPr="00005506">
          <w:rPr>
            <w:rStyle w:val="Hyperlink"/>
            <w:sz w:val="22"/>
            <w:szCs w:val="22"/>
          </w:rPr>
          <w:t>aleksandar.banjac@mgsi.gov.rs</w:t>
        </w:r>
      </w:hyperlink>
    </w:p>
    <w:p w14:paraId="233FC9FD" w14:textId="77777777" w:rsidR="006D36BE" w:rsidRPr="00243B71" w:rsidRDefault="003436FE" w:rsidP="00570E73">
      <w:pPr>
        <w:spacing w:after="120"/>
        <w:jc w:val="both"/>
        <w:rPr>
          <w:sz w:val="22"/>
          <w:szCs w:val="22"/>
        </w:rPr>
      </w:pPr>
      <w:r w:rsidRPr="00243B71">
        <w:rPr>
          <w:sz w:val="22"/>
          <w:szCs w:val="22"/>
        </w:rPr>
        <w:t xml:space="preserve">The Contracting Authority has no obligation to provide clarification </w:t>
      </w:r>
      <w:r w:rsidR="003711CF" w:rsidRPr="00243B71">
        <w:rPr>
          <w:sz w:val="22"/>
          <w:szCs w:val="22"/>
        </w:rPr>
        <w:t xml:space="preserve">to requests transmitted </w:t>
      </w:r>
      <w:r w:rsidRPr="00243B71">
        <w:rPr>
          <w:sz w:val="22"/>
          <w:szCs w:val="22"/>
        </w:rPr>
        <w:t>after this date.</w:t>
      </w:r>
      <w:r w:rsidR="006D36BE" w:rsidRPr="00243B71">
        <w:rPr>
          <w:sz w:val="22"/>
          <w:szCs w:val="22"/>
        </w:rPr>
        <w:t xml:space="preserve"> </w:t>
      </w:r>
    </w:p>
    <w:p w14:paraId="6134C6F3" w14:textId="17AC8DBE" w:rsidR="006D36BE" w:rsidRPr="00243B71" w:rsidRDefault="00CB714C" w:rsidP="00CB714C">
      <w:pPr>
        <w:pStyle w:val="BodyText"/>
        <w:spacing w:before="120" w:after="120"/>
        <w:jc w:val="both"/>
        <w:rPr>
          <w:sz w:val="22"/>
          <w:szCs w:val="22"/>
        </w:rPr>
      </w:pPr>
      <w:r w:rsidRPr="00EF2930">
        <w:rPr>
          <w:sz w:val="22"/>
          <w:szCs w:val="22"/>
        </w:rPr>
        <w:t xml:space="preserve">Any clarification of the tender dossier will be communicated simultaneously in writing to all tenderers </w:t>
      </w:r>
      <w:r w:rsidRPr="00243B71">
        <w:rPr>
          <w:b/>
          <w:sz w:val="22"/>
          <w:szCs w:val="22"/>
        </w:rPr>
        <w:t>by the deadline specified in item 3 above</w:t>
      </w:r>
      <w:r w:rsidRPr="00EF2930">
        <w:rPr>
          <w:sz w:val="22"/>
          <w:szCs w:val="22"/>
        </w:rPr>
        <w:t xml:space="preserve">. </w:t>
      </w:r>
      <w:r w:rsidR="006D36BE" w:rsidRPr="00243B71">
        <w:rPr>
          <w:sz w:val="22"/>
          <w:szCs w:val="22"/>
        </w:rPr>
        <w:t xml:space="preserve">The Contracting Authority will publish its replies on </w:t>
      </w:r>
      <w:r w:rsidR="00846255" w:rsidRPr="00243B71">
        <w:rPr>
          <w:sz w:val="22"/>
          <w:szCs w:val="22"/>
        </w:rPr>
        <w:t xml:space="preserve">the website of the Ministry of Construction, Transport and </w:t>
      </w:r>
      <w:proofErr w:type="gramStart"/>
      <w:r w:rsidR="00846255" w:rsidRPr="00243B71">
        <w:rPr>
          <w:sz w:val="22"/>
          <w:szCs w:val="22"/>
        </w:rPr>
        <w:t xml:space="preserve">Infrastructure  </w:t>
      </w:r>
      <w:proofErr w:type="gramEnd"/>
      <w:r w:rsidR="00A25BF6">
        <w:fldChar w:fldCharType="begin"/>
      </w:r>
      <w:r w:rsidR="00A25BF6">
        <w:instrText xml:space="preserve"> HYPERLINK "https://www.mgsi.gov.rs/" </w:instrText>
      </w:r>
      <w:r w:rsidR="00A25BF6">
        <w:fldChar w:fldCharType="separate"/>
      </w:r>
      <w:r w:rsidR="00846255" w:rsidRPr="00243B71">
        <w:rPr>
          <w:rStyle w:val="Hyperlink"/>
          <w:sz w:val="22"/>
          <w:szCs w:val="22"/>
        </w:rPr>
        <w:t>https://www.mgsi.gov.rs/</w:t>
      </w:r>
      <w:r w:rsidR="00A25BF6">
        <w:rPr>
          <w:rStyle w:val="Hyperlink"/>
          <w:sz w:val="22"/>
          <w:szCs w:val="22"/>
        </w:rPr>
        <w:fldChar w:fldCharType="end"/>
      </w:r>
      <w:r w:rsidR="006D36BE" w:rsidRPr="00243B71">
        <w:rPr>
          <w:sz w:val="22"/>
          <w:szCs w:val="22"/>
        </w:rPr>
        <w:t xml:space="preserve">. </w:t>
      </w:r>
    </w:p>
    <w:p w14:paraId="40C14287" w14:textId="654CA96F" w:rsidR="003436FE" w:rsidRPr="00243B71" w:rsidRDefault="003436FE" w:rsidP="00570E73">
      <w:pPr>
        <w:pStyle w:val="BodyText"/>
        <w:spacing w:after="120"/>
        <w:jc w:val="both"/>
        <w:rPr>
          <w:sz w:val="22"/>
          <w:szCs w:val="22"/>
        </w:rPr>
      </w:pPr>
      <w:r w:rsidRPr="00243B71">
        <w:rPr>
          <w:sz w:val="22"/>
          <w:szCs w:val="22"/>
        </w:rPr>
        <w:t>Any tenderer seeking to arrange individual meetings with the Contracting Authority concerning this contract during the tender period may be excluded from the tender procedure.</w:t>
      </w:r>
    </w:p>
    <w:p w14:paraId="5121FE3F" w14:textId="51C68139" w:rsidR="002D1FA8" w:rsidRPr="00243B71" w:rsidRDefault="002D1FA8" w:rsidP="00570E73">
      <w:pPr>
        <w:pStyle w:val="BodyText"/>
        <w:jc w:val="both"/>
        <w:rPr>
          <w:sz w:val="22"/>
          <w:szCs w:val="22"/>
        </w:rPr>
      </w:pPr>
      <w:r w:rsidRPr="00243B71">
        <w:rPr>
          <w:sz w:val="22"/>
          <w:szCs w:val="22"/>
        </w:rPr>
        <w:t>No information meeting and no site visit is foreseen. Visits by individual prospective tenderers during the te</w:t>
      </w:r>
      <w:r w:rsidR="00EC785B" w:rsidRPr="00243B71">
        <w:rPr>
          <w:sz w:val="22"/>
          <w:szCs w:val="22"/>
        </w:rPr>
        <w:t>nder period cannot be organised by the Contracting Authority.</w:t>
      </w:r>
    </w:p>
    <w:p w14:paraId="2023A27C" w14:textId="77777777" w:rsidR="003436FE" w:rsidRPr="00243B71" w:rsidRDefault="003436FE" w:rsidP="00F03AB1">
      <w:pPr>
        <w:numPr>
          <w:ilvl w:val="0"/>
          <w:numId w:val="4"/>
        </w:numPr>
        <w:spacing w:before="240" w:after="120"/>
        <w:jc w:val="both"/>
        <w:rPr>
          <w:b/>
          <w:sz w:val="22"/>
          <w:szCs w:val="22"/>
        </w:rPr>
      </w:pPr>
      <w:bookmarkStart w:id="3" w:name="_Ref499614274"/>
      <w:bookmarkStart w:id="4" w:name="_Ref499982672"/>
      <w:r w:rsidRPr="00243B71">
        <w:rPr>
          <w:b/>
          <w:sz w:val="22"/>
          <w:szCs w:val="22"/>
        </w:rPr>
        <w:t>Submission of tenders</w:t>
      </w:r>
      <w:bookmarkEnd w:id="3"/>
      <w:bookmarkEnd w:id="4"/>
    </w:p>
    <w:p w14:paraId="54AB3B84" w14:textId="261F3246" w:rsidR="000A70E2" w:rsidRPr="00243B71" w:rsidRDefault="00CA1A31" w:rsidP="00CA1A31">
      <w:pPr>
        <w:spacing w:after="120"/>
        <w:jc w:val="both"/>
        <w:rPr>
          <w:sz w:val="22"/>
          <w:szCs w:val="22"/>
        </w:rPr>
      </w:pPr>
      <w:r w:rsidRPr="00243B71">
        <w:rPr>
          <w:sz w:val="22"/>
          <w:szCs w:val="22"/>
        </w:rPr>
        <w:t xml:space="preserve">Tenders must be </w:t>
      </w:r>
      <w:r w:rsidR="00846255" w:rsidRPr="00243B71">
        <w:rPr>
          <w:sz w:val="22"/>
          <w:szCs w:val="22"/>
        </w:rPr>
        <w:t xml:space="preserve">delivered to the Contracting Authority </w:t>
      </w:r>
      <w:r w:rsidR="00846255" w:rsidRPr="00CB714C">
        <w:rPr>
          <w:sz w:val="22"/>
          <w:szCs w:val="22"/>
        </w:rPr>
        <w:t xml:space="preserve">by </w:t>
      </w:r>
      <w:r w:rsidR="00CB714C" w:rsidRPr="00CB714C">
        <w:rPr>
          <w:b/>
          <w:bCs/>
          <w:sz w:val="22"/>
          <w:szCs w:val="22"/>
        </w:rPr>
        <w:t>September 30</w:t>
      </w:r>
      <w:r w:rsidR="00846255" w:rsidRPr="00CB714C">
        <w:rPr>
          <w:b/>
          <w:bCs/>
          <w:sz w:val="22"/>
          <w:szCs w:val="22"/>
        </w:rPr>
        <w:t xml:space="preserve">, </w:t>
      </w:r>
      <w:r w:rsidR="00CB714C" w:rsidRPr="00CB714C">
        <w:rPr>
          <w:b/>
          <w:bCs/>
          <w:sz w:val="22"/>
          <w:szCs w:val="22"/>
        </w:rPr>
        <w:t>2025,</w:t>
      </w:r>
      <w:r w:rsidR="00846255" w:rsidRPr="00CB714C">
        <w:rPr>
          <w:b/>
          <w:bCs/>
          <w:sz w:val="22"/>
          <w:szCs w:val="22"/>
        </w:rPr>
        <w:t xml:space="preserve"> </w:t>
      </w:r>
      <w:r w:rsidR="00CB714C" w:rsidRPr="00CB714C">
        <w:rPr>
          <w:b/>
          <w:bCs/>
          <w:sz w:val="22"/>
          <w:szCs w:val="22"/>
        </w:rPr>
        <w:t>1</w:t>
      </w:r>
      <w:r w:rsidR="00846255" w:rsidRPr="00CB714C">
        <w:rPr>
          <w:b/>
          <w:bCs/>
          <w:sz w:val="22"/>
          <w:szCs w:val="22"/>
        </w:rPr>
        <w:t>3:00 local time</w:t>
      </w:r>
      <w:r w:rsidR="00846255" w:rsidRPr="00CB714C">
        <w:rPr>
          <w:sz w:val="22"/>
          <w:szCs w:val="22"/>
        </w:rPr>
        <w:t xml:space="preserve">. </w:t>
      </w:r>
      <w:r w:rsidR="000A70E2" w:rsidRPr="00CB714C">
        <w:rPr>
          <w:sz w:val="22"/>
          <w:szCs w:val="22"/>
        </w:rPr>
        <w:t>They must include documents as listed in point 7 and be sent</w:t>
      </w:r>
      <w:r w:rsidR="000A70E2" w:rsidRPr="00243B71">
        <w:rPr>
          <w:sz w:val="22"/>
          <w:szCs w:val="22"/>
        </w:rPr>
        <w:t>:</w:t>
      </w:r>
    </w:p>
    <w:p w14:paraId="691D5D7C" w14:textId="7ED1F0FE" w:rsidR="000A70E2" w:rsidRPr="00243B71" w:rsidRDefault="000A70E2" w:rsidP="000A70E2">
      <w:pPr>
        <w:pStyle w:val="ListParagraph"/>
        <w:numPr>
          <w:ilvl w:val="0"/>
          <w:numId w:val="22"/>
        </w:numPr>
        <w:spacing w:after="120"/>
        <w:jc w:val="both"/>
        <w:rPr>
          <w:rFonts w:ascii="Times New Roman" w:hAnsi="Times New Roman" w:cs="Times New Roman"/>
        </w:rPr>
      </w:pPr>
      <w:r w:rsidRPr="00243B71">
        <w:rPr>
          <w:rFonts w:ascii="Times New Roman" w:hAnsi="Times New Roman" w:cs="Times New Roman"/>
        </w:rPr>
        <w:t xml:space="preserve">EITHER by post of by courier service to: </w:t>
      </w:r>
    </w:p>
    <w:p w14:paraId="102D43A8" w14:textId="77777777" w:rsidR="000A70E2" w:rsidRPr="00243B71" w:rsidRDefault="000A70E2" w:rsidP="000A70E2">
      <w:pPr>
        <w:pStyle w:val="ListParagraph"/>
        <w:spacing w:after="120"/>
        <w:jc w:val="center"/>
        <w:rPr>
          <w:rFonts w:ascii="Times New Roman" w:hAnsi="Times New Roman" w:cs="Times New Roman"/>
        </w:rPr>
      </w:pPr>
      <w:r w:rsidRPr="00243B71">
        <w:rPr>
          <w:rFonts w:ascii="Times New Roman" w:hAnsi="Times New Roman" w:cs="Times New Roman"/>
        </w:rPr>
        <w:t xml:space="preserve">Ministry of Construction, Transport and Infrastructure, </w:t>
      </w:r>
    </w:p>
    <w:p w14:paraId="1E35106C" w14:textId="1AD5185B" w:rsidR="000A70E2" w:rsidRPr="00243B71" w:rsidRDefault="000A70E2" w:rsidP="000A70E2">
      <w:pPr>
        <w:pStyle w:val="ListParagraph"/>
        <w:spacing w:after="120"/>
        <w:jc w:val="center"/>
        <w:rPr>
          <w:rFonts w:ascii="Times New Roman" w:hAnsi="Times New Roman" w:cs="Times New Roman"/>
        </w:rPr>
      </w:pPr>
      <w:proofErr w:type="spellStart"/>
      <w:r w:rsidRPr="00243B71">
        <w:rPr>
          <w:rFonts w:ascii="Times New Roman" w:hAnsi="Times New Roman" w:cs="Times New Roman"/>
        </w:rPr>
        <w:t>Nemanjina</w:t>
      </w:r>
      <w:proofErr w:type="spellEnd"/>
      <w:r w:rsidRPr="00243B71">
        <w:rPr>
          <w:rFonts w:ascii="Times New Roman" w:hAnsi="Times New Roman" w:cs="Times New Roman"/>
        </w:rPr>
        <w:t xml:space="preserve"> 22-26, 11000 Belgrade, Republic of Serbia</w:t>
      </w:r>
    </w:p>
    <w:p w14:paraId="2CD3FD86" w14:textId="15D87C7A" w:rsidR="000A70E2" w:rsidRPr="00243B71" w:rsidRDefault="000A70E2" w:rsidP="000A70E2">
      <w:pPr>
        <w:pStyle w:val="ListParagraph"/>
        <w:numPr>
          <w:ilvl w:val="0"/>
          <w:numId w:val="22"/>
        </w:numPr>
        <w:spacing w:after="120"/>
        <w:jc w:val="both"/>
        <w:rPr>
          <w:rFonts w:ascii="Times New Roman" w:hAnsi="Times New Roman" w:cs="Times New Roman"/>
        </w:rPr>
      </w:pPr>
      <w:r w:rsidRPr="00243B71">
        <w:rPr>
          <w:rFonts w:ascii="Times New Roman" w:hAnsi="Times New Roman" w:cs="Times New Roman"/>
        </w:rPr>
        <w:t xml:space="preserve">OR hand delivered by the participant in person or by an agent </w:t>
      </w:r>
      <w:proofErr w:type="spellStart"/>
      <w:r w:rsidRPr="00243B71">
        <w:rPr>
          <w:rFonts w:ascii="Times New Roman" w:hAnsi="Times New Roman" w:cs="Times New Roman"/>
        </w:rPr>
        <w:t>firectly</w:t>
      </w:r>
      <w:proofErr w:type="spellEnd"/>
      <w:r w:rsidRPr="00243B71">
        <w:rPr>
          <w:rFonts w:ascii="Times New Roman" w:hAnsi="Times New Roman" w:cs="Times New Roman"/>
        </w:rPr>
        <w:t xml:space="preserve"> to the premises of the Contracting Authority in </w:t>
      </w:r>
      <w:proofErr w:type="spellStart"/>
      <w:r w:rsidRPr="00243B71">
        <w:rPr>
          <w:rFonts w:ascii="Times New Roman" w:hAnsi="Times New Roman" w:cs="Times New Roman"/>
        </w:rPr>
        <w:t>retur</w:t>
      </w:r>
      <w:proofErr w:type="spellEnd"/>
      <w:r w:rsidRPr="00243B71">
        <w:rPr>
          <w:rFonts w:ascii="Times New Roman" w:hAnsi="Times New Roman" w:cs="Times New Roman"/>
        </w:rPr>
        <w:t xml:space="preserve"> for a signed and dated </w:t>
      </w:r>
      <w:proofErr w:type="spellStart"/>
      <w:r w:rsidRPr="00243B71">
        <w:rPr>
          <w:rFonts w:ascii="Times New Roman" w:hAnsi="Times New Roman" w:cs="Times New Roman"/>
        </w:rPr>
        <w:t>r</w:t>
      </w:r>
      <w:r w:rsidR="00CB714C">
        <w:rPr>
          <w:rFonts w:ascii="Times New Roman" w:hAnsi="Times New Roman" w:cs="Times New Roman"/>
        </w:rPr>
        <w:t>F</w:t>
      </w:r>
      <w:r w:rsidRPr="00243B71">
        <w:rPr>
          <w:rFonts w:ascii="Times New Roman" w:hAnsi="Times New Roman" w:cs="Times New Roman"/>
        </w:rPr>
        <w:t>eceipt</w:t>
      </w:r>
      <w:proofErr w:type="spellEnd"/>
      <w:r w:rsidRPr="00243B71">
        <w:rPr>
          <w:rFonts w:ascii="Times New Roman" w:hAnsi="Times New Roman" w:cs="Times New Roman"/>
        </w:rPr>
        <w:t xml:space="preserve">, to: </w:t>
      </w:r>
    </w:p>
    <w:p w14:paraId="27A96A20" w14:textId="7DAC8C15" w:rsidR="000A70E2" w:rsidRPr="00243B71" w:rsidRDefault="000A70E2" w:rsidP="000A70E2">
      <w:pPr>
        <w:pStyle w:val="ListParagraph"/>
        <w:spacing w:after="120"/>
        <w:jc w:val="center"/>
        <w:rPr>
          <w:rFonts w:ascii="Times New Roman" w:hAnsi="Times New Roman" w:cs="Times New Roman"/>
        </w:rPr>
      </w:pPr>
      <w:r w:rsidRPr="00243B71">
        <w:rPr>
          <w:rFonts w:ascii="Times New Roman" w:hAnsi="Times New Roman" w:cs="Times New Roman"/>
        </w:rPr>
        <w:t>Ministry of Construction, Transport and Infrastructure,</w:t>
      </w:r>
    </w:p>
    <w:p w14:paraId="1655BD66" w14:textId="5BA8B8B1" w:rsidR="000A70E2" w:rsidRPr="00243B71" w:rsidRDefault="000A70E2" w:rsidP="000A70E2">
      <w:pPr>
        <w:pStyle w:val="ListParagraph"/>
        <w:spacing w:after="120"/>
        <w:jc w:val="center"/>
        <w:rPr>
          <w:rFonts w:ascii="Times New Roman" w:hAnsi="Times New Roman" w:cs="Times New Roman"/>
        </w:rPr>
      </w:pPr>
      <w:proofErr w:type="spellStart"/>
      <w:r w:rsidRPr="00243B71">
        <w:rPr>
          <w:rFonts w:ascii="Times New Roman" w:hAnsi="Times New Roman" w:cs="Times New Roman"/>
        </w:rPr>
        <w:t>Nemanjina</w:t>
      </w:r>
      <w:proofErr w:type="spellEnd"/>
      <w:r w:rsidRPr="00243B71">
        <w:rPr>
          <w:rFonts w:ascii="Times New Roman" w:hAnsi="Times New Roman" w:cs="Times New Roman"/>
        </w:rPr>
        <w:t xml:space="preserve"> 22-26, 11000 Belgrade, Republic of Serbia</w:t>
      </w:r>
    </w:p>
    <w:p w14:paraId="00955842" w14:textId="5C276149" w:rsidR="000A70E2" w:rsidRPr="000A70E2" w:rsidRDefault="000A70E2" w:rsidP="000A70E2">
      <w:pPr>
        <w:spacing w:after="120"/>
        <w:jc w:val="both"/>
        <w:rPr>
          <w:sz w:val="22"/>
          <w:szCs w:val="22"/>
        </w:rPr>
      </w:pPr>
      <w:r w:rsidRPr="000A70E2">
        <w:rPr>
          <w:sz w:val="22"/>
          <w:szCs w:val="22"/>
        </w:rPr>
        <w:t>Tenders must be submitted using the double envelope system, i.e. in an outer parcel or envelope containing two separate, sealed envelopes, one bearing the words ‘</w:t>
      </w:r>
      <w:r w:rsidRPr="000A70E2">
        <w:rPr>
          <w:b/>
          <w:sz w:val="22"/>
          <w:szCs w:val="22"/>
        </w:rPr>
        <w:t>Envelope A — Technical offer’</w:t>
      </w:r>
      <w:r w:rsidRPr="000A70E2">
        <w:rPr>
          <w:sz w:val="22"/>
          <w:szCs w:val="22"/>
        </w:rPr>
        <w:t xml:space="preserve"> and the other ‘</w:t>
      </w:r>
      <w:r w:rsidRPr="000A70E2">
        <w:rPr>
          <w:b/>
          <w:sz w:val="22"/>
          <w:szCs w:val="22"/>
        </w:rPr>
        <w:t>Envelope B — Financial offer’</w:t>
      </w:r>
      <w:r w:rsidRPr="000A70E2">
        <w:rPr>
          <w:sz w:val="22"/>
          <w:szCs w:val="22"/>
        </w:rPr>
        <w:t>. All parts of the tender other than the financial offer must be submitted in Envelope A (i.e.</w:t>
      </w:r>
      <w:r w:rsidR="00391E31">
        <w:rPr>
          <w:sz w:val="22"/>
          <w:szCs w:val="22"/>
        </w:rPr>
        <w:t xml:space="preserve"> application, </w:t>
      </w:r>
      <w:r w:rsidRPr="000A70E2">
        <w:rPr>
          <w:sz w:val="22"/>
          <w:szCs w:val="22"/>
        </w:rPr>
        <w:t>the tender submission form, statements of exclusivity and availability of the key experts and declarations).</w:t>
      </w:r>
    </w:p>
    <w:p w14:paraId="7C6792E5" w14:textId="77777777" w:rsidR="000A70E2" w:rsidRPr="000A70E2" w:rsidRDefault="000A70E2" w:rsidP="000A70E2">
      <w:pPr>
        <w:spacing w:after="120"/>
        <w:jc w:val="both"/>
        <w:rPr>
          <w:sz w:val="22"/>
          <w:szCs w:val="22"/>
        </w:rPr>
      </w:pPr>
      <w:r w:rsidRPr="000A70E2">
        <w:rPr>
          <w:sz w:val="22"/>
          <w:szCs w:val="22"/>
        </w:rPr>
        <w:t xml:space="preserve">The outer envelope should provide the following information: </w:t>
      </w:r>
    </w:p>
    <w:p w14:paraId="2C7B60DE" w14:textId="77777777" w:rsidR="000A70E2" w:rsidRPr="000A70E2" w:rsidRDefault="000A70E2" w:rsidP="000A70E2">
      <w:pPr>
        <w:numPr>
          <w:ilvl w:val="0"/>
          <w:numId w:val="23"/>
        </w:numPr>
        <w:spacing w:after="120"/>
        <w:jc w:val="both"/>
        <w:rPr>
          <w:sz w:val="22"/>
          <w:szCs w:val="22"/>
        </w:rPr>
      </w:pPr>
      <w:r w:rsidRPr="000A70E2">
        <w:rPr>
          <w:sz w:val="22"/>
          <w:szCs w:val="22"/>
        </w:rPr>
        <w:t xml:space="preserve">the address for submitting tenders indicated above; </w:t>
      </w:r>
    </w:p>
    <w:p w14:paraId="143FE577" w14:textId="47F8846E" w:rsidR="000A70E2" w:rsidRPr="00061CFC" w:rsidRDefault="000A70E2" w:rsidP="000A70E2">
      <w:pPr>
        <w:numPr>
          <w:ilvl w:val="0"/>
          <w:numId w:val="23"/>
        </w:numPr>
        <w:spacing w:after="120"/>
        <w:jc w:val="both"/>
        <w:rPr>
          <w:sz w:val="22"/>
          <w:szCs w:val="22"/>
        </w:rPr>
      </w:pPr>
      <w:r w:rsidRPr="00061CFC">
        <w:rPr>
          <w:sz w:val="22"/>
          <w:szCs w:val="22"/>
        </w:rPr>
        <w:t xml:space="preserve">the reference code of the tender procedure </w:t>
      </w:r>
      <w:r w:rsidR="00887DB2" w:rsidRPr="00061CFC">
        <w:rPr>
          <w:rFonts w:ascii="Calibri" w:hAnsi="Calibri" w:cs="Calibri"/>
          <w:color w:val="0070C0"/>
          <w:lang w:val="en-US"/>
        </w:rPr>
        <w:t>EIB-</w:t>
      </w:r>
      <w:proofErr w:type="spellStart"/>
      <w:r w:rsidR="00887DB2" w:rsidRPr="00061CFC">
        <w:rPr>
          <w:rFonts w:ascii="Calibri" w:hAnsi="Calibri" w:cs="Calibri"/>
          <w:color w:val="0070C0"/>
          <w:lang w:val="en-US"/>
        </w:rPr>
        <w:t>GtP</w:t>
      </w:r>
      <w:proofErr w:type="spellEnd"/>
      <w:r w:rsidR="00887DB2" w:rsidRPr="00061CFC">
        <w:rPr>
          <w:rFonts w:ascii="Calibri" w:hAnsi="Calibri" w:cs="Calibri"/>
          <w:color w:val="0070C0"/>
          <w:lang w:val="en-US"/>
        </w:rPr>
        <w:t>/003276970/2025/</w:t>
      </w:r>
      <w:r w:rsidR="004D3523">
        <w:rPr>
          <w:rFonts w:ascii="Calibri" w:hAnsi="Calibri" w:cs="Calibri"/>
          <w:color w:val="0070C0"/>
          <w:lang w:val="en-US"/>
        </w:rPr>
        <w:t>1</w:t>
      </w:r>
      <w:r w:rsidR="00887DB2" w:rsidRPr="00061CFC">
        <w:rPr>
          <w:rFonts w:ascii="Calibri" w:hAnsi="Calibri" w:cs="Calibri"/>
          <w:color w:val="0070C0"/>
          <w:lang w:val="en-US"/>
        </w:rPr>
        <w:t>4810 004 003 000 001</w:t>
      </w:r>
      <w:r w:rsidRPr="00061CFC">
        <w:rPr>
          <w:sz w:val="22"/>
          <w:szCs w:val="22"/>
        </w:rPr>
        <w:t>;</w:t>
      </w:r>
    </w:p>
    <w:p w14:paraId="7252BE46" w14:textId="465D29C4" w:rsidR="000A70E2" w:rsidRPr="000A70E2" w:rsidRDefault="000A70E2" w:rsidP="000A70E2">
      <w:pPr>
        <w:numPr>
          <w:ilvl w:val="0"/>
          <w:numId w:val="23"/>
        </w:numPr>
        <w:spacing w:after="120"/>
        <w:jc w:val="both"/>
        <w:rPr>
          <w:sz w:val="22"/>
          <w:szCs w:val="22"/>
        </w:rPr>
      </w:pPr>
      <w:r w:rsidRPr="000A70E2">
        <w:rPr>
          <w:sz w:val="22"/>
          <w:szCs w:val="22"/>
        </w:rPr>
        <w:lastRenderedPageBreak/>
        <w:t xml:space="preserve">the words “Not to be opened before the tender-opening session” and “Ne </w:t>
      </w:r>
      <w:proofErr w:type="spellStart"/>
      <w:r w:rsidRPr="000A70E2">
        <w:rPr>
          <w:sz w:val="22"/>
          <w:szCs w:val="22"/>
        </w:rPr>
        <w:t>otvarati</w:t>
      </w:r>
      <w:proofErr w:type="spellEnd"/>
      <w:r w:rsidRPr="000A70E2">
        <w:rPr>
          <w:sz w:val="22"/>
          <w:szCs w:val="22"/>
        </w:rPr>
        <w:t xml:space="preserve"> pre </w:t>
      </w:r>
      <w:proofErr w:type="spellStart"/>
      <w:r w:rsidRPr="000A70E2">
        <w:rPr>
          <w:sz w:val="22"/>
          <w:szCs w:val="22"/>
        </w:rPr>
        <w:t>zvanične</w:t>
      </w:r>
      <w:proofErr w:type="spellEnd"/>
      <w:r w:rsidRPr="000A70E2">
        <w:rPr>
          <w:sz w:val="22"/>
          <w:szCs w:val="22"/>
        </w:rPr>
        <w:t xml:space="preserve"> </w:t>
      </w:r>
      <w:proofErr w:type="spellStart"/>
      <w:r w:rsidRPr="000A70E2">
        <w:rPr>
          <w:sz w:val="22"/>
          <w:szCs w:val="22"/>
        </w:rPr>
        <w:t>sesije</w:t>
      </w:r>
      <w:proofErr w:type="spellEnd"/>
      <w:r w:rsidRPr="000A70E2">
        <w:rPr>
          <w:sz w:val="22"/>
          <w:szCs w:val="22"/>
        </w:rPr>
        <w:t xml:space="preserve"> </w:t>
      </w:r>
      <w:proofErr w:type="spellStart"/>
      <w:r w:rsidRPr="000A70E2">
        <w:rPr>
          <w:sz w:val="22"/>
          <w:szCs w:val="22"/>
        </w:rPr>
        <w:t>otvaranja</w:t>
      </w:r>
      <w:proofErr w:type="spellEnd"/>
      <w:r w:rsidRPr="000A70E2">
        <w:rPr>
          <w:sz w:val="22"/>
          <w:szCs w:val="22"/>
        </w:rPr>
        <w:t>”</w:t>
      </w:r>
    </w:p>
    <w:p w14:paraId="6B5A7E89" w14:textId="77777777" w:rsidR="000A70E2" w:rsidRPr="000A70E2" w:rsidRDefault="000A70E2" w:rsidP="000A70E2">
      <w:pPr>
        <w:numPr>
          <w:ilvl w:val="0"/>
          <w:numId w:val="23"/>
        </w:numPr>
        <w:spacing w:after="120"/>
        <w:jc w:val="both"/>
        <w:rPr>
          <w:sz w:val="22"/>
          <w:szCs w:val="22"/>
        </w:rPr>
      </w:pPr>
      <w:proofErr w:type="gramStart"/>
      <w:r w:rsidRPr="000A70E2">
        <w:rPr>
          <w:sz w:val="22"/>
          <w:szCs w:val="22"/>
        </w:rPr>
        <w:t>the</w:t>
      </w:r>
      <w:proofErr w:type="gramEnd"/>
      <w:r w:rsidRPr="000A70E2">
        <w:rPr>
          <w:sz w:val="22"/>
          <w:szCs w:val="22"/>
        </w:rPr>
        <w:t xml:space="preserve"> name of the tenderer.</w:t>
      </w:r>
    </w:p>
    <w:p w14:paraId="09B53865" w14:textId="2C8EAA95" w:rsidR="000A70E2" w:rsidRPr="00CB714C" w:rsidRDefault="000A70E2" w:rsidP="000A70E2">
      <w:pPr>
        <w:spacing w:after="120"/>
        <w:jc w:val="both"/>
        <w:rPr>
          <w:sz w:val="22"/>
          <w:szCs w:val="22"/>
          <w:u w:val="single"/>
        </w:rPr>
      </w:pPr>
      <w:r w:rsidRPr="000A70E2">
        <w:rPr>
          <w:sz w:val="22"/>
          <w:szCs w:val="22"/>
        </w:rPr>
        <w:t>Each envelope must include an index of its contents. The pages of the technical and financial offers must be numbered.</w:t>
      </w:r>
      <w:r w:rsidR="00CB714C">
        <w:rPr>
          <w:sz w:val="22"/>
          <w:szCs w:val="22"/>
        </w:rPr>
        <w:t xml:space="preserve"> In addition, </w:t>
      </w:r>
      <w:r w:rsidR="00CB714C" w:rsidRPr="00CB714C">
        <w:rPr>
          <w:sz w:val="22"/>
          <w:szCs w:val="22"/>
          <w:u w:val="single"/>
        </w:rPr>
        <w:t xml:space="preserve">each envelope must contain the electronic version of its content in .pdf format on a USB/CD. </w:t>
      </w:r>
    </w:p>
    <w:p w14:paraId="0FBB2F05" w14:textId="77777777" w:rsidR="00C45FE5" w:rsidRPr="00243B71" w:rsidRDefault="00CA1A31" w:rsidP="00CA1A31">
      <w:pPr>
        <w:spacing w:after="120"/>
        <w:jc w:val="both"/>
        <w:rPr>
          <w:rStyle w:val="Strong"/>
          <w:sz w:val="22"/>
          <w:szCs w:val="22"/>
        </w:rPr>
      </w:pPr>
      <w:r w:rsidRPr="00243B71">
        <w:rPr>
          <w:rStyle w:val="Strong"/>
          <w:sz w:val="22"/>
          <w:szCs w:val="22"/>
        </w:rPr>
        <w:t>Tenders submitted by any other means will not be considered.</w:t>
      </w:r>
      <w:r w:rsidR="00C45FE5" w:rsidRPr="00243B71">
        <w:rPr>
          <w:rStyle w:val="Strong"/>
          <w:sz w:val="22"/>
          <w:szCs w:val="22"/>
        </w:rPr>
        <w:t xml:space="preserve"> </w:t>
      </w:r>
    </w:p>
    <w:p w14:paraId="1B078971" w14:textId="77024D75" w:rsidR="00CA1A31" w:rsidRPr="00243B71" w:rsidRDefault="00C45FE5" w:rsidP="00CA1A31">
      <w:pPr>
        <w:spacing w:after="120"/>
        <w:jc w:val="both"/>
        <w:rPr>
          <w:b/>
          <w:sz w:val="22"/>
          <w:szCs w:val="22"/>
        </w:rPr>
      </w:pPr>
      <w:r w:rsidRPr="00243B71">
        <w:rPr>
          <w:b/>
          <w:sz w:val="22"/>
          <w:szCs w:val="22"/>
        </w:rPr>
        <w:t xml:space="preserve">Any infringement of these rules (e.g., unprotected </w:t>
      </w:r>
      <w:r w:rsidR="00A3421F" w:rsidRPr="00243B71">
        <w:rPr>
          <w:b/>
          <w:sz w:val="22"/>
          <w:szCs w:val="22"/>
        </w:rPr>
        <w:t xml:space="preserve">financial offer </w:t>
      </w:r>
      <w:r w:rsidRPr="00243B71">
        <w:rPr>
          <w:b/>
          <w:sz w:val="22"/>
          <w:szCs w:val="22"/>
        </w:rPr>
        <w:t>files / or references to price in the technical offer) constitutes an irregularity which will lead to rejection of the tender.</w:t>
      </w:r>
    </w:p>
    <w:p w14:paraId="5DBDC137" w14:textId="2188D358" w:rsidR="000A70E2" w:rsidRPr="00243B71" w:rsidRDefault="000A70E2" w:rsidP="00CA1A31">
      <w:pPr>
        <w:spacing w:after="120"/>
        <w:jc w:val="both"/>
        <w:rPr>
          <w:b/>
          <w:sz w:val="22"/>
          <w:szCs w:val="22"/>
        </w:rPr>
      </w:pPr>
      <w:r w:rsidRPr="00243B71">
        <w:rPr>
          <w:b/>
          <w:sz w:val="22"/>
          <w:szCs w:val="22"/>
        </w:rPr>
        <w:t>12. Late tenders</w:t>
      </w:r>
    </w:p>
    <w:p w14:paraId="1525ACC4" w14:textId="017D506D" w:rsidR="000A70E2" w:rsidRPr="00243B71" w:rsidRDefault="000A70E2" w:rsidP="00CA1A31">
      <w:pPr>
        <w:spacing w:after="120"/>
        <w:jc w:val="both"/>
        <w:rPr>
          <w:bCs/>
          <w:sz w:val="22"/>
          <w:szCs w:val="22"/>
        </w:rPr>
      </w:pPr>
      <w:r w:rsidRPr="000A70E2">
        <w:rPr>
          <w:bCs/>
          <w:sz w:val="22"/>
          <w:szCs w:val="22"/>
        </w:rPr>
        <w:t xml:space="preserve">The proposal </w:t>
      </w:r>
      <w:r w:rsidRPr="00243B71">
        <w:rPr>
          <w:bCs/>
          <w:sz w:val="22"/>
          <w:szCs w:val="22"/>
        </w:rPr>
        <w:t>and its</w:t>
      </w:r>
      <w:r w:rsidRPr="000A70E2">
        <w:rPr>
          <w:bCs/>
          <w:sz w:val="22"/>
          <w:szCs w:val="22"/>
        </w:rPr>
        <w:t xml:space="preserve"> modifications must be sent to the address indicated above and received by the Promoter not later than the deadline as defined in Clause </w:t>
      </w:r>
      <w:r w:rsidR="00887DB2">
        <w:rPr>
          <w:bCs/>
          <w:sz w:val="22"/>
          <w:szCs w:val="22"/>
        </w:rPr>
        <w:t>3</w:t>
      </w:r>
      <w:r w:rsidRPr="000A70E2">
        <w:rPr>
          <w:bCs/>
          <w:sz w:val="22"/>
          <w:szCs w:val="22"/>
        </w:rPr>
        <w:t xml:space="preserve"> Timetable, or any extension to this deadline. Any proposal and its modification received by the </w:t>
      </w:r>
      <w:r w:rsidRPr="00243B71">
        <w:rPr>
          <w:bCs/>
          <w:sz w:val="22"/>
          <w:szCs w:val="22"/>
        </w:rPr>
        <w:t>Contracting Authority</w:t>
      </w:r>
      <w:r w:rsidRPr="000A70E2">
        <w:rPr>
          <w:bCs/>
          <w:sz w:val="22"/>
          <w:szCs w:val="22"/>
        </w:rPr>
        <w:t xml:space="preserve"> after the deadline shall be declared late and </w:t>
      </w:r>
      <w:r w:rsidRPr="00243B71">
        <w:rPr>
          <w:bCs/>
          <w:sz w:val="22"/>
          <w:szCs w:val="22"/>
        </w:rPr>
        <w:t>rejected and</w:t>
      </w:r>
      <w:r w:rsidRPr="000A70E2">
        <w:rPr>
          <w:bCs/>
          <w:sz w:val="22"/>
          <w:szCs w:val="22"/>
        </w:rPr>
        <w:t xml:space="preserve"> promptly returned unopened. </w:t>
      </w:r>
    </w:p>
    <w:p w14:paraId="52654CE8" w14:textId="77777777" w:rsidR="003436FE" w:rsidRPr="00243B71" w:rsidRDefault="003436FE" w:rsidP="00061CFC">
      <w:pPr>
        <w:numPr>
          <w:ilvl w:val="0"/>
          <w:numId w:val="26"/>
        </w:numPr>
        <w:spacing w:before="240" w:after="120"/>
        <w:jc w:val="both"/>
        <w:rPr>
          <w:b/>
          <w:sz w:val="22"/>
          <w:szCs w:val="22"/>
        </w:rPr>
      </w:pPr>
      <w:r w:rsidRPr="00243B71">
        <w:rPr>
          <w:b/>
          <w:sz w:val="22"/>
          <w:szCs w:val="22"/>
        </w:rPr>
        <w:t>Amending or withdrawing tenders</w:t>
      </w:r>
    </w:p>
    <w:p w14:paraId="1344331E" w14:textId="77777777" w:rsidR="003436FE" w:rsidRPr="00243B71" w:rsidRDefault="003436FE" w:rsidP="00570E73">
      <w:pPr>
        <w:spacing w:after="120"/>
        <w:jc w:val="both"/>
        <w:rPr>
          <w:sz w:val="22"/>
          <w:szCs w:val="22"/>
        </w:rPr>
      </w:pPr>
      <w:r w:rsidRPr="00243B71">
        <w:rPr>
          <w:sz w:val="22"/>
          <w:szCs w:val="22"/>
        </w:rPr>
        <w:t>Tenderers may amend or withdraw their tenders by written notification prior to the deadline for submitting tenders. Tenders may not be amended after this deadline.</w:t>
      </w:r>
    </w:p>
    <w:p w14:paraId="3A69C4FD" w14:textId="758ED28D" w:rsidR="003436FE" w:rsidRPr="00243B71" w:rsidRDefault="003436FE" w:rsidP="00570E73">
      <w:pPr>
        <w:jc w:val="both"/>
        <w:rPr>
          <w:sz w:val="22"/>
          <w:szCs w:val="22"/>
        </w:rPr>
      </w:pPr>
      <w:r w:rsidRPr="00243B71">
        <w:rPr>
          <w:sz w:val="22"/>
          <w:szCs w:val="22"/>
        </w:rPr>
        <w:t xml:space="preserve">Any such notification of amendment or withdrawal must be prepared and submitted in accordance with </w:t>
      </w:r>
      <w:r w:rsidR="00EE5217" w:rsidRPr="00243B71">
        <w:rPr>
          <w:sz w:val="22"/>
          <w:szCs w:val="22"/>
        </w:rPr>
        <w:t>item</w:t>
      </w:r>
      <w:r w:rsidRPr="00243B71">
        <w:rPr>
          <w:sz w:val="22"/>
          <w:szCs w:val="22"/>
        </w:rPr>
        <w:t xml:space="preserve"> </w:t>
      </w:r>
      <w:r w:rsidR="009B07C4" w:rsidRPr="00243B71">
        <w:rPr>
          <w:sz w:val="22"/>
          <w:szCs w:val="22"/>
        </w:rPr>
        <w:t>1</w:t>
      </w:r>
      <w:r w:rsidR="00EE5217" w:rsidRPr="00243B71">
        <w:rPr>
          <w:sz w:val="22"/>
          <w:szCs w:val="22"/>
        </w:rPr>
        <w:t>1</w:t>
      </w:r>
      <w:r w:rsidRPr="00243B71">
        <w:rPr>
          <w:sz w:val="22"/>
          <w:szCs w:val="22"/>
        </w:rPr>
        <w:t xml:space="preserve">. </w:t>
      </w:r>
      <w:r w:rsidR="00172400" w:rsidRPr="00243B71">
        <w:rPr>
          <w:sz w:val="22"/>
          <w:szCs w:val="22"/>
        </w:rPr>
        <w:t>The file must be marked ‘Amendment’ or ‘Withdrawal’ as appropriate</w:t>
      </w:r>
      <w:r w:rsidR="00A3421F" w:rsidRPr="00243B71">
        <w:rPr>
          <w:sz w:val="22"/>
          <w:szCs w:val="22"/>
        </w:rPr>
        <w:t xml:space="preserve">. </w:t>
      </w:r>
    </w:p>
    <w:p w14:paraId="749E7A72" w14:textId="7964878F" w:rsidR="000A70E2" w:rsidRPr="00243B71" w:rsidRDefault="000A70E2" w:rsidP="000A70E2">
      <w:pPr>
        <w:jc w:val="both"/>
        <w:rPr>
          <w:sz w:val="22"/>
          <w:szCs w:val="22"/>
        </w:rPr>
      </w:pPr>
    </w:p>
    <w:p w14:paraId="2A630FA1" w14:textId="043AABFD" w:rsidR="000A70E2" w:rsidRPr="00243B71" w:rsidRDefault="000A70E2" w:rsidP="00061CFC">
      <w:pPr>
        <w:numPr>
          <w:ilvl w:val="0"/>
          <w:numId w:val="26"/>
        </w:numPr>
        <w:spacing w:before="240" w:after="120"/>
        <w:jc w:val="both"/>
        <w:rPr>
          <w:b/>
          <w:sz w:val="22"/>
          <w:szCs w:val="22"/>
        </w:rPr>
      </w:pPr>
      <w:r w:rsidRPr="00243B71">
        <w:rPr>
          <w:b/>
          <w:sz w:val="22"/>
          <w:szCs w:val="22"/>
        </w:rPr>
        <w:t>Tender Opening</w:t>
      </w:r>
    </w:p>
    <w:p w14:paraId="004575D6" w14:textId="77777777" w:rsidR="00B14DC4" w:rsidRPr="00CB714C" w:rsidRDefault="00B14DC4" w:rsidP="00B14DC4">
      <w:pPr>
        <w:spacing w:before="120" w:after="120"/>
        <w:jc w:val="both"/>
        <w:rPr>
          <w:sz w:val="22"/>
          <w:szCs w:val="22"/>
          <w:u w:val="single"/>
        </w:rPr>
      </w:pPr>
      <w:r w:rsidRPr="00CB714C">
        <w:rPr>
          <w:sz w:val="22"/>
          <w:szCs w:val="22"/>
          <w:u w:val="single"/>
        </w:rPr>
        <w:t>Public opening of the Technical Proposals</w:t>
      </w:r>
    </w:p>
    <w:p w14:paraId="03CC9E8A" w14:textId="545AF835" w:rsidR="00B14DC4" w:rsidRPr="00243B71" w:rsidRDefault="00B14DC4" w:rsidP="00B14DC4">
      <w:pPr>
        <w:spacing w:before="120" w:after="120"/>
        <w:jc w:val="both"/>
        <w:rPr>
          <w:sz w:val="22"/>
          <w:szCs w:val="22"/>
        </w:rPr>
      </w:pPr>
      <w:r w:rsidRPr="00243B71">
        <w:rPr>
          <w:sz w:val="22"/>
          <w:szCs w:val="22"/>
        </w:rPr>
        <w:t xml:space="preserve">The Evaluation Committee shall conduct the opening of the technical proposals publicly. The opening session will be held at the time and date given in the procurement notice/letter of invitation and in Instructions to tenderers Clause </w:t>
      </w:r>
      <w:r w:rsidR="00CB714C">
        <w:rPr>
          <w:sz w:val="22"/>
          <w:szCs w:val="22"/>
        </w:rPr>
        <w:t>3</w:t>
      </w:r>
      <w:r w:rsidRPr="00243B71">
        <w:rPr>
          <w:sz w:val="22"/>
          <w:szCs w:val="22"/>
        </w:rPr>
        <w:t xml:space="preserve">. </w:t>
      </w:r>
    </w:p>
    <w:p w14:paraId="5BEAD46B" w14:textId="77777777" w:rsidR="00B14DC4" w:rsidRPr="00243B71" w:rsidRDefault="00B14DC4" w:rsidP="00B14DC4">
      <w:pPr>
        <w:spacing w:before="120" w:after="120"/>
        <w:jc w:val="both"/>
        <w:rPr>
          <w:sz w:val="22"/>
          <w:szCs w:val="22"/>
        </w:rPr>
      </w:pPr>
      <w:r w:rsidRPr="00243B71">
        <w:rPr>
          <w:sz w:val="22"/>
          <w:szCs w:val="22"/>
        </w:rPr>
        <w:t xml:space="preserve">The opening will be conducted at the address: </w:t>
      </w:r>
    </w:p>
    <w:p w14:paraId="5AE4073A" w14:textId="77777777" w:rsidR="00B14DC4" w:rsidRPr="00243B71" w:rsidRDefault="00B14DC4" w:rsidP="00B14DC4">
      <w:pPr>
        <w:spacing w:before="120" w:after="120"/>
        <w:jc w:val="both"/>
        <w:rPr>
          <w:sz w:val="22"/>
          <w:szCs w:val="22"/>
        </w:rPr>
      </w:pPr>
      <w:proofErr w:type="spellStart"/>
      <w:r w:rsidRPr="00243B71">
        <w:rPr>
          <w:sz w:val="22"/>
          <w:szCs w:val="22"/>
        </w:rPr>
        <w:t>Omladinskih</w:t>
      </w:r>
      <w:proofErr w:type="spellEnd"/>
      <w:r w:rsidRPr="00243B71">
        <w:rPr>
          <w:sz w:val="22"/>
          <w:szCs w:val="22"/>
        </w:rPr>
        <w:t xml:space="preserve"> </w:t>
      </w:r>
      <w:proofErr w:type="spellStart"/>
      <w:r w:rsidRPr="00243B71">
        <w:rPr>
          <w:sz w:val="22"/>
          <w:szCs w:val="22"/>
        </w:rPr>
        <w:t>brigada</w:t>
      </w:r>
      <w:proofErr w:type="spellEnd"/>
      <w:r w:rsidRPr="00243B71">
        <w:rPr>
          <w:sz w:val="22"/>
          <w:szCs w:val="22"/>
        </w:rPr>
        <w:t xml:space="preserve"> 1, VI floor, room # 647</w:t>
      </w:r>
    </w:p>
    <w:p w14:paraId="78F62DA9" w14:textId="77777777" w:rsidR="00B14DC4" w:rsidRPr="00243B71" w:rsidRDefault="00B14DC4" w:rsidP="00B14DC4">
      <w:pPr>
        <w:spacing w:before="120" w:after="120"/>
        <w:jc w:val="both"/>
        <w:rPr>
          <w:sz w:val="22"/>
          <w:szCs w:val="22"/>
        </w:rPr>
      </w:pPr>
      <w:r w:rsidRPr="00243B71">
        <w:rPr>
          <w:sz w:val="22"/>
          <w:szCs w:val="22"/>
        </w:rPr>
        <w:t>11070 Novi Beograd</w:t>
      </w:r>
    </w:p>
    <w:p w14:paraId="17429453" w14:textId="77777777" w:rsidR="00B14DC4" w:rsidRPr="00243B71" w:rsidRDefault="00B14DC4" w:rsidP="00B14DC4">
      <w:pPr>
        <w:spacing w:before="120" w:after="120"/>
        <w:jc w:val="both"/>
        <w:rPr>
          <w:sz w:val="22"/>
          <w:szCs w:val="22"/>
        </w:rPr>
      </w:pPr>
      <w:r w:rsidRPr="00243B71">
        <w:rPr>
          <w:sz w:val="22"/>
          <w:szCs w:val="22"/>
        </w:rPr>
        <w:t>Republic of Serbia</w:t>
      </w:r>
    </w:p>
    <w:p w14:paraId="7040E53A" w14:textId="77777777" w:rsidR="00B14DC4" w:rsidRPr="00243B71" w:rsidRDefault="00B14DC4" w:rsidP="00B14DC4">
      <w:pPr>
        <w:spacing w:before="120" w:after="120"/>
        <w:jc w:val="both"/>
        <w:rPr>
          <w:sz w:val="22"/>
          <w:szCs w:val="22"/>
        </w:rPr>
      </w:pPr>
      <w:r w:rsidRPr="00243B71">
        <w:rPr>
          <w:sz w:val="22"/>
          <w:szCs w:val="22"/>
        </w:rPr>
        <w:t>At the opening of the Technical Proposals the following shall be read out: (</w:t>
      </w:r>
      <w:proofErr w:type="spellStart"/>
      <w:r w:rsidRPr="00243B71">
        <w:rPr>
          <w:sz w:val="22"/>
          <w:szCs w:val="22"/>
        </w:rPr>
        <w:t>i</w:t>
      </w:r>
      <w:proofErr w:type="spellEnd"/>
      <w:r w:rsidRPr="00243B71">
        <w:rPr>
          <w:sz w:val="22"/>
          <w:szCs w:val="22"/>
        </w:rPr>
        <w:t xml:space="preserve">) the name and the country of the Consultant or, in case of a Joint Venture, the name of the Joint Venture, the mane of the lead member and the names and the countries of all members; (ii) the presence or absence of a duly sealed envelope with the Financial Proposal; (iii) any modifications to the Proposal submitted prior to proposal submission deadline and (iv) any other information deemed appropriate. </w:t>
      </w:r>
    </w:p>
    <w:p w14:paraId="7CCBF0E1" w14:textId="6F64FA8E" w:rsidR="00B14DC4" w:rsidRPr="00CB714C" w:rsidRDefault="00B14DC4" w:rsidP="00B14DC4">
      <w:pPr>
        <w:jc w:val="both"/>
        <w:rPr>
          <w:sz w:val="22"/>
          <w:szCs w:val="22"/>
          <w:u w:val="single"/>
        </w:rPr>
      </w:pPr>
      <w:r w:rsidRPr="00CB714C">
        <w:rPr>
          <w:sz w:val="22"/>
          <w:szCs w:val="22"/>
          <w:u w:val="single"/>
        </w:rPr>
        <w:t>Public Opening of Financial Proposals</w:t>
      </w:r>
    </w:p>
    <w:p w14:paraId="18D85F42" w14:textId="77777777" w:rsidR="00B14DC4" w:rsidRPr="00243B71" w:rsidRDefault="00B14DC4" w:rsidP="00B14DC4">
      <w:pPr>
        <w:jc w:val="both"/>
        <w:rPr>
          <w:sz w:val="22"/>
          <w:szCs w:val="22"/>
        </w:rPr>
      </w:pPr>
    </w:p>
    <w:p w14:paraId="36E4D669" w14:textId="3F831B9F" w:rsidR="00B14DC4" w:rsidRPr="00B14DC4" w:rsidRDefault="00B14DC4" w:rsidP="00B14DC4">
      <w:pPr>
        <w:jc w:val="both"/>
        <w:rPr>
          <w:sz w:val="22"/>
          <w:szCs w:val="22"/>
        </w:rPr>
      </w:pPr>
      <w:r w:rsidRPr="00B14DC4">
        <w:rPr>
          <w:sz w:val="22"/>
          <w:szCs w:val="22"/>
        </w:rPr>
        <w:t>After the technical evaluation is completed , the Promoter shall notify those consultants whose proposals were considered non-responsive to the RFP and TOR or did not meet the minimum qualifying technical score, advising them the following: (</w:t>
      </w:r>
      <w:proofErr w:type="spellStart"/>
      <w:r w:rsidRPr="00B14DC4">
        <w:rPr>
          <w:sz w:val="22"/>
          <w:szCs w:val="22"/>
        </w:rPr>
        <w:t>i</w:t>
      </w:r>
      <w:proofErr w:type="spellEnd"/>
      <w:r w:rsidRPr="00B14DC4">
        <w:rPr>
          <w:sz w:val="22"/>
          <w:szCs w:val="22"/>
        </w:rPr>
        <w:t xml:space="preserve">) their proposal was not responsive to the RFP and TOR or did not meet the minimum qualifying technical score; (ii) provide information relating to the consultant’s overall technical score, as well as scores obtained for each </w:t>
      </w:r>
      <w:proofErr w:type="spellStart"/>
      <w:r w:rsidRPr="00B14DC4">
        <w:rPr>
          <w:sz w:val="22"/>
          <w:szCs w:val="22"/>
        </w:rPr>
        <w:t>criteriaon</w:t>
      </w:r>
      <w:proofErr w:type="spellEnd"/>
      <w:r w:rsidRPr="00B14DC4">
        <w:rPr>
          <w:sz w:val="22"/>
          <w:szCs w:val="22"/>
        </w:rPr>
        <w:t xml:space="preserve"> and sub-criterion; (iii) their financial proposal will be returned unopened after completing the </w:t>
      </w:r>
      <w:r w:rsidRPr="00B14DC4">
        <w:rPr>
          <w:sz w:val="22"/>
          <w:szCs w:val="22"/>
        </w:rPr>
        <w:lastRenderedPageBreak/>
        <w:t xml:space="preserve">selection process and contract signing and (iv) notifying them of the date, time and location of the public opening of the financial proposals and invite them to attend. </w:t>
      </w:r>
    </w:p>
    <w:p w14:paraId="2F9E5EC9" w14:textId="77777777" w:rsidR="00B14DC4" w:rsidRPr="00243B71" w:rsidRDefault="00B14DC4" w:rsidP="00B14DC4">
      <w:pPr>
        <w:jc w:val="both"/>
        <w:rPr>
          <w:sz w:val="22"/>
          <w:szCs w:val="22"/>
        </w:rPr>
      </w:pPr>
    </w:p>
    <w:p w14:paraId="04023890" w14:textId="3B4A6200" w:rsidR="00B14DC4" w:rsidRPr="00B14DC4" w:rsidRDefault="00B14DC4" w:rsidP="00B14DC4">
      <w:pPr>
        <w:jc w:val="both"/>
        <w:rPr>
          <w:sz w:val="22"/>
          <w:szCs w:val="22"/>
          <w:lang w:val="en-US"/>
        </w:rPr>
      </w:pPr>
      <w:r w:rsidRPr="00B14DC4">
        <w:rPr>
          <w:sz w:val="22"/>
          <w:szCs w:val="22"/>
          <w:lang w:val="en-US"/>
        </w:rPr>
        <w:t>The Client shall simultaneously notify in writing those Consultants whose Proposals were considered responsive to the RFP and TOR, and that have achieved the minimum qualifying technical score, advising them the following: (</w:t>
      </w:r>
      <w:proofErr w:type="spellStart"/>
      <w:r w:rsidRPr="00B14DC4">
        <w:rPr>
          <w:sz w:val="22"/>
          <w:szCs w:val="22"/>
          <w:lang w:val="en-US"/>
        </w:rPr>
        <w:t>i</w:t>
      </w:r>
      <w:proofErr w:type="spellEnd"/>
      <w:r w:rsidRPr="00B14DC4">
        <w:rPr>
          <w:sz w:val="22"/>
          <w:szCs w:val="22"/>
          <w:lang w:val="en-US"/>
        </w:rPr>
        <w:t>) their Proposal was responsive to the RFP and TOR and met the minimum qualifying technical score; (ii) provide information relating to the Consultant’s overall technical score, as well as scores obtained for each criterion and sub-criterion; (iii) their Financial Proposal will be opened at the public opening of Financial Proposals; and (iv) notify them of the date, time and location of the public opening and invite them for the opening of the Financial Proposals.</w:t>
      </w:r>
    </w:p>
    <w:p w14:paraId="6440AB8D" w14:textId="23C77B2E" w:rsidR="00B14DC4" w:rsidRPr="00B14DC4" w:rsidRDefault="00B14DC4" w:rsidP="00B14DC4">
      <w:pPr>
        <w:jc w:val="both"/>
        <w:rPr>
          <w:sz w:val="22"/>
          <w:szCs w:val="22"/>
          <w:lang w:val="en-US"/>
        </w:rPr>
      </w:pPr>
      <w:r w:rsidRPr="00243B71">
        <w:rPr>
          <w:sz w:val="22"/>
          <w:szCs w:val="22"/>
          <w:lang w:val="en-US"/>
        </w:rPr>
        <w:t>T</w:t>
      </w:r>
      <w:r w:rsidRPr="00B14DC4">
        <w:rPr>
          <w:sz w:val="22"/>
          <w:szCs w:val="22"/>
          <w:lang w:val="en-US"/>
        </w:rPr>
        <w:t>he opening date of the financial proposals shall be no less than ten (10) business days from the date of notification of the results of the technical evaluation.</w:t>
      </w:r>
      <w:r w:rsidR="00A26095">
        <w:rPr>
          <w:sz w:val="22"/>
          <w:szCs w:val="22"/>
          <w:lang w:val="en-US"/>
        </w:rPr>
        <w:t xml:space="preserve"> However, if the Client receives a complaint on the results of the technical evaluation within the ten (10) business days, the opening date shall be </w:t>
      </w:r>
      <w:r w:rsidR="009A4662">
        <w:rPr>
          <w:sz w:val="22"/>
          <w:szCs w:val="22"/>
          <w:lang w:val="en-US"/>
        </w:rPr>
        <w:t>postponed until the Complaint is resolved. The procedure for making a Procurement-related Complaint is specified in Article 2</w:t>
      </w:r>
      <w:r w:rsidR="00240B68">
        <w:rPr>
          <w:sz w:val="22"/>
          <w:szCs w:val="22"/>
          <w:lang w:val="en-US"/>
        </w:rPr>
        <w:t>3</w:t>
      </w:r>
      <w:r w:rsidR="009A4662">
        <w:rPr>
          <w:sz w:val="22"/>
          <w:szCs w:val="22"/>
          <w:lang w:val="en-US"/>
        </w:rPr>
        <w:t xml:space="preserve">. Appeals. </w:t>
      </w:r>
    </w:p>
    <w:p w14:paraId="5C549A62" w14:textId="77777777" w:rsidR="00B14DC4" w:rsidRPr="00243B71" w:rsidRDefault="00B14DC4" w:rsidP="00B14DC4">
      <w:pPr>
        <w:jc w:val="both"/>
        <w:rPr>
          <w:sz w:val="22"/>
          <w:szCs w:val="22"/>
          <w:lang w:val="en-US"/>
        </w:rPr>
      </w:pPr>
    </w:p>
    <w:p w14:paraId="128C917F" w14:textId="77777777" w:rsidR="00B14DC4" w:rsidRPr="00243B71" w:rsidRDefault="00B14DC4" w:rsidP="00B14DC4">
      <w:pPr>
        <w:jc w:val="both"/>
        <w:rPr>
          <w:sz w:val="22"/>
          <w:szCs w:val="22"/>
          <w:lang w:val="en-US"/>
        </w:rPr>
      </w:pPr>
      <w:r w:rsidRPr="00B14DC4">
        <w:rPr>
          <w:sz w:val="22"/>
          <w:szCs w:val="22"/>
          <w:lang w:val="en-US"/>
        </w:rPr>
        <w:t xml:space="preserve">The Consultant’s attendance at the opening of the financial proposals is optional and it is at the consultant’s choice. </w:t>
      </w:r>
    </w:p>
    <w:p w14:paraId="307C505B" w14:textId="77777777" w:rsidR="00B14DC4" w:rsidRPr="00243B71" w:rsidRDefault="00B14DC4" w:rsidP="00B14DC4">
      <w:pPr>
        <w:jc w:val="both"/>
        <w:rPr>
          <w:sz w:val="22"/>
          <w:szCs w:val="22"/>
          <w:lang w:val="en-US"/>
        </w:rPr>
      </w:pPr>
    </w:p>
    <w:p w14:paraId="0D6F1550" w14:textId="35B65F8C" w:rsidR="00B14DC4" w:rsidRPr="00B14DC4" w:rsidRDefault="00B14DC4" w:rsidP="00B14DC4">
      <w:pPr>
        <w:jc w:val="both"/>
        <w:rPr>
          <w:sz w:val="22"/>
          <w:szCs w:val="22"/>
          <w:lang w:val="en-US"/>
        </w:rPr>
      </w:pPr>
      <w:r w:rsidRPr="00B14DC4">
        <w:rPr>
          <w:sz w:val="22"/>
          <w:szCs w:val="22"/>
          <w:lang w:val="en-US"/>
        </w:rPr>
        <w:t xml:space="preserve">The financial proposals shall be opened publicly by the Evaluation Committee in the presence of the representatives of the consultants and anyone else who chose to attend. At the opening, the names of the consultants, and the overall technical scores, including the break-down by criterion shall be read aloud. The financial proposals will then be inspected to confirm that they have remained sealed and unopened, these financial proposals shall be than opened, and the total prices read aloud and recorded. Copies of the record shall be sent to all consultants who submitted proposals.  </w:t>
      </w:r>
    </w:p>
    <w:p w14:paraId="474B2F51" w14:textId="77777777" w:rsidR="000A70E2" w:rsidRPr="00243B71" w:rsidRDefault="000A70E2" w:rsidP="000A70E2">
      <w:pPr>
        <w:jc w:val="both"/>
        <w:rPr>
          <w:sz w:val="22"/>
          <w:szCs w:val="22"/>
          <w:lang w:val="en-US"/>
        </w:rPr>
      </w:pPr>
    </w:p>
    <w:p w14:paraId="06B6F581" w14:textId="77777777" w:rsidR="003436FE" w:rsidRPr="00243B71" w:rsidRDefault="003436FE" w:rsidP="00061CFC">
      <w:pPr>
        <w:numPr>
          <w:ilvl w:val="0"/>
          <w:numId w:val="26"/>
        </w:numPr>
        <w:spacing w:before="240" w:after="120"/>
        <w:jc w:val="both"/>
        <w:rPr>
          <w:b/>
          <w:sz w:val="22"/>
          <w:szCs w:val="22"/>
        </w:rPr>
      </w:pPr>
      <w:r w:rsidRPr="00243B71">
        <w:rPr>
          <w:b/>
          <w:sz w:val="22"/>
          <w:szCs w:val="22"/>
        </w:rPr>
        <w:t>Costs for preparing tenders</w:t>
      </w:r>
    </w:p>
    <w:p w14:paraId="33F5164D" w14:textId="77777777" w:rsidR="003436FE" w:rsidRPr="00243B71" w:rsidRDefault="003436FE" w:rsidP="00570E73">
      <w:pPr>
        <w:jc w:val="both"/>
        <w:rPr>
          <w:sz w:val="22"/>
          <w:szCs w:val="22"/>
        </w:rPr>
      </w:pPr>
      <w:r w:rsidRPr="00243B71">
        <w:rPr>
          <w:sz w:val="22"/>
          <w:szCs w:val="22"/>
        </w:rPr>
        <w:t>No costs incurred by the tenderer in preparing and submitting the tender are reimbursable. All such costs must be borne by the tenderer, including the cost of interviewing proposed experts.</w:t>
      </w:r>
    </w:p>
    <w:p w14:paraId="5C6569E7" w14:textId="77777777" w:rsidR="003436FE" w:rsidRPr="00243B71" w:rsidRDefault="003436FE" w:rsidP="00061CFC">
      <w:pPr>
        <w:numPr>
          <w:ilvl w:val="0"/>
          <w:numId w:val="26"/>
        </w:numPr>
        <w:spacing w:before="240" w:after="120"/>
        <w:jc w:val="both"/>
        <w:rPr>
          <w:b/>
          <w:sz w:val="22"/>
          <w:szCs w:val="22"/>
        </w:rPr>
      </w:pPr>
      <w:r w:rsidRPr="00243B71">
        <w:rPr>
          <w:b/>
          <w:sz w:val="22"/>
          <w:szCs w:val="22"/>
        </w:rPr>
        <w:t>Ownership of tenders</w:t>
      </w:r>
    </w:p>
    <w:p w14:paraId="399CAC45" w14:textId="08B52E5D" w:rsidR="003436FE" w:rsidRPr="00243B71" w:rsidRDefault="003436FE" w:rsidP="00570E73">
      <w:pPr>
        <w:jc w:val="both"/>
        <w:rPr>
          <w:sz w:val="22"/>
          <w:szCs w:val="22"/>
        </w:rPr>
      </w:pPr>
      <w:r w:rsidRPr="00243B71">
        <w:rPr>
          <w:sz w:val="22"/>
          <w:szCs w:val="22"/>
        </w:rPr>
        <w:t>The Contracting Authority retains ownership of all tenders received under this tendering procedure</w:t>
      </w:r>
      <w:r w:rsidR="009A4662">
        <w:rPr>
          <w:sz w:val="22"/>
          <w:szCs w:val="22"/>
        </w:rPr>
        <w:t>, except the late tender(s)</w:t>
      </w:r>
      <w:r w:rsidRPr="00243B71">
        <w:rPr>
          <w:sz w:val="22"/>
          <w:szCs w:val="22"/>
        </w:rPr>
        <w:t>. Consequently, tenderers do not have the right to have their tenders returned to them.</w:t>
      </w:r>
    </w:p>
    <w:p w14:paraId="352D8847" w14:textId="041ECAA7" w:rsidR="00240B68" w:rsidRDefault="003436FE" w:rsidP="00061CFC">
      <w:pPr>
        <w:numPr>
          <w:ilvl w:val="0"/>
          <w:numId w:val="26"/>
        </w:numPr>
        <w:spacing w:before="240" w:after="120"/>
        <w:jc w:val="both"/>
        <w:rPr>
          <w:b/>
          <w:sz w:val="22"/>
          <w:szCs w:val="22"/>
        </w:rPr>
      </w:pPr>
      <w:r w:rsidRPr="00243B71">
        <w:rPr>
          <w:b/>
          <w:sz w:val="22"/>
          <w:szCs w:val="22"/>
        </w:rPr>
        <w:t>Evaluation of tenders</w:t>
      </w:r>
    </w:p>
    <w:p w14:paraId="493DBFD1" w14:textId="12501278" w:rsidR="00240B68" w:rsidRDefault="00240B68" w:rsidP="00BB76ED">
      <w:pPr>
        <w:spacing w:before="240" w:after="120"/>
        <w:jc w:val="both"/>
        <w:rPr>
          <w:bCs/>
          <w:sz w:val="22"/>
          <w:szCs w:val="22"/>
        </w:rPr>
      </w:pPr>
      <w:r>
        <w:rPr>
          <w:bCs/>
          <w:sz w:val="22"/>
          <w:szCs w:val="22"/>
        </w:rPr>
        <w:t xml:space="preserve">The contracting authority must ask the tenderers for any clarification needed to assess the tenders, but no amendment to the substance of the tender or to the price can be accepted after the tender opening. Any clarification and response(s) must be in writing. </w:t>
      </w:r>
    </w:p>
    <w:p w14:paraId="09E9CA51" w14:textId="087F0E32" w:rsidR="00051CA8" w:rsidRDefault="00051CA8" w:rsidP="00BB76ED">
      <w:pPr>
        <w:spacing w:before="240" w:after="120"/>
        <w:jc w:val="both"/>
        <w:rPr>
          <w:bCs/>
          <w:sz w:val="22"/>
          <w:szCs w:val="22"/>
        </w:rPr>
      </w:pPr>
      <w:r>
        <w:rPr>
          <w:bCs/>
          <w:sz w:val="22"/>
          <w:szCs w:val="22"/>
        </w:rPr>
        <w:t xml:space="preserve">Substantially responsive proposal complies </w:t>
      </w:r>
      <w:proofErr w:type="gramStart"/>
      <w:r>
        <w:rPr>
          <w:bCs/>
          <w:sz w:val="22"/>
          <w:szCs w:val="22"/>
        </w:rPr>
        <w:t>to</w:t>
      </w:r>
      <w:proofErr w:type="gramEnd"/>
      <w:r>
        <w:rPr>
          <w:bCs/>
          <w:sz w:val="22"/>
          <w:szCs w:val="22"/>
        </w:rPr>
        <w:t xml:space="preserve"> the requirements of the tender documents without any material deviation(s)/omission(s). </w:t>
      </w:r>
    </w:p>
    <w:p w14:paraId="34C3D102" w14:textId="77777777" w:rsidR="00051CA8" w:rsidRPr="00A02FB1" w:rsidRDefault="00051CA8" w:rsidP="00051CA8">
      <w:pPr>
        <w:shd w:val="clear" w:color="auto" w:fill="FFFFFF"/>
        <w:spacing w:after="120"/>
        <w:jc w:val="both"/>
        <w:rPr>
          <w:b/>
          <w:sz w:val="22"/>
          <w:szCs w:val="22"/>
        </w:rPr>
      </w:pPr>
      <w:r w:rsidRPr="00A02FB1">
        <w:rPr>
          <w:b/>
          <w:sz w:val="22"/>
          <w:szCs w:val="22"/>
        </w:rPr>
        <w:t>Material deviation(s)/omission(s) that will result in the rejection of a proposal is as follows:</w:t>
      </w:r>
    </w:p>
    <w:p w14:paraId="57361331" w14:textId="77777777" w:rsidR="00051CA8" w:rsidRPr="007942B9" w:rsidRDefault="00051CA8" w:rsidP="00051CA8">
      <w:pPr>
        <w:numPr>
          <w:ilvl w:val="0"/>
          <w:numId w:val="24"/>
        </w:numPr>
        <w:spacing w:before="120" w:after="120"/>
        <w:rPr>
          <w:sz w:val="22"/>
          <w:szCs w:val="22"/>
        </w:rPr>
      </w:pPr>
      <w:r w:rsidRPr="007942B9">
        <w:rPr>
          <w:sz w:val="22"/>
          <w:szCs w:val="22"/>
        </w:rPr>
        <w:t>Failure to provide financial offer or tender price within the Financial Offer</w:t>
      </w:r>
      <w:r>
        <w:rPr>
          <w:sz w:val="22"/>
          <w:szCs w:val="22"/>
        </w:rPr>
        <w:t>;</w:t>
      </w:r>
    </w:p>
    <w:p w14:paraId="508B13FE" w14:textId="77777777" w:rsidR="00051CA8" w:rsidRDefault="00051CA8" w:rsidP="00051CA8">
      <w:pPr>
        <w:numPr>
          <w:ilvl w:val="0"/>
          <w:numId w:val="24"/>
        </w:numPr>
        <w:spacing w:before="120" w:after="120"/>
        <w:rPr>
          <w:sz w:val="22"/>
          <w:szCs w:val="22"/>
        </w:rPr>
      </w:pPr>
      <w:r w:rsidRPr="007942B9">
        <w:rPr>
          <w:sz w:val="22"/>
          <w:szCs w:val="22"/>
        </w:rPr>
        <w:t>Failure to respond to the clarification request sent by the Contracting Authority during the evaluation process, within the time limit set</w:t>
      </w:r>
      <w:r>
        <w:rPr>
          <w:sz w:val="22"/>
          <w:szCs w:val="22"/>
        </w:rPr>
        <w:t>;</w:t>
      </w:r>
    </w:p>
    <w:p w14:paraId="028AE546" w14:textId="36CD5F8A" w:rsidR="00051CA8" w:rsidRPr="00061CFC" w:rsidRDefault="005D03C4" w:rsidP="00051CA8">
      <w:pPr>
        <w:numPr>
          <w:ilvl w:val="0"/>
          <w:numId w:val="24"/>
        </w:numPr>
        <w:spacing w:before="120" w:after="120"/>
        <w:rPr>
          <w:sz w:val="22"/>
          <w:szCs w:val="22"/>
        </w:rPr>
      </w:pPr>
      <w:r w:rsidRPr="00061CFC">
        <w:rPr>
          <w:sz w:val="22"/>
          <w:szCs w:val="22"/>
        </w:rPr>
        <w:t>T</w:t>
      </w:r>
      <w:r w:rsidR="00051CA8" w:rsidRPr="00061CFC">
        <w:rPr>
          <w:sz w:val="22"/>
          <w:szCs w:val="22"/>
        </w:rPr>
        <w:t>o propose less or more key experts than requested by the Terms of Reference;</w:t>
      </w:r>
    </w:p>
    <w:p w14:paraId="258A546C" w14:textId="5C6AA294" w:rsidR="00051CA8" w:rsidRDefault="00051CA8" w:rsidP="00051CA8">
      <w:pPr>
        <w:numPr>
          <w:ilvl w:val="0"/>
          <w:numId w:val="24"/>
        </w:numPr>
        <w:spacing w:before="120" w:after="120"/>
        <w:rPr>
          <w:sz w:val="22"/>
          <w:szCs w:val="22"/>
        </w:rPr>
      </w:pPr>
      <w:r w:rsidRPr="004D7430">
        <w:rPr>
          <w:sz w:val="22"/>
          <w:szCs w:val="22"/>
        </w:rPr>
        <w:lastRenderedPageBreak/>
        <w:t>If a key expert is proposed as a key expert by more than one tenderer with</w:t>
      </w:r>
      <w:r w:rsidR="005D03C4">
        <w:rPr>
          <w:sz w:val="22"/>
          <w:szCs w:val="22"/>
        </w:rPr>
        <w:t xml:space="preserve"> or without</w:t>
      </w:r>
      <w:r w:rsidRPr="004D7430">
        <w:rPr>
          <w:sz w:val="22"/>
          <w:szCs w:val="22"/>
        </w:rPr>
        <w:t xml:space="preserve"> the agreement of the key expert,</w:t>
      </w:r>
      <w:r>
        <w:rPr>
          <w:sz w:val="22"/>
          <w:szCs w:val="22"/>
        </w:rPr>
        <w:t xml:space="preserve"> the tender will be disqualified;</w:t>
      </w:r>
    </w:p>
    <w:p w14:paraId="1B347A90" w14:textId="643EF196" w:rsidR="001A4308" w:rsidRPr="00243B71" w:rsidRDefault="00240B68" w:rsidP="00570E73">
      <w:pPr>
        <w:spacing w:after="120"/>
        <w:jc w:val="both"/>
        <w:rPr>
          <w:b/>
          <w:sz w:val="22"/>
          <w:szCs w:val="22"/>
        </w:rPr>
      </w:pPr>
      <w:r>
        <w:rPr>
          <w:b/>
          <w:sz w:val="22"/>
          <w:szCs w:val="22"/>
        </w:rPr>
        <w:t>17</w:t>
      </w:r>
      <w:r w:rsidR="00BB394A" w:rsidRPr="00243B71">
        <w:rPr>
          <w:b/>
          <w:sz w:val="22"/>
          <w:szCs w:val="22"/>
        </w:rPr>
        <w:t>.1.</w:t>
      </w:r>
      <w:r w:rsidR="00010683" w:rsidRPr="00243B71">
        <w:rPr>
          <w:b/>
          <w:sz w:val="22"/>
          <w:szCs w:val="22"/>
        </w:rPr>
        <w:tab/>
      </w:r>
      <w:r w:rsidR="001A4308" w:rsidRPr="00243B71">
        <w:rPr>
          <w:b/>
          <w:sz w:val="22"/>
          <w:szCs w:val="22"/>
        </w:rPr>
        <w:t>Compliance with the selection criteria</w:t>
      </w:r>
    </w:p>
    <w:p w14:paraId="474EB55D" w14:textId="77777777" w:rsidR="001A4308" w:rsidRPr="00243B71" w:rsidRDefault="001A4308" w:rsidP="00570E73">
      <w:pPr>
        <w:spacing w:after="120"/>
        <w:jc w:val="both"/>
        <w:rPr>
          <w:sz w:val="22"/>
          <w:szCs w:val="22"/>
        </w:rPr>
      </w:pPr>
      <w:r w:rsidRPr="00243B71">
        <w:rPr>
          <w:sz w:val="22"/>
          <w:szCs w:val="22"/>
        </w:rPr>
        <w:t xml:space="preserve">The compliance of the tenderers with the requirements of the selection criteria (see </w:t>
      </w:r>
      <w:r w:rsidR="00EE5217" w:rsidRPr="00243B71">
        <w:rPr>
          <w:sz w:val="22"/>
          <w:szCs w:val="22"/>
        </w:rPr>
        <w:t>item</w:t>
      </w:r>
      <w:r w:rsidR="009B07C4" w:rsidRPr="00243B71">
        <w:rPr>
          <w:sz w:val="22"/>
          <w:szCs w:val="22"/>
        </w:rPr>
        <w:t xml:space="preserve"> </w:t>
      </w:r>
      <w:r w:rsidR="00EE5217" w:rsidRPr="00243B71">
        <w:rPr>
          <w:sz w:val="22"/>
          <w:szCs w:val="22"/>
        </w:rPr>
        <w:t>5</w:t>
      </w:r>
      <w:r w:rsidRPr="00243B71">
        <w:rPr>
          <w:sz w:val="22"/>
          <w:szCs w:val="22"/>
        </w:rPr>
        <w:t xml:space="preserve"> of these Instructions to tenderers) will be analysed at the beginning of the evaluation process. Non-compliance </w:t>
      </w:r>
      <w:r w:rsidR="009803C8" w:rsidRPr="00243B71">
        <w:rPr>
          <w:sz w:val="22"/>
          <w:szCs w:val="22"/>
        </w:rPr>
        <w:t xml:space="preserve">will </w:t>
      </w:r>
      <w:r w:rsidRPr="00243B71">
        <w:rPr>
          <w:sz w:val="22"/>
          <w:szCs w:val="22"/>
        </w:rPr>
        <w:t>lead to the rejection of the tender.</w:t>
      </w:r>
    </w:p>
    <w:p w14:paraId="31907C77" w14:textId="5DC6E7A0" w:rsidR="003436FE" w:rsidRPr="00243B71" w:rsidRDefault="00240B68" w:rsidP="00570E73">
      <w:pPr>
        <w:spacing w:after="120"/>
        <w:jc w:val="both"/>
        <w:rPr>
          <w:b/>
          <w:sz w:val="22"/>
          <w:szCs w:val="22"/>
        </w:rPr>
      </w:pPr>
      <w:r>
        <w:rPr>
          <w:b/>
          <w:sz w:val="22"/>
          <w:szCs w:val="22"/>
        </w:rPr>
        <w:t>17</w:t>
      </w:r>
      <w:r w:rsidR="00BB394A" w:rsidRPr="00243B71">
        <w:rPr>
          <w:b/>
          <w:sz w:val="22"/>
          <w:szCs w:val="22"/>
        </w:rPr>
        <w:t>.2.</w:t>
      </w:r>
      <w:r w:rsidR="00BB394A" w:rsidRPr="00243B71">
        <w:rPr>
          <w:b/>
          <w:sz w:val="22"/>
          <w:szCs w:val="22"/>
        </w:rPr>
        <w:tab/>
      </w:r>
      <w:r w:rsidR="003436FE" w:rsidRPr="00243B71">
        <w:rPr>
          <w:b/>
          <w:sz w:val="22"/>
          <w:szCs w:val="22"/>
        </w:rPr>
        <w:t>Evaluation of technical offers</w:t>
      </w:r>
    </w:p>
    <w:p w14:paraId="0F03A63E" w14:textId="77777777" w:rsidR="001A4308" w:rsidRPr="00243B71" w:rsidRDefault="001A4308" w:rsidP="00570E73">
      <w:pPr>
        <w:spacing w:after="120"/>
        <w:jc w:val="both"/>
        <w:rPr>
          <w:sz w:val="22"/>
          <w:szCs w:val="22"/>
        </w:rPr>
      </w:pPr>
      <w:r w:rsidRPr="00243B71">
        <w:rPr>
          <w:sz w:val="22"/>
          <w:szCs w:val="22"/>
        </w:rPr>
        <w:t xml:space="preserve">For the offers submitted by tenderers fulfilling the selection criteria, the quality of each technical offer will be evaluated in accordance with the award criteria and the associated weighting as detailed in the evaluation grid included in </w:t>
      </w:r>
      <w:r w:rsidR="006F2C34" w:rsidRPr="00243B71">
        <w:rPr>
          <w:sz w:val="22"/>
          <w:szCs w:val="22"/>
        </w:rPr>
        <w:t>Part</w:t>
      </w:r>
      <w:r w:rsidRPr="00243B71">
        <w:rPr>
          <w:sz w:val="22"/>
          <w:szCs w:val="22"/>
        </w:rPr>
        <w:t xml:space="preserve"> C of this tender dossier. No other award criteria will be used. The award criteria will be examined in accordance with the requirements as indicated in the Terms of reference (</w:t>
      </w:r>
      <w:r w:rsidR="006F2C34" w:rsidRPr="00243B71">
        <w:rPr>
          <w:sz w:val="22"/>
          <w:szCs w:val="22"/>
        </w:rPr>
        <w:t>Part</w:t>
      </w:r>
      <w:r w:rsidRPr="00243B71">
        <w:rPr>
          <w:sz w:val="22"/>
          <w:szCs w:val="22"/>
        </w:rPr>
        <w:t xml:space="preserve"> B</w:t>
      </w:r>
      <w:r w:rsidR="00C111ED" w:rsidRPr="00243B71">
        <w:rPr>
          <w:sz w:val="22"/>
          <w:szCs w:val="22"/>
        </w:rPr>
        <w:t xml:space="preserve"> of this tender dossier</w:t>
      </w:r>
      <w:r w:rsidRPr="00243B71">
        <w:rPr>
          <w:sz w:val="22"/>
          <w:szCs w:val="22"/>
        </w:rPr>
        <w:t xml:space="preserve">). </w:t>
      </w:r>
    </w:p>
    <w:p w14:paraId="1A0D572B" w14:textId="6AFDD6FC" w:rsidR="00C111ED" w:rsidRPr="00243B71" w:rsidRDefault="00C111ED" w:rsidP="00570E73">
      <w:pPr>
        <w:spacing w:after="120"/>
        <w:jc w:val="both"/>
        <w:rPr>
          <w:sz w:val="22"/>
          <w:szCs w:val="22"/>
        </w:rPr>
      </w:pPr>
      <w:r w:rsidRPr="00243B71">
        <w:rPr>
          <w:i/>
          <w:sz w:val="22"/>
          <w:szCs w:val="22"/>
          <w:u w:val="single"/>
        </w:rPr>
        <w:t xml:space="preserve">Note for the evaluation of </w:t>
      </w:r>
      <w:r w:rsidR="00987340" w:rsidRPr="00243B71">
        <w:rPr>
          <w:i/>
          <w:sz w:val="22"/>
          <w:szCs w:val="22"/>
          <w:u w:val="single"/>
        </w:rPr>
        <w:t xml:space="preserve">key </w:t>
      </w:r>
      <w:r w:rsidRPr="00243B71">
        <w:rPr>
          <w:i/>
          <w:sz w:val="22"/>
          <w:szCs w:val="22"/>
          <w:u w:val="single"/>
        </w:rPr>
        <w:t>experts</w:t>
      </w:r>
      <w:r w:rsidRPr="00243B71">
        <w:rPr>
          <w:sz w:val="22"/>
          <w:szCs w:val="22"/>
          <w:u w:val="single"/>
        </w:rPr>
        <w:t>:</w:t>
      </w:r>
      <w:r w:rsidRPr="00243B71">
        <w:rPr>
          <w:sz w:val="22"/>
          <w:szCs w:val="22"/>
        </w:rPr>
        <w:t xml:space="preserve"> </w:t>
      </w:r>
      <w:r w:rsidR="00987340" w:rsidRPr="00243B71">
        <w:rPr>
          <w:sz w:val="22"/>
          <w:szCs w:val="22"/>
        </w:rPr>
        <w:t xml:space="preserve">Key </w:t>
      </w:r>
      <w:r w:rsidRPr="00243B71">
        <w:rPr>
          <w:sz w:val="22"/>
          <w:szCs w:val="22"/>
        </w:rPr>
        <w:t xml:space="preserve">Experts </w:t>
      </w:r>
      <w:r w:rsidR="00F31DB2" w:rsidRPr="00243B71">
        <w:rPr>
          <w:sz w:val="22"/>
          <w:szCs w:val="22"/>
        </w:rPr>
        <w:t>will</w:t>
      </w:r>
      <w:r w:rsidRPr="00243B71">
        <w:rPr>
          <w:sz w:val="22"/>
          <w:szCs w:val="22"/>
        </w:rPr>
        <w:t xml:space="preserve"> be scored against the requirements stated in the Terms of Reference. For the evaluation of the key experts, the 80% will serve as a guideline. This means that when an expert is technically acceptable on a particular criterion (when he/she fulfils the requirement for that criterion as it is described in the </w:t>
      </w:r>
      <w:proofErr w:type="spellStart"/>
      <w:r w:rsidRPr="00243B71">
        <w:rPr>
          <w:sz w:val="22"/>
          <w:szCs w:val="22"/>
        </w:rPr>
        <w:t>ToRs</w:t>
      </w:r>
      <w:proofErr w:type="spellEnd"/>
      <w:r w:rsidRPr="00243B71">
        <w:rPr>
          <w:sz w:val="22"/>
          <w:szCs w:val="22"/>
        </w:rPr>
        <w:t xml:space="preserve">), 80% of the maximum score foreseen for that criterion will be allocated. If the expert exceeds the requirement described in the Tors for that criterion, a percentage between 81 and 100% of the maximum score foreseen for that criterion will be allocated, depending on by how much the expert exceeds the requirement. If the expert’s experience goes below the requirement described in </w:t>
      </w:r>
      <w:proofErr w:type="spellStart"/>
      <w:r w:rsidRPr="00243B71">
        <w:rPr>
          <w:sz w:val="22"/>
          <w:szCs w:val="22"/>
        </w:rPr>
        <w:t>ToRs</w:t>
      </w:r>
      <w:proofErr w:type="spellEnd"/>
      <w:r w:rsidRPr="00243B71">
        <w:rPr>
          <w:sz w:val="22"/>
          <w:szCs w:val="22"/>
        </w:rPr>
        <w:t xml:space="preserve"> for that criterion he/she will be scored accordingly, a percentage below 80% will be allocated, depending on by how much the expert’s experience is below the requirement.</w:t>
      </w:r>
    </w:p>
    <w:p w14:paraId="0CD5BA68" w14:textId="272D84C0" w:rsidR="00C111ED" w:rsidRPr="00243B71" w:rsidRDefault="00C111ED" w:rsidP="00570E73">
      <w:pPr>
        <w:spacing w:after="120"/>
        <w:jc w:val="both"/>
        <w:rPr>
          <w:sz w:val="22"/>
          <w:szCs w:val="22"/>
        </w:rPr>
      </w:pPr>
      <w:r w:rsidRPr="00243B71">
        <w:rPr>
          <w:sz w:val="22"/>
          <w:szCs w:val="22"/>
        </w:rPr>
        <w:t xml:space="preserve">Only offers that achieve a score of 80 or more are declared 'technically accepted'. Any tender falling short of the 80-points threshold </w:t>
      </w:r>
      <w:r w:rsidR="00657B6B" w:rsidRPr="00243B71">
        <w:rPr>
          <w:sz w:val="22"/>
          <w:szCs w:val="22"/>
        </w:rPr>
        <w:t>will be</w:t>
      </w:r>
      <w:r w:rsidRPr="00243B71">
        <w:rPr>
          <w:sz w:val="22"/>
          <w:szCs w:val="22"/>
        </w:rPr>
        <w:t xml:space="preserve"> automatically rejected.</w:t>
      </w:r>
    </w:p>
    <w:p w14:paraId="7E5CDA94" w14:textId="77777777" w:rsidR="00C111ED" w:rsidRPr="00243B71" w:rsidRDefault="00C111ED" w:rsidP="00570E73">
      <w:pPr>
        <w:spacing w:after="120"/>
        <w:jc w:val="both"/>
        <w:rPr>
          <w:sz w:val="22"/>
          <w:szCs w:val="22"/>
        </w:rPr>
      </w:pPr>
      <w:r w:rsidRPr="00243B71">
        <w:rPr>
          <w:sz w:val="22"/>
          <w:szCs w:val="22"/>
        </w:rPr>
        <w:t>Out of the tenders reaching the 80-point threshold, the best technical offer is awarded 100 points. The others receive points calculated using the following formula:</w:t>
      </w:r>
    </w:p>
    <w:p w14:paraId="4B3A65D0" w14:textId="6AD4316D" w:rsidR="00C111ED" w:rsidRPr="00243B71" w:rsidRDefault="00C111ED" w:rsidP="00570E73">
      <w:pPr>
        <w:spacing w:after="120"/>
        <w:jc w:val="both"/>
        <w:rPr>
          <w:sz w:val="22"/>
          <w:szCs w:val="22"/>
        </w:rPr>
      </w:pPr>
    </w:p>
    <w:tbl>
      <w:tblPr>
        <w:tblW w:w="0" w:type="auto"/>
        <w:tblBorders>
          <w:insideH w:val="single" w:sz="4" w:space="0" w:color="auto"/>
        </w:tblBorders>
        <w:tblLook w:val="04A0" w:firstRow="1" w:lastRow="0" w:firstColumn="1" w:lastColumn="0" w:noHBand="0" w:noVBand="1"/>
      </w:tblPr>
      <w:tblGrid>
        <w:gridCol w:w="2093"/>
        <w:gridCol w:w="4961"/>
        <w:gridCol w:w="992"/>
      </w:tblGrid>
      <w:tr w:rsidR="00A3421F" w:rsidRPr="00243B71" w14:paraId="6AEC8289" w14:textId="77777777">
        <w:tc>
          <w:tcPr>
            <w:tcW w:w="2093" w:type="dxa"/>
            <w:vMerge w:val="restart"/>
            <w:vAlign w:val="center"/>
          </w:tcPr>
          <w:p w14:paraId="06F1492D" w14:textId="756C091E" w:rsidR="00A3421F" w:rsidRPr="00243B71" w:rsidRDefault="00A3421F" w:rsidP="00A3421F">
            <w:pPr>
              <w:spacing w:before="120" w:after="120"/>
              <w:jc w:val="center"/>
              <w:rPr>
                <w:sz w:val="22"/>
                <w:szCs w:val="22"/>
              </w:rPr>
            </w:pPr>
            <w:r w:rsidRPr="00243B71">
              <w:rPr>
                <w:sz w:val="22"/>
                <w:szCs w:val="22"/>
              </w:rPr>
              <w:t>Technical score =</w:t>
            </w:r>
          </w:p>
        </w:tc>
        <w:tc>
          <w:tcPr>
            <w:tcW w:w="4961" w:type="dxa"/>
            <w:vAlign w:val="center"/>
          </w:tcPr>
          <w:p w14:paraId="7190F373" w14:textId="77777777" w:rsidR="00A3421F" w:rsidRPr="00243B71" w:rsidRDefault="00A3421F" w:rsidP="00A3421F">
            <w:pPr>
              <w:spacing w:before="120" w:after="120"/>
              <w:jc w:val="center"/>
              <w:rPr>
                <w:sz w:val="22"/>
                <w:szCs w:val="22"/>
              </w:rPr>
            </w:pPr>
            <w:r w:rsidRPr="00243B71">
              <w:rPr>
                <w:sz w:val="22"/>
                <w:szCs w:val="22"/>
              </w:rPr>
              <w:t>Final score of the technical offer in question</w:t>
            </w:r>
          </w:p>
        </w:tc>
        <w:tc>
          <w:tcPr>
            <w:tcW w:w="992" w:type="dxa"/>
            <w:vMerge w:val="restart"/>
            <w:vAlign w:val="center"/>
          </w:tcPr>
          <w:p w14:paraId="60D87424" w14:textId="77777777" w:rsidR="00A3421F" w:rsidRPr="00243B71" w:rsidRDefault="00A3421F" w:rsidP="00A3421F">
            <w:pPr>
              <w:spacing w:before="120" w:after="120"/>
              <w:jc w:val="center"/>
              <w:rPr>
                <w:sz w:val="22"/>
                <w:szCs w:val="22"/>
              </w:rPr>
            </w:pPr>
            <w:r w:rsidRPr="00243B71">
              <w:rPr>
                <w:sz w:val="22"/>
                <w:szCs w:val="22"/>
              </w:rPr>
              <w:t>X 100</w:t>
            </w:r>
          </w:p>
        </w:tc>
      </w:tr>
      <w:tr w:rsidR="00A3421F" w:rsidRPr="00243B71" w14:paraId="4F20A36B" w14:textId="77777777">
        <w:tc>
          <w:tcPr>
            <w:tcW w:w="2093" w:type="dxa"/>
            <w:vMerge/>
          </w:tcPr>
          <w:p w14:paraId="0E58AC79" w14:textId="77777777" w:rsidR="00A3421F" w:rsidRPr="00243B71" w:rsidRDefault="00A3421F" w:rsidP="00A3421F">
            <w:pPr>
              <w:spacing w:before="120" w:after="120"/>
              <w:jc w:val="center"/>
              <w:rPr>
                <w:sz w:val="22"/>
                <w:szCs w:val="22"/>
              </w:rPr>
            </w:pPr>
          </w:p>
        </w:tc>
        <w:tc>
          <w:tcPr>
            <w:tcW w:w="4961" w:type="dxa"/>
            <w:vAlign w:val="center"/>
          </w:tcPr>
          <w:p w14:paraId="7ADD443E" w14:textId="77777777" w:rsidR="00A3421F" w:rsidRPr="00243B71" w:rsidRDefault="00A3421F" w:rsidP="00A3421F">
            <w:pPr>
              <w:spacing w:before="120" w:after="120"/>
              <w:jc w:val="center"/>
              <w:rPr>
                <w:sz w:val="22"/>
                <w:szCs w:val="22"/>
              </w:rPr>
            </w:pPr>
            <w:r w:rsidRPr="00243B71">
              <w:rPr>
                <w:sz w:val="22"/>
                <w:szCs w:val="22"/>
              </w:rPr>
              <w:t>Final score of the best technical offer</w:t>
            </w:r>
          </w:p>
        </w:tc>
        <w:tc>
          <w:tcPr>
            <w:tcW w:w="992" w:type="dxa"/>
            <w:vMerge/>
          </w:tcPr>
          <w:p w14:paraId="158FF7C3" w14:textId="77777777" w:rsidR="00A3421F" w:rsidRPr="00243B71" w:rsidRDefault="00A3421F" w:rsidP="00A3421F">
            <w:pPr>
              <w:spacing w:before="120" w:after="120"/>
              <w:jc w:val="center"/>
              <w:rPr>
                <w:sz w:val="22"/>
                <w:szCs w:val="22"/>
              </w:rPr>
            </w:pPr>
          </w:p>
        </w:tc>
      </w:tr>
    </w:tbl>
    <w:p w14:paraId="69790460" w14:textId="62A9D8B9" w:rsidR="00A3421F" w:rsidRPr="00243B71" w:rsidRDefault="00A3421F" w:rsidP="00570E73">
      <w:pPr>
        <w:spacing w:after="120"/>
        <w:jc w:val="both"/>
        <w:rPr>
          <w:sz w:val="22"/>
          <w:szCs w:val="22"/>
        </w:rPr>
      </w:pPr>
    </w:p>
    <w:p w14:paraId="28EC2918" w14:textId="77777777" w:rsidR="00A3421F" w:rsidRPr="00243B71" w:rsidRDefault="00A3421F" w:rsidP="00570E73">
      <w:pPr>
        <w:spacing w:after="120"/>
        <w:jc w:val="both"/>
        <w:rPr>
          <w:sz w:val="22"/>
          <w:szCs w:val="22"/>
        </w:rPr>
      </w:pPr>
    </w:p>
    <w:p w14:paraId="1A60B4C1" w14:textId="32B0C0B0" w:rsidR="001A4308" w:rsidRPr="00243B71" w:rsidRDefault="00036439" w:rsidP="00570E73">
      <w:pPr>
        <w:spacing w:after="120"/>
        <w:jc w:val="both"/>
        <w:rPr>
          <w:b/>
          <w:iCs/>
          <w:sz w:val="22"/>
          <w:szCs w:val="22"/>
        </w:rPr>
      </w:pPr>
      <w:r w:rsidRPr="00243B71">
        <w:rPr>
          <w:b/>
          <w:iCs/>
          <w:sz w:val="22"/>
          <w:szCs w:val="22"/>
        </w:rPr>
        <w:t>1</w:t>
      </w:r>
      <w:r w:rsidR="00240B68">
        <w:rPr>
          <w:b/>
          <w:iCs/>
          <w:sz w:val="22"/>
          <w:szCs w:val="22"/>
        </w:rPr>
        <w:t>7</w:t>
      </w:r>
      <w:r w:rsidR="00E12D4C" w:rsidRPr="00243B71">
        <w:rPr>
          <w:b/>
          <w:iCs/>
          <w:sz w:val="22"/>
          <w:szCs w:val="22"/>
        </w:rPr>
        <w:t xml:space="preserve">.2.1. </w:t>
      </w:r>
      <w:r w:rsidR="001A4308" w:rsidRPr="00243B71">
        <w:rPr>
          <w:b/>
          <w:iCs/>
          <w:sz w:val="22"/>
          <w:szCs w:val="22"/>
        </w:rPr>
        <w:t>Interviews</w:t>
      </w:r>
    </w:p>
    <w:p w14:paraId="796DFA82" w14:textId="1F166516" w:rsidR="00FD1921" w:rsidRPr="00243B71" w:rsidRDefault="00FD1921" w:rsidP="00570E73">
      <w:pPr>
        <w:spacing w:after="120"/>
        <w:jc w:val="both"/>
        <w:rPr>
          <w:sz w:val="22"/>
          <w:szCs w:val="22"/>
        </w:rPr>
      </w:pPr>
      <w:r w:rsidRPr="00243B71">
        <w:rPr>
          <w:sz w:val="22"/>
          <w:szCs w:val="22"/>
        </w:rPr>
        <w:t>No interviews are foreseen.</w:t>
      </w:r>
    </w:p>
    <w:p w14:paraId="0B3039F3" w14:textId="41DCF86E" w:rsidR="003436FE" w:rsidRPr="00243B71" w:rsidRDefault="003436FE" w:rsidP="00570E73">
      <w:pPr>
        <w:spacing w:after="120"/>
        <w:jc w:val="both"/>
        <w:rPr>
          <w:b/>
          <w:sz w:val="22"/>
          <w:szCs w:val="22"/>
        </w:rPr>
      </w:pPr>
      <w:r w:rsidRPr="00243B71">
        <w:rPr>
          <w:b/>
          <w:sz w:val="22"/>
          <w:szCs w:val="22"/>
        </w:rPr>
        <w:t>1</w:t>
      </w:r>
      <w:r w:rsidR="00240B68">
        <w:rPr>
          <w:b/>
          <w:sz w:val="22"/>
          <w:szCs w:val="22"/>
        </w:rPr>
        <w:t>7</w:t>
      </w:r>
      <w:r w:rsidR="00BB394A" w:rsidRPr="00243B71">
        <w:rPr>
          <w:b/>
          <w:sz w:val="22"/>
          <w:szCs w:val="22"/>
        </w:rPr>
        <w:t>.3.</w:t>
      </w:r>
      <w:r w:rsidR="00BB394A" w:rsidRPr="00243B71">
        <w:rPr>
          <w:b/>
          <w:sz w:val="22"/>
          <w:szCs w:val="22"/>
        </w:rPr>
        <w:tab/>
      </w:r>
      <w:r w:rsidRPr="00243B71">
        <w:rPr>
          <w:b/>
          <w:sz w:val="22"/>
          <w:szCs w:val="22"/>
        </w:rPr>
        <w:t>Evaluation of financial offers</w:t>
      </w:r>
    </w:p>
    <w:p w14:paraId="542BE855" w14:textId="3A48F0D6" w:rsidR="00060066" w:rsidRDefault="003436FE" w:rsidP="00570E73">
      <w:pPr>
        <w:spacing w:after="120"/>
        <w:jc w:val="both"/>
        <w:rPr>
          <w:b/>
          <w:sz w:val="22"/>
          <w:szCs w:val="22"/>
        </w:rPr>
      </w:pPr>
      <w:r w:rsidRPr="00243B71">
        <w:rPr>
          <w:sz w:val="22"/>
          <w:szCs w:val="22"/>
        </w:rPr>
        <w:t xml:space="preserve">Upon completion of the technical evaluation, </w:t>
      </w:r>
      <w:r w:rsidR="00850838" w:rsidRPr="00243B71">
        <w:rPr>
          <w:sz w:val="22"/>
          <w:szCs w:val="22"/>
        </w:rPr>
        <w:t>the Contracting Authority will ask the password for financial offers of those tenders that are technically compliant as defined above. T</w:t>
      </w:r>
      <w:r w:rsidR="00CE1B2F" w:rsidRPr="00243B71">
        <w:rPr>
          <w:sz w:val="22"/>
          <w:szCs w:val="22"/>
        </w:rPr>
        <w:t>he PDF file</w:t>
      </w:r>
      <w:r w:rsidR="00850838" w:rsidRPr="00243B71">
        <w:rPr>
          <w:sz w:val="22"/>
          <w:szCs w:val="22"/>
        </w:rPr>
        <w:t xml:space="preserve"> </w:t>
      </w:r>
      <w:r w:rsidRPr="00243B71">
        <w:rPr>
          <w:sz w:val="22"/>
          <w:szCs w:val="22"/>
        </w:rPr>
        <w:t xml:space="preserve">containing the financial offers will be opened (i.e. those with an average score of </w:t>
      </w:r>
      <w:r w:rsidR="002C2C36" w:rsidRPr="00243B71">
        <w:rPr>
          <w:sz w:val="22"/>
          <w:szCs w:val="22"/>
        </w:rPr>
        <w:t xml:space="preserve">80 </w:t>
      </w:r>
      <w:r w:rsidRPr="00243B71">
        <w:rPr>
          <w:sz w:val="22"/>
          <w:szCs w:val="22"/>
        </w:rPr>
        <w:t xml:space="preserve">points or </w:t>
      </w:r>
      <w:r w:rsidRPr="00BE7640">
        <w:rPr>
          <w:sz w:val="22"/>
          <w:szCs w:val="22"/>
        </w:rPr>
        <w:t xml:space="preserve">more). </w:t>
      </w:r>
    </w:p>
    <w:p w14:paraId="148843A6" w14:textId="26E937AC" w:rsidR="00BE7640" w:rsidRPr="00061CFC" w:rsidRDefault="00BE7640" w:rsidP="00061CFC">
      <w:pPr>
        <w:shd w:val="clear" w:color="auto" w:fill="FFFFFF"/>
        <w:spacing w:after="120"/>
        <w:jc w:val="both"/>
        <w:rPr>
          <w:sz w:val="22"/>
          <w:szCs w:val="22"/>
        </w:rPr>
      </w:pPr>
      <w:r w:rsidRPr="00061CFC">
        <w:rPr>
          <w:sz w:val="22"/>
          <w:szCs w:val="22"/>
        </w:rPr>
        <w:t>The Consultant’s Proposal must include the minimum Key Experts’ time-input of 54 person/</w:t>
      </w:r>
      <w:r>
        <w:rPr>
          <w:sz w:val="22"/>
          <w:szCs w:val="22"/>
        </w:rPr>
        <w:t>month</w:t>
      </w:r>
      <w:r w:rsidRPr="00061CFC">
        <w:rPr>
          <w:sz w:val="22"/>
          <w:szCs w:val="22"/>
        </w:rPr>
        <w:t>.</w:t>
      </w:r>
    </w:p>
    <w:p w14:paraId="4A980202" w14:textId="77777777" w:rsidR="00BE7640" w:rsidRPr="00061CFC" w:rsidRDefault="00BE7640" w:rsidP="00061CFC">
      <w:pPr>
        <w:shd w:val="clear" w:color="auto" w:fill="FFFFFF"/>
        <w:spacing w:after="120"/>
        <w:jc w:val="both"/>
        <w:rPr>
          <w:sz w:val="22"/>
          <w:szCs w:val="22"/>
        </w:rPr>
      </w:pPr>
      <w:r w:rsidRPr="00061CFC">
        <w:rPr>
          <w:sz w:val="22"/>
          <w:szCs w:val="22"/>
        </w:rPr>
        <w:t>For the evaluation and comparison of Proposals only: if a Proposal includes less than the required minimum time-input, the missing time-input (expressed in person-month) is calculated as follows:</w:t>
      </w:r>
    </w:p>
    <w:p w14:paraId="4E7A14AC" w14:textId="4491E43D" w:rsidR="00BE7640" w:rsidRPr="00061CFC" w:rsidRDefault="00BE7640" w:rsidP="00061CFC">
      <w:pPr>
        <w:shd w:val="clear" w:color="auto" w:fill="FFFFFF"/>
        <w:spacing w:after="120"/>
        <w:jc w:val="both"/>
        <w:rPr>
          <w:sz w:val="22"/>
          <w:szCs w:val="22"/>
        </w:rPr>
      </w:pPr>
      <w:r w:rsidRPr="00061CFC">
        <w:rPr>
          <w:sz w:val="22"/>
          <w:szCs w:val="22"/>
        </w:rPr>
        <w:t>The missing time-input is multiplied by the highest remuneration rate for a Key Expert in the Consultant’s Proposal and added to the total remuneration amount. Proposals that quoted higher than the required minimum of time-input will not be adjusted.</w:t>
      </w:r>
    </w:p>
    <w:p w14:paraId="2BED12BD" w14:textId="77777777" w:rsidR="00E12D4C" w:rsidRPr="00243B71" w:rsidRDefault="00E12D4C" w:rsidP="00570E73">
      <w:pPr>
        <w:shd w:val="clear" w:color="auto" w:fill="FFFFFF"/>
        <w:spacing w:after="120"/>
        <w:jc w:val="both"/>
        <w:rPr>
          <w:sz w:val="22"/>
          <w:szCs w:val="22"/>
        </w:rPr>
      </w:pPr>
      <w:r w:rsidRPr="00243B71">
        <w:rPr>
          <w:sz w:val="22"/>
          <w:szCs w:val="22"/>
        </w:rPr>
        <w:t xml:space="preserve">The tender with the lowest total fees + lump sums </w:t>
      </w:r>
      <w:r w:rsidR="00F31DB2" w:rsidRPr="00243B71">
        <w:rPr>
          <w:sz w:val="22"/>
          <w:szCs w:val="22"/>
        </w:rPr>
        <w:t xml:space="preserve">(incidentals &amp; expenditure verification) </w:t>
      </w:r>
      <w:r w:rsidRPr="00243B71">
        <w:rPr>
          <w:sz w:val="22"/>
          <w:szCs w:val="22"/>
        </w:rPr>
        <w:t>receives 100 points. The others are awarded points by means of the following formula:</w:t>
      </w:r>
    </w:p>
    <w:p w14:paraId="6DF3398F" w14:textId="77777777" w:rsidR="00850838" w:rsidRPr="00243B71" w:rsidRDefault="00850838" w:rsidP="00570E73">
      <w:pPr>
        <w:shd w:val="clear" w:color="auto" w:fill="FFFFFF"/>
        <w:spacing w:after="120"/>
        <w:jc w:val="both"/>
        <w:rPr>
          <w:sz w:val="22"/>
          <w:szCs w:val="22"/>
        </w:rPr>
      </w:pPr>
    </w:p>
    <w:tbl>
      <w:tblPr>
        <w:tblW w:w="8505" w:type="dxa"/>
        <w:tblBorders>
          <w:insideH w:val="single" w:sz="4" w:space="0" w:color="auto"/>
        </w:tblBorders>
        <w:tblLook w:val="04A0" w:firstRow="1" w:lastRow="0" w:firstColumn="1" w:lastColumn="0" w:noHBand="0" w:noVBand="1"/>
      </w:tblPr>
      <w:tblGrid>
        <w:gridCol w:w="1951"/>
        <w:gridCol w:w="5528"/>
        <w:gridCol w:w="1026"/>
      </w:tblGrid>
      <w:tr w:rsidR="00850838" w:rsidRPr="00243B71" w14:paraId="7CE92EC3" w14:textId="77777777">
        <w:tc>
          <w:tcPr>
            <w:tcW w:w="1951" w:type="dxa"/>
            <w:vMerge w:val="restart"/>
            <w:vAlign w:val="center"/>
          </w:tcPr>
          <w:p w14:paraId="57C4893D" w14:textId="77777777" w:rsidR="00850838" w:rsidRPr="00243B71" w:rsidRDefault="00850838" w:rsidP="00850838">
            <w:pPr>
              <w:spacing w:before="120" w:after="120"/>
              <w:jc w:val="center"/>
              <w:rPr>
                <w:sz w:val="22"/>
                <w:szCs w:val="22"/>
              </w:rPr>
            </w:pPr>
            <w:r w:rsidRPr="00243B71">
              <w:rPr>
                <w:sz w:val="22"/>
                <w:szCs w:val="22"/>
              </w:rPr>
              <w:t>Financial score   =</w:t>
            </w:r>
          </w:p>
        </w:tc>
        <w:tc>
          <w:tcPr>
            <w:tcW w:w="5528" w:type="dxa"/>
            <w:vAlign w:val="center"/>
          </w:tcPr>
          <w:p w14:paraId="29D1DF2D" w14:textId="62C93F30" w:rsidR="00850838" w:rsidRPr="00243B71" w:rsidRDefault="00850838" w:rsidP="00850838">
            <w:pPr>
              <w:spacing w:before="120" w:after="120"/>
              <w:jc w:val="center"/>
              <w:rPr>
                <w:sz w:val="22"/>
                <w:szCs w:val="22"/>
              </w:rPr>
            </w:pPr>
            <w:r w:rsidRPr="00243B71">
              <w:rPr>
                <w:sz w:val="22"/>
                <w:szCs w:val="22"/>
              </w:rPr>
              <w:t xml:space="preserve">Lowest total fees of the technically compliant tenders </w:t>
            </w:r>
          </w:p>
        </w:tc>
        <w:tc>
          <w:tcPr>
            <w:tcW w:w="1026" w:type="dxa"/>
            <w:vMerge w:val="restart"/>
            <w:vAlign w:val="center"/>
          </w:tcPr>
          <w:p w14:paraId="736B780B" w14:textId="77777777" w:rsidR="00850838" w:rsidRPr="00243B71" w:rsidRDefault="00850838" w:rsidP="00850838">
            <w:pPr>
              <w:spacing w:before="120" w:after="120"/>
              <w:jc w:val="center"/>
              <w:rPr>
                <w:sz w:val="22"/>
                <w:szCs w:val="22"/>
              </w:rPr>
            </w:pPr>
            <w:r w:rsidRPr="00243B71">
              <w:rPr>
                <w:sz w:val="22"/>
                <w:szCs w:val="22"/>
              </w:rPr>
              <w:t>X 100</w:t>
            </w:r>
          </w:p>
        </w:tc>
      </w:tr>
      <w:tr w:rsidR="00850838" w:rsidRPr="00243B71" w14:paraId="36CC076A" w14:textId="77777777">
        <w:tc>
          <w:tcPr>
            <w:tcW w:w="1951" w:type="dxa"/>
            <w:vMerge/>
          </w:tcPr>
          <w:p w14:paraId="18B3D6EB" w14:textId="77777777" w:rsidR="00850838" w:rsidRPr="00243B71" w:rsidRDefault="00850838" w:rsidP="00850838">
            <w:pPr>
              <w:spacing w:before="120" w:after="120"/>
              <w:jc w:val="center"/>
              <w:rPr>
                <w:sz w:val="22"/>
                <w:szCs w:val="22"/>
              </w:rPr>
            </w:pPr>
          </w:p>
        </w:tc>
        <w:tc>
          <w:tcPr>
            <w:tcW w:w="5528" w:type="dxa"/>
            <w:vAlign w:val="center"/>
          </w:tcPr>
          <w:p w14:paraId="4648B463" w14:textId="77777777" w:rsidR="00850838" w:rsidRPr="00243B71" w:rsidRDefault="00850838" w:rsidP="00850838">
            <w:pPr>
              <w:spacing w:before="120" w:after="120"/>
              <w:jc w:val="center"/>
              <w:rPr>
                <w:sz w:val="22"/>
                <w:szCs w:val="22"/>
              </w:rPr>
            </w:pPr>
            <w:r w:rsidRPr="00243B71">
              <w:rPr>
                <w:sz w:val="22"/>
                <w:szCs w:val="22"/>
              </w:rPr>
              <w:t xml:space="preserve">Total fees of the tender being considered </w:t>
            </w:r>
          </w:p>
        </w:tc>
        <w:tc>
          <w:tcPr>
            <w:tcW w:w="1026" w:type="dxa"/>
            <w:vMerge/>
          </w:tcPr>
          <w:p w14:paraId="6E3D0A96" w14:textId="77777777" w:rsidR="00850838" w:rsidRPr="00243B71" w:rsidRDefault="00850838" w:rsidP="00850838">
            <w:pPr>
              <w:spacing w:before="120" w:after="120"/>
              <w:jc w:val="center"/>
              <w:rPr>
                <w:sz w:val="22"/>
                <w:szCs w:val="22"/>
              </w:rPr>
            </w:pPr>
          </w:p>
        </w:tc>
      </w:tr>
    </w:tbl>
    <w:p w14:paraId="7DB92F23" w14:textId="77777777" w:rsidR="00850838" w:rsidRPr="00243B71" w:rsidRDefault="00850838" w:rsidP="00570E73">
      <w:pPr>
        <w:shd w:val="clear" w:color="auto" w:fill="FFFFFF"/>
        <w:spacing w:after="120"/>
        <w:jc w:val="both"/>
        <w:rPr>
          <w:sz w:val="22"/>
          <w:szCs w:val="22"/>
        </w:rPr>
      </w:pPr>
    </w:p>
    <w:p w14:paraId="2C1F64DF" w14:textId="1B4C2686" w:rsidR="00240B68" w:rsidRDefault="00060066" w:rsidP="00570E73">
      <w:pPr>
        <w:jc w:val="both"/>
        <w:rPr>
          <w:sz w:val="22"/>
          <w:szCs w:val="22"/>
        </w:rPr>
      </w:pPr>
      <w:r w:rsidRPr="00243B71">
        <w:rPr>
          <w:sz w:val="22"/>
          <w:szCs w:val="22"/>
        </w:rPr>
        <w:t xml:space="preserve">Any arithmetical errors are corrected without penalty to the tenderer such that, if there is a discrepancy between a fee rate and the total amount derived from multiplying the fee rate by the corresponding number of </w:t>
      </w:r>
      <w:r w:rsidR="005122F6">
        <w:rPr>
          <w:sz w:val="22"/>
          <w:szCs w:val="22"/>
        </w:rPr>
        <w:t>months</w:t>
      </w:r>
      <w:r w:rsidRPr="00243B71">
        <w:rPr>
          <w:sz w:val="22"/>
          <w:szCs w:val="22"/>
        </w:rPr>
        <w:t>, the fee rate as quoted must prevail, unless the opinion of the Evaluation Committee contains an obvious error in the fee rate, in which event the total amount as quoted must prevail and the fee rate must be corrected.</w:t>
      </w:r>
    </w:p>
    <w:p w14:paraId="25E1FB58" w14:textId="77777777" w:rsidR="00240B68" w:rsidRDefault="00240B68" w:rsidP="00570E73">
      <w:pPr>
        <w:jc w:val="both"/>
        <w:rPr>
          <w:sz w:val="22"/>
          <w:szCs w:val="22"/>
        </w:rPr>
      </w:pPr>
    </w:p>
    <w:p w14:paraId="02B49018" w14:textId="536EA1EB" w:rsidR="00060066" w:rsidRPr="00243B71" w:rsidRDefault="00060066" w:rsidP="00570E73">
      <w:pPr>
        <w:jc w:val="both"/>
        <w:rPr>
          <w:sz w:val="22"/>
          <w:szCs w:val="22"/>
        </w:rPr>
      </w:pPr>
    </w:p>
    <w:p w14:paraId="6408AD93" w14:textId="77777777" w:rsidR="003436FE" w:rsidRPr="00243B71" w:rsidRDefault="003436FE" w:rsidP="00061CFC">
      <w:pPr>
        <w:numPr>
          <w:ilvl w:val="0"/>
          <w:numId w:val="26"/>
        </w:numPr>
        <w:spacing w:before="240" w:after="120"/>
        <w:jc w:val="both"/>
        <w:rPr>
          <w:b/>
          <w:sz w:val="22"/>
          <w:szCs w:val="22"/>
          <w:u w:val="single"/>
        </w:rPr>
      </w:pPr>
      <w:r w:rsidRPr="00243B71">
        <w:rPr>
          <w:b/>
          <w:sz w:val="22"/>
          <w:szCs w:val="22"/>
        </w:rPr>
        <w:t>Choice of selected tenderer</w:t>
      </w:r>
      <w:r w:rsidRPr="00243B71">
        <w:rPr>
          <w:b/>
          <w:sz w:val="22"/>
          <w:szCs w:val="22"/>
          <w:u w:val="single"/>
        </w:rPr>
        <w:t xml:space="preserve"> </w:t>
      </w:r>
    </w:p>
    <w:p w14:paraId="3BF7DDD6" w14:textId="12A924DB" w:rsidR="008915D2" w:rsidRPr="00243B71" w:rsidRDefault="001A4308" w:rsidP="00570E73">
      <w:pPr>
        <w:spacing w:after="120"/>
        <w:jc w:val="both"/>
        <w:rPr>
          <w:sz w:val="22"/>
          <w:szCs w:val="22"/>
        </w:rPr>
      </w:pPr>
      <w:r w:rsidRPr="00243B71">
        <w:rPr>
          <w:sz w:val="22"/>
          <w:szCs w:val="22"/>
        </w:rPr>
        <w:t xml:space="preserve">The </w:t>
      </w:r>
      <w:r w:rsidR="00E12D4C" w:rsidRPr="00243B71">
        <w:rPr>
          <w:sz w:val="22"/>
          <w:szCs w:val="22"/>
        </w:rPr>
        <w:t xml:space="preserve">best price-quality ratio </w:t>
      </w:r>
      <w:r w:rsidRPr="00243B71">
        <w:rPr>
          <w:sz w:val="22"/>
          <w:szCs w:val="22"/>
        </w:rPr>
        <w:t>is established by weighing technica</w:t>
      </w:r>
      <w:r w:rsidR="008915D2" w:rsidRPr="00243B71">
        <w:rPr>
          <w:sz w:val="22"/>
          <w:szCs w:val="22"/>
        </w:rPr>
        <w:t xml:space="preserve">l quality against price on an </w:t>
      </w:r>
      <w:r w:rsidR="00850838" w:rsidRPr="00243B71">
        <w:rPr>
          <w:sz w:val="22"/>
          <w:szCs w:val="22"/>
        </w:rPr>
        <w:t>80</w:t>
      </w:r>
      <w:r w:rsidRPr="00243B71">
        <w:rPr>
          <w:sz w:val="22"/>
          <w:szCs w:val="22"/>
        </w:rPr>
        <w:t>/</w:t>
      </w:r>
      <w:r w:rsidR="00850838" w:rsidRPr="00243B71">
        <w:rPr>
          <w:sz w:val="22"/>
          <w:szCs w:val="22"/>
        </w:rPr>
        <w:t>20</w:t>
      </w:r>
      <w:r w:rsidRPr="00243B71">
        <w:rPr>
          <w:sz w:val="22"/>
          <w:szCs w:val="22"/>
        </w:rPr>
        <w:t xml:space="preserve"> basis</w:t>
      </w:r>
      <w:r w:rsidR="008915D2" w:rsidRPr="00243B71">
        <w:rPr>
          <w:sz w:val="22"/>
          <w:szCs w:val="22"/>
        </w:rPr>
        <w:t>.</w:t>
      </w:r>
    </w:p>
    <w:p w14:paraId="2F0627C5" w14:textId="77777777" w:rsidR="00E97A40" w:rsidRPr="00243B71" w:rsidRDefault="00E97A40" w:rsidP="00E97A40">
      <w:pPr>
        <w:spacing w:after="120"/>
        <w:jc w:val="both"/>
        <w:rPr>
          <w:sz w:val="22"/>
          <w:szCs w:val="22"/>
        </w:rPr>
      </w:pPr>
      <w:r w:rsidRPr="00243B71">
        <w:rPr>
          <w:sz w:val="22"/>
          <w:szCs w:val="22"/>
        </w:rPr>
        <w:t>This is done by adding:</w:t>
      </w:r>
    </w:p>
    <w:p w14:paraId="51A81B8F" w14:textId="1D03BE16" w:rsidR="008317A0" w:rsidRPr="00243B71" w:rsidRDefault="00E97A40" w:rsidP="00F03AB1">
      <w:pPr>
        <w:numPr>
          <w:ilvl w:val="0"/>
          <w:numId w:val="20"/>
        </w:numPr>
        <w:spacing w:after="120"/>
        <w:jc w:val="both"/>
        <w:rPr>
          <w:sz w:val="22"/>
          <w:szCs w:val="22"/>
        </w:rPr>
      </w:pPr>
      <w:r w:rsidRPr="00243B71">
        <w:rPr>
          <w:sz w:val="22"/>
          <w:szCs w:val="22"/>
        </w:rPr>
        <w:t>the technical scores awarded to the technical offers multiplied by 0.80</w:t>
      </w:r>
      <w:r w:rsidR="00850838" w:rsidRPr="00243B71">
        <w:rPr>
          <w:sz w:val="22"/>
          <w:szCs w:val="22"/>
        </w:rPr>
        <w:t xml:space="preserve">; </w:t>
      </w:r>
      <w:r w:rsidR="008317A0" w:rsidRPr="00243B71">
        <w:rPr>
          <w:sz w:val="22"/>
          <w:szCs w:val="22"/>
        </w:rPr>
        <w:t>and</w:t>
      </w:r>
    </w:p>
    <w:p w14:paraId="393617D7" w14:textId="1FA83515" w:rsidR="00E97A40" w:rsidRPr="00243B71" w:rsidRDefault="00E97A40" w:rsidP="00F03AB1">
      <w:pPr>
        <w:numPr>
          <w:ilvl w:val="0"/>
          <w:numId w:val="20"/>
        </w:numPr>
        <w:spacing w:after="120"/>
        <w:jc w:val="both"/>
        <w:rPr>
          <w:sz w:val="22"/>
          <w:szCs w:val="22"/>
        </w:rPr>
      </w:pPr>
      <w:r w:rsidRPr="00243B71">
        <w:rPr>
          <w:sz w:val="22"/>
          <w:szCs w:val="22"/>
        </w:rPr>
        <w:t xml:space="preserve">- </w:t>
      </w:r>
      <w:proofErr w:type="gramStart"/>
      <w:r w:rsidRPr="00243B71">
        <w:rPr>
          <w:sz w:val="22"/>
          <w:szCs w:val="22"/>
        </w:rPr>
        <w:t>the</w:t>
      </w:r>
      <w:proofErr w:type="gramEnd"/>
      <w:r w:rsidRPr="00243B71">
        <w:rPr>
          <w:sz w:val="22"/>
          <w:szCs w:val="22"/>
        </w:rPr>
        <w:t xml:space="preserve"> financial scores aw</w:t>
      </w:r>
      <w:r w:rsidR="00234FF4" w:rsidRPr="00243B71">
        <w:rPr>
          <w:sz w:val="22"/>
          <w:szCs w:val="22"/>
        </w:rPr>
        <w:t>arded to the financial offers</w:t>
      </w:r>
      <w:r w:rsidRPr="00243B71">
        <w:rPr>
          <w:sz w:val="22"/>
          <w:szCs w:val="22"/>
        </w:rPr>
        <w:t xml:space="preserve"> multiplied</w:t>
      </w:r>
      <w:r w:rsidR="00234FF4" w:rsidRPr="00243B71">
        <w:rPr>
          <w:sz w:val="22"/>
          <w:szCs w:val="22"/>
        </w:rPr>
        <w:t xml:space="preserve"> by</w:t>
      </w:r>
      <w:r w:rsidRPr="00243B71">
        <w:rPr>
          <w:sz w:val="22"/>
          <w:szCs w:val="22"/>
        </w:rPr>
        <w:t xml:space="preserve"> 0.20.</w:t>
      </w:r>
    </w:p>
    <w:p w14:paraId="2AAF5DF2" w14:textId="77777777" w:rsidR="003436FE" w:rsidRPr="00243B71" w:rsidRDefault="003436FE" w:rsidP="00061CFC">
      <w:pPr>
        <w:numPr>
          <w:ilvl w:val="0"/>
          <w:numId w:val="26"/>
        </w:numPr>
        <w:spacing w:before="240" w:after="120"/>
        <w:jc w:val="both"/>
        <w:rPr>
          <w:b/>
          <w:sz w:val="22"/>
          <w:szCs w:val="22"/>
        </w:rPr>
      </w:pPr>
      <w:r w:rsidRPr="00243B71">
        <w:rPr>
          <w:b/>
          <w:sz w:val="22"/>
          <w:szCs w:val="22"/>
        </w:rPr>
        <w:t>Confidentiality</w:t>
      </w:r>
    </w:p>
    <w:p w14:paraId="24B3E076" w14:textId="77777777" w:rsidR="003436FE" w:rsidRPr="00243B71" w:rsidRDefault="001A4308" w:rsidP="00570E73">
      <w:pPr>
        <w:jc w:val="both"/>
        <w:rPr>
          <w:sz w:val="22"/>
          <w:szCs w:val="22"/>
        </w:rPr>
      </w:pPr>
      <w:r w:rsidRPr="00243B71">
        <w:rPr>
          <w:sz w:val="22"/>
          <w:szCs w:val="22"/>
        </w:rPr>
        <w:t xml:space="preserve">The entire evaluation procedure is confidential. The Evaluation Committee's decisions are collective and its deliberations are held in closed session. The members of the Evaluation Committee are bound to secrecy. The evaluation reports and written records, in particular, are </w:t>
      </w:r>
      <w:r w:rsidR="00F234BE" w:rsidRPr="00243B71">
        <w:rPr>
          <w:sz w:val="22"/>
          <w:szCs w:val="22"/>
        </w:rPr>
        <w:t>confidential</w:t>
      </w:r>
      <w:r w:rsidRPr="00243B71">
        <w:rPr>
          <w:sz w:val="22"/>
          <w:szCs w:val="22"/>
        </w:rPr>
        <w:t xml:space="preserve"> and may be communicated neither to the tenderers nor to any party other than the Contracting Authority, the European Commission, the European Anti-Fraud Office and the European Court of Auditors.</w:t>
      </w:r>
    </w:p>
    <w:p w14:paraId="23B6D6A7" w14:textId="77777777" w:rsidR="003436FE" w:rsidRPr="00243B71" w:rsidRDefault="003436FE" w:rsidP="00061CFC">
      <w:pPr>
        <w:numPr>
          <w:ilvl w:val="0"/>
          <w:numId w:val="26"/>
        </w:numPr>
        <w:spacing w:before="240" w:after="120"/>
        <w:jc w:val="both"/>
        <w:rPr>
          <w:b/>
          <w:sz w:val="22"/>
          <w:szCs w:val="22"/>
        </w:rPr>
      </w:pPr>
      <w:r w:rsidRPr="00243B71">
        <w:rPr>
          <w:b/>
          <w:sz w:val="22"/>
          <w:szCs w:val="22"/>
        </w:rPr>
        <w:t>Ethics clauses / Corruptive practices</w:t>
      </w:r>
    </w:p>
    <w:p w14:paraId="1E5B1BD1" w14:textId="778E61DD" w:rsidR="00B14DC4" w:rsidRPr="00243B71" w:rsidRDefault="00B14DC4" w:rsidP="00B14DC4">
      <w:pPr>
        <w:spacing w:before="120" w:after="120"/>
        <w:jc w:val="both"/>
        <w:rPr>
          <w:sz w:val="22"/>
          <w:szCs w:val="22"/>
          <w:u w:val="single"/>
        </w:rPr>
      </w:pPr>
      <w:r w:rsidRPr="00243B71">
        <w:rPr>
          <w:sz w:val="22"/>
          <w:szCs w:val="22"/>
        </w:rPr>
        <w:t>a)</w:t>
      </w:r>
      <w:r w:rsidRPr="00243B71">
        <w:rPr>
          <w:sz w:val="22"/>
          <w:szCs w:val="22"/>
        </w:rPr>
        <w:tab/>
      </w:r>
      <w:r w:rsidRPr="00243B71">
        <w:rPr>
          <w:sz w:val="22"/>
          <w:szCs w:val="22"/>
          <w:u w:val="single"/>
        </w:rPr>
        <w:t xml:space="preserve">Absence of conflict of interest: </w:t>
      </w:r>
      <w:r w:rsidRPr="00243B71">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r w:rsidR="00051CA8">
        <w:rPr>
          <w:sz w:val="22"/>
          <w:szCs w:val="22"/>
        </w:rPr>
        <w:t xml:space="preserve">Assessment of any potential conflict of interest will be done as per the EIB </w:t>
      </w:r>
      <w:proofErr w:type="spellStart"/>
      <w:r w:rsidR="00051CA8">
        <w:rPr>
          <w:sz w:val="22"/>
          <w:szCs w:val="22"/>
        </w:rPr>
        <w:t>GtP</w:t>
      </w:r>
      <w:proofErr w:type="spellEnd"/>
      <w:r w:rsidR="00051CA8">
        <w:rPr>
          <w:sz w:val="22"/>
          <w:szCs w:val="22"/>
        </w:rPr>
        <w:t xml:space="preserve"> – Section 1.5. Conflict of interest.”</w:t>
      </w:r>
    </w:p>
    <w:p w14:paraId="3FAE4C55" w14:textId="39902053" w:rsidR="00B14DC4" w:rsidRPr="00243B71" w:rsidRDefault="00B14DC4" w:rsidP="00B14DC4">
      <w:pPr>
        <w:spacing w:before="120" w:after="120"/>
        <w:jc w:val="both"/>
        <w:rPr>
          <w:sz w:val="22"/>
          <w:szCs w:val="22"/>
        </w:rPr>
      </w:pPr>
      <w:r w:rsidRPr="00243B71">
        <w:rPr>
          <w:sz w:val="22"/>
          <w:szCs w:val="22"/>
        </w:rPr>
        <w:t>b)</w:t>
      </w:r>
      <w:r w:rsidRPr="00243B71">
        <w:rPr>
          <w:sz w:val="22"/>
          <w:szCs w:val="22"/>
        </w:rPr>
        <w:tab/>
      </w:r>
      <w:r w:rsidRPr="00243B71">
        <w:rPr>
          <w:sz w:val="22"/>
          <w:szCs w:val="22"/>
          <w:u w:val="single"/>
        </w:rPr>
        <w:t xml:space="preserve">Respect for human rights as well as environmental legislation and core labour standards: </w:t>
      </w:r>
      <w:r w:rsidRPr="00243B71">
        <w:rPr>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934D409" w14:textId="77777777" w:rsidR="00B14DC4" w:rsidRPr="00243B71" w:rsidRDefault="00B14DC4">
      <w:pPr>
        <w:rPr>
          <w:sz w:val="22"/>
          <w:szCs w:val="22"/>
        </w:rPr>
      </w:pPr>
      <w:r w:rsidRPr="00243B71">
        <w:rPr>
          <w:sz w:val="22"/>
          <w:szCs w:val="22"/>
        </w:rPr>
        <w:br w:type="page"/>
      </w:r>
    </w:p>
    <w:p w14:paraId="685254E7" w14:textId="77777777" w:rsidR="00B14DC4" w:rsidRPr="00243B71" w:rsidRDefault="00B14DC4" w:rsidP="00B14DC4">
      <w:pPr>
        <w:spacing w:before="120" w:after="120"/>
        <w:jc w:val="both"/>
        <w:rPr>
          <w:sz w:val="22"/>
          <w:szCs w:val="22"/>
          <w:u w:val="single"/>
        </w:rPr>
      </w:pPr>
    </w:p>
    <w:p w14:paraId="1CB332DF" w14:textId="3E7CB62E" w:rsidR="00B14DC4" w:rsidRPr="00243B71" w:rsidRDefault="00B14DC4" w:rsidP="00B14DC4">
      <w:pPr>
        <w:pStyle w:val="ListParagraph"/>
        <w:pBdr>
          <w:top w:val="single" w:sz="4" w:space="1" w:color="auto"/>
          <w:left w:val="single" w:sz="4" w:space="4" w:color="auto"/>
          <w:bottom w:val="single" w:sz="4" w:space="1" w:color="auto"/>
          <w:right w:val="single" w:sz="4" w:space="4" w:color="auto"/>
        </w:pBdr>
        <w:spacing w:before="120" w:after="120"/>
        <w:ind w:left="420"/>
        <w:jc w:val="both"/>
        <w:rPr>
          <w:rFonts w:ascii="Times New Roman" w:hAnsi="Times New Roman" w:cs="Times New Roman"/>
          <w:b/>
        </w:rPr>
      </w:pPr>
      <w:r w:rsidRPr="00243B71">
        <w:rPr>
          <w:rFonts w:ascii="Times New Roman" w:hAnsi="Times New Roman" w:cs="Times New Roman"/>
          <w:b/>
        </w:rPr>
        <w:t>Zero tolerance for sexual exploitation and sexual abuse:</w:t>
      </w:r>
    </w:p>
    <w:p w14:paraId="21B34E42" w14:textId="254E2C99" w:rsidR="00B14DC4" w:rsidRPr="00243B71" w:rsidRDefault="00B14DC4" w:rsidP="00B14DC4">
      <w:pPr>
        <w:pStyle w:val="ListParagraph"/>
        <w:pBdr>
          <w:top w:val="single" w:sz="4" w:space="1" w:color="auto"/>
          <w:left w:val="single" w:sz="4" w:space="4" w:color="auto"/>
          <w:bottom w:val="single" w:sz="4" w:space="1" w:color="auto"/>
          <w:right w:val="single" w:sz="4" w:space="4" w:color="auto"/>
        </w:pBdr>
        <w:spacing w:before="120" w:after="120"/>
        <w:ind w:left="420"/>
        <w:jc w:val="both"/>
        <w:rPr>
          <w:rFonts w:ascii="Times New Roman" w:hAnsi="Times New Roman" w:cs="Times New Roman"/>
        </w:rPr>
      </w:pPr>
      <w:r w:rsidRPr="00243B71">
        <w:rPr>
          <w:rFonts w:ascii="Times New Roman" w:hAnsi="Times New Roman" w:cs="Times New Roman"/>
        </w:rPr>
        <w:t xml:space="preserve"> The Contracting Authority applies a policy of 'zero tolerance' in relation to all wrongful conduct which has an impact on the professional credibility of the tenderer. </w:t>
      </w:r>
    </w:p>
    <w:p w14:paraId="76CE0B1F" w14:textId="4B9359FB" w:rsidR="00B14DC4" w:rsidRPr="00243B71" w:rsidRDefault="00B14DC4" w:rsidP="00B14DC4">
      <w:pPr>
        <w:pStyle w:val="ListParagraph"/>
        <w:pBdr>
          <w:top w:val="single" w:sz="4" w:space="1" w:color="auto"/>
          <w:left w:val="single" w:sz="4" w:space="4" w:color="auto"/>
          <w:bottom w:val="single" w:sz="4" w:space="1" w:color="auto"/>
          <w:right w:val="single" w:sz="4" w:space="4" w:color="auto"/>
        </w:pBdr>
        <w:spacing w:before="120" w:after="120"/>
        <w:ind w:left="420"/>
        <w:jc w:val="both"/>
        <w:rPr>
          <w:rFonts w:ascii="Times New Roman" w:hAnsi="Times New Roman" w:cs="Times New Roman"/>
        </w:rPr>
      </w:pPr>
      <w:r w:rsidRPr="00243B71">
        <w:rPr>
          <w:rFonts w:ascii="Times New Roman" w:hAnsi="Times New Roman" w:cs="Times New Roman"/>
        </w:rPr>
        <w:t>Physical abuse or punishment, or threats of physical abuse, sexual abuse or exploitation, harassment and verbal abuse, as well as other forms of intimidation shall be prohibited.</w:t>
      </w:r>
    </w:p>
    <w:p w14:paraId="284A6DCE" w14:textId="5B78430B" w:rsidR="00B14DC4" w:rsidRPr="00243B71" w:rsidRDefault="00B14DC4" w:rsidP="00B14DC4">
      <w:pPr>
        <w:spacing w:before="120" w:after="120"/>
        <w:jc w:val="both"/>
        <w:rPr>
          <w:sz w:val="22"/>
          <w:szCs w:val="22"/>
        </w:rPr>
      </w:pPr>
      <w:r w:rsidRPr="00243B71">
        <w:rPr>
          <w:sz w:val="22"/>
          <w:szCs w:val="22"/>
        </w:rPr>
        <w:t xml:space="preserve"> c)</w:t>
      </w:r>
      <w:r w:rsidRPr="00243B71">
        <w:rPr>
          <w:sz w:val="22"/>
          <w:szCs w:val="22"/>
        </w:rPr>
        <w:tab/>
      </w:r>
      <w:r w:rsidRPr="00243B71">
        <w:rPr>
          <w:sz w:val="22"/>
          <w:szCs w:val="22"/>
          <w:u w:val="single"/>
        </w:rPr>
        <w:t>Anti-corruption and anti-bribery</w:t>
      </w:r>
      <w:r w:rsidRPr="00243B71">
        <w:rPr>
          <w:sz w:val="22"/>
          <w:szCs w:val="22"/>
        </w:rPr>
        <w:t>: The tenderer shall comply with all applicable laws and regulations and codes relating to anti-bribery and anti-corruption. The Contracting Authority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20218C0" w14:textId="3C851F18" w:rsidR="00B14DC4" w:rsidRPr="00243B71" w:rsidRDefault="00B14DC4" w:rsidP="00B14DC4">
      <w:pPr>
        <w:spacing w:before="120" w:after="120"/>
        <w:jc w:val="both"/>
        <w:rPr>
          <w:sz w:val="22"/>
          <w:szCs w:val="22"/>
        </w:rPr>
      </w:pPr>
      <w:r w:rsidRPr="00243B71">
        <w:rPr>
          <w:sz w:val="22"/>
          <w:szCs w:val="22"/>
        </w:rPr>
        <w:t>d)</w:t>
      </w:r>
      <w:r w:rsidRPr="00243B71">
        <w:rPr>
          <w:sz w:val="22"/>
          <w:szCs w:val="22"/>
        </w:rPr>
        <w:tab/>
      </w:r>
      <w:r w:rsidRPr="00243B71">
        <w:rPr>
          <w:sz w:val="22"/>
          <w:szCs w:val="22"/>
          <w:u w:val="single"/>
        </w:rPr>
        <w:t xml:space="preserve">Unusual commercial </w:t>
      </w:r>
      <w:r w:rsidR="00EC6AA8" w:rsidRPr="00243B71">
        <w:rPr>
          <w:sz w:val="22"/>
          <w:szCs w:val="22"/>
          <w:u w:val="single"/>
        </w:rPr>
        <w:t>expenses</w:t>
      </w:r>
      <w:r w:rsidR="00EC6AA8" w:rsidRPr="00243B71">
        <w:rPr>
          <w:sz w:val="22"/>
          <w:szCs w:val="22"/>
        </w:rPr>
        <w:t>:</w:t>
      </w:r>
      <w:r w:rsidRPr="00243B71">
        <w:rPr>
          <w:sz w:val="22"/>
          <w:szCs w:val="22"/>
        </w:rPr>
        <w:t xml:space="preserve"> 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 Contractors found to have paid unusual commercial expenses on projects funded by the European Union are liable, depending on the seriousness of the facts observed, to have their contracts terminated or to be permanently excluded from receiving EU funds</w:t>
      </w:r>
    </w:p>
    <w:p w14:paraId="2027775C" w14:textId="062DC317" w:rsidR="00B14DC4" w:rsidRPr="00243B71" w:rsidRDefault="00B14DC4" w:rsidP="00B14DC4">
      <w:pPr>
        <w:spacing w:before="120" w:after="120"/>
        <w:jc w:val="both"/>
        <w:rPr>
          <w:sz w:val="22"/>
          <w:szCs w:val="22"/>
          <w:u w:val="single"/>
        </w:rPr>
      </w:pPr>
      <w:r w:rsidRPr="00243B71">
        <w:rPr>
          <w:sz w:val="22"/>
          <w:szCs w:val="22"/>
        </w:rPr>
        <w:t>e)</w:t>
      </w:r>
      <w:r w:rsidRPr="00243B71">
        <w:rPr>
          <w:sz w:val="22"/>
          <w:szCs w:val="22"/>
        </w:rPr>
        <w:tab/>
      </w:r>
      <w:r w:rsidRPr="00243B71">
        <w:rPr>
          <w:sz w:val="22"/>
          <w:szCs w:val="22"/>
          <w:u w:val="single"/>
        </w:rPr>
        <w:t xml:space="preserve">Breach of obligations, irregularities or fraud: </w:t>
      </w:r>
      <w:r w:rsidRPr="00243B71">
        <w:rPr>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110A3652" w14:textId="254E20DB" w:rsidR="00B14DC4" w:rsidRDefault="00B14DC4" w:rsidP="00B14DC4">
      <w:pPr>
        <w:spacing w:before="120" w:after="120"/>
        <w:jc w:val="both"/>
        <w:rPr>
          <w:sz w:val="22"/>
          <w:szCs w:val="22"/>
        </w:rPr>
      </w:pPr>
      <w:r w:rsidRPr="00243B71">
        <w:rPr>
          <w:sz w:val="22"/>
          <w:szCs w:val="22"/>
        </w:rPr>
        <w:t>e)</w:t>
      </w:r>
      <w:r w:rsidRPr="00243B71">
        <w:rPr>
          <w:sz w:val="22"/>
          <w:szCs w:val="22"/>
        </w:rPr>
        <w:tab/>
      </w:r>
      <w:r w:rsidRPr="00243B71">
        <w:rPr>
          <w:sz w:val="22"/>
          <w:szCs w:val="22"/>
          <w:u w:val="single"/>
        </w:rPr>
        <w:t xml:space="preserve">Right to audit: </w:t>
      </w:r>
      <w:r w:rsidRPr="00243B71">
        <w:rPr>
          <w:sz w:val="22"/>
          <w:szCs w:val="22"/>
        </w:rPr>
        <w:t>In accordance with the provisions of the EIB Guide to Procurement, the Contracting Authority, the Bank and auditors appointed by either of them, as well as any authority or European Union Institution or body having competence under European Union law, have the right to inspect and copy the books and records of the tenderer, contractor, supplier or consultant in connection with any Bank-financed contract.</w:t>
      </w:r>
    </w:p>
    <w:p w14:paraId="23FDE560" w14:textId="47ADB93D" w:rsidR="0037228A" w:rsidRPr="00061CFC" w:rsidRDefault="0037228A" w:rsidP="00BB76ED">
      <w:pPr>
        <w:pStyle w:val="ListParagraph"/>
        <w:numPr>
          <w:ilvl w:val="0"/>
          <w:numId w:val="26"/>
        </w:numPr>
        <w:spacing w:before="120" w:after="120"/>
        <w:jc w:val="both"/>
        <w:rPr>
          <w:rFonts w:ascii="Times New Roman" w:hAnsi="Times New Roman" w:cs="Times New Roman"/>
          <w:b/>
          <w:bCs/>
          <w:u w:val="single"/>
        </w:rPr>
      </w:pPr>
      <w:r w:rsidRPr="00061CFC">
        <w:rPr>
          <w:rFonts w:ascii="Times New Roman" w:hAnsi="Times New Roman" w:cs="Times New Roman"/>
          <w:b/>
          <w:bCs/>
          <w:u w:val="single"/>
        </w:rPr>
        <w:t xml:space="preserve">Standstill Period </w:t>
      </w:r>
    </w:p>
    <w:p w14:paraId="3A9D3EE0" w14:textId="03BE9DDE" w:rsidR="0037228A" w:rsidRPr="00061CFC" w:rsidRDefault="0037228A" w:rsidP="0037228A">
      <w:pPr>
        <w:spacing w:before="120" w:after="120"/>
        <w:jc w:val="both"/>
        <w:rPr>
          <w:sz w:val="22"/>
          <w:szCs w:val="22"/>
        </w:rPr>
      </w:pPr>
      <w:r w:rsidRPr="00061CFC">
        <w:rPr>
          <w:sz w:val="22"/>
          <w:szCs w:val="22"/>
        </w:rPr>
        <w:t xml:space="preserve">The Contract shall not be awarded earlier than the expiry of the Standstill Period. The Standstill Period shall be ten (10) business days. The Standstill Period commences the day after the date the </w:t>
      </w:r>
      <w:r w:rsidR="00061CFC" w:rsidRPr="00061CFC">
        <w:rPr>
          <w:sz w:val="22"/>
          <w:szCs w:val="22"/>
        </w:rPr>
        <w:t>Client</w:t>
      </w:r>
      <w:r w:rsidRPr="00061CFC">
        <w:rPr>
          <w:sz w:val="22"/>
          <w:szCs w:val="22"/>
        </w:rPr>
        <w:t xml:space="preserve"> has transmitted to each Consultant (that has not already been notified that it has been unsuccessful) the Notification of Intention to Award the Contract. </w:t>
      </w:r>
    </w:p>
    <w:p w14:paraId="59B122CE" w14:textId="46D174B9" w:rsidR="0037228A" w:rsidRDefault="0037228A" w:rsidP="00BB76ED">
      <w:pPr>
        <w:pStyle w:val="ListParagraph"/>
        <w:numPr>
          <w:ilvl w:val="0"/>
          <w:numId w:val="26"/>
        </w:numPr>
        <w:spacing w:before="120" w:after="120"/>
        <w:jc w:val="both"/>
        <w:rPr>
          <w:rFonts w:ascii="Times New Roman" w:hAnsi="Times New Roman" w:cs="Times New Roman"/>
          <w:b/>
          <w:bCs/>
          <w:u w:val="single"/>
        </w:rPr>
      </w:pPr>
      <w:r w:rsidRPr="00061CFC">
        <w:rPr>
          <w:rFonts w:ascii="Times New Roman" w:hAnsi="Times New Roman" w:cs="Times New Roman"/>
          <w:b/>
          <w:bCs/>
          <w:u w:val="single"/>
        </w:rPr>
        <w:t>Notification of Intention to Award</w:t>
      </w:r>
    </w:p>
    <w:p w14:paraId="4CD066EF" w14:textId="5F0EC4B0" w:rsidR="0037228A" w:rsidRPr="00061CFC" w:rsidRDefault="00BB76ED" w:rsidP="0037228A">
      <w:pPr>
        <w:spacing w:before="120" w:after="120"/>
        <w:jc w:val="both"/>
        <w:rPr>
          <w:sz w:val="22"/>
          <w:szCs w:val="22"/>
        </w:rPr>
      </w:pPr>
      <w:r w:rsidRPr="00061CFC">
        <w:rPr>
          <w:sz w:val="22"/>
          <w:szCs w:val="22"/>
        </w:rPr>
        <w:t>T</w:t>
      </w:r>
      <w:r w:rsidR="0037228A" w:rsidRPr="00061CFC">
        <w:rPr>
          <w:sz w:val="22"/>
          <w:szCs w:val="22"/>
        </w:rPr>
        <w:t xml:space="preserve">he Client shall send to each Consultant (that has not already been </w:t>
      </w:r>
      <w:r w:rsidRPr="00061CFC">
        <w:rPr>
          <w:sz w:val="22"/>
          <w:szCs w:val="22"/>
        </w:rPr>
        <w:t>notified that</w:t>
      </w:r>
      <w:r w:rsidR="0037228A" w:rsidRPr="00061CFC">
        <w:rPr>
          <w:sz w:val="22"/>
          <w:szCs w:val="22"/>
        </w:rPr>
        <w:t xml:space="preserve"> it has been unsuccessful) the Notification of Intention to Award the Contract to the successful Consultant. </w:t>
      </w:r>
      <w:r w:rsidRPr="00061CFC">
        <w:rPr>
          <w:sz w:val="22"/>
          <w:szCs w:val="22"/>
        </w:rPr>
        <w:t>The Notification of Intention to Award shall contain, at a minimum, the following information: (</w:t>
      </w:r>
      <w:proofErr w:type="spellStart"/>
      <w:r w:rsidRPr="00061CFC">
        <w:rPr>
          <w:sz w:val="22"/>
          <w:szCs w:val="22"/>
        </w:rPr>
        <w:t>i</w:t>
      </w:r>
      <w:proofErr w:type="spellEnd"/>
      <w:r w:rsidRPr="00061CFC">
        <w:rPr>
          <w:sz w:val="22"/>
          <w:szCs w:val="22"/>
        </w:rPr>
        <w:t xml:space="preserve">) the name and address of the Consultant to whom the client intends to award the Contract, (ii) the contract price of the successful proposal, (iii) the names of all consultants included in the short list, indication those that submitted proposals, (iv) the price offered by each consultant as read out and evaluated, (v) the final combined scores and the final ranking of the consultants, (vi) the expiry </w:t>
      </w:r>
      <w:r w:rsidRPr="00061CFC">
        <w:rPr>
          <w:sz w:val="22"/>
          <w:szCs w:val="22"/>
        </w:rPr>
        <w:lastRenderedPageBreak/>
        <w:t xml:space="preserve">date of the Standstill Period and (vii) instructions on how to request a </w:t>
      </w:r>
      <w:proofErr w:type="spellStart"/>
      <w:r w:rsidRPr="00061CFC">
        <w:rPr>
          <w:sz w:val="22"/>
          <w:szCs w:val="22"/>
        </w:rPr>
        <w:t>debrifing</w:t>
      </w:r>
      <w:proofErr w:type="spellEnd"/>
      <w:r w:rsidRPr="00061CFC">
        <w:rPr>
          <w:sz w:val="22"/>
          <w:szCs w:val="22"/>
        </w:rPr>
        <w:t xml:space="preserve"> and/or submit a complaint during the Standstill Period. </w:t>
      </w:r>
    </w:p>
    <w:p w14:paraId="0942ECB3" w14:textId="77777777" w:rsidR="003436FE" w:rsidRPr="00243B71" w:rsidRDefault="001A4308" w:rsidP="00061CFC">
      <w:pPr>
        <w:numPr>
          <w:ilvl w:val="0"/>
          <w:numId w:val="26"/>
        </w:numPr>
        <w:spacing w:before="240" w:after="120"/>
        <w:jc w:val="both"/>
        <w:rPr>
          <w:b/>
          <w:sz w:val="22"/>
          <w:szCs w:val="22"/>
        </w:rPr>
      </w:pPr>
      <w:r w:rsidRPr="00243B71">
        <w:rPr>
          <w:b/>
          <w:sz w:val="22"/>
          <w:szCs w:val="22"/>
        </w:rPr>
        <w:t>Signature of contract</w:t>
      </w:r>
    </w:p>
    <w:p w14:paraId="677F54C9" w14:textId="4112AC02" w:rsidR="003436FE" w:rsidRPr="00243B71" w:rsidRDefault="00240B68" w:rsidP="00EE3572">
      <w:pPr>
        <w:spacing w:after="120"/>
        <w:jc w:val="both"/>
        <w:rPr>
          <w:b/>
          <w:sz w:val="22"/>
          <w:szCs w:val="22"/>
        </w:rPr>
      </w:pPr>
      <w:r>
        <w:rPr>
          <w:b/>
          <w:sz w:val="22"/>
          <w:szCs w:val="22"/>
        </w:rPr>
        <w:t>2</w:t>
      </w:r>
      <w:r w:rsidR="00E8753C">
        <w:rPr>
          <w:b/>
          <w:sz w:val="22"/>
          <w:szCs w:val="22"/>
        </w:rPr>
        <w:t>3</w:t>
      </w:r>
      <w:r w:rsidR="003436FE" w:rsidRPr="00243B71">
        <w:rPr>
          <w:b/>
          <w:sz w:val="22"/>
          <w:szCs w:val="22"/>
        </w:rPr>
        <w:t>.1</w:t>
      </w:r>
      <w:r w:rsidR="00010683" w:rsidRPr="00243B71">
        <w:rPr>
          <w:b/>
          <w:sz w:val="22"/>
          <w:szCs w:val="22"/>
        </w:rPr>
        <w:t>.</w:t>
      </w:r>
      <w:r w:rsidR="003436FE" w:rsidRPr="00243B71">
        <w:rPr>
          <w:b/>
          <w:sz w:val="22"/>
          <w:szCs w:val="22"/>
        </w:rPr>
        <w:tab/>
        <w:t>Notification of award</w:t>
      </w:r>
    </w:p>
    <w:p w14:paraId="1AE480FB" w14:textId="77777777" w:rsidR="003436FE" w:rsidRPr="00243B71" w:rsidRDefault="003436FE" w:rsidP="00570E73">
      <w:pPr>
        <w:spacing w:after="120"/>
        <w:jc w:val="both"/>
        <w:rPr>
          <w:sz w:val="22"/>
          <w:szCs w:val="22"/>
        </w:rPr>
      </w:pPr>
      <w:r w:rsidRPr="00243B71">
        <w:rPr>
          <w:sz w:val="22"/>
          <w:szCs w:val="22"/>
        </w:rPr>
        <w:t>The successful tenderer will be informed in writing tha</w:t>
      </w:r>
      <w:r w:rsidR="00BB394A" w:rsidRPr="00243B71">
        <w:rPr>
          <w:sz w:val="22"/>
          <w:szCs w:val="22"/>
        </w:rPr>
        <w:t>t its tender has been accepted.</w:t>
      </w:r>
    </w:p>
    <w:p w14:paraId="48ADC198" w14:textId="77777777" w:rsidR="00F11E9B" w:rsidRPr="00243B71" w:rsidRDefault="003436FE" w:rsidP="00570E73">
      <w:pPr>
        <w:shd w:val="clear" w:color="auto" w:fill="FFFFFF"/>
        <w:spacing w:after="120"/>
        <w:jc w:val="both"/>
        <w:rPr>
          <w:sz w:val="22"/>
          <w:szCs w:val="22"/>
        </w:rPr>
      </w:pPr>
      <w:r w:rsidRPr="00243B71">
        <w:rPr>
          <w:sz w:val="22"/>
          <w:szCs w:val="22"/>
        </w:rPr>
        <w:t xml:space="preserve">The successful tenderer shall </w:t>
      </w:r>
      <w:r w:rsidR="00F11E9B" w:rsidRPr="00243B71">
        <w:rPr>
          <w:sz w:val="22"/>
          <w:szCs w:val="22"/>
        </w:rPr>
        <w:t xml:space="preserve">then confirm availability or unavailability of their key-experts within 5 days from the date of the notification of award. </w:t>
      </w:r>
    </w:p>
    <w:p w14:paraId="4CE8C70C" w14:textId="77777777" w:rsidR="00F11E9B" w:rsidRPr="00243B71" w:rsidRDefault="00F11E9B" w:rsidP="00570E73">
      <w:pPr>
        <w:shd w:val="clear" w:color="auto" w:fill="FFFFFF"/>
        <w:spacing w:after="120"/>
        <w:jc w:val="both"/>
        <w:rPr>
          <w:sz w:val="22"/>
          <w:szCs w:val="22"/>
        </w:rPr>
      </w:pPr>
      <w:r w:rsidRPr="00243B71">
        <w:rPr>
          <w:sz w:val="22"/>
          <w:szCs w:val="22"/>
        </w:rPr>
        <w:t xml:space="preserve">In case of unavailability the tenderer will be allowed to propose replacement </w:t>
      </w:r>
      <w:r w:rsidR="003F11CA" w:rsidRPr="00243B71">
        <w:rPr>
          <w:sz w:val="22"/>
          <w:szCs w:val="22"/>
        </w:rPr>
        <w:t>key-</w:t>
      </w:r>
      <w:r w:rsidRPr="00243B71">
        <w:rPr>
          <w:sz w:val="22"/>
          <w:szCs w:val="22"/>
        </w:rPr>
        <w:t xml:space="preserve">expert(s). The successful tenderer shall give due justification for the exchange of </w:t>
      </w:r>
      <w:r w:rsidR="00723171" w:rsidRPr="00243B71">
        <w:rPr>
          <w:sz w:val="22"/>
          <w:szCs w:val="22"/>
        </w:rPr>
        <w:t xml:space="preserve">the </w:t>
      </w:r>
      <w:r w:rsidR="003F11CA" w:rsidRPr="00243B71">
        <w:rPr>
          <w:sz w:val="22"/>
          <w:szCs w:val="22"/>
        </w:rPr>
        <w:t>key-</w:t>
      </w:r>
      <w:r w:rsidRPr="00243B71">
        <w:rPr>
          <w:sz w:val="22"/>
          <w:szCs w:val="22"/>
        </w:rPr>
        <w:t xml:space="preserve">expert but the acceptance will not be limited to specific cases. Several replacement </w:t>
      </w:r>
      <w:r w:rsidR="003F11CA" w:rsidRPr="00243B71">
        <w:rPr>
          <w:sz w:val="22"/>
          <w:szCs w:val="22"/>
        </w:rPr>
        <w:t>key-</w:t>
      </w:r>
      <w:r w:rsidRPr="00243B71">
        <w:rPr>
          <w:sz w:val="22"/>
          <w:szCs w:val="22"/>
        </w:rPr>
        <w:t xml:space="preserve">experts may be proposed but only one time-period of 15 days from the date of the notification of award will be offered. </w:t>
      </w:r>
      <w:r w:rsidR="00937074" w:rsidRPr="00243B71">
        <w:rPr>
          <w:sz w:val="22"/>
          <w:szCs w:val="22"/>
        </w:rPr>
        <w:t xml:space="preserve">The replacement </w:t>
      </w:r>
      <w:r w:rsidR="003F11CA" w:rsidRPr="00243B71">
        <w:rPr>
          <w:sz w:val="22"/>
          <w:szCs w:val="22"/>
        </w:rPr>
        <w:t>key-</w:t>
      </w:r>
      <w:r w:rsidR="00937074" w:rsidRPr="00243B71">
        <w:rPr>
          <w:sz w:val="22"/>
          <w:szCs w:val="22"/>
        </w:rPr>
        <w:t>expert(s) cannot be an expert proposed by another tenderer in the same call for tender.</w:t>
      </w:r>
    </w:p>
    <w:p w14:paraId="1929079B" w14:textId="77777777" w:rsidR="00F11E9B" w:rsidRPr="00243B71" w:rsidRDefault="00F11E9B" w:rsidP="00570E73">
      <w:pPr>
        <w:shd w:val="clear" w:color="auto" w:fill="FFFFFF"/>
        <w:spacing w:after="120"/>
        <w:jc w:val="both"/>
        <w:rPr>
          <w:sz w:val="22"/>
          <w:szCs w:val="22"/>
        </w:rPr>
      </w:pPr>
      <w:r w:rsidRPr="00243B71">
        <w:rPr>
          <w:sz w:val="22"/>
          <w:szCs w:val="22"/>
        </w:rPr>
        <w:t xml:space="preserve">The replacement </w:t>
      </w:r>
      <w:r w:rsidR="003F11CA" w:rsidRPr="00243B71">
        <w:rPr>
          <w:sz w:val="22"/>
          <w:szCs w:val="22"/>
        </w:rPr>
        <w:t>key-</w:t>
      </w:r>
      <w:r w:rsidRPr="00243B71">
        <w:rPr>
          <w:sz w:val="22"/>
          <w:szCs w:val="22"/>
        </w:rPr>
        <w:t xml:space="preserve">expert's total score must be at least as high as the scores of the </w:t>
      </w:r>
      <w:r w:rsidR="003F11CA" w:rsidRPr="00243B71">
        <w:rPr>
          <w:sz w:val="22"/>
          <w:szCs w:val="22"/>
        </w:rPr>
        <w:t>key-</w:t>
      </w:r>
      <w:r w:rsidRPr="00243B71">
        <w:rPr>
          <w:sz w:val="22"/>
          <w:szCs w:val="22"/>
        </w:rPr>
        <w:t>expert proposed in the tender. It must be emphasised that the minimum requirements for each evaluation criteria must be met by the replacement expert.</w:t>
      </w:r>
    </w:p>
    <w:p w14:paraId="56157C88" w14:textId="77777777" w:rsidR="003436FE" w:rsidRPr="00243B71" w:rsidRDefault="00F11E9B" w:rsidP="00570E73">
      <w:pPr>
        <w:shd w:val="clear" w:color="auto" w:fill="FFFFFF"/>
        <w:spacing w:after="120"/>
        <w:jc w:val="both"/>
        <w:rPr>
          <w:sz w:val="22"/>
          <w:szCs w:val="22"/>
        </w:rPr>
      </w:pPr>
      <w:r w:rsidRPr="00243B71">
        <w:rPr>
          <w:sz w:val="22"/>
          <w:szCs w:val="22"/>
        </w:rPr>
        <w:t xml:space="preserve">If replacement </w:t>
      </w:r>
      <w:r w:rsidR="003F11CA" w:rsidRPr="00243B71">
        <w:rPr>
          <w:sz w:val="22"/>
          <w:szCs w:val="22"/>
        </w:rPr>
        <w:t>key-</w:t>
      </w:r>
      <w:r w:rsidRPr="00243B71">
        <w:rPr>
          <w:sz w:val="22"/>
          <w:szCs w:val="22"/>
        </w:rPr>
        <w:t xml:space="preserve">experts are not proposed within the 15 days delay or if the replacement experts are not sufficiently qualified, or that the proposal of the replacement </w:t>
      </w:r>
      <w:r w:rsidR="003F11CA" w:rsidRPr="00243B71">
        <w:rPr>
          <w:sz w:val="22"/>
          <w:szCs w:val="22"/>
        </w:rPr>
        <w:t>key-</w:t>
      </w:r>
      <w:r w:rsidRPr="00243B71">
        <w:rPr>
          <w:sz w:val="22"/>
          <w:szCs w:val="22"/>
        </w:rPr>
        <w:t xml:space="preserve">expert amends the award conditions which took place, the Contracting Authority may decide to award the contract to the second best technically compliant tenderer (also giving them a chance to replace a </w:t>
      </w:r>
      <w:r w:rsidR="003F11CA" w:rsidRPr="00243B71">
        <w:rPr>
          <w:sz w:val="22"/>
          <w:szCs w:val="22"/>
        </w:rPr>
        <w:t>key-</w:t>
      </w:r>
      <w:r w:rsidRPr="00243B71">
        <w:rPr>
          <w:sz w:val="22"/>
          <w:szCs w:val="22"/>
        </w:rPr>
        <w:t>expert should he/she not be available).</w:t>
      </w:r>
    </w:p>
    <w:p w14:paraId="1157423A" w14:textId="414F3299" w:rsidR="00F11E9B" w:rsidRPr="00243B71" w:rsidRDefault="00F11E9B" w:rsidP="00570E73">
      <w:pPr>
        <w:pStyle w:val="Style11ptJustifiedAfter12pt"/>
        <w:pBdr>
          <w:top w:val="single" w:sz="4" w:space="1" w:color="auto"/>
          <w:left w:val="single" w:sz="4" w:space="1" w:color="auto"/>
          <w:bottom w:val="single" w:sz="4" w:space="1" w:color="auto"/>
          <w:right w:val="single" w:sz="4" w:space="4" w:color="auto"/>
        </w:pBdr>
        <w:rPr>
          <w:szCs w:val="22"/>
          <w:highlight w:val="yellow"/>
        </w:rPr>
      </w:pPr>
      <w:r w:rsidRPr="00243B71">
        <w:rPr>
          <w:rStyle w:val="StyleStyleLeftBoxSinglesolidlineAuto05ptLinewidthCh2Char"/>
        </w:rPr>
        <w:t xml:space="preserve">Should the Contracting Authority learn that a tenderer has confirmed the availability of a key expert and signed the contract although the tenderer has deliberately concealed the fact that the </w:t>
      </w:r>
      <w:r w:rsidR="008F50EE" w:rsidRPr="00243B71">
        <w:rPr>
          <w:rStyle w:val="StyleStyleLeftBoxSinglesolidlineAuto05ptLinewidthCh2Char"/>
        </w:rPr>
        <w:t>key-</w:t>
      </w:r>
      <w:r w:rsidRPr="00243B71">
        <w:rPr>
          <w:rStyle w:val="StyleStyleLeftBoxSinglesolidlineAuto05ptLinewidthCh2Char"/>
        </w:rPr>
        <w:t xml:space="preserve">expert is </w:t>
      </w:r>
      <w:r w:rsidR="00937074" w:rsidRPr="00243B71">
        <w:rPr>
          <w:rStyle w:val="StyleStyleLeftBoxSinglesolidlineAuto05ptLinewidthCh2Char"/>
        </w:rPr>
        <w:t>unavailable</w:t>
      </w:r>
      <w:r w:rsidRPr="00243B71">
        <w:rPr>
          <w:rStyle w:val="StyleStyleLeftBoxSinglesolidlineAuto05ptLinewidthCh2Char"/>
        </w:rPr>
        <w:t xml:space="preserve"> from the date specified in the tender dossier for the start of the assignment, the Contracting Authority may decide to terminate the contract on the basis of</w:t>
      </w:r>
      <w:r w:rsidR="00574B38" w:rsidRPr="00243B71">
        <w:rPr>
          <w:szCs w:val="22"/>
        </w:rPr>
        <w:t xml:space="preserve"> </w:t>
      </w:r>
      <w:r w:rsidR="00574B38" w:rsidRPr="00243B71">
        <w:rPr>
          <w:rStyle w:val="StyleStyleLeftBoxSinglesolidlineAuto05ptLinewidthCh2Char"/>
        </w:rPr>
        <w:t>article 36</w:t>
      </w:r>
      <w:r w:rsidR="00546BE7" w:rsidRPr="00243B71">
        <w:rPr>
          <w:rStyle w:val="StyleStyleLeftBoxSinglesolidlineAuto05ptLinewidthCh2Char"/>
        </w:rPr>
        <w:t>.3</w:t>
      </w:r>
      <w:r w:rsidR="00574B38" w:rsidRPr="00243B71">
        <w:rPr>
          <w:rStyle w:val="StyleStyleLeftBoxSinglesolidlineAuto05ptLinewidthCh2Char"/>
        </w:rPr>
        <w:t xml:space="preserve"> (m) of the General Conditions</w:t>
      </w:r>
      <w:r w:rsidRPr="00243B71">
        <w:rPr>
          <w:rStyle w:val="StyleStyleLeftBoxSinglesolidlineAuto05ptLinewidthCh2Char"/>
        </w:rPr>
        <w:t>.</w:t>
      </w:r>
      <w:r w:rsidRPr="00243B71">
        <w:rPr>
          <w:szCs w:val="22"/>
          <w:highlight w:val="yellow"/>
        </w:rPr>
        <w:t xml:space="preserve"> </w:t>
      </w:r>
    </w:p>
    <w:p w14:paraId="7804D65D" w14:textId="277CDE5F" w:rsidR="003436FE" w:rsidRPr="00243B71" w:rsidRDefault="00240B68" w:rsidP="00EE3572">
      <w:pPr>
        <w:spacing w:after="120"/>
        <w:jc w:val="both"/>
        <w:rPr>
          <w:b/>
          <w:sz w:val="22"/>
          <w:szCs w:val="22"/>
          <w:u w:val="single"/>
        </w:rPr>
      </w:pPr>
      <w:r>
        <w:rPr>
          <w:b/>
          <w:sz w:val="22"/>
          <w:szCs w:val="22"/>
        </w:rPr>
        <w:t>2</w:t>
      </w:r>
      <w:r w:rsidR="00E8753C">
        <w:rPr>
          <w:b/>
          <w:sz w:val="22"/>
          <w:szCs w:val="22"/>
        </w:rPr>
        <w:t>3</w:t>
      </w:r>
      <w:r w:rsidR="003436FE" w:rsidRPr="00243B71">
        <w:rPr>
          <w:b/>
          <w:sz w:val="22"/>
          <w:szCs w:val="22"/>
        </w:rPr>
        <w:t>.2</w:t>
      </w:r>
      <w:r w:rsidR="00010683" w:rsidRPr="00243B71">
        <w:rPr>
          <w:b/>
          <w:sz w:val="22"/>
          <w:szCs w:val="22"/>
        </w:rPr>
        <w:t>.</w:t>
      </w:r>
      <w:r w:rsidR="003436FE" w:rsidRPr="00243B71">
        <w:rPr>
          <w:b/>
          <w:sz w:val="22"/>
          <w:szCs w:val="22"/>
        </w:rPr>
        <w:tab/>
        <w:t>Signature of the contract(s)</w:t>
      </w:r>
    </w:p>
    <w:p w14:paraId="6CA0A5BE" w14:textId="77777777" w:rsidR="003436FE" w:rsidRPr="00243B71" w:rsidRDefault="003436FE" w:rsidP="00570E73">
      <w:pPr>
        <w:pStyle w:val="BodyText2"/>
        <w:tabs>
          <w:tab w:val="clear" w:pos="567"/>
          <w:tab w:val="left" w:pos="0"/>
          <w:tab w:val="left" w:pos="630"/>
        </w:tabs>
        <w:spacing w:after="120"/>
        <w:rPr>
          <w:sz w:val="22"/>
          <w:szCs w:val="22"/>
        </w:rPr>
      </w:pPr>
      <w:r w:rsidRPr="00243B71">
        <w:rPr>
          <w:sz w:val="22"/>
          <w:szCs w:val="22"/>
        </w:rPr>
        <w:t>Within 30 days of receipt of the contract, the selected tenderer shall sign and date the contract and return it to the Contracting Authority.</w:t>
      </w:r>
    </w:p>
    <w:p w14:paraId="6A0362E1" w14:textId="77777777" w:rsidR="003436FE" w:rsidRPr="00243B71" w:rsidRDefault="003436FE" w:rsidP="00570E73">
      <w:pPr>
        <w:pStyle w:val="BodyText2"/>
        <w:tabs>
          <w:tab w:val="clear" w:pos="567"/>
          <w:tab w:val="left" w:pos="0"/>
          <w:tab w:val="left" w:pos="630"/>
        </w:tabs>
        <w:spacing w:after="120"/>
        <w:rPr>
          <w:sz w:val="22"/>
          <w:szCs w:val="22"/>
        </w:rPr>
      </w:pPr>
      <w:r w:rsidRPr="00243B71">
        <w:rPr>
          <w:sz w:val="22"/>
          <w:szCs w:val="22"/>
        </w:rPr>
        <w:t xml:space="preserve">Failure of the selected tenderer to comply with this requirement may constitute grounds for annulling the decision to award the contract. In this event, the Contracting Authority may award the tender to another tenderer or cancel the tender procedure. </w:t>
      </w:r>
    </w:p>
    <w:p w14:paraId="1EF5517E" w14:textId="77777777" w:rsidR="003436FE" w:rsidRPr="00243B71" w:rsidRDefault="003436FE" w:rsidP="00570E73">
      <w:pPr>
        <w:pStyle w:val="BodyText2"/>
        <w:tabs>
          <w:tab w:val="clear" w:pos="567"/>
          <w:tab w:val="left" w:pos="0"/>
          <w:tab w:val="left" w:pos="630"/>
        </w:tabs>
        <w:spacing w:after="120"/>
        <w:rPr>
          <w:rStyle w:val="Style11pt"/>
          <w:szCs w:val="22"/>
        </w:rPr>
      </w:pPr>
      <w:r w:rsidRPr="00243B71">
        <w:rPr>
          <w:sz w:val="22"/>
          <w:szCs w:val="22"/>
        </w:rPr>
        <w:t>The other tenderers will</w:t>
      </w:r>
      <w:r w:rsidR="00F11E9B" w:rsidRPr="00243B71">
        <w:rPr>
          <w:sz w:val="22"/>
          <w:szCs w:val="22"/>
        </w:rPr>
        <w:t>, at the same time as the notification of award is submitted,</w:t>
      </w:r>
      <w:r w:rsidRPr="00243B71">
        <w:rPr>
          <w:sz w:val="22"/>
          <w:szCs w:val="22"/>
        </w:rPr>
        <w:t xml:space="preserve"> be informed that their tenders were not </w:t>
      </w:r>
      <w:r w:rsidR="00F51085" w:rsidRPr="00243B71">
        <w:rPr>
          <w:sz w:val="22"/>
          <w:szCs w:val="22"/>
        </w:rPr>
        <w:t>retained</w:t>
      </w:r>
      <w:r w:rsidR="003B6196" w:rsidRPr="00243B71">
        <w:rPr>
          <w:sz w:val="22"/>
          <w:szCs w:val="22"/>
        </w:rPr>
        <w:t xml:space="preserve"> by</w:t>
      </w:r>
      <w:r w:rsidRPr="00243B71">
        <w:rPr>
          <w:sz w:val="22"/>
          <w:szCs w:val="22"/>
        </w:rPr>
        <w:t xml:space="preserve"> standard letter, including an indication of the relative weaknesses of their tender by way of a comparative table of the scores for the winning tender and the unsuccessful tender.</w:t>
      </w:r>
      <w:r w:rsidR="00F11E9B" w:rsidRPr="00243B71">
        <w:rPr>
          <w:sz w:val="22"/>
          <w:szCs w:val="22"/>
        </w:rPr>
        <w:t xml:space="preserve"> T</w:t>
      </w:r>
      <w:r w:rsidR="00F11E9B" w:rsidRPr="00243B71">
        <w:rPr>
          <w:rStyle w:val="Style11pt"/>
          <w:szCs w:val="22"/>
        </w:rPr>
        <w:t xml:space="preserve">he second best tenderer is informed of the notification of award to the successful tenderer with the reservation of the </w:t>
      </w:r>
      <w:r w:rsidR="007A0123" w:rsidRPr="00243B71">
        <w:rPr>
          <w:rStyle w:val="Style11pt"/>
          <w:szCs w:val="22"/>
        </w:rPr>
        <w:t xml:space="preserve">possibility </w:t>
      </w:r>
      <w:r w:rsidR="00F11E9B" w:rsidRPr="00243B71">
        <w:rPr>
          <w:rStyle w:val="Style11pt"/>
          <w:szCs w:val="22"/>
        </w:rPr>
        <w:t xml:space="preserve">to </w:t>
      </w:r>
      <w:r w:rsidR="007A0123" w:rsidRPr="00243B71">
        <w:rPr>
          <w:rStyle w:val="Style11pt"/>
          <w:szCs w:val="22"/>
        </w:rPr>
        <w:t xml:space="preserve">receive </w:t>
      </w:r>
      <w:r w:rsidR="00F11E9B" w:rsidRPr="00243B71">
        <w:rPr>
          <w:rStyle w:val="Style11pt"/>
          <w:szCs w:val="22"/>
        </w:rPr>
        <w:t>a notification of award in case of inability to sign the contract with the first ranked tenderer. The validity of the offer of the second best tenderer will be kept.</w:t>
      </w:r>
      <w:r w:rsidR="007A0123" w:rsidRPr="00243B71">
        <w:rPr>
          <w:rStyle w:val="Style11pt"/>
          <w:szCs w:val="22"/>
        </w:rPr>
        <w:t xml:space="preserve"> The second tenderer may refuse the award of the contract if, when receiving a notification of award, the validity of their tender has expired.</w:t>
      </w:r>
    </w:p>
    <w:p w14:paraId="44441D00" w14:textId="77777777" w:rsidR="00F11E9B" w:rsidRPr="00243B71" w:rsidRDefault="00F11E9B" w:rsidP="00570E73">
      <w:pPr>
        <w:pStyle w:val="Style11ptJustifiedAfter12pt"/>
        <w:rPr>
          <w:szCs w:val="22"/>
        </w:rPr>
      </w:pPr>
      <w:r w:rsidRPr="00243B71">
        <w:rPr>
          <w:rStyle w:val="Style11pt"/>
          <w:szCs w:val="22"/>
        </w:rPr>
        <w:t>The Contracting Authority will furthermore, at the same time, also inform the remaining unsuccessful tenderers and the consequence of these letters will be that the validity of their offers must not be retained.</w:t>
      </w:r>
    </w:p>
    <w:p w14:paraId="041954C2" w14:textId="77777777" w:rsidR="003436FE" w:rsidRPr="00243B71" w:rsidRDefault="003436FE" w:rsidP="00570E73">
      <w:pPr>
        <w:pStyle w:val="BodyText2"/>
        <w:tabs>
          <w:tab w:val="clear" w:pos="567"/>
          <w:tab w:val="left" w:pos="0"/>
          <w:tab w:val="left" w:pos="630"/>
        </w:tabs>
        <w:rPr>
          <w:sz w:val="22"/>
          <w:szCs w:val="22"/>
        </w:rPr>
      </w:pPr>
      <w:r w:rsidRPr="00243B71">
        <w:rPr>
          <w:sz w:val="22"/>
          <w:szCs w:val="22"/>
        </w:rPr>
        <w:t xml:space="preserve">The corresponding contract award notice will be published on the </w:t>
      </w:r>
      <w:r w:rsidR="00505024" w:rsidRPr="00243B71">
        <w:rPr>
          <w:sz w:val="22"/>
          <w:szCs w:val="22"/>
        </w:rPr>
        <w:t xml:space="preserve">website </w:t>
      </w:r>
      <w:hyperlink r:id="rId14" w:history="1">
        <w:r w:rsidR="003B6196" w:rsidRPr="00243B71">
          <w:rPr>
            <w:rStyle w:val="Hyperlink"/>
            <w:sz w:val="22"/>
            <w:szCs w:val="22"/>
          </w:rPr>
          <w:t>http://ted.europa.eu/TED/main/HomePage.do</w:t>
        </w:r>
      </w:hyperlink>
      <w:r w:rsidR="003B6196" w:rsidRPr="00243B71">
        <w:rPr>
          <w:sz w:val="22"/>
          <w:szCs w:val="22"/>
        </w:rPr>
        <w:t>.</w:t>
      </w:r>
    </w:p>
    <w:p w14:paraId="5AD53C17" w14:textId="77777777" w:rsidR="003436FE" w:rsidRPr="00243B71" w:rsidRDefault="003436FE" w:rsidP="00061CFC">
      <w:pPr>
        <w:numPr>
          <w:ilvl w:val="0"/>
          <w:numId w:val="26"/>
        </w:numPr>
        <w:spacing w:before="240" w:after="120"/>
        <w:jc w:val="both"/>
        <w:rPr>
          <w:b/>
          <w:sz w:val="22"/>
          <w:szCs w:val="22"/>
        </w:rPr>
      </w:pPr>
      <w:r w:rsidRPr="00243B71">
        <w:rPr>
          <w:b/>
          <w:sz w:val="22"/>
          <w:szCs w:val="22"/>
        </w:rPr>
        <w:t>Cancellation of the tender procedure</w:t>
      </w:r>
    </w:p>
    <w:p w14:paraId="416F1F3D" w14:textId="77777777" w:rsidR="003436FE" w:rsidRPr="00243B71" w:rsidRDefault="003436FE" w:rsidP="00570E73">
      <w:pPr>
        <w:pStyle w:val="BodyText2"/>
        <w:tabs>
          <w:tab w:val="clear" w:pos="567"/>
          <w:tab w:val="left" w:pos="0"/>
          <w:tab w:val="left" w:pos="630"/>
        </w:tabs>
        <w:spacing w:after="120"/>
        <w:rPr>
          <w:sz w:val="22"/>
          <w:szCs w:val="22"/>
        </w:rPr>
      </w:pPr>
      <w:r w:rsidRPr="00243B71">
        <w:rPr>
          <w:sz w:val="22"/>
          <w:szCs w:val="22"/>
        </w:rPr>
        <w:lastRenderedPageBreak/>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14:paraId="5F0E3BAD" w14:textId="77777777" w:rsidR="003436FE" w:rsidRPr="00243B71" w:rsidRDefault="003436FE" w:rsidP="00570E73">
      <w:pPr>
        <w:pStyle w:val="BodyText2"/>
        <w:tabs>
          <w:tab w:val="clear" w:pos="567"/>
          <w:tab w:val="left" w:pos="0"/>
          <w:tab w:val="left" w:pos="630"/>
        </w:tabs>
        <w:spacing w:after="120"/>
        <w:rPr>
          <w:sz w:val="22"/>
          <w:szCs w:val="22"/>
        </w:rPr>
      </w:pPr>
      <w:r w:rsidRPr="00243B71">
        <w:rPr>
          <w:sz w:val="22"/>
          <w:szCs w:val="22"/>
        </w:rPr>
        <w:t>Cancellation may occur</w:t>
      </w:r>
      <w:r w:rsidR="00DF5D03" w:rsidRPr="00243B71">
        <w:rPr>
          <w:sz w:val="22"/>
          <w:szCs w:val="22"/>
        </w:rPr>
        <w:t>, for example,</w:t>
      </w:r>
      <w:r w:rsidRPr="00243B71">
        <w:rPr>
          <w:sz w:val="22"/>
          <w:szCs w:val="22"/>
        </w:rPr>
        <w:t xml:space="preserve"> where:</w:t>
      </w:r>
    </w:p>
    <w:p w14:paraId="401457DB" w14:textId="77777777" w:rsidR="003436FE" w:rsidRPr="00243B71" w:rsidRDefault="003436FE" w:rsidP="00F03AB1">
      <w:pPr>
        <w:pStyle w:val="BodyText2"/>
        <w:numPr>
          <w:ilvl w:val="0"/>
          <w:numId w:val="6"/>
        </w:numPr>
        <w:tabs>
          <w:tab w:val="left" w:pos="0"/>
          <w:tab w:val="left" w:pos="630"/>
        </w:tabs>
        <w:spacing w:after="120"/>
        <w:rPr>
          <w:sz w:val="22"/>
          <w:szCs w:val="22"/>
        </w:rPr>
      </w:pPr>
      <w:r w:rsidRPr="00243B71">
        <w:rPr>
          <w:sz w:val="22"/>
          <w:szCs w:val="22"/>
        </w:rPr>
        <w:t>the tender procedure has been unsuccessful, i.e., no</w:t>
      </w:r>
      <w:r w:rsidR="00F51085" w:rsidRPr="00243B71">
        <w:rPr>
          <w:sz w:val="22"/>
          <w:szCs w:val="22"/>
        </w:rPr>
        <w:t xml:space="preserve"> suitable,</w:t>
      </w:r>
      <w:r w:rsidRPr="00243B71">
        <w:rPr>
          <w:sz w:val="22"/>
          <w:szCs w:val="22"/>
        </w:rPr>
        <w:t xml:space="preserve"> qualitatively or financially </w:t>
      </w:r>
      <w:r w:rsidR="00F51085" w:rsidRPr="00243B71">
        <w:rPr>
          <w:sz w:val="22"/>
          <w:szCs w:val="22"/>
        </w:rPr>
        <w:t xml:space="preserve">acceptable </w:t>
      </w:r>
      <w:r w:rsidRPr="00243B71">
        <w:rPr>
          <w:sz w:val="22"/>
          <w:szCs w:val="22"/>
        </w:rPr>
        <w:t>tender has been received or there is no valid response at all;</w:t>
      </w:r>
    </w:p>
    <w:p w14:paraId="677B37A2" w14:textId="77777777" w:rsidR="003436FE" w:rsidRPr="00243B71" w:rsidRDefault="003436FE" w:rsidP="00F03AB1">
      <w:pPr>
        <w:pStyle w:val="BodyText2"/>
        <w:numPr>
          <w:ilvl w:val="0"/>
          <w:numId w:val="6"/>
        </w:numPr>
        <w:tabs>
          <w:tab w:val="left" w:pos="0"/>
          <w:tab w:val="left" w:pos="630"/>
        </w:tabs>
        <w:spacing w:after="120"/>
        <w:rPr>
          <w:sz w:val="22"/>
          <w:szCs w:val="22"/>
        </w:rPr>
      </w:pPr>
      <w:r w:rsidRPr="00243B71">
        <w:rPr>
          <w:sz w:val="22"/>
          <w:szCs w:val="22"/>
        </w:rPr>
        <w:t>there are fundamental changes to the economic or technical data of the project;</w:t>
      </w:r>
    </w:p>
    <w:p w14:paraId="7D124233" w14:textId="77777777" w:rsidR="003436FE" w:rsidRPr="00243B71" w:rsidRDefault="003436FE" w:rsidP="00F03AB1">
      <w:pPr>
        <w:pStyle w:val="BodyText2"/>
        <w:numPr>
          <w:ilvl w:val="0"/>
          <w:numId w:val="6"/>
        </w:numPr>
        <w:tabs>
          <w:tab w:val="left" w:pos="0"/>
          <w:tab w:val="left" w:pos="630"/>
        </w:tabs>
        <w:spacing w:after="120"/>
        <w:rPr>
          <w:sz w:val="22"/>
          <w:szCs w:val="22"/>
        </w:rPr>
      </w:pPr>
      <w:r w:rsidRPr="00243B71">
        <w:rPr>
          <w:sz w:val="22"/>
          <w:szCs w:val="22"/>
        </w:rPr>
        <w:t>exceptional circumstances or force majeure render normal performance of the contract impossible;</w:t>
      </w:r>
    </w:p>
    <w:p w14:paraId="4082A480" w14:textId="77777777" w:rsidR="003436FE" w:rsidRPr="00243B71" w:rsidRDefault="003436FE" w:rsidP="00F03AB1">
      <w:pPr>
        <w:pStyle w:val="BodyText2"/>
        <w:numPr>
          <w:ilvl w:val="0"/>
          <w:numId w:val="6"/>
        </w:numPr>
        <w:tabs>
          <w:tab w:val="left" w:pos="0"/>
          <w:tab w:val="left" w:pos="630"/>
        </w:tabs>
        <w:spacing w:after="120"/>
        <w:rPr>
          <w:sz w:val="22"/>
          <w:szCs w:val="22"/>
        </w:rPr>
      </w:pPr>
      <w:r w:rsidRPr="00243B71">
        <w:rPr>
          <w:sz w:val="22"/>
          <w:szCs w:val="22"/>
        </w:rPr>
        <w:t xml:space="preserve">all technically </w:t>
      </w:r>
      <w:r w:rsidR="00F51085" w:rsidRPr="00243B71">
        <w:rPr>
          <w:sz w:val="22"/>
          <w:szCs w:val="22"/>
        </w:rPr>
        <w:t xml:space="preserve">acceptable </w:t>
      </w:r>
      <w:r w:rsidRPr="00243B71">
        <w:rPr>
          <w:sz w:val="22"/>
          <w:szCs w:val="22"/>
        </w:rPr>
        <w:t>tenders exceed the financial resources available;</w:t>
      </w:r>
    </w:p>
    <w:p w14:paraId="6EED93A5" w14:textId="77777777" w:rsidR="003436FE" w:rsidRPr="00243B71" w:rsidRDefault="003436FE" w:rsidP="00F03AB1">
      <w:pPr>
        <w:pStyle w:val="BodyText2"/>
        <w:numPr>
          <w:ilvl w:val="0"/>
          <w:numId w:val="6"/>
        </w:numPr>
        <w:tabs>
          <w:tab w:val="left" w:pos="0"/>
          <w:tab w:val="left" w:pos="630"/>
        </w:tabs>
        <w:spacing w:after="120"/>
        <w:rPr>
          <w:sz w:val="22"/>
          <w:szCs w:val="22"/>
        </w:rPr>
      </w:pPr>
      <w:r w:rsidRPr="00243B71">
        <w:rPr>
          <w:sz w:val="22"/>
          <w:szCs w:val="22"/>
        </w:rPr>
        <w:t>there have been</w:t>
      </w:r>
      <w:r w:rsidR="00F51085" w:rsidRPr="00243B71">
        <w:rPr>
          <w:sz w:val="22"/>
          <w:szCs w:val="22"/>
        </w:rPr>
        <w:t xml:space="preserve"> substantial errors,</w:t>
      </w:r>
      <w:r w:rsidRPr="00243B71">
        <w:rPr>
          <w:sz w:val="22"/>
          <w:szCs w:val="22"/>
        </w:rPr>
        <w:t xml:space="preserve"> irregularities</w:t>
      </w:r>
      <w:r w:rsidR="00F51085" w:rsidRPr="00243B71">
        <w:rPr>
          <w:sz w:val="22"/>
          <w:szCs w:val="22"/>
        </w:rPr>
        <w:t xml:space="preserve"> or frauds</w:t>
      </w:r>
      <w:r w:rsidRPr="00243B71">
        <w:rPr>
          <w:sz w:val="22"/>
          <w:szCs w:val="22"/>
        </w:rPr>
        <w:t xml:space="preserve"> in the procedure, in particular if they have prevented fair competition;</w:t>
      </w:r>
    </w:p>
    <w:p w14:paraId="2B461648" w14:textId="77777777" w:rsidR="003436FE" w:rsidRPr="00243B71" w:rsidRDefault="003436FE" w:rsidP="00F03AB1">
      <w:pPr>
        <w:pStyle w:val="BodyText2"/>
        <w:numPr>
          <w:ilvl w:val="0"/>
          <w:numId w:val="6"/>
        </w:numPr>
        <w:tabs>
          <w:tab w:val="left" w:pos="0"/>
          <w:tab w:val="left" w:pos="630"/>
        </w:tabs>
        <w:spacing w:after="120"/>
        <w:rPr>
          <w:sz w:val="22"/>
          <w:szCs w:val="22"/>
        </w:rPr>
      </w:pPr>
      <w:r w:rsidRPr="00243B71">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r w:rsidR="00803D92" w:rsidRPr="00243B71">
        <w:rPr>
          <w:sz w:val="22"/>
          <w:szCs w:val="22"/>
        </w:rPr>
        <w:t>;</w:t>
      </w:r>
    </w:p>
    <w:p w14:paraId="141BA986" w14:textId="77777777" w:rsidR="003436FE" w:rsidRPr="00243B71" w:rsidRDefault="003436FE" w:rsidP="00570E73">
      <w:pPr>
        <w:pStyle w:val="BodyText2"/>
        <w:tabs>
          <w:tab w:val="clear" w:pos="567"/>
          <w:tab w:val="left" w:pos="0"/>
          <w:tab w:val="left" w:pos="630"/>
        </w:tabs>
        <w:rPr>
          <w:bCs/>
          <w:sz w:val="22"/>
          <w:szCs w:val="22"/>
        </w:rPr>
      </w:pPr>
      <w:r w:rsidRPr="00243B71">
        <w:rPr>
          <w:bCs/>
          <w:sz w:val="22"/>
          <w:szCs w:val="22"/>
        </w:rPr>
        <w:t xml:space="preserve">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w:t>
      </w:r>
      <w:r w:rsidR="00F51085" w:rsidRPr="00243B71">
        <w:rPr>
          <w:bCs/>
          <w:sz w:val="22"/>
          <w:szCs w:val="22"/>
        </w:rPr>
        <w:t xml:space="preserve">contract </w:t>
      </w:r>
      <w:r w:rsidRPr="00243B71">
        <w:rPr>
          <w:bCs/>
          <w:sz w:val="22"/>
          <w:szCs w:val="22"/>
        </w:rPr>
        <w:t>notice does not commit the Contracting Authority to implement the programme or project announced.</w:t>
      </w:r>
    </w:p>
    <w:p w14:paraId="04432FB5" w14:textId="4DEDF514" w:rsidR="00F309B9" w:rsidRPr="00243B71" w:rsidRDefault="00243B71" w:rsidP="00061CFC">
      <w:pPr>
        <w:numPr>
          <w:ilvl w:val="0"/>
          <w:numId w:val="26"/>
        </w:numPr>
        <w:spacing w:before="240" w:after="120"/>
        <w:jc w:val="both"/>
        <w:rPr>
          <w:b/>
          <w:bCs/>
          <w:sz w:val="22"/>
          <w:szCs w:val="22"/>
        </w:rPr>
      </w:pPr>
      <w:r w:rsidRPr="00243B71">
        <w:rPr>
          <w:b/>
          <w:bCs/>
          <w:sz w:val="22"/>
          <w:szCs w:val="22"/>
        </w:rPr>
        <w:t>Appeals</w:t>
      </w:r>
    </w:p>
    <w:p w14:paraId="66CEC780" w14:textId="77777777" w:rsidR="00243B71" w:rsidRPr="00243B71" w:rsidRDefault="00243B71" w:rsidP="00243B71">
      <w:pPr>
        <w:tabs>
          <w:tab w:val="left" w:pos="567"/>
        </w:tabs>
        <w:jc w:val="both"/>
        <w:rPr>
          <w:sz w:val="22"/>
          <w:szCs w:val="22"/>
        </w:rPr>
      </w:pPr>
      <w:r w:rsidRPr="00243B71">
        <w:rPr>
          <w:sz w:val="22"/>
          <w:szCs w:val="22"/>
        </w:rPr>
        <w:t>Tenderers believing that they have been harmed by an error or irregularity during the award process may file a complaint to the Contracting Authority.</w:t>
      </w:r>
    </w:p>
    <w:p w14:paraId="11C77B8E" w14:textId="77777777" w:rsidR="00243B71" w:rsidRPr="00243B71" w:rsidRDefault="00243B71" w:rsidP="00243B71">
      <w:pPr>
        <w:tabs>
          <w:tab w:val="left" w:pos="567"/>
        </w:tabs>
        <w:jc w:val="both"/>
        <w:rPr>
          <w:sz w:val="22"/>
          <w:szCs w:val="22"/>
        </w:rPr>
      </w:pPr>
      <w:r w:rsidRPr="00243B71">
        <w:rPr>
          <w:sz w:val="22"/>
          <w:szCs w:val="22"/>
        </w:rPr>
        <w:t>Body Responsible for appeal procedures is the Republic Commission for the Protection of Rights in Public Procurement Procedures (</w:t>
      </w:r>
      <w:proofErr w:type="spellStart"/>
      <w:r w:rsidRPr="00243B71">
        <w:rPr>
          <w:sz w:val="22"/>
          <w:szCs w:val="22"/>
        </w:rPr>
        <w:t>Nemanjina</w:t>
      </w:r>
      <w:proofErr w:type="spellEnd"/>
      <w:r w:rsidRPr="00243B71">
        <w:rPr>
          <w:sz w:val="22"/>
          <w:szCs w:val="22"/>
        </w:rPr>
        <w:t xml:space="preserve"> 22-26, 11000 Belgrade, </w:t>
      </w:r>
      <w:proofErr w:type="gramStart"/>
      <w:r w:rsidRPr="00243B71">
        <w:rPr>
          <w:sz w:val="22"/>
          <w:szCs w:val="22"/>
        </w:rPr>
        <w:t>Republic</w:t>
      </w:r>
      <w:proofErr w:type="gramEnd"/>
      <w:r w:rsidRPr="00243B71">
        <w:rPr>
          <w:sz w:val="22"/>
          <w:szCs w:val="22"/>
        </w:rPr>
        <w:t xml:space="preserve"> of Serbia). www.kjn.gov.rs.</w:t>
      </w:r>
    </w:p>
    <w:p w14:paraId="04681ED9" w14:textId="77777777" w:rsidR="00243B71" w:rsidRPr="00243B71" w:rsidRDefault="00243B71" w:rsidP="00243B71">
      <w:pPr>
        <w:tabs>
          <w:tab w:val="left" w:pos="567"/>
        </w:tabs>
        <w:jc w:val="both"/>
        <w:rPr>
          <w:sz w:val="22"/>
          <w:szCs w:val="22"/>
        </w:rPr>
      </w:pPr>
      <w:r w:rsidRPr="00243B71">
        <w:rPr>
          <w:sz w:val="22"/>
          <w:szCs w:val="22"/>
        </w:rPr>
        <w:t>Without prejudice to other remedies and, in particular, without altering the time-limits for bringing actions set out in paragraph 16.1, where a candidate, tenderer or applicant believes he/she has been adversely affected by a material error or irregularity allegedly committed as part of a selection or procurement procedure, or that the procedure was vitiated by any maladministration, he/she may file a complaint to the Contracting Authority. The complaint must be material, and its sole subject shall not be to obtain a second evaluation for no reason other than the complainant disagrees with the final award decision.</w:t>
      </w:r>
    </w:p>
    <w:p w14:paraId="651B9990" w14:textId="5E531318" w:rsidR="00237B1E" w:rsidRPr="00243B71" w:rsidRDefault="00243B71" w:rsidP="00061CFC">
      <w:pPr>
        <w:numPr>
          <w:ilvl w:val="0"/>
          <w:numId w:val="26"/>
        </w:numPr>
        <w:spacing w:before="240" w:after="120"/>
        <w:jc w:val="both"/>
        <w:rPr>
          <w:sz w:val="22"/>
          <w:szCs w:val="22"/>
        </w:rPr>
      </w:pPr>
      <w:r w:rsidRPr="00243B71">
        <w:rPr>
          <w:b/>
          <w:bCs/>
          <w:kern w:val="32"/>
          <w:sz w:val="22"/>
          <w:szCs w:val="22"/>
        </w:rPr>
        <w:t>Ordinary Actions</w:t>
      </w:r>
    </w:p>
    <w:p w14:paraId="5B3AAA75" w14:textId="77777777" w:rsidR="00243B71" w:rsidRPr="00243B71" w:rsidRDefault="00243B71" w:rsidP="00243B71">
      <w:pPr>
        <w:tabs>
          <w:tab w:val="left" w:pos="567"/>
        </w:tabs>
        <w:spacing w:before="120" w:after="120"/>
        <w:jc w:val="both"/>
        <w:rPr>
          <w:sz w:val="22"/>
          <w:szCs w:val="22"/>
        </w:rPr>
      </w:pPr>
      <w:r w:rsidRPr="00243B71">
        <w:rPr>
          <w:sz w:val="22"/>
          <w:szCs w:val="22"/>
        </w:rPr>
        <w:t>When a candidate, tenderer or applicant believes he/she has been adversely affected by an error or irregularity allegedly committed as part of a selection procedure or procurement, he may also file ordinary actions, provided the conditions are met. The action shall be launched in accordance with the conditions and deadlines fixed by the national legislation of the Contracting Authority.</w:t>
      </w:r>
    </w:p>
    <w:p w14:paraId="74AA41DD" w14:textId="7AF442CC" w:rsidR="00243B71" w:rsidRPr="00243B71" w:rsidRDefault="00243B71" w:rsidP="00061CFC">
      <w:pPr>
        <w:pStyle w:val="Heading3"/>
        <w:numPr>
          <w:ilvl w:val="0"/>
          <w:numId w:val="26"/>
        </w:numPr>
        <w:tabs>
          <w:tab w:val="left" w:pos="567"/>
        </w:tabs>
        <w:spacing w:before="120" w:after="120"/>
        <w:rPr>
          <w:b/>
          <w:sz w:val="22"/>
          <w:szCs w:val="22"/>
          <w:u w:val="none"/>
        </w:rPr>
      </w:pPr>
      <w:r w:rsidRPr="00243B71">
        <w:rPr>
          <w:b/>
          <w:sz w:val="22"/>
          <w:szCs w:val="22"/>
          <w:u w:val="none"/>
        </w:rPr>
        <w:lastRenderedPageBreak/>
        <w:t xml:space="preserve"> Request for Bank’s review</w:t>
      </w:r>
    </w:p>
    <w:p w14:paraId="42ADA2B0" w14:textId="77777777" w:rsidR="00243B71" w:rsidRPr="00243B71" w:rsidRDefault="00243B71" w:rsidP="00243B71">
      <w:pPr>
        <w:pStyle w:val="BodyText2"/>
        <w:keepNext/>
        <w:keepLines/>
        <w:tabs>
          <w:tab w:val="clear" w:pos="567"/>
          <w:tab w:val="left" w:pos="0"/>
          <w:tab w:val="left" w:pos="630"/>
        </w:tabs>
        <w:spacing w:before="120" w:after="120"/>
        <w:rPr>
          <w:sz w:val="22"/>
          <w:szCs w:val="22"/>
        </w:rPr>
      </w:pPr>
      <w:r w:rsidRPr="00243B71">
        <w:rPr>
          <w:sz w:val="22"/>
          <w:szCs w:val="22"/>
        </w:rPr>
        <w:t>Candidates should alert the promoter in writing, with a copy to the European Investment Bank to procurementcomplaints@eib.org, in case they should consider that certain clauses or provisions of the tender might limit international competition or introduce an unfair advantage to some candidates.</w:t>
      </w:r>
    </w:p>
    <w:p w14:paraId="1A4706E4" w14:textId="6E1AEECB" w:rsidR="00243B71" w:rsidRPr="00243B71" w:rsidRDefault="00243B71" w:rsidP="00061CFC">
      <w:pPr>
        <w:pStyle w:val="ListParagraph"/>
        <w:keepNext/>
        <w:numPr>
          <w:ilvl w:val="0"/>
          <w:numId w:val="26"/>
        </w:numPr>
        <w:spacing w:before="120" w:after="120"/>
        <w:jc w:val="both"/>
        <w:rPr>
          <w:rFonts w:ascii="Times New Roman" w:hAnsi="Times New Roman" w:cs="Times New Roman"/>
          <w:b/>
          <w:bCs/>
        </w:rPr>
      </w:pPr>
      <w:r w:rsidRPr="00243B71">
        <w:rPr>
          <w:rFonts w:ascii="Times New Roman" w:hAnsi="Times New Roman" w:cs="Times New Roman"/>
          <w:b/>
          <w:bCs/>
        </w:rPr>
        <w:t xml:space="preserve"> Data Protection</w:t>
      </w:r>
    </w:p>
    <w:p w14:paraId="31E02136" w14:textId="77777777" w:rsidR="00243B71" w:rsidRPr="00243B71" w:rsidRDefault="00243B71" w:rsidP="00243B71">
      <w:pPr>
        <w:pStyle w:val="BodyText"/>
        <w:jc w:val="both"/>
        <w:rPr>
          <w:sz w:val="22"/>
          <w:szCs w:val="22"/>
        </w:rPr>
      </w:pPr>
      <w:r w:rsidRPr="00243B71">
        <w:rPr>
          <w:sz w:val="22"/>
          <w:szCs w:val="22"/>
        </w:rPr>
        <w:t>If processing your reply to the invitation to tender involves the recording and processing of personal data (such as names, contact details and CVs), they will be processed</w:t>
      </w:r>
      <w:r w:rsidRPr="00243B71">
        <w:rPr>
          <w:rStyle w:val="FootnoteReference"/>
          <w:sz w:val="22"/>
          <w:szCs w:val="22"/>
        </w:rPr>
        <w:footnoteReference w:id="3"/>
      </w:r>
      <w:r w:rsidRPr="00243B71">
        <w:rPr>
          <w:sz w:val="22"/>
          <w:szCs w:val="22"/>
        </w:rPr>
        <w:t xml:space="preserve">  solely for the purposes of the management and monitoring of the tender and of the contract by the data controller without prejudice to possible transmission to the bodies in charge of monitoring or inspection tasks in application of the law. Details concerning processing of your personal data are available on the privacy statement at:</w:t>
      </w:r>
    </w:p>
    <w:p w14:paraId="7E66D9EC" w14:textId="5BB071D7" w:rsidR="00243B71" w:rsidRPr="00243B71" w:rsidRDefault="00A25BF6" w:rsidP="00243B71">
      <w:pPr>
        <w:pStyle w:val="BodyText2"/>
        <w:tabs>
          <w:tab w:val="clear" w:pos="567"/>
          <w:tab w:val="left" w:pos="0"/>
          <w:tab w:val="left" w:pos="630"/>
        </w:tabs>
        <w:spacing w:before="120" w:after="120"/>
        <w:rPr>
          <w:color w:val="1F497D"/>
          <w:sz w:val="22"/>
          <w:szCs w:val="22"/>
        </w:rPr>
      </w:pPr>
      <w:hyperlink r:id="rId15" w:history="1">
        <w:r w:rsidR="00243B71" w:rsidRPr="00243B71">
          <w:rPr>
            <w:rStyle w:val="Hyperlink"/>
            <w:sz w:val="22"/>
            <w:szCs w:val="22"/>
          </w:rPr>
          <w:t>http://ec.europa.eu/europeaid/prag/annexes.do?chapterTitleCode=A</w:t>
        </w:r>
      </w:hyperlink>
      <w:r w:rsidR="00243B71" w:rsidRPr="00243B71">
        <w:rPr>
          <w:color w:val="1F497D"/>
          <w:sz w:val="22"/>
          <w:szCs w:val="22"/>
        </w:rPr>
        <w:t xml:space="preserve"> </w:t>
      </w:r>
      <w:r w:rsidR="00243B71" w:rsidRPr="00243B71">
        <w:rPr>
          <w:rStyle w:val="FootnoteReference"/>
          <w:sz w:val="22"/>
          <w:szCs w:val="22"/>
        </w:rPr>
        <w:footnoteReference w:id="4"/>
      </w:r>
    </w:p>
    <w:p w14:paraId="4AC3339C" w14:textId="77777777" w:rsidR="00243B71" w:rsidRPr="00243B71" w:rsidRDefault="00243B71" w:rsidP="00243B71">
      <w:pPr>
        <w:pStyle w:val="BodyText2"/>
        <w:tabs>
          <w:tab w:val="clear" w:pos="567"/>
          <w:tab w:val="left" w:pos="0"/>
          <w:tab w:val="left" w:pos="630"/>
        </w:tabs>
        <w:spacing w:before="120" w:after="120"/>
        <w:rPr>
          <w:color w:val="1F497D"/>
          <w:sz w:val="22"/>
          <w:szCs w:val="22"/>
        </w:rPr>
      </w:pPr>
      <w:r w:rsidRPr="00243B71">
        <w:rPr>
          <w:sz w:val="22"/>
          <w:szCs w:val="22"/>
        </w:rPr>
        <w:b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3D9FD1B2" w14:textId="2336D15A" w:rsidR="00243B71" w:rsidRPr="00243B71" w:rsidRDefault="00243B71" w:rsidP="00061CFC">
      <w:pPr>
        <w:pStyle w:val="ListParagraph"/>
        <w:keepNext/>
        <w:numPr>
          <w:ilvl w:val="0"/>
          <w:numId w:val="26"/>
        </w:numPr>
        <w:spacing w:before="240" w:after="240"/>
        <w:jc w:val="both"/>
        <w:rPr>
          <w:rFonts w:ascii="Times New Roman" w:hAnsi="Times New Roman" w:cs="Times New Roman"/>
          <w:b/>
          <w:bCs/>
        </w:rPr>
      </w:pPr>
      <w:r w:rsidRPr="00243B71">
        <w:rPr>
          <w:rFonts w:ascii="Times New Roman" w:hAnsi="Times New Roman" w:cs="Times New Roman"/>
          <w:b/>
          <w:bCs/>
        </w:rPr>
        <w:t xml:space="preserve">Early detection and exclusion system </w:t>
      </w:r>
    </w:p>
    <w:p w14:paraId="373C7454" w14:textId="77777777" w:rsidR="00243B71" w:rsidRPr="00243B71" w:rsidRDefault="00243B71" w:rsidP="00243B71">
      <w:pPr>
        <w:spacing w:after="60"/>
        <w:jc w:val="both"/>
        <w:rPr>
          <w:sz w:val="22"/>
          <w:szCs w:val="22"/>
        </w:rPr>
      </w:pPr>
      <w:r w:rsidRPr="00243B71">
        <w:rPr>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procurement contract.</w:t>
      </w:r>
    </w:p>
    <w:p w14:paraId="25478C1D" w14:textId="77777777" w:rsidR="00243B71" w:rsidRPr="00243B71" w:rsidRDefault="00243B71" w:rsidP="00243B71">
      <w:pPr>
        <w:spacing w:after="60"/>
        <w:jc w:val="both"/>
        <w:rPr>
          <w:sz w:val="22"/>
          <w:szCs w:val="22"/>
        </w:rPr>
      </w:pPr>
      <w:r w:rsidRPr="00243B71">
        <w:rPr>
          <w:sz w:val="22"/>
          <w:szCs w:val="22"/>
        </w:rPr>
        <w:t xml:space="preserve">For more information, you may consult the privacy statement available on </w:t>
      </w:r>
      <w:hyperlink r:id="rId16" w:history="1">
        <w:r w:rsidRPr="00243B71">
          <w:rPr>
            <w:rStyle w:val="Hyperlink"/>
            <w:sz w:val="22"/>
            <w:szCs w:val="22"/>
          </w:rPr>
          <w:t>http://ec.europa.eu/budget/explained/management/protecting/protect_en.cfm</w:t>
        </w:r>
      </w:hyperlink>
      <w:r w:rsidRPr="00243B71">
        <w:rPr>
          <w:sz w:val="22"/>
          <w:szCs w:val="22"/>
        </w:rPr>
        <w:t xml:space="preserve"> </w:t>
      </w:r>
    </w:p>
    <w:p w14:paraId="44D706F5" w14:textId="77777777" w:rsidR="00243B71" w:rsidRPr="00243B71" w:rsidRDefault="00243B71" w:rsidP="00243B71">
      <w:pPr>
        <w:pStyle w:val="BodyText2"/>
        <w:tabs>
          <w:tab w:val="clear" w:pos="567"/>
          <w:tab w:val="left" w:pos="0"/>
          <w:tab w:val="left" w:pos="630"/>
        </w:tabs>
        <w:spacing w:before="120" w:after="120"/>
        <w:rPr>
          <w:sz w:val="22"/>
          <w:szCs w:val="22"/>
        </w:rPr>
      </w:pPr>
    </w:p>
    <w:p w14:paraId="46DBF39B" w14:textId="77777777" w:rsidR="005D33D8" w:rsidRPr="00243B71" w:rsidRDefault="005D33D8" w:rsidP="00243B71">
      <w:pPr>
        <w:spacing w:after="120"/>
        <w:jc w:val="both"/>
        <w:rPr>
          <w:b/>
          <w:bCs/>
          <w:kern w:val="32"/>
          <w:sz w:val="22"/>
          <w:szCs w:val="22"/>
        </w:rPr>
      </w:pPr>
    </w:p>
    <w:sectPr w:rsidR="005D33D8" w:rsidRPr="00243B71" w:rsidSect="002D7371">
      <w:footerReference w:type="even" r:id="rId17"/>
      <w:footerReference w:type="default" r:id="rId18"/>
      <w:headerReference w:type="first" r:id="rId19"/>
      <w:footerReference w:type="first" r:id="rId20"/>
      <w:pgSz w:w="11906" w:h="16838"/>
      <w:pgMar w:top="1440" w:right="1558" w:bottom="709" w:left="1800" w:header="720" w:footer="40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4532F2" w14:textId="77777777" w:rsidR="00A25BF6" w:rsidRDefault="00A25BF6">
      <w:r>
        <w:separator/>
      </w:r>
    </w:p>
  </w:endnote>
  <w:endnote w:type="continuationSeparator" w:id="0">
    <w:p w14:paraId="4409FCC6" w14:textId="77777777" w:rsidR="00A25BF6" w:rsidRDefault="00A25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AD8CD" w14:textId="4A64BB4E" w:rsidR="00C06F58" w:rsidRDefault="0019326F">
    <w:pPr>
      <w:pStyle w:val="Footer"/>
      <w:framePr w:wrap="around" w:vAnchor="text" w:hAnchor="margin" w:xAlign="center" w:y="1"/>
      <w:rPr>
        <w:rStyle w:val="PageNumber"/>
      </w:rPr>
    </w:pPr>
    <w:r>
      <w:rPr>
        <w:noProof/>
        <w:lang w:val="en-US" w:eastAsia="en-US"/>
      </w:rPr>
      <mc:AlternateContent>
        <mc:Choice Requires="wps">
          <w:drawing>
            <wp:anchor distT="0" distB="0" distL="0" distR="0" simplePos="0" relativeHeight="251659264" behindDoc="0" locked="0" layoutInCell="1" allowOverlap="1" wp14:anchorId="15727B5A" wp14:editId="37C75E69">
              <wp:simplePos x="635" y="635"/>
              <wp:positionH relativeFrom="page">
                <wp:align>left</wp:align>
              </wp:positionH>
              <wp:positionV relativeFrom="page">
                <wp:align>bottom</wp:align>
              </wp:positionV>
              <wp:extent cx="661670" cy="345440"/>
              <wp:effectExtent l="0" t="0" r="5080" b="0"/>
              <wp:wrapNone/>
              <wp:docPr id="1786263031" name="Text Box 2" descr="General">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61670" cy="345440"/>
                      </a:xfrm>
                      <a:prstGeom prst="rect">
                        <a:avLst/>
                      </a:prstGeom>
                      <a:noFill/>
                      <a:ln>
                        <a:noFill/>
                      </a:ln>
                    </wps:spPr>
                    <wps:txbx>
                      <w:txbxContent>
                        <w:p w14:paraId="0BD0D75D" w14:textId="65E2BD36" w:rsidR="0019326F" w:rsidRPr="0019326F" w:rsidRDefault="0019326F" w:rsidP="0019326F">
                          <w:pPr>
                            <w:rPr>
                              <w:rFonts w:ascii="Calibri" w:eastAsia="Calibri" w:hAnsi="Calibri" w:cs="Calibri"/>
                              <w:noProof/>
                              <w:color w:val="000000"/>
                            </w:rPr>
                          </w:pPr>
                          <w:r w:rsidRPr="0019326F">
                            <w:rPr>
                              <w:rFonts w:ascii="Calibri" w:eastAsia="Calibri" w:hAnsi="Calibri" w:cs="Calibri"/>
                              <w:noProof/>
                              <w:color w:val="000000"/>
                            </w:rPr>
                            <w:t>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5727B5A" id="_x0000_t202" coordsize="21600,21600" o:spt="202" path="m,l,21600r21600,l21600,xe">
              <v:stroke joinstyle="miter"/>
              <v:path gradientshapeok="t" o:connecttype="rect"/>
            </v:shapetype>
            <v:shape id="Text Box 2" o:spid="_x0000_s1026" type="#_x0000_t202" alt="General" style="position:absolute;margin-left:0;margin-top:0;width:52.1pt;height:27.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" filled="f" stroked="f">
              <v:textbox style="mso-fit-shape-to-text:t" inset="20pt,0,0,15pt">
                <w:txbxContent>
                  <w:p w14:paraId="0BD0D75D" w14:textId="65E2BD36" w:rsidR="0019326F" w:rsidRPr="0019326F" w:rsidRDefault="0019326F" w:rsidP="0019326F">
                    <w:pPr>
                      <w:rPr>
                        <w:rFonts w:ascii="Calibri" w:eastAsia="Calibri" w:hAnsi="Calibri" w:cs="Calibri"/>
                        <w:noProof/>
                        <w:color w:val="000000"/>
                      </w:rPr>
                    </w:pPr>
                    <w:r w:rsidRPr="0019326F">
                      <w:rPr>
                        <w:rFonts w:ascii="Calibri" w:eastAsia="Calibri" w:hAnsi="Calibri" w:cs="Calibri"/>
                        <w:noProof/>
                        <w:color w:val="000000"/>
                      </w:rPr>
                      <w:t>General</w:t>
                    </w:r>
                  </w:p>
                </w:txbxContent>
              </v:textbox>
              <w10:wrap anchorx="page" anchory="page"/>
            </v:shape>
          </w:pict>
        </mc:Fallback>
      </mc:AlternateContent>
    </w:r>
    <w:r w:rsidR="00C06F58">
      <w:rPr>
        <w:rStyle w:val="PageNumber"/>
      </w:rPr>
      <w:fldChar w:fldCharType="begin"/>
    </w:r>
    <w:r w:rsidR="00C06F58">
      <w:rPr>
        <w:rStyle w:val="PageNumber"/>
      </w:rPr>
      <w:instrText xml:space="preserve">PAGE  </w:instrText>
    </w:r>
    <w:r w:rsidR="00C06F58">
      <w:rPr>
        <w:rStyle w:val="PageNumber"/>
      </w:rPr>
      <w:fldChar w:fldCharType="separate"/>
    </w:r>
    <w:r w:rsidR="00C06F58">
      <w:rPr>
        <w:rStyle w:val="PageNumber"/>
      </w:rPr>
      <w:t>13</w:t>
    </w:r>
    <w:r w:rsidR="00C06F58">
      <w:rPr>
        <w:rStyle w:val="PageNumber"/>
      </w:rPr>
      <w:fldChar w:fldCharType="end"/>
    </w:r>
  </w:p>
  <w:p w14:paraId="082BFC61"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CC605" w14:textId="1D2059C1" w:rsidR="00C06F58" w:rsidRPr="00651945" w:rsidRDefault="0019326F" w:rsidP="002D7371">
    <w:pPr>
      <w:pStyle w:val="Footer"/>
      <w:pBdr>
        <w:top w:val="single" w:sz="4" w:space="1" w:color="auto"/>
      </w:pBdr>
      <w:tabs>
        <w:tab w:val="clear" w:pos="4320"/>
        <w:tab w:val="clear" w:pos="8640"/>
        <w:tab w:val="right" w:pos="8505"/>
      </w:tabs>
      <w:rPr>
        <w:rStyle w:val="PageNumber"/>
        <w:sz w:val="18"/>
        <w:szCs w:val="18"/>
        <w:lang w:val="fr-FR"/>
      </w:rPr>
    </w:pPr>
    <w:r>
      <w:rPr>
        <w:rFonts w:ascii="Arial" w:hAnsi="Arial" w:cs="Arial"/>
        <w:noProof/>
        <w:sz w:val="18"/>
        <w:szCs w:val="18"/>
        <w:lang w:val="en-US" w:eastAsia="en-US"/>
      </w:rPr>
      <mc:AlternateContent>
        <mc:Choice Requires="wps">
          <w:drawing>
            <wp:anchor distT="0" distB="0" distL="0" distR="0" simplePos="0" relativeHeight="251660288" behindDoc="0" locked="0" layoutInCell="1" allowOverlap="1" wp14:anchorId="73B55A9F" wp14:editId="753824D7">
              <wp:simplePos x="1143000" y="10287000"/>
              <wp:positionH relativeFrom="page">
                <wp:align>left</wp:align>
              </wp:positionH>
              <wp:positionV relativeFrom="page">
                <wp:align>bottom</wp:align>
              </wp:positionV>
              <wp:extent cx="661670" cy="345440"/>
              <wp:effectExtent l="0" t="0" r="5080" b="0"/>
              <wp:wrapNone/>
              <wp:docPr id="1363509605" name="Text Box 3" descr="General">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61670" cy="345440"/>
                      </a:xfrm>
                      <a:prstGeom prst="rect">
                        <a:avLst/>
                      </a:prstGeom>
                      <a:noFill/>
                      <a:ln>
                        <a:noFill/>
                      </a:ln>
                    </wps:spPr>
                    <wps:txbx>
                      <w:txbxContent>
                        <w:p w14:paraId="449B5576" w14:textId="162A582D" w:rsidR="0019326F" w:rsidRPr="0019326F" w:rsidRDefault="0019326F" w:rsidP="0019326F">
                          <w:pPr>
                            <w:rPr>
                              <w:rFonts w:ascii="Calibri" w:eastAsia="Calibri" w:hAnsi="Calibri" w:cs="Calibri"/>
                              <w:noProof/>
                              <w:color w:val="000000"/>
                            </w:rPr>
                          </w:pPr>
                          <w:r w:rsidRPr="0019326F">
                            <w:rPr>
                              <w:rFonts w:ascii="Calibri" w:eastAsia="Calibri" w:hAnsi="Calibri" w:cs="Calibri"/>
                              <w:noProof/>
                              <w:color w:val="000000"/>
                            </w:rPr>
                            <w:t>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3B55A9F" id="_x0000_t202" coordsize="21600,21600" o:spt="202" path="m,l,21600r21600,l21600,xe">
              <v:stroke joinstyle="miter"/>
              <v:path gradientshapeok="t" o:connecttype="rect"/>
            </v:shapetype>
            <v:shape id="Text Box 3" o:spid="_x0000_s1027" type="#_x0000_t202" alt="General" style="position:absolute;margin-left:0;margin-top:0;width:52.1pt;height:27.2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" filled="f" stroked="f">
              <v:textbox style="mso-fit-shape-to-text:t" inset="20pt,0,0,15pt">
                <w:txbxContent>
                  <w:p w14:paraId="449B5576" w14:textId="162A582D" w:rsidR="0019326F" w:rsidRPr="0019326F" w:rsidRDefault="0019326F" w:rsidP="0019326F">
                    <w:pPr>
                      <w:rPr>
                        <w:rFonts w:ascii="Calibri" w:eastAsia="Calibri" w:hAnsi="Calibri" w:cs="Calibri"/>
                        <w:noProof/>
                        <w:color w:val="000000"/>
                      </w:rPr>
                    </w:pPr>
                    <w:r w:rsidRPr="0019326F">
                      <w:rPr>
                        <w:rFonts w:ascii="Calibri" w:eastAsia="Calibri" w:hAnsi="Calibri" w:cs="Calibri"/>
                        <w:noProof/>
                        <w:color w:val="000000"/>
                      </w:rPr>
                      <w:t>General</w:t>
                    </w:r>
                  </w:p>
                </w:txbxContent>
              </v:textbox>
              <w10:wrap anchorx="page" anchory="page"/>
            </v:shape>
          </w:pict>
        </mc:Fallback>
      </mc:AlternateContent>
    </w:r>
    <w:r w:rsidR="00BE1117" w:rsidRPr="003D6924">
      <w:rPr>
        <w:rFonts w:ascii="Arial" w:hAnsi="Arial" w:cs="Arial"/>
        <w:sz w:val="18"/>
        <w:szCs w:val="18"/>
        <w:lang w:val="fr-FR"/>
      </w:rPr>
      <w:tab/>
    </w:r>
    <w:r w:rsidR="00BE1117" w:rsidRPr="00651945">
      <w:rPr>
        <w:sz w:val="18"/>
        <w:szCs w:val="18"/>
        <w:lang w:val="fr-FR"/>
      </w:rPr>
      <w:t xml:space="preserve">Page </w:t>
    </w:r>
    <w:r w:rsidR="00BE1117" w:rsidRPr="00651945">
      <w:rPr>
        <w:bCs/>
        <w:sz w:val="18"/>
        <w:szCs w:val="18"/>
        <w:lang w:val="en-US"/>
      </w:rPr>
      <w:fldChar w:fldCharType="begin"/>
    </w:r>
    <w:r w:rsidR="00BE1117" w:rsidRPr="00651945">
      <w:rPr>
        <w:bCs/>
        <w:sz w:val="18"/>
        <w:szCs w:val="18"/>
        <w:lang w:val="fr-FR"/>
      </w:rPr>
      <w:instrText xml:space="preserve"> PAGE  \* Arabic  \* MERGEFORMAT </w:instrText>
    </w:r>
    <w:r w:rsidR="00BE1117" w:rsidRPr="00651945">
      <w:rPr>
        <w:bCs/>
        <w:sz w:val="18"/>
        <w:szCs w:val="18"/>
        <w:lang w:val="en-US"/>
      </w:rPr>
      <w:fldChar w:fldCharType="separate"/>
    </w:r>
    <w:r w:rsidR="004D3523">
      <w:rPr>
        <w:bCs/>
        <w:noProof/>
        <w:sz w:val="18"/>
        <w:szCs w:val="18"/>
        <w:lang w:val="fr-FR"/>
      </w:rPr>
      <w:t>17</w:t>
    </w:r>
    <w:r w:rsidR="00BE1117" w:rsidRPr="00651945">
      <w:rPr>
        <w:bCs/>
        <w:sz w:val="18"/>
        <w:szCs w:val="18"/>
        <w:lang w:val="en-US"/>
      </w:rPr>
      <w:fldChar w:fldCharType="end"/>
    </w:r>
    <w:r w:rsidR="00BE1117" w:rsidRPr="00651945">
      <w:rPr>
        <w:sz w:val="18"/>
        <w:szCs w:val="18"/>
        <w:lang w:val="fr-FR"/>
      </w:rPr>
      <w:t xml:space="preserve"> of </w:t>
    </w:r>
    <w:r w:rsidR="00BE1117" w:rsidRPr="00651945">
      <w:rPr>
        <w:bCs/>
        <w:sz w:val="18"/>
        <w:szCs w:val="18"/>
        <w:lang w:val="en-US"/>
      </w:rPr>
      <w:fldChar w:fldCharType="begin"/>
    </w:r>
    <w:r w:rsidR="00BE1117" w:rsidRPr="00651945">
      <w:rPr>
        <w:bCs/>
        <w:sz w:val="18"/>
        <w:szCs w:val="18"/>
        <w:lang w:val="fr-FR"/>
      </w:rPr>
      <w:instrText xml:space="preserve"> NUMPAGES  \* Arabic  \* MERGEFORMAT </w:instrText>
    </w:r>
    <w:r w:rsidR="00BE1117" w:rsidRPr="00651945">
      <w:rPr>
        <w:bCs/>
        <w:sz w:val="18"/>
        <w:szCs w:val="18"/>
        <w:lang w:val="en-US"/>
      </w:rPr>
      <w:fldChar w:fldCharType="separate"/>
    </w:r>
    <w:r w:rsidR="004D3523">
      <w:rPr>
        <w:bCs/>
        <w:noProof/>
        <w:sz w:val="18"/>
        <w:szCs w:val="18"/>
        <w:lang w:val="fr-FR"/>
      </w:rPr>
      <w:t>17</w:t>
    </w:r>
    <w:r w:rsidR="00BE1117" w:rsidRPr="00651945">
      <w:rPr>
        <w:bCs/>
        <w:sz w:val="18"/>
        <w:szCs w:val="18"/>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D6D54" w14:textId="70D1A2DF" w:rsidR="00C06F58" w:rsidRPr="00651945" w:rsidRDefault="0019326F" w:rsidP="002D7371">
    <w:pPr>
      <w:pStyle w:val="Footer"/>
      <w:pBdr>
        <w:top w:val="single" w:sz="4" w:space="1" w:color="auto"/>
      </w:pBdr>
      <w:tabs>
        <w:tab w:val="clear" w:pos="4320"/>
        <w:tab w:val="clear" w:pos="8640"/>
        <w:tab w:val="right" w:pos="8505"/>
      </w:tabs>
      <w:rPr>
        <w:sz w:val="18"/>
        <w:szCs w:val="18"/>
        <w:lang w:val="en-US"/>
      </w:rPr>
    </w:pPr>
    <w:r>
      <w:rPr>
        <w:rFonts w:ascii="Arial" w:hAnsi="Arial" w:cs="Arial"/>
        <w:noProof/>
        <w:sz w:val="18"/>
        <w:szCs w:val="18"/>
        <w:lang w:val="en-US" w:eastAsia="en-US"/>
      </w:rPr>
      <mc:AlternateContent>
        <mc:Choice Requires="wps">
          <w:drawing>
            <wp:anchor distT="0" distB="0" distL="0" distR="0" simplePos="0" relativeHeight="251658240" behindDoc="0" locked="0" layoutInCell="1" allowOverlap="1" wp14:anchorId="2BCB50EF" wp14:editId="43AD06F9">
              <wp:simplePos x="1143000" y="10287000"/>
              <wp:positionH relativeFrom="page">
                <wp:align>left</wp:align>
              </wp:positionH>
              <wp:positionV relativeFrom="page">
                <wp:align>bottom</wp:align>
              </wp:positionV>
              <wp:extent cx="661670" cy="345440"/>
              <wp:effectExtent l="0" t="0" r="5080" b="0"/>
              <wp:wrapNone/>
              <wp:docPr id="1580005415" name="Text Box 1" descr="General">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61670" cy="345440"/>
                      </a:xfrm>
                      <a:prstGeom prst="rect">
                        <a:avLst/>
                      </a:prstGeom>
                      <a:noFill/>
                      <a:ln>
                        <a:noFill/>
                      </a:ln>
                    </wps:spPr>
                    <wps:txbx>
                      <w:txbxContent>
                        <w:p w14:paraId="2C5E13E5" w14:textId="302E12EE" w:rsidR="0019326F" w:rsidRPr="0019326F" w:rsidRDefault="0019326F" w:rsidP="0019326F">
                          <w:pPr>
                            <w:rPr>
                              <w:rFonts w:ascii="Calibri" w:eastAsia="Calibri" w:hAnsi="Calibri" w:cs="Calibri"/>
                              <w:noProof/>
                              <w:color w:val="000000"/>
                            </w:rPr>
                          </w:pPr>
                          <w:r w:rsidRPr="0019326F">
                            <w:rPr>
                              <w:rFonts w:ascii="Calibri" w:eastAsia="Calibri" w:hAnsi="Calibri" w:cs="Calibri"/>
                              <w:noProof/>
                              <w:color w:val="000000"/>
                            </w:rPr>
                            <w:t>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BCB50EF" id="_x0000_t202" coordsize="21600,21600" o:spt="202" path="m,l,21600r21600,l21600,xe">
              <v:stroke joinstyle="miter"/>
              <v:path gradientshapeok="t" o:connecttype="rect"/>
            </v:shapetype>
            <v:shape id="Text Box 1" o:spid="_x0000_s1028" type="#_x0000_t202" alt="General" style="position:absolute;margin-left:0;margin-top:0;width:52.1pt;height:27.2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" filled="f" stroked="f">
              <v:textbox style="mso-fit-shape-to-text:t" inset="20pt,0,0,15pt">
                <w:txbxContent>
                  <w:p w14:paraId="2C5E13E5" w14:textId="302E12EE" w:rsidR="0019326F" w:rsidRPr="0019326F" w:rsidRDefault="0019326F" w:rsidP="0019326F">
                    <w:pPr>
                      <w:rPr>
                        <w:rFonts w:ascii="Calibri" w:eastAsia="Calibri" w:hAnsi="Calibri" w:cs="Calibri"/>
                        <w:noProof/>
                        <w:color w:val="000000"/>
                      </w:rPr>
                    </w:pPr>
                    <w:r w:rsidRPr="0019326F">
                      <w:rPr>
                        <w:rFonts w:ascii="Calibri" w:eastAsia="Calibri" w:hAnsi="Calibri" w:cs="Calibri"/>
                        <w:noProof/>
                        <w:color w:val="000000"/>
                      </w:rPr>
                      <w:t>General</w:t>
                    </w:r>
                  </w:p>
                </w:txbxContent>
              </v:textbox>
              <w10:wrap anchorx="page" anchory="page"/>
            </v:shape>
          </w:pict>
        </mc:Fallback>
      </mc:AlternateContent>
    </w:r>
    <w:r w:rsidR="00BE1117" w:rsidRPr="00BE1117">
      <w:rPr>
        <w:rFonts w:ascii="Arial" w:hAnsi="Arial" w:cs="Arial"/>
        <w:sz w:val="18"/>
        <w:szCs w:val="18"/>
        <w:lang w:val="en-US"/>
      </w:rPr>
      <w:tab/>
    </w:r>
    <w:r w:rsidR="00BE1117" w:rsidRPr="00651945">
      <w:rPr>
        <w:sz w:val="18"/>
        <w:szCs w:val="18"/>
        <w:lang w:val="en-US"/>
      </w:rPr>
      <w:t xml:space="preserve">Page </w:t>
    </w:r>
    <w:r w:rsidR="00BE1117" w:rsidRPr="00651945">
      <w:rPr>
        <w:bCs/>
        <w:sz w:val="18"/>
        <w:szCs w:val="18"/>
        <w:lang w:val="en-US"/>
      </w:rPr>
      <w:fldChar w:fldCharType="begin"/>
    </w:r>
    <w:r w:rsidR="00BE1117" w:rsidRPr="00651945">
      <w:rPr>
        <w:bCs/>
        <w:sz w:val="18"/>
        <w:szCs w:val="18"/>
        <w:lang w:val="en-US"/>
      </w:rPr>
      <w:instrText xml:space="preserve"> PAGE  \* Arabic  \* MERGEFORMAT </w:instrText>
    </w:r>
    <w:r w:rsidR="00BE1117" w:rsidRPr="00651945">
      <w:rPr>
        <w:bCs/>
        <w:sz w:val="18"/>
        <w:szCs w:val="18"/>
        <w:lang w:val="en-US"/>
      </w:rPr>
      <w:fldChar w:fldCharType="separate"/>
    </w:r>
    <w:r w:rsidR="004D3523">
      <w:rPr>
        <w:bCs/>
        <w:noProof/>
        <w:sz w:val="18"/>
        <w:szCs w:val="18"/>
        <w:lang w:val="en-US"/>
      </w:rPr>
      <w:t>1</w:t>
    </w:r>
    <w:r w:rsidR="00BE1117" w:rsidRPr="00651945">
      <w:rPr>
        <w:bCs/>
        <w:sz w:val="18"/>
        <w:szCs w:val="18"/>
        <w:lang w:val="en-US"/>
      </w:rPr>
      <w:fldChar w:fldCharType="end"/>
    </w:r>
    <w:r w:rsidR="00BE1117" w:rsidRPr="00651945">
      <w:rPr>
        <w:sz w:val="18"/>
        <w:szCs w:val="18"/>
        <w:lang w:val="en-US"/>
      </w:rPr>
      <w:t xml:space="preserve"> of </w:t>
    </w:r>
    <w:r w:rsidR="00BE1117" w:rsidRPr="00651945">
      <w:rPr>
        <w:bCs/>
        <w:sz w:val="18"/>
        <w:szCs w:val="18"/>
        <w:lang w:val="en-US"/>
      </w:rPr>
      <w:fldChar w:fldCharType="begin"/>
    </w:r>
    <w:r w:rsidR="00BE1117" w:rsidRPr="00651945">
      <w:rPr>
        <w:bCs/>
        <w:sz w:val="18"/>
        <w:szCs w:val="18"/>
        <w:lang w:val="en-US"/>
      </w:rPr>
      <w:instrText xml:space="preserve"> NUMPAGES  \* Arabic  \* MERGEFORMAT </w:instrText>
    </w:r>
    <w:r w:rsidR="00BE1117" w:rsidRPr="00651945">
      <w:rPr>
        <w:bCs/>
        <w:sz w:val="18"/>
        <w:szCs w:val="18"/>
        <w:lang w:val="en-US"/>
      </w:rPr>
      <w:fldChar w:fldCharType="separate"/>
    </w:r>
    <w:r w:rsidR="004D3523">
      <w:rPr>
        <w:bCs/>
        <w:noProof/>
        <w:sz w:val="18"/>
        <w:szCs w:val="18"/>
        <w:lang w:val="en-US"/>
      </w:rPr>
      <w:t>17</w:t>
    </w:r>
    <w:r w:rsidR="00BE1117" w:rsidRPr="00651945">
      <w:rPr>
        <w:bCs/>
        <w:sz w:val="18"/>
        <w:szCs w:val="18"/>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2B726" w14:textId="77777777" w:rsidR="00A25BF6" w:rsidRDefault="00A25BF6">
      <w:r>
        <w:separator/>
      </w:r>
    </w:p>
  </w:footnote>
  <w:footnote w:type="continuationSeparator" w:id="0">
    <w:p w14:paraId="241D996E" w14:textId="77777777" w:rsidR="00A25BF6" w:rsidRDefault="00A25BF6">
      <w:r>
        <w:continuationSeparator/>
      </w:r>
    </w:p>
  </w:footnote>
  <w:footnote w:id="1">
    <w:p w14:paraId="73750CD0" w14:textId="58D5FC26" w:rsidR="004B14E8" w:rsidRPr="004B14E8" w:rsidRDefault="004B14E8">
      <w:pPr>
        <w:pStyle w:val="FootnoteText"/>
        <w:rPr>
          <w:rFonts w:ascii="Times New Roman" w:hAnsi="Times New Roman"/>
        </w:rPr>
      </w:pPr>
      <w:r w:rsidRPr="004B14E8">
        <w:rPr>
          <w:rStyle w:val="FootnoteReference"/>
          <w:rFonts w:ascii="Times New Roman" w:hAnsi="Times New Roman"/>
        </w:rPr>
        <w:footnoteRef/>
      </w:r>
      <w:r w:rsidRPr="004B14E8">
        <w:rPr>
          <w:rFonts w:ascii="Times New Roman" w:hAnsi="Times New Roman"/>
        </w:rPr>
        <w:t xml:space="preserve"> The tenders shall be submitted to the Ministry of Construction, Transport and Infrastructure, Address: </w:t>
      </w:r>
      <w:proofErr w:type="spellStart"/>
      <w:r w:rsidRPr="004B14E8">
        <w:rPr>
          <w:rFonts w:ascii="Times New Roman" w:hAnsi="Times New Roman"/>
        </w:rPr>
        <w:t>Nemanjina</w:t>
      </w:r>
      <w:proofErr w:type="spellEnd"/>
      <w:r w:rsidRPr="004B14E8">
        <w:rPr>
          <w:rFonts w:ascii="Times New Roman" w:hAnsi="Times New Roman"/>
        </w:rPr>
        <w:t xml:space="preserve"> 22-26, 11000 Belgrade, Republic of Serbia</w:t>
      </w:r>
    </w:p>
  </w:footnote>
  <w:footnote w:id="2">
    <w:p w14:paraId="7261B1CA" w14:textId="1C6C65AE" w:rsidR="004B14E8" w:rsidRPr="004B14E8" w:rsidRDefault="004B14E8">
      <w:pPr>
        <w:pStyle w:val="FootnoteText"/>
      </w:pPr>
      <w:r w:rsidRPr="004B14E8">
        <w:rPr>
          <w:rStyle w:val="FootnoteReference"/>
          <w:rFonts w:ascii="Times New Roman" w:hAnsi="Times New Roman"/>
        </w:rPr>
        <w:footnoteRef/>
      </w:r>
      <w:r w:rsidRPr="004B14E8">
        <w:rPr>
          <w:rFonts w:ascii="Times New Roman" w:hAnsi="Times New Roman"/>
        </w:rPr>
        <w:t xml:space="preserve"> The public opening will be held at the Ministry of Construction, Transport and Infrastructure, address: </w:t>
      </w:r>
      <w:proofErr w:type="spellStart"/>
      <w:r w:rsidRPr="004B14E8">
        <w:rPr>
          <w:rFonts w:ascii="Times New Roman" w:hAnsi="Times New Roman"/>
        </w:rPr>
        <w:t>Omladinskih</w:t>
      </w:r>
      <w:proofErr w:type="spellEnd"/>
      <w:r w:rsidRPr="004B14E8">
        <w:rPr>
          <w:rFonts w:ascii="Times New Roman" w:hAnsi="Times New Roman"/>
        </w:rPr>
        <w:t xml:space="preserve"> </w:t>
      </w:r>
      <w:proofErr w:type="spellStart"/>
      <w:r w:rsidRPr="004B14E8">
        <w:rPr>
          <w:rFonts w:ascii="Times New Roman" w:hAnsi="Times New Roman"/>
        </w:rPr>
        <w:t>brigada</w:t>
      </w:r>
      <w:proofErr w:type="spellEnd"/>
      <w:r w:rsidRPr="004B14E8">
        <w:rPr>
          <w:rFonts w:ascii="Times New Roman" w:hAnsi="Times New Roman"/>
        </w:rPr>
        <w:t xml:space="preserve"> 1, VI floor, room no. 647, 11070 Belgrade, Republic of Serbia</w:t>
      </w:r>
    </w:p>
  </w:footnote>
  <w:footnote w:id="3">
    <w:p w14:paraId="0832B75B" w14:textId="77777777" w:rsidR="00243B71" w:rsidRPr="00651945" w:rsidRDefault="00243B71" w:rsidP="00651945">
      <w:pPr>
        <w:pStyle w:val="FootnoteText"/>
        <w:tabs>
          <w:tab w:val="clear" w:pos="284"/>
          <w:tab w:val="left" w:pos="0"/>
        </w:tabs>
        <w:jc w:val="both"/>
        <w:rPr>
          <w:rFonts w:ascii="Times New Roman" w:hAnsi="Times New Roman"/>
          <w:sz w:val="20"/>
        </w:rPr>
      </w:pPr>
      <w:r w:rsidRPr="00651945">
        <w:rPr>
          <w:rStyle w:val="FootnoteReference"/>
          <w:rFonts w:ascii="Times New Roman" w:hAnsi="Times New Roman"/>
          <w:szCs w:val="16"/>
        </w:rPr>
        <w:footnoteRef/>
      </w:r>
      <w:r w:rsidRPr="00651945">
        <w:rPr>
          <w:rFonts w:ascii="Times New Roman" w:hAnsi="Times New Roman"/>
        </w:rPr>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4">
    <w:p w14:paraId="1CB0C313" w14:textId="77777777" w:rsidR="00243B71" w:rsidRDefault="00243B71" w:rsidP="00651945">
      <w:pPr>
        <w:pStyle w:val="FootnoteText"/>
        <w:jc w:val="both"/>
      </w:pPr>
      <w:r w:rsidRPr="00651945">
        <w:rPr>
          <w:rStyle w:val="FootnoteReference"/>
          <w:rFonts w:ascii="Times New Roman" w:hAnsi="Times New Roman"/>
          <w:szCs w:val="16"/>
        </w:rPr>
        <w:footnoteRef/>
      </w:r>
      <w:r w:rsidRPr="00651945">
        <w:rPr>
          <w:rFonts w:ascii="Times New Roman" w:hAnsi="Times New Roman"/>
        </w:rPr>
        <w:t xml:space="preserve"> This link will lead you to the ‘privacy statement’ published as annex A13 to the practical guide general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26F61" w14:textId="77777777" w:rsidR="00C06F58" w:rsidRPr="00651945" w:rsidRDefault="00BA6D9B" w:rsidP="00BA6D9B">
    <w:pPr>
      <w:pStyle w:val="Header"/>
      <w:tabs>
        <w:tab w:val="clear" w:pos="4320"/>
        <w:tab w:val="center" w:pos="8222"/>
      </w:tabs>
      <w:jc w:val="center"/>
      <w:rPr>
        <w:rFonts w:ascii="Arial" w:hAnsi="Arial"/>
        <w:b/>
        <w:sz w:val="24"/>
        <w:szCs w:val="24"/>
      </w:rPr>
    </w:pPr>
    <w:r w:rsidRPr="00651945">
      <w:rPr>
        <w:rFonts w:ascii="Arial" w:hAnsi="Arial"/>
        <w:b/>
        <w:sz w:val="24"/>
        <w:szCs w:val="24"/>
      </w:rPr>
      <w:t xml:space="preserve">A. </w:t>
    </w:r>
    <w:r w:rsidR="00C06F58" w:rsidRPr="00651945">
      <w:rPr>
        <w:rFonts w:ascii="Arial" w:hAnsi="Arial"/>
        <w:b/>
        <w:sz w:val="24"/>
        <w:szCs w:val="24"/>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02E87"/>
    <w:multiLevelType w:val="hybridMultilevel"/>
    <w:tmpl w:val="99B0A2E2"/>
    <w:lvl w:ilvl="0" w:tplc="FFFFFFFF">
      <w:start w:val="1"/>
      <w:numFmt w:val="lowerLetter"/>
      <w:lvlText w:val="(%1)"/>
      <w:lvlJc w:val="left"/>
      <w:pPr>
        <w:ind w:left="786" w:hanging="360"/>
      </w:pPr>
      <w:rPr>
        <w:rFonts w:hint="default"/>
        <w:i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 w15:restartNumberingAfterBreak="0">
    <w:nsid w:val="132A5694"/>
    <w:multiLevelType w:val="multilevel"/>
    <w:tmpl w:val="60228D44"/>
    <w:lvl w:ilvl="0">
      <w:start w:val="13"/>
      <w:numFmt w:val="decimal"/>
      <w:lvlText w:val="%1."/>
      <w:lvlJc w:val="left"/>
      <w:pPr>
        <w:tabs>
          <w:tab w:val="num" w:pos="420"/>
        </w:tabs>
        <w:ind w:left="420" w:hanging="420"/>
      </w:pPr>
      <w:rPr>
        <w:rFonts w:ascii="Times New Roman" w:hAnsi="Times New Roman" w:cs="Times New Roman" w:hint="default"/>
        <w:b/>
      </w:rPr>
    </w:lvl>
    <w:lvl w:ilvl="1">
      <w:start w:val="1"/>
      <w:numFmt w:val="bullet"/>
      <w:lvlText w:val=""/>
      <w:lvlJc w:val="left"/>
      <w:pPr>
        <w:tabs>
          <w:tab w:val="num" w:pos="1440"/>
        </w:tabs>
        <w:ind w:left="1440" w:hanging="360"/>
      </w:pPr>
      <w:rPr>
        <w:rFonts w:ascii="Wingdings" w:hAnsi="Wingdings" w:hint="default"/>
        <w:b/>
        <w:color w:val="auto"/>
        <w:sz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3" w15:restartNumberingAfterBreak="0">
    <w:nsid w:val="1C297D74"/>
    <w:multiLevelType w:val="hybridMultilevel"/>
    <w:tmpl w:val="3FE49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24780A"/>
    <w:multiLevelType w:val="hybridMultilevel"/>
    <w:tmpl w:val="E8BCF4BC"/>
    <w:lvl w:ilvl="0" w:tplc="0809000B">
      <w:start w:val="1"/>
      <w:numFmt w:val="bullet"/>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647"/>
        </w:tabs>
        <w:ind w:left="1647" w:hanging="360"/>
      </w:pPr>
      <w:rPr>
        <w:rFonts w:ascii="Courier New" w:hAnsi="Courier New" w:cs="Courier New" w:hint="default"/>
      </w:rPr>
    </w:lvl>
    <w:lvl w:ilvl="2" w:tplc="08090005" w:tentative="1">
      <w:start w:val="1"/>
      <w:numFmt w:val="bullet"/>
      <w:lvlText w:val=""/>
      <w:lvlJc w:val="left"/>
      <w:pPr>
        <w:tabs>
          <w:tab w:val="num" w:pos="2367"/>
        </w:tabs>
        <w:ind w:left="2367" w:hanging="360"/>
      </w:pPr>
      <w:rPr>
        <w:rFonts w:ascii="Wingdings" w:hAnsi="Wingdings" w:hint="default"/>
      </w:rPr>
    </w:lvl>
    <w:lvl w:ilvl="3" w:tplc="08090001" w:tentative="1">
      <w:start w:val="1"/>
      <w:numFmt w:val="bullet"/>
      <w:lvlText w:val=""/>
      <w:lvlJc w:val="left"/>
      <w:pPr>
        <w:tabs>
          <w:tab w:val="num" w:pos="3087"/>
        </w:tabs>
        <w:ind w:left="3087" w:hanging="360"/>
      </w:pPr>
      <w:rPr>
        <w:rFonts w:ascii="Symbol" w:hAnsi="Symbol" w:hint="default"/>
      </w:rPr>
    </w:lvl>
    <w:lvl w:ilvl="4" w:tplc="08090003" w:tentative="1">
      <w:start w:val="1"/>
      <w:numFmt w:val="bullet"/>
      <w:lvlText w:val="o"/>
      <w:lvlJc w:val="left"/>
      <w:pPr>
        <w:tabs>
          <w:tab w:val="num" w:pos="3807"/>
        </w:tabs>
        <w:ind w:left="3807" w:hanging="360"/>
      </w:pPr>
      <w:rPr>
        <w:rFonts w:ascii="Courier New" w:hAnsi="Courier New" w:cs="Courier New" w:hint="default"/>
      </w:rPr>
    </w:lvl>
    <w:lvl w:ilvl="5" w:tplc="08090005" w:tentative="1">
      <w:start w:val="1"/>
      <w:numFmt w:val="bullet"/>
      <w:lvlText w:val=""/>
      <w:lvlJc w:val="left"/>
      <w:pPr>
        <w:tabs>
          <w:tab w:val="num" w:pos="4527"/>
        </w:tabs>
        <w:ind w:left="4527" w:hanging="360"/>
      </w:pPr>
      <w:rPr>
        <w:rFonts w:ascii="Wingdings" w:hAnsi="Wingdings" w:hint="default"/>
      </w:rPr>
    </w:lvl>
    <w:lvl w:ilvl="6" w:tplc="08090001" w:tentative="1">
      <w:start w:val="1"/>
      <w:numFmt w:val="bullet"/>
      <w:lvlText w:val=""/>
      <w:lvlJc w:val="left"/>
      <w:pPr>
        <w:tabs>
          <w:tab w:val="num" w:pos="5247"/>
        </w:tabs>
        <w:ind w:left="5247" w:hanging="360"/>
      </w:pPr>
      <w:rPr>
        <w:rFonts w:ascii="Symbol" w:hAnsi="Symbol" w:hint="default"/>
      </w:rPr>
    </w:lvl>
    <w:lvl w:ilvl="7" w:tplc="08090003" w:tentative="1">
      <w:start w:val="1"/>
      <w:numFmt w:val="bullet"/>
      <w:lvlText w:val="o"/>
      <w:lvlJc w:val="left"/>
      <w:pPr>
        <w:tabs>
          <w:tab w:val="num" w:pos="5967"/>
        </w:tabs>
        <w:ind w:left="5967" w:hanging="360"/>
      </w:pPr>
      <w:rPr>
        <w:rFonts w:ascii="Courier New" w:hAnsi="Courier New" w:cs="Courier New" w:hint="default"/>
      </w:rPr>
    </w:lvl>
    <w:lvl w:ilvl="8" w:tplc="080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283A0012"/>
    <w:multiLevelType w:val="hybridMultilevel"/>
    <w:tmpl w:val="57389B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7" w15:restartNumberingAfterBreak="0">
    <w:nsid w:val="2C946278"/>
    <w:multiLevelType w:val="hybridMultilevel"/>
    <w:tmpl w:val="99B0A2E2"/>
    <w:lvl w:ilvl="0" w:tplc="DAA47784">
      <w:start w:val="1"/>
      <w:numFmt w:val="lowerLetter"/>
      <w:lvlText w:val="(%1)"/>
      <w:lvlJc w:val="left"/>
      <w:pPr>
        <w:ind w:left="786" w:hanging="360"/>
      </w:pPr>
      <w:rPr>
        <w:rFonts w:hint="default"/>
        <w:i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34527DAB"/>
    <w:multiLevelType w:val="hybridMultilevel"/>
    <w:tmpl w:val="B8121FAE"/>
    <w:lvl w:ilvl="0" w:tplc="08090013">
      <w:start w:val="1"/>
      <w:numFmt w:val="upp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38572283"/>
    <w:multiLevelType w:val="hybridMultilevel"/>
    <w:tmpl w:val="4C467B72"/>
    <w:lvl w:ilvl="0" w:tplc="538C9B2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2" w15:restartNumberingAfterBreak="0">
    <w:nsid w:val="3B5A331B"/>
    <w:multiLevelType w:val="hybridMultilevel"/>
    <w:tmpl w:val="E0082A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E120957"/>
    <w:multiLevelType w:val="hybridMultilevel"/>
    <w:tmpl w:val="F97C9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442461"/>
    <w:multiLevelType w:val="hybridMultilevel"/>
    <w:tmpl w:val="8D9E5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2F1E6B"/>
    <w:multiLevelType w:val="hybridMultilevel"/>
    <w:tmpl w:val="5622E180"/>
    <w:lvl w:ilvl="0" w:tplc="0809000B">
      <w:start w:val="1"/>
      <w:numFmt w:val="bullet"/>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647"/>
        </w:tabs>
        <w:ind w:left="1647" w:hanging="360"/>
      </w:pPr>
      <w:rPr>
        <w:rFonts w:ascii="Courier New" w:hAnsi="Courier New" w:cs="Courier New" w:hint="default"/>
      </w:rPr>
    </w:lvl>
    <w:lvl w:ilvl="2" w:tplc="08090005" w:tentative="1">
      <w:start w:val="1"/>
      <w:numFmt w:val="bullet"/>
      <w:lvlText w:val=""/>
      <w:lvlJc w:val="left"/>
      <w:pPr>
        <w:tabs>
          <w:tab w:val="num" w:pos="2367"/>
        </w:tabs>
        <w:ind w:left="2367" w:hanging="360"/>
      </w:pPr>
      <w:rPr>
        <w:rFonts w:ascii="Wingdings" w:hAnsi="Wingdings" w:hint="default"/>
      </w:rPr>
    </w:lvl>
    <w:lvl w:ilvl="3" w:tplc="08090001" w:tentative="1">
      <w:start w:val="1"/>
      <w:numFmt w:val="bullet"/>
      <w:lvlText w:val=""/>
      <w:lvlJc w:val="left"/>
      <w:pPr>
        <w:tabs>
          <w:tab w:val="num" w:pos="3087"/>
        </w:tabs>
        <w:ind w:left="3087" w:hanging="360"/>
      </w:pPr>
      <w:rPr>
        <w:rFonts w:ascii="Symbol" w:hAnsi="Symbol" w:hint="default"/>
      </w:rPr>
    </w:lvl>
    <w:lvl w:ilvl="4" w:tplc="08090003" w:tentative="1">
      <w:start w:val="1"/>
      <w:numFmt w:val="bullet"/>
      <w:lvlText w:val="o"/>
      <w:lvlJc w:val="left"/>
      <w:pPr>
        <w:tabs>
          <w:tab w:val="num" w:pos="3807"/>
        </w:tabs>
        <w:ind w:left="3807" w:hanging="360"/>
      </w:pPr>
      <w:rPr>
        <w:rFonts w:ascii="Courier New" w:hAnsi="Courier New" w:cs="Courier New" w:hint="default"/>
      </w:rPr>
    </w:lvl>
    <w:lvl w:ilvl="5" w:tplc="08090005" w:tentative="1">
      <w:start w:val="1"/>
      <w:numFmt w:val="bullet"/>
      <w:lvlText w:val=""/>
      <w:lvlJc w:val="left"/>
      <w:pPr>
        <w:tabs>
          <w:tab w:val="num" w:pos="4527"/>
        </w:tabs>
        <w:ind w:left="4527" w:hanging="360"/>
      </w:pPr>
      <w:rPr>
        <w:rFonts w:ascii="Wingdings" w:hAnsi="Wingdings" w:hint="default"/>
      </w:rPr>
    </w:lvl>
    <w:lvl w:ilvl="6" w:tplc="08090001" w:tentative="1">
      <w:start w:val="1"/>
      <w:numFmt w:val="bullet"/>
      <w:lvlText w:val=""/>
      <w:lvlJc w:val="left"/>
      <w:pPr>
        <w:tabs>
          <w:tab w:val="num" w:pos="5247"/>
        </w:tabs>
        <w:ind w:left="5247" w:hanging="360"/>
      </w:pPr>
      <w:rPr>
        <w:rFonts w:ascii="Symbol" w:hAnsi="Symbol" w:hint="default"/>
      </w:rPr>
    </w:lvl>
    <w:lvl w:ilvl="7" w:tplc="08090003" w:tentative="1">
      <w:start w:val="1"/>
      <w:numFmt w:val="bullet"/>
      <w:lvlText w:val="o"/>
      <w:lvlJc w:val="left"/>
      <w:pPr>
        <w:tabs>
          <w:tab w:val="num" w:pos="5967"/>
        </w:tabs>
        <w:ind w:left="5967" w:hanging="360"/>
      </w:pPr>
      <w:rPr>
        <w:rFonts w:ascii="Courier New" w:hAnsi="Courier New" w:cs="Courier New" w:hint="default"/>
      </w:rPr>
    </w:lvl>
    <w:lvl w:ilvl="8" w:tplc="08090005" w:tentative="1">
      <w:start w:val="1"/>
      <w:numFmt w:val="bullet"/>
      <w:lvlText w:val=""/>
      <w:lvlJc w:val="left"/>
      <w:pPr>
        <w:tabs>
          <w:tab w:val="num" w:pos="6687"/>
        </w:tabs>
        <w:ind w:left="6687" w:hanging="360"/>
      </w:pPr>
      <w:rPr>
        <w:rFonts w:ascii="Wingdings" w:hAnsi="Wingdings" w:hint="default"/>
      </w:rPr>
    </w:lvl>
  </w:abstractNum>
  <w:abstractNum w:abstractNumId="16"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17" w15:restartNumberingAfterBreak="0">
    <w:nsid w:val="541750B6"/>
    <w:multiLevelType w:val="hybridMultilevel"/>
    <w:tmpl w:val="13C4CA9C"/>
    <w:lvl w:ilvl="0" w:tplc="0809000B">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A181720"/>
    <w:multiLevelType w:val="hybridMultilevel"/>
    <w:tmpl w:val="3CB42E02"/>
    <w:lvl w:ilvl="0" w:tplc="43C09B6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EB221F4"/>
    <w:multiLevelType w:val="hybridMultilevel"/>
    <w:tmpl w:val="98DCBDD2"/>
    <w:lvl w:ilvl="0" w:tplc="04090007">
      <w:start w:val="1"/>
      <w:numFmt w:val="bullet"/>
      <w:lvlText w:val=""/>
      <w:lvlJc w:val="left"/>
      <w:pPr>
        <w:ind w:left="720" w:hanging="360"/>
      </w:pPr>
      <w:rPr>
        <w:rFonts w:ascii="Wingdings" w:hAnsi="Wingdings"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620E07E6"/>
    <w:multiLevelType w:val="singleLevel"/>
    <w:tmpl w:val="5B30D490"/>
    <w:lvl w:ilvl="0">
      <w:start w:val="1"/>
      <w:numFmt w:val="lowerLetter"/>
      <w:lvlText w:val="%1)"/>
      <w:lvlJc w:val="left"/>
      <w:pPr>
        <w:tabs>
          <w:tab w:val="num" w:pos="861"/>
        </w:tabs>
        <w:ind w:left="861" w:hanging="435"/>
      </w:pPr>
    </w:lvl>
  </w:abstractNum>
  <w:abstractNum w:abstractNumId="23" w15:restartNumberingAfterBreak="0">
    <w:nsid w:val="69216D6C"/>
    <w:multiLevelType w:val="multilevel"/>
    <w:tmpl w:val="566856E6"/>
    <w:lvl w:ilvl="0">
      <w:start w:val="1"/>
      <w:numFmt w:val="decimal"/>
      <w:lvlText w:val="%1."/>
      <w:lvlJc w:val="left"/>
      <w:pPr>
        <w:tabs>
          <w:tab w:val="num" w:pos="420"/>
        </w:tabs>
        <w:ind w:left="420" w:hanging="420"/>
      </w:pPr>
      <w:rPr>
        <w:rFonts w:ascii="Times New Roman" w:hAnsi="Times New Roman" w:cs="Times New Roman" w:hint="default"/>
        <w:b/>
      </w:rPr>
    </w:lvl>
    <w:lvl w:ilvl="1">
      <w:start w:val="1"/>
      <w:numFmt w:val="bullet"/>
      <w:lvlText w:val=""/>
      <w:lvlJc w:val="left"/>
      <w:pPr>
        <w:tabs>
          <w:tab w:val="num" w:pos="1440"/>
        </w:tabs>
        <w:ind w:left="1440" w:hanging="360"/>
      </w:pPr>
      <w:rPr>
        <w:rFonts w:ascii="Wingdings" w:hAnsi="Wingdings" w:hint="default"/>
        <w:b/>
        <w:color w:val="auto"/>
        <w:sz w:val="2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num w:numId="1">
    <w:abstractNumId w:val="2"/>
  </w:num>
  <w:num w:numId="2">
    <w:abstractNumId w:val="11"/>
  </w:num>
  <w:num w:numId="3">
    <w:abstractNumId w:val="16"/>
  </w:num>
  <w:num w:numId="4">
    <w:abstractNumId w:val="23"/>
  </w:num>
  <w:num w:numId="5">
    <w:abstractNumId w:val="6"/>
  </w:num>
  <w:num w:numId="6">
    <w:abstractNumId w:val="19"/>
  </w:num>
  <w:num w:numId="7">
    <w:abstractNumId w:val="9"/>
  </w:num>
  <w:num w:numId="8">
    <w:abstractNumId w:val="21"/>
  </w:num>
  <w:num w:numId="9">
    <w:abstractNumId w:val="24"/>
  </w:num>
  <w:num w:numId="10">
    <w:abstractNumId w:val="10"/>
  </w:num>
  <w:num w:numId="11">
    <w:abstractNumId w:val="4"/>
  </w:num>
  <w:num w:numId="12">
    <w:abstractNumId w:val="15"/>
  </w:num>
  <w:num w:numId="13">
    <w:abstractNumId w:val="17"/>
  </w:num>
  <w:num w:numId="14">
    <w:abstractNumId w:val="7"/>
  </w:num>
  <w:num w:numId="15">
    <w:abstractNumId w:val="20"/>
  </w:num>
  <w:num w:numId="16">
    <w:abstractNumId w:val="5"/>
  </w:num>
  <w:num w:numId="17">
    <w:abstractNumId w:val="14"/>
  </w:num>
  <w:num w:numId="18">
    <w:abstractNumId w:val="8"/>
  </w:num>
  <w:num w:numId="19">
    <w:abstractNumId w:val="0"/>
  </w:num>
  <w:num w:numId="20">
    <w:abstractNumId w:val="18"/>
  </w:num>
  <w:num w:numId="21">
    <w:abstractNumId w:val="11"/>
    <w:lvlOverride w:ilvl="0">
      <w:startOverride w:val="1"/>
    </w:lvlOverride>
  </w:num>
  <w:num w:numId="22">
    <w:abstractNumId w:val="13"/>
  </w:num>
  <w:num w:numId="23">
    <w:abstractNumId w:val="22"/>
    <w:lvlOverride w:ilvl="0">
      <w:startOverride w:val="1"/>
    </w:lvlOverride>
  </w:num>
  <w:num w:numId="24">
    <w:abstractNumId w:val="12"/>
  </w:num>
  <w:num w:numId="25">
    <w:abstractNumId w:val="3"/>
  </w:num>
  <w:num w:numId="26">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6" w:nlCheck="1" w:checkStyle="0"/>
  <w:activeWritingStyle w:appName="MSWord" w:lang="fr-FR" w:vendorID="64" w:dllVersion="6" w:nlCheck="1" w:checkStyle="0"/>
  <w:activeWritingStyle w:appName="MSWord" w:lang="en-GB" w:vendorID="64" w:dllVersion="6" w:nlCheck="1" w:checkStyle="1"/>
  <w:activeWritingStyle w:appName="MSWord" w:lang="de-DE"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00A7F"/>
    <w:rsid w:val="00010683"/>
    <w:rsid w:val="00010DDE"/>
    <w:rsid w:val="00022F40"/>
    <w:rsid w:val="00024B22"/>
    <w:rsid w:val="00031E11"/>
    <w:rsid w:val="00034A24"/>
    <w:rsid w:val="0003558A"/>
    <w:rsid w:val="00036439"/>
    <w:rsid w:val="000408EB"/>
    <w:rsid w:val="0004095E"/>
    <w:rsid w:val="0004651B"/>
    <w:rsid w:val="00051CA8"/>
    <w:rsid w:val="00051FF9"/>
    <w:rsid w:val="00053FC9"/>
    <w:rsid w:val="00055B26"/>
    <w:rsid w:val="00055F5D"/>
    <w:rsid w:val="00060066"/>
    <w:rsid w:val="00061CFC"/>
    <w:rsid w:val="000648BB"/>
    <w:rsid w:val="00067614"/>
    <w:rsid w:val="000701ED"/>
    <w:rsid w:val="000731CD"/>
    <w:rsid w:val="00075473"/>
    <w:rsid w:val="00075B31"/>
    <w:rsid w:val="00076624"/>
    <w:rsid w:val="000801ED"/>
    <w:rsid w:val="00081CAF"/>
    <w:rsid w:val="00083BFC"/>
    <w:rsid w:val="000865EC"/>
    <w:rsid w:val="000913E8"/>
    <w:rsid w:val="00093062"/>
    <w:rsid w:val="0009366A"/>
    <w:rsid w:val="00095404"/>
    <w:rsid w:val="000971DD"/>
    <w:rsid w:val="00097587"/>
    <w:rsid w:val="000A14E6"/>
    <w:rsid w:val="000A66D8"/>
    <w:rsid w:val="000A70E2"/>
    <w:rsid w:val="000B0244"/>
    <w:rsid w:val="000B182D"/>
    <w:rsid w:val="000B74BD"/>
    <w:rsid w:val="000B7876"/>
    <w:rsid w:val="000B7A5C"/>
    <w:rsid w:val="000B7DBB"/>
    <w:rsid w:val="000C00A7"/>
    <w:rsid w:val="000C74D7"/>
    <w:rsid w:val="000D20D5"/>
    <w:rsid w:val="000D32F5"/>
    <w:rsid w:val="000D7C22"/>
    <w:rsid w:val="000E1546"/>
    <w:rsid w:val="000E37BE"/>
    <w:rsid w:val="000E38EE"/>
    <w:rsid w:val="000E6A9C"/>
    <w:rsid w:val="000E6CEA"/>
    <w:rsid w:val="000F0801"/>
    <w:rsid w:val="000F6EA8"/>
    <w:rsid w:val="000F7D6F"/>
    <w:rsid w:val="00101459"/>
    <w:rsid w:val="001028B9"/>
    <w:rsid w:val="00105636"/>
    <w:rsid w:val="00116389"/>
    <w:rsid w:val="00123E2C"/>
    <w:rsid w:val="001245A3"/>
    <w:rsid w:val="00132C2D"/>
    <w:rsid w:val="00134836"/>
    <w:rsid w:val="00135920"/>
    <w:rsid w:val="0014014F"/>
    <w:rsid w:val="001406E2"/>
    <w:rsid w:val="001410EB"/>
    <w:rsid w:val="0014592D"/>
    <w:rsid w:val="00146DAB"/>
    <w:rsid w:val="00147EE1"/>
    <w:rsid w:val="00150E7F"/>
    <w:rsid w:val="001546D1"/>
    <w:rsid w:val="0016437B"/>
    <w:rsid w:val="001671BA"/>
    <w:rsid w:val="00172400"/>
    <w:rsid w:val="00172924"/>
    <w:rsid w:val="0017343C"/>
    <w:rsid w:val="001755B0"/>
    <w:rsid w:val="001760C8"/>
    <w:rsid w:val="00184886"/>
    <w:rsid w:val="00186BC1"/>
    <w:rsid w:val="001905E9"/>
    <w:rsid w:val="001917FA"/>
    <w:rsid w:val="00191BAF"/>
    <w:rsid w:val="001923A0"/>
    <w:rsid w:val="001926A3"/>
    <w:rsid w:val="0019326F"/>
    <w:rsid w:val="00195F98"/>
    <w:rsid w:val="001A4308"/>
    <w:rsid w:val="001A744F"/>
    <w:rsid w:val="001B0041"/>
    <w:rsid w:val="001B53C3"/>
    <w:rsid w:val="001B53F1"/>
    <w:rsid w:val="001B5997"/>
    <w:rsid w:val="001B6A78"/>
    <w:rsid w:val="001C0F8D"/>
    <w:rsid w:val="001D2FDF"/>
    <w:rsid w:val="001D4B42"/>
    <w:rsid w:val="001D4F4C"/>
    <w:rsid w:val="001E201E"/>
    <w:rsid w:val="001E4FA5"/>
    <w:rsid w:val="001E6276"/>
    <w:rsid w:val="001E7B84"/>
    <w:rsid w:val="001F24DF"/>
    <w:rsid w:val="001F35CC"/>
    <w:rsid w:val="001F519B"/>
    <w:rsid w:val="002158DE"/>
    <w:rsid w:val="002161BC"/>
    <w:rsid w:val="00216E18"/>
    <w:rsid w:val="0022283C"/>
    <w:rsid w:val="00223C90"/>
    <w:rsid w:val="00224600"/>
    <w:rsid w:val="00225917"/>
    <w:rsid w:val="00227A6E"/>
    <w:rsid w:val="00230A4D"/>
    <w:rsid w:val="00234FF4"/>
    <w:rsid w:val="00235658"/>
    <w:rsid w:val="00237B1E"/>
    <w:rsid w:val="00240B68"/>
    <w:rsid w:val="00243B71"/>
    <w:rsid w:val="00245C38"/>
    <w:rsid w:val="00250A0B"/>
    <w:rsid w:val="002514B8"/>
    <w:rsid w:val="002533BD"/>
    <w:rsid w:val="0025654F"/>
    <w:rsid w:val="00267A6D"/>
    <w:rsid w:val="00275E7D"/>
    <w:rsid w:val="00276EDD"/>
    <w:rsid w:val="00280DDC"/>
    <w:rsid w:val="00280F18"/>
    <w:rsid w:val="00282621"/>
    <w:rsid w:val="00284DA4"/>
    <w:rsid w:val="00290ACC"/>
    <w:rsid w:val="00294800"/>
    <w:rsid w:val="00295238"/>
    <w:rsid w:val="002A1E7B"/>
    <w:rsid w:val="002A4F88"/>
    <w:rsid w:val="002A6ACB"/>
    <w:rsid w:val="002A74D8"/>
    <w:rsid w:val="002B0E84"/>
    <w:rsid w:val="002B75E8"/>
    <w:rsid w:val="002C0261"/>
    <w:rsid w:val="002C08F6"/>
    <w:rsid w:val="002C09B4"/>
    <w:rsid w:val="002C2963"/>
    <w:rsid w:val="002C2C36"/>
    <w:rsid w:val="002C61C4"/>
    <w:rsid w:val="002D1FA8"/>
    <w:rsid w:val="002D45FA"/>
    <w:rsid w:val="002D48E3"/>
    <w:rsid w:val="002D7371"/>
    <w:rsid w:val="002D7C3C"/>
    <w:rsid w:val="002E106B"/>
    <w:rsid w:val="002E5E38"/>
    <w:rsid w:val="002E5FA5"/>
    <w:rsid w:val="002F270C"/>
    <w:rsid w:val="002F4BAC"/>
    <w:rsid w:val="002F6273"/>
    <w:rsid w:val="00300C44"/>
    <w:rsid w:val="003121C6"/>
    <w:rsid w:val="00312E57"/>
    <w:rsid w:val="0031458E"/>
    <w:rsid w:val="00314BB2"/>
    <w:rsid w:val="0031538D"/>
    <w:rsid w:val="003160C5"/>
    <w:rsid w:val="0032278D"/>
    <w:rsid w:val="00323286"/>
    <w:rsid w:val="00324ED6"/>
    <w:rsid w:val="003276B2"/>
    <w:rsid w:val="003352E7"/>
    <w:rsid w:val="00337A67"/>
    <w:rsid w:val="003406B1"/>
    <w:rsid w:val="003436FE"/>
    <w:rsid w:val="003560DB"/>
    <w:rsid w:val="00360FEF"/>
    <w:rsid w:val="00364621"/>
    <w:rsid w:val="003657B3"/>
    <w:rsid w:val="00365D24"/>
    <w:rsid w:val="00367D4E"/>
    <w:rsid w:val="00370D47"/>
    <w:rsid w:val="003711CF"/>
    <w:rsid w:val="0037228A"/>
    <w:rsid w:val="00372714"/>
    <w:rsid w:val="00377C19"/>
    <w:rsid w:val="00377FED"/>
    <w:rsid w:val="00383F09"/>
    <w:rsid w:val="003868AD"/>
    <w:rsid w:val="0039067E"/>
    <w:rsid w:val="0039124A"/>
    <w:rsid w:val="00391DD3"/>
    <w:rsid w:val="00391E31"/>
    <w:rsid w:val="003924DF"/>
    <w:rsid w:val="00394C45"/>
    <w:rsid w:val="003954CF"/>
    <w:rsid w:val="00396D4A"/>
    <w:rsid w:val="003A168B"/>
    <w:rsid w:val="003A50AD"/>
    <w:rsid w:val="003A511B"/>
    <w:rsid w:val="003A765F"/>
    <w:rsid w:val="003B1395"/>
    <w:rsid w:val="003B6196"/>
    <w:rsid w:val="003D4D4A"/>
    <w:rsid w:val="003D50C4"/>
    <w:rsid w:val="003D6924"/>
    <w:rsid w:val="003D6B24"/>
    <w:rsid w:val="003D7E28"/>
    <w:rsid w:val="003E14EE"/>
    <w:rsid w:val="003E1798"/>
    <w:rsid w:val="003E32E7"/>
    <w:rsid w:val="003F11CA"/>
    <w:rsid w:val="003F1970"/>
    <w:rsid w:val="003F1E68"/>
    <w:rsid w:val="003F2B7D"/>
    <w:rsid w:val="00403BC2"/>
    <w:rsid w:val="0041115B"/>
    <w:rsid w:val="0041609B"/>
    <w:rsid w:val="004174D2"/>
    <w:rsid w:val="00421351"/>
    <w:rsid w:val="004244BD"/>
    <w:rsid w:val="004267DB"/>
    <w:rsid w:val="00430CD6"/>
    <w:rsid w:val="00442410"/>
    <w:rsid w:val="0044291E"/>
    <w:rsid w:val="00443293"/>
    <w:rsid w:val="00450845"/>
    <w:rsid w:val="00453C8A"/>
    <w:rsid w:val="004578FD"/>
    <w:rsid w:val="00461340"/>
    <w:rsid w:val="004619F0"/>
    <w:rsid w:val="00462D3B"/>
    <w:rsid w:val="00463A51"/>
    <w:rsid w:val="004723F7"/>
    <w:rsid w:val="004726F6"/>
    <w:rsid w:val="004731A8"/>
    <w:rsid w:val="004759E5"/>
    <w:rsid w:val="00475BCE"/>
    <w:rsid w:val="00477D98"/>
    <w:rsid w:val="00484B93"/>
    <w:rsid w:val="00485CCC"/>
    <w:rsid w:val="0048664A"/>
    <w:rsid w:val="00487714"/>
    <w:rsid w:val="00491BED"/>
    <w:rsid w:val="00493EA8"/>
    <w:rsid w:val="00495144"/>
    <w:rsid w:val="00496719"/>
    <w:rsid w:val="00497FEF"/>
    <w:rsid w:val="004A2F57"/>
    <w:rsid w:val="004A49CE"/>
    <w:rsid w:val="004A7321"/>
    <w:rsid w:val="004A759B"/>
    <w:rsid w:val="004A7F20"/>
    <w:rsid w:val="004B14E8"/>
    <w:rsid w:val="004B311D"/>
    <w:rsid w:val="004B5AF0"/>
    <w:rsid w:val="004C2E96"/>
    <w:rsid w:val="004D0CA1"/>
    <w:rsid w:val="004D2399"/>
    <w:rsid w:val="004D3523"/>
    <w:rsid w:val="004D7548"/>
    <w:rsid w:val="004F01FB"/>
    <w:rsid w:val="005001F3"/>
    <w:rsid w:val="0050060E"/>
    <w:rsid w:val="0050118C"/>
    <w:rsid w:val="00505024"/>
    <w:rsid w:val="00505EA4"/>
    <w:rsid w:val="00507BF1"/>
    <w:rsid w:val="00510AEF"/>
    <w:rsid w:val="00510FFF"/>
    <w:rsid w:val="005122F6"/>
    <w:rsid w:val="005125E1"/>
    <w:rsid w:val="00513581"/>
    <w:rsid w:val="00517439"/>
    <w:rsid w:val="005219CB"/>
    <w:rsid w:val="00526993"/>
    <w:rsid w:val="005275DC"/>
    <w:rsid w:val="00536085"/>
    <w:rsid w:val="005367BC"/>
    <w:rsid w:val="00536D66"/>
    <w:rsid w:val="00546BE7"/>
    <w:rsid w:val="00547D23"/>
    <w:rsid w:val="005510F3"/>
    <w:rsid w:val="005512A6"/>
    <w:rsid w:val="005536DA"/>
    <w:rsid w:val="00555635"/>
    <w:rsid w:val="0056210A"/>
    <w:rsid w:val="0056414B"/>
    <w:rsid w:val="005653B8"/>
    <w:rsid w:val="00565520"/>
    <w:rsid w:val="00570E73"/>
    <w:rsid w:val="005733E1"/>
    <w:rsid w:val="00574AC4"/>
    <w:rsid w:val="00574B38"/>
    <w:rsid w:val="00574C51"/>
    <w:rsid w:val="00574DD1"/>
    <w:rsid w:val="005754FB"/>
    <w:rsid w:val="005759DB"/>
    <w:rsid w:val="00581B72"/>
    <w:rsid w:val="00590369"/>
    <w:rsid w:val="00594441"/>
    <w:rsid w:val="00596745"/>
    <w:rsid w:val="005A128E"/>
    <w:rsid w:val="005A2B00"/>
    <w:rsid w:val="005A2BA5"/>
    <w:rsid w:val="005A3119"/>
    <w:rsid w:val="005B1CFE"/>
    <w:rsid w:val="005B2947"/>
    <w:rsid w:val="005C1EAD"/>
    <w:rsid w:val="005C3926"/>
    <w:rsid w:val="005C44AA"/>
    <w:rsid w:val="005C4624"/>
    <w:rsid w:val="005D03C4"/>
    <w:rsid w:val="005D05DC"/>
    <w:rsid w:val="005D17B7"/>
    <w:rsid w:val="005D2822"/>
    <w:rsid w:val="005D33D8"/>
    <w:rsid w:val="005D5638"/>
    <w:rsid w:val="005E46C4"/>
    <w:rsid w:val="005E6067"/>
    <w:rsid w:val="005F42E1"/>
    <w:rsid w:val="005F42F9"/>
    <w:rsid w:val="005F5676"/>
    <w:rsid w:val="0060734F"/>
    <w:rsid w:val="00607779"/>
    <w:rsid w:val="00607822"/>
    <w:rsid w:val="006118FF"/>
    <w:rsid w:val="00617691"/>
    <w:rsid w:val="00617AC8"/>
    <w:rsid w:val="00617ECD"/>
    <w:rsid w:val="006222DF"/>
    <w:rsid w:val="00622B86"/>
    <w:rsid w:val="006276E8"/>
    <w:rsid w:val="00632106"/>
    <w:rsid w:val="00632671"/>
    <w:rsid w:val="006332A3"/>
    <w:rsid w:val="0063462A"/>
    <w:rsid w:val="006365A9"/>
    <w:rsid w:val="00641C5E"/>
    <w:rsid w:val="006453CA"/>
    <w:rsid w:val="00651945"/>
    <w:rsid w:val="00651CF6"/>
    <w:rsid w:val="006526C8"/>
    <w:rsid w:val="006538E5"/>
    <w:rsid w:val="00657B6B"/>
    <w:rsid w:val="006654D6"/>
    <w:rsid w:val="00670EEA"/>
    <w:rsid w:val="00671B3D"/>
    <w:rsid w:val="00672C11"/>
    <w:rsid w:val="00676FD1"/>
    <w:rsid w:val="0067711F"/>
    <w:rsid w:val="006778E2"/>
    <w:rsid w:val="00681768"/>
    <w:rsid w:val="006902CF"/>
    <w:rsid w:val="0069356A"/>
    <w:rsid w:val="006940E6"/>
    <w:rsid w:val="00694974"/>
    <w:rsid w:val="00694AA0"/>
    <w:rsid w:val="00694C56"/>
    <w:rsid w:val="006960D2"/>
    <w:rsid w:val="00697DB0"/>
    <w:rsid w:val="006A1730"/>
    <w:rsid w:val="006A1857"/>
    <w:rsid w:val="006A2823"/>
    <w:rsid w:val="006A2849"/>
    <w:rsid w:val="006A3096"/>
    <w:rsid w:val="006A60D3"/>
    <w:rsid w:val="006B1C98"/>
    <w:rsid w:val="006B5D81"/>
    <w:rsid w:val="006C13E7"/>
    <w:rsid w:val="006C2E92"/>
    <w:rsid w:val="006D3532"/>
    <w:rsid w:val="006D36BE"/>
    <w:rsid w:val="006D5015"/>
    <w:rsid w:val="006D712B"/>
    <w:rsid w:val="006E1FF7"/>
    <w:rsid w:val="006E68AC"/>
    <w:rsid w:val="006E7263"/>
    <w:rsid w:val="006F25A2"/>
    <w:rsid w:val="006F2C34"/>
    <w:rsid w:val="006F2E45"/>
    <w:rsid w:val="006F4960"/>
    <w:rsid w:val="006F5D6C"/>
    <w:rsid w:val="00701203"/>
    <w:rsid w:val="007047C4"/>
    <w:rsid w:val="00710D87"/>
    <w:rsid w:val="00711DC2"/>
    <w:rsid w:val="007207F4"/>
    <w:rsid w:val="00720E0A"/>
    <w:rsid w:val="007216D0"/>
    <w:rsid w:val="00723171"/>
    <w:rsid w:val="00723AE9"/>
    <w:rsid w:val="007253F2"/>
    <w:rsid w:val="00725B9D"/>
    <w:rsid w:val="00725D20"/>
    <w:rsid w:val="0072787A"/>
    <w:rsid w:val="00730D52"/>
    <w:rsid w:val="007320C8"/>
    <w:rsid w:val="00732F51"/>
    <w:rsid w:val="0074231C"/>
    <w:rsid w:val="00744166"/>
    <w:rsid w:val="00744591"/>
    <w:rsid w:val="007458C3"/>
    <w:rsid w:val="007511A0"/>
    <w:rsid w:val="007558BE"/>
    <w:rsid w:val="00756886"/>
    <w:rsid w:val="00756C91"/>
    <w:rsid w:val="00760D3F"/>
    <w:rsid w:val="007614D8"/>
    <w:rsid w:val="00763C86"/>
    <w:rsid w:val="00763DF1"/>
    <w:rsid w:val="00764914"/>
    <w:rsid w:val="00766DE3"/>
    <w:rsid w:val="0077724A"/>
    <w:rsid w:val="007779EC"/>
    <w:rsid w:val="00780E40"/>
    <w:rsid w:val="007828CC"/>
    <w:rsid w:val="0078306D"/>
    <w:rsid w:val="0078774A"/>
    <w:rsid w:val="0079342B"/>
    <w:rsid w:val="007A0123"/>
    <w:rsid w:val="007A3DEB"/>
    <w:rsid w:val="007A6BE3"/>
    <w:rsid w:val="007B045A"/>
    <w:rsid w:val="007B1AA2"/>
    <w:rsid w:val="007C0F8D"/>
    <w:rsid w:val="007C216D"/>
    <w:rsid w:val="007C444A"/>
    <w:rsid w:val="007D1C20"/>
    <w:rsid w:val="007D3002"/>
    <w:rsid w:val="007D38E1"/>
    <w:rsid w:val="007D4764"/>
    <w:rsid w:val="007D49C6"/>
    <w:rsid w:val="007D506D"/>
    <w:rsid w:val="007D5FE8"/>
    <w:rsid w:val="007D7DE2"/>
    <w:rsid w:val="007E08A1"/>
    <w:rsid w:val="007E0DA9"/>
    <w:rsid w:val="007E1D16"/>
    <w:rsid w:val="007E2102"/>
    <w:rsid w:val="007E34CA"/>
    <w:rsid w:val="007E38BC"/>
    <w:rsid w:val="007E3AC1"/>
    <w:rsid w:val="007E5CFB"/>
    <w:rsid w:val="007E7D2E"/>
    <w:rsid w:val="007F00A0"/>
    <w:rsid w:val="007F0696"/>
    <w:rsid w:val="007F431F"/>
    <w:rsid w:val="007F760C"/>
    <w:rsid w:val="008010E4"/>
    <w:rsid w:val="00802974"/>
    <w:rsid w:val="00802CB8"/>
    <w:rsid w:val="00803D92"/>
    <w:rsid w:val="008115E0"/>
    <w:rsid w:val="008117B8"/>
    <w:rsid w:val="00815227"/>
    <w:rsid w:val="0081689E"/>
    <w:rsid w:val="00820FCE"/>
    <w:rsid w:val="0082147C"/>
    <w:rsid w:val="008222F7"/>
    <w:rsid w:val="00825540"/>
    <w:rsid w:val="008317A0"/>
    <w:rsid w:val="0083186F"/>
    <w:rsid w:val="008338FE"/>
    <w:rsid w:val="00833A1C"/>
    <w:rsid w:val="00835682"/>
    <w:rsid w:val="00836590"/>
    <w:rsid w:val="00840772"/>
    <w:rsid w:val="00840F1E"/>
    <w:rsid w:val="0084208E"/>
    <w:rsid w:val="008453B8"/>
    <w:rsid w:val="008458BF"/>
    <w:rsid w:val="00845B24"/>
    <w:rsid w:val="00846255"/>
    <w:rsid w:val="00846AD9"/>
    <w:rsid w:val="0084730F"/>
    <w:rsid w:val="00847A8C"/>
    <w:rsid w:val="00850838"/>
    <w:rsid w:val="00851503"/>
    <w:rsid w:val="00852D3B"/>
    <w:rsid w:val="008531BA"/>
    <w:rsid w:val="00854F6B"/>
    <w:rsid w:val="00855F72"/>
    <w:rsid w:val="00856EDD"/>
    <w:rsid w:val="00857522"/>
    <w:rsid w:val="00860ACA"/>
    <w:rsid w:val="00861D68"/>
    <w:rsid w:val="00862EA2"/>
    <w:rsid w:val="00865582"/>
    <w:rsid w:val="008706D3"/>
    <w:rsid w:val="008716ED"/>
    <w:rsid w:val="00871BF5"/>
    <w:rsid w:val="00885BEA"/>
    <w:rsid w:val="00887DB2"/>
    <w:rsid w:val="008915D2"/>
    <w:rsid w:val="00897556"/>
    <w:rsid w:val="008A2CCE"/>
    <w:rsid w:val="008A2D1A"/>
    <w:rsid w:val="008A70DB"/>
    <w:rsid w:val="008B4E58"/>
    <w:rsid w:val="008B590C"/>
    <w:rsid w:val="008B5AA5"/>
    <w:rsid w:val="008B7461"/>
    <w:rsid w:val="008D4185"/>
    <w:rsid w:val="008E3D3F"/>
    <w:rsid w:val="008E5F98"/>
    <w:rsid w:val="008E69A8"/>
    <w:rsid w:val="008E708B"/>
    <w:rsid w:val="008E7495"/>
    <w:rsid w:val="008F153D"/>
    <w:rsid w:val="008F32CF"/>
    <w:rsid w:val="008F387E"/>
    <w:rsid w:val="008F50EE"/>
    <w:rsid w:val="008F54D0"/>
    <w:rsid w:val="00902DD5"/>
    <w:rsid w:val="0090313A"/>
    <w:rsid w:val="009063CE"/>
    <w:rsid w:val="009076B4"/>
    <w:rsid w:val="00912CE7"/>
    <w:rsid w:val="0091556A"/>
    <w:rsid w:val="00915BA7"/>
    <w:rsid w:val="00917284"/>
    <w:rsid w:val="009276D6"/>
    <w:rsid w:val="009318E6"/>
    <w:rsid w:val="00931905"/>
    <w:rsid w:val="00933858"/>
    <w:rsid w:val="00934ADA"/>
    <w:rsid w:val="00936740"/>
    <w:rsid w:val="00937074"/>
    <w:rsid w:val="009411F0"/>
    <w:rsid w:val="00941C8A"/>
    <w:rsid w:val="009436A4"/>
    <w:rsid w:val="00943B6B"/>
    <w:rsid w:val="00952198"/>
    <w:rsid w:val="009522D1"/>
    <w:rsid w:val="0095459D"/>
    <w:rsid w:val="00954B1C"/>
    <w:rsid w:val="00956F46"/>
    <w:rsid w:val="00957B6D"/>
    <w:rsid w:val="00960F2E"/>
    <w:rsid w:val="009613C5"/>
    <w:rsid w:val="009616B2"/>
    <w:rsid w:val="0096496E"/>
    <w:rsid w:val="00964BEA"/>
    <w:rsid w:val="00965617"/>
    <w:rsid w:val="009803C8"/>
    <w:rsid w:val="00982C44"/>
    <w:rsid w:val="00986390"/>
    <w:rsid w:val="00987220"/>
    <w:rsid w:val="009872BE"/>
    <w:rsid w:val="00987340"/>
    <w:rsid w:val="00987B51"/>
    <w:rsid w:val="009941A1"/>
    <w:rsid w:val="00995EB2"/>
    <w:rsid w:val="009A03D0"/>
    <w:rsid w:val="009A0B3D"/>
    <w:rsid w:val="009A1502"/>
    <w:rsid w:val="009A4662"/>
    <w:rsid w:val="009A4FC8"/>
    <w:rsid w:val="009B073E"/>
    <w:rsid w:val="009B07C4"/>
    <w:rsid w:val="009B316D"/>
    <w:rsid w:val="009B3203"/>
    <w:rsid w:val="009B3435"/>
    <w:rsid w:val="009B3B55"/>
    <w:rsid w:val="009B605A"/>
    <w:rsid w:val="009B6AE7"/>
    <w:rsid w:val="009C1A8C"/>
    <w:rsid w:val="009C3956"/>
    <w:rsid w:val="009C4B2D"/>
    <w:rsid w:val="009C50B5"/>
    <w:rsid w:val="009C7BD6"/>
    <w:rsid w:val="009D25DC"/>
    <w:rsid w:val="009D462B"/>
    <w:rsid w:val="009D7B35"/>
    <w:rsid w:val="009E1701"/>
    <w:rsid w:val="009E4E5F"/>
    <w:rsid w:val="009E627F"/>
    <w:rsid w:val="009E695D"/>
    <w:rsid w:val="009F3459"/>
    <w:rsid w:val="009F5DB4"/>
    <w:rsid w:val="009F6E3B"/>
    <w:rsid w:val="00A009D6"/>
    <w:rsid w:val="00A00C4C"/>
    <w:rsid w:val="00A01048"/>
    <w:rsid w:val="00A02FB1"/>
    <w:rsid w:val="00A05E70"/>
    <w:rsid w:val="00A060B5"/>
    <w:rsid w:val="00A07D0E"/>
    <w:rsid w:val="00A10022"/>
    <w:rsid w:val="00A118D6"/>
    <w:rsid w:val="00A138EA"/>
    <w:rsid w:val="00A1574E"/>
    <w:rsid w:val="00A2383E"/>
    <w:rsid w:val="00A240DB"/>
    <w:rsid w:val="00A25BF6"/>
    <w:rsid w:val="00A26095"/>
    <w:rsid w:val="00A26B63"/>
    <w:rsid w:val="00A26B90"/>
    <w:rsid w:val="00A26BA1"/>
    <w:rsid w:val="00A3109C"/>
    <w:rsid w:val="00A316CB"/>
    <w:rsid w:val="00A329B2"/>
    <w:rsid w:val="00A3421F"/>
    <w:rsid w:val="00A35991"/>
    <w:rsid w:val="00A35AC7"/>
    <w:rsid w:val="00A37ED9"/>
    <w:rsid w:val="00A40B36"/>
    <w:rsid w:val="00A42171"/>
    <w:rsid w:val="00A4376C"/>
    <w:rsid w:val="00A455C6"/>
    <w:rsid w:val="00A4695F"/>
    <w:rsid w:val="00A60093"/>
    <w:rsid w:val="00A63AA0"/>
    <w:rsid w:val="00A645AC"/>
    <w:rsid w:val="00A81096"/>
    <w:rsid w:val="00A85081"/>
    <w:rsid w:val="00A90D58"/>
    <w:rsid w:val="00A920EB"/>
    <w:rsid w:val="00A929C2"/>
    <w:rsid w:val="00A95F3C"/>
    <w:rsid w:val="00AA3043"/>
    <w:rsid w:val="00AA4023"/>
    <w:rsid w:val="00AA6620"/>
    <w:rsid w:val="00AB1C71"/>
    <w:rsid w:val="00AB2CB2"/>
    <w:rsid w:val="00AB5C71"/>
    <w:rsid w:val="00AB7549"/>
    <w:rsid w:val="00AC13FC"/>
    <w:rsid w:val="00AC3E5E"/>
    <w:rsid w:val="00AC4A12"/>
    <w:rsid w:val="00AC6198"/>
    <w:rsid w:val="00AD17C1"/>
    <w:rsid w:val="00AD5E36"/>
    <w:rsid w:val="00AD64B5"/>
    <w:rsid w:val="00AE36C6"/>
    <w:rsid w:val="00AE4247"/>
    <w:rsid w:val="00AF3CDD"/>
    <w:rsid w:val="00AF4D36"/>
    <w:rsid w:val="00AF58E9"/>
    <w:rsid w:val="00AF71EE"/>
    <w:rsid w:val="00B0097D"/>
    <w:rsid w:val="00B00AFB"/>
    <w:rsid w:val="00B036D3"/>
    <w:rsid w:val="00B064AC"/>
    <w:rsid w:val="00B124F1"/>
    <w:rsid w:val="00B12C98"/>
    <w:rsid w:val="00B14DC4"/>
    <w:rsid w:val="00B15D53"/>
    <w:rsid w:val="00B15E0B"/>
    <w:rsid w:val="00B164B3"/>
    <w:rsid w:val="00B165A4"/>
    <w:rsid w:val="00B20D04"/>
    <w:rsid w:val="00B22DD3"/>
    <w:rsid w:val="00B231DF"/>
    <w:rsid w:val="00B236F5"/>
    <w:rsid w:val="00B2432B"/>
    <w:rsid w:val="00B263FB"/>
    <w:rsid w:val="00B30B16"/>
    <w:rsid w:val="00B31376"/>
    <w:rsid w:val="00B37F77"/>
    <w:rsid w:val="00B42FCC"/>
    <w:rsid w:val="00B47FD3"/>
    <w:rsid w:val="00B534A5"/>
    <w:rsid w:val="00B5592A"/>
    <w:rsid w:val="00B56FF1"/>
    <w:rsid w:val="00B57716"/>
    <w:rsid w:val="00B62022"/>
    <w:rsid w:val="00B62100"/>
    <w:rsid w:val="00B673C5"/>
    <w:rsid w:val="00B71759"/>
    <w:rsid w:val="00B73E4A"/>
    <w:rsid w:val="00B74FE3"/>
    <w:rsid w:val="00B767D5"/>
    <w:rsid w:val="00B838ED"/>
    <w:rsid w:val="00B83EEC"/>
    <w:rsid w:val="00B860B0"/>
    <w:rsid w:val="00B86324"/>
    <w:rsid w:val="00B90089"/>
    <w:rsid w:val="00B922CD"/>
    <w:rsid w:val="00B92D4E"/>
    <w:rsid w:val="00B94F13"/>
    <w:rsid w:val="00B95704"/>
    <w:rsid w:val="00B962B5"/>
    <w:rsid w:val="00B96A64"/>
    <w:rsid w:val="00B9745C"/>
    <w:rsid w:val="00BA1097"/>
    <w:rsid w:val="00BA6D9B"/>
    <w:rsid w:val="00BB00D7"/>
    <w:rsid w:val="00BB36B4"/>
    <w:rsid w:val="00BB394A"/>
    <w:rsid w:val="00BB4CDB"/>
    <w:rsid w:val="00BB6C9D"/>
    <w:rsid w:val="00BB76ED"/>
    <w:rsid w:val="00BC1CF7"/>
    <w:rsid w:val="00BC20DF"/>
    <w:rsid w:val="00BC3297"/>
    <w:rsid w:val="00BC3E22"/>
    <w:rsid w:val="00BC3E7C"/>
    <w:rsid w:val="00BC7CE6"/>
    <w:rsid w:val="00BD15EF"/>
    <w:rsid w:val="00BD17EE"/>
    <w:rsid w:val="00BD2A62"/>
    <w:rsid w:val="00BD3F23"/>
    <w:rsid w:val="00BD549D"/>
    <w:rsid w:val="00BD58BC"/>
    <w:rsid w:val="00BD5B00"/>
    <w:rsid w:val="00BD7CAD"/>
    <w:rsid w:val="00BE0B16"/>
    <w:rsid w:val="00BE1117"/>
    <w:rsid w:val="00BE1C67"/>
    <w:rsid w:val="00BE3ACC"/>
    <w:rsid w:val="00BE535B"/>
    <w:rsid w:val="00BE62C2"/>
    <w:rsid w:val="00BE65E4"/>
    <w:rsid w:val="00BE6A46"/>
    <w:rsid w:val="00BE6E57"/>
    <w:rsid w:val="00BE7608"/>
    <w:rsid w:val="00BE7640"/>
    <w:rsid w:val="00BE7CAF"/>
    <w:rsid w:val="00BF01CC"/>
    <w:rsid w:val="00BF497E"/>
    <w:rsid w:val="00BF4B36"/>
    <w:rsid w:val="00C0103F"/>
    <w:rsid w:val="00C018BA"/>
    <w:rsid w:val="00C03394"/>
    <w:rsid w:val="00C06F58"/>
    <w:rsid w:val="00C10F51"/>
    <w:rsid w:val="00C111ED"/>
    <w:rsid w:val="00C1267B"/>
    <w:rsid w:val="00C1357A"/>
    <w:rsid w:val="00C21D95"/>
    <w:rsid w:val="00C227D7"/>
    <w:rsid w:val="00C2286C"/>
    <w:rsid w:val="00C22B7D"/>
    <w:rsid w:val="00C24784"/>
    <w:rsid w:val="00C26BD6"/>
    <w:rsid w:val="00C315AE"/>
    <w:rsid w:val="00C33302"/>
    <w:rsid w:val="00C33368"/>
    <w:rsid w:val="00C40708"/>
    <w:rsid w:val="00C42680"/>
    <w:rsid w:val="00C45FE5"/>
    <w:rsid w:val="00C523A8"/>
    <w:rsid w:val="00C52A5C"/>
    <w:rsid w:val="00C55903"/>
    <w:rsid w:val="00C57058"/>
    <w:rsid w:val="00C616C0"/>
    <w:rsid w:val="00C624C2"/>
    <w:rsid w:val="00C6273C"/>
    <w:rsid w:val="00C6608C"/>
    <w:rsid w:val="00C67C1E"/>
    <w:rsid w:val="00C76FC3"/>
    <w:rsid w:val="00C80BF7"/>
    <w:rsid w:val="00C82310"/>
    <w:rsid w:val="00C8498F"/>
    <w:rsid w:val="00C93A9A"/>
    <w:rsid w:val="00C94A8A"/>
    <w:rsid w:val="00C94CBF"/>
    <w:rsid w:val="00CA0D55"/>
    <w:rsid w:val="00CA1A31"/>
    <w:rsid w:val="00CA2145"/>
    <w:rsid w:val="00CA31B7"/>
    <w:rsid w:val="00CA466F"/>
    <w:rsid w:val="00CA670C"/>
    <w:rsid w:val="00CA7115"/>
    <w:rsid w:val="00CB1564"/>
    <w:rsid w:val="00CB1B55"/>
    <w:rsid w:val="00CB1BC5"/>
    <w:rsid w:val="00CB2949"/>
    <w:rsid w:val="00CB5402"/>
    <w:rsid w:val="00CB714C"/>
    <w:rsid w:val="00CC1925"/>
    <w:rsid w:val="00CC396F"/>
    <w:rsid w:val="00CC421E"/>
    <w:rsid w:val="00CC447D"/>
    <w:rsid w:val="00CE00FA"/>
    <w:rsid w:val="00CE0919"/>
    <w:rsid w:val="00CE1B2F"/>
    <w:rsid w:val="00CE3809"/>
    <w:rsid w:val="00CF029B"/>
    <w:rsid w:val="00CF36CE"/>
    <w:rsid w:val="00CF4F14"/>
    <w:rsid w:val="00D050A7"/>
    <w:rsid w:val="00D07BE1"/>
    <w:rsid w:val="00D114E4"/>
    <w:rsid w:val="00D20A3F"/>
    <w:rsid w:val="00D272F0"/>
    <w:rsid w:val="00D32C37"/>
    <w:rsid w:val="00D334DE"/>
    <w:rsid w:val="00D33A38"/>
    <w:rsid w:val="00D33E98"/>
    <w:rsid w:val="00D36578"/>
    <w:rsid w:val="00D402B7"/>
    <w:rsid w:val="00D4050F"/>
    <w:rsid w:val="00D40605"/>
    <w:rsid w:val="00D41760"/>
    <w:rsid w:val="00D41873"/>
    <w:rsid w:val="00D4435D"/>
    <w:rsid w:val="00D47524"/>
    <w:rsid w:val="00D475F9"/>
    <w:rsid w:val="00D47D8B"/>
    <w:rsid w:val="00D50F06"/>
    <w:rsid w:val="00D50F63"/>
    <w:rsid w:val="00D51224"/>
    <w:rsid w:val="00D54C6B"/>
    <w:rsid w:val="00D550F2"/>
    <w:rsid w:val="00D602BD"/>
    <w:rsid w:val="00D6369C"/>
    <w:rsid w:val="00D6597E"/>
    <w:rsid w:val="00D700AF"/>
    <w:rsid w:val="00D71B70"/>
    <w:rsid w:val="00D72D3E"/>
    <w:rsid w:val="00D75726"/>
    <w:rsid w:val="00D80AD6"/>
    <w:rsid w:val="00D81285"/>
    <w:rsid w:val="00D86F3D"/>
    <w:rsid w:val="00D86F6D"/>
    <w:rsid w:val="00D94DE8"/>
    <w:rsid w:val="00D9640C"/>
    <w:rsid w:val="00D96B80"/>
    <w:rsid w:val="00D970F4"/>
    <w:rsid w:val="00DA221E"/>
    <w:rsid w:val="00DA2C54"/>
    <w:rsid w:val="00DA36DC"/>
    <w:rsid w:val="00DA7B49"/>
    <w:rsid w:val="00DB2E1B"/>
    <w:rsid w:val="00DB30DE"/>
    <w:rsid w:val="00DB44A8"/>
    <w:rsid w:val="00DC2764"/>
    <w:rsid w:val="00DC2F4A"/>
    <w:rsid w:val="00DC767D"/>
    <w:rsid w:val="00DC7690"/>
    <w:rsid w:val="00DD18F3"/>
    <w:rsid w:val="00DE06CD"/>
    <w:rsid w:val="00DE1210"/>
    <w:rsid w:val="00DE268A"/>
    <w:rsid w:val="00DE3321"/>
    <w:rsid w:val="00DE52C6"/>
    <w:rsid w:val="00DF3854"/>
    <w:rsid w:val="00DF3E1F"/>
    <w:rsid w:val="00DF3F2F"/>
    <w:rsid w:val="00DF404B"/>
    <w:rsid w:val="00DF4EF4"/>
    <w:rsid w:val="00DF4F62"/>
    <w:rsid w:val="00DF5D03"/>
    <w:rsid w:val="00E007FD"/>
    <w:rsid w:val="00E056A5"/>
    <w:rsid w:val="00E06CC3"/>
    <w:rsid w:val="00E12CBD"/>
    <w:rsid w:val="00E12D4C"/>
    <w:rsid w:val="00E1586B"/>
    <w:rsid w:val="00E1672C"/>
    <w:rsid w:val="00E172B0"/>
    <w:rsid w:val="00E22239"/>
    <w:rsid w:val="00E23162"/>
    <w:rsid w:val="00E24AB5"/>
    <w:rsid w:val="00E25E41"/>
    <w:rsid w:val="00E32ED2"/>
    <w:rsid w:val="00E34D39"/>
    <w:rsid w:val="00E35438"/>
    <w:rsid w:val="00E35507"/>
    <w:rsid w:val="00E41B41"/>
    <w:rsid w:val="00E4233D"/>
    <w:rsid w:val="00E43F40"/>
    <w:rsid w:val="00E446B7"/>
    <w:rsid w:val="00E46553"/>
    <w:rsid w:val="00E46AD3"/>
    <w:rsid w:val="00E5117C"/>
    <w:rsid w:val="00E53892"/>
    <w:rsid w:val="00E53B9A"/>
    <w:rsid w:val="00E6382D"/>
    <w:rsid w:val="00E6471F"/>
    <w:rsid w:val="00E71C80"/>
    <w:rsid w:val="00E73D79"/>
    <w:rsid w:val="00E74810"/>
    <w:rsid w:val="00E7520D"/>
    <w:rsid w:val="00E75F58"/>
    <w:rsid w:val="00E767A4"/>
    <w:rsid w:val="00E80FBD"/>
    <w:rsid w:val="00E8191A"/>
    <w:rsid w:val="00E86C7D"/>
    <w:rsid w:val="00E8753C"/>
    <w:rsid w:val="00E87624"/>
    <w:rsid w:val="00E90C55"/>
    <w:rsid w:val="00E93A5F"/>
    <w:rsid w:val="00E945EF"/>
    <w:rsid w:val="00E97A40"/>
    <w:rsid w:val="00EA174D"/>
    <w:rsid w:val="00EA44DF"/>
    <w:rsid w:val="00EA6B94"/>
    <w:rsid w:val="00EA6DC6"/>
    <w:rsid w:val="00EA7FAC"/>
    <w:rsid w:val="00EB0510"/>
    <w:rsid w:val="00EB296B"/>
    <w:rsid w:val="00EC216C"/>
    <w:rsid w:val="00EC2B2F"/>
    <w:rsid w:val="00EC2DD9"/>
    <w:rsid w:val="00EC3B9E"/>
    <w:rsid w:val="00EC518B"/>
    <w:rsid w:val="00EC6AA8"/>
    <w:rsid w:val="00EC785B"/>
    <w:rsid w:val="00ED0499"/>
    <w:rsid w:val="00ED0788"/>
    <w:rsid w:val="00ED16B2"/>
    <w:rsid w:val="00ED323D"/>
    <w:rsid w:val="00ED4BBD"/>
    <w:rsid w:val="00ED724E"/>
    <w:rsid w:val="00ED72DB"/>
    <w:rsid w:val="00EE2EBD"/>
    <w:rsid w:val="00EE3572"/>
    <w:rsid w:val="00EE5217"/>
    <w:rsid w:val="00EE6282"/>
    <w:rsid w:val="00EF08BA"/>
    <w:rsid w:val="00EF25D3"/>
    <w:rsid w:val="00EF26C2"/>
    <w:rsid w:val="00EF2ABB"/>
    <w:rsid w:val="00EF3517"/>
    <w:rsid w:val="00EF67ED"/>
    <w:rsid w:val="00EF7EB6"/>
    <w:rsid w:val="00F01EFD"/>
    <w:rsid w:val="00F0288C"/>
    <w:rsid w:val="00F03AB1"/>
    <w:rsid w:val="00F07ED9"/>
    <w:rsid w:val="00F11E9B"/>
    <w:rsid w:val="00F12386"/>
    <w:rsid w:val="00F12B9F"/>
    <w:rsid w:val="00F13070"/>
    <w:rsid w:val="00F20A96"/>
    <w:rsid w:val="00F21880"/>
    <w:rsid w:val="00F2199C"/>
    <w:rsid w:val="00F234BE"/>
    <w:rsid w:val="00F24F72"/>
    <w:rsid w:val="00F263B4"/>
    <w:rsid w:val="00F309B9"/>
    <w:rsid w:val="00F31DB2"/>
    <w:rsid w:val="00F47613"/>
    <w:rsid w:val="00F47B11"/>
    <w:rsid w:val="00F51085"/>
    <w:rsid w:val="00F53979"/>
    <w:rsid w:val="00F53D79"/>
    <w:rsid w:val="00F62CEF"/>
    <w:rsid w:val="00F63D9B"/>
    <w:rsid w:val="00F7257F"/>
    <w:rsid w:val="00F7568A"/>
    <w:rsid w:val="00F803E7"/>
    <w:rsid w:val="00F830CF"/>
    <w:rsid w:val="00F84B79"/>
    <w:rsid w:val="00F84B7A"/>
    <w:rsid w:val="00F86FCD"/>
    <w:rsid w:val="00F91CF3"/>
    <w:rsid w:val="00FA00C7"/>
    <w:rsid w:val="00FA1282"/>
    <w:rsid w:val="00FA5B3E"/>
    <w:rsid w:val="00FA7DB5"/>
    <w:rsid w:val="00FB37E7"/>
    <w:rsid w:val="00FB5277"/>
    <w:rsid w:val="00FB73FE"/>
    <w:rsid w:val="00FB76A8"/>
    <w:rsid w:val="00FC00BE"/>
    <w:rsid w:val="00FC2476"/>
    <w:rsid w:val="00FC259B"/>
    <w:rsid w:val="00FC3283"/>
    <w:rsid w:val="00FC3DFA"/>
    <w:rsid w:val="00FC4002"/>
    <w:rsid w:val="00FC4D2C"/>
    <w:rsid w:val="00FC638A"/>
    <w:rsid w:val="00FD1921"/>
    <w:rsid w:val="00FD2F00"/>
    <w:rsid w:val="00FD4A25"/>
    <w:rsid w:val="00FD5A9F"/>
    <w:rsid w:val="00FD6636"/>
    <w:rsid w:val="00FD6F47"/>
    <w:rsid w:val="00FF118D"/>
    <w:rsid w:val="00FF1D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9D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58E"/>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link w:val="Heading3Char"/>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styleId="EndnoteText">
    <w:name w:val="endnote text"/>
    <w:basedOn w:val="Normal"/>
    <w:link w:val="EndnoteTextChar"/>
    <w:rsid w:val="00820FCE"/>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semiHidden/>
    <w:qFormat/>
    <w:rsid w:val="00711DC2"/>
    <w:pPr>
      <w:tabs>
        <w:tab w:val="left" w:pos="284"/>
      </w:tabs>
      <w:ind w:left="284" w:hanging="284"/>
    </w:pPr>
    <w:rPr>
      <w:rFonts w:ascii="Arial" w:hAnsi="Arial"/>
      <w:sz w:val="16"/>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w:semiHidden/>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rPr>
      <w:lang w:val="en-GB" w:eastAsia="en-GB"/>
    </w:rPr>
  </w:style>
  <w:style w:type="character" w:customStyle="1" w:styleId="EndnoteTextChar">
    <w:name w:val="Endnote Text Char"/>
    <w:basedOn w:val="DefaultParagraphFont"/>
    <w:link w:val="EndnoteText"/>
    <w:rsid w:val="00820FCE"/>
  </w:style>
  <w:style w:type="character" w:styleId="EndnoteReference">
    <w:name w:val="endnote reference"/>
    <w:rsid w:val="00820FCE"/>
    <w:rPr>
      <w:vertAlign w:val="superscript"/>
    </w:rPr>
  </w:style>
  <w:style w:type="paragraph" w:styleId="ListParagraph">
    <w:name w:val="List Paragraph"/>
    <w:basedOn w:val="Normal"/>
    <w:uiPriority w:val="34"/>
    <w:qFormat/>
    <w:rsid w:val="00FB5277"/>
    <w:pPr>
      <w:ind w:left="720"/>
    </w:pPr>
    <w:rPr>
      <w:rFonts w:ascii="Calibri" w:eastAsia="Calibri" w:hAnsi="Calibri" w:cs="Calibri"/>
      <w:sz w:val="22"/>
      <w:szCs w:val="22"/>
      <w:lang w:eastAsia="en-US"/>
    </w:rPr>
  </w:style>
  <w:style w:type="character" w:customStyle="1" w:styleId="genid2161">
    <w:name w:val="genid2_161"/>
    <w:rsid w:val="00EF2ABB"/>
    <w:rPr>
      <w:rFonts w:ascii="Arial" w:hAnsi="Arial" w:cs="Arial" w:hint="default"/>
      <w:b w:val="0"/>
      <w:bCs w:val="0"/>
      <w:i w:val="0"/>
      <w:iCs w:val="0"/>
      <w:caps w:val="0"/>
      <w:smallCaps w:val="0"/>
      <w:strike w:val="0"/>
      <w:dstrike w:val="0"/>
      <w:color w:val="000000"/>
      <w:spacing w:val="0"/>
      <w:sz w:val="20"/>
      <w:szCs w:val="20"/>
      <w:u w:val="none"/>
      <w:effect w:val="none"/>
    </w:rPr>
  </w:style>
  <w:style w:type="character" w:customStyle="1" w:styleId="genid2201">
    <w:name w:val="genid2_201"/>
    <w:rsid w:val="00EF2ABB"/>
    <w:rPr>
      <w:rFonts w:ascii="Arial" w:hAnsi="Arial" w:cs="Arial" w:hint="default"/>
      <w:b w:val="0"/>
      <w:bCs w:val="0"/>
      <w:i/>
      <w:iCs/>
      <w:caps w:val="0"/>
      <w:smallCaps w:val="0"/>
      <w:strike w:val="0"/>
      <w:dstrike w:val="0"/>
      <w:color w:val="000000"/>
      <w:spacing w:val="0"/>
      <w:sz w:val="20"/>
      <w:szCs w:val="20"/>
      <w:u w:val="none"/>
      <w:effect w:val="none"/>
    </w:rPr>
  </w:style>
  <w:style w:type="character" w:customStyle="1" w:styleId="UnresolvedMention">
    <w:name w:val="Unresolved Mention"/>
    <w:basedOn w:val="DefaultParagraphFont"/>
    <w:uiPriority w:val="99"/>
    <w:semiHidden/>
    <w:unhideWhenUsed/>
    <w:rsid w:val="00FC00BE"/>
    <w:rPr>
      <w:color w:val="605E5C"/>
      <w:shd w:val="clear" w:color="auto" w:fill="E1DFDD"/>
    </w:rPr>
  </w:style>
  <w:style w:type="character" w:customStyle="1" w:styleId="Heading3Char">
    <w:name w:val="Heading 3 Char"/>
    <w:basedOn w:val="DefaultParagraphFont"/>
    <w:link w:val="Heading3"/>
    <w:rsid w:val="00243B71"/>
    <w:rPr>
      <w:sz w:val="24"/>
      <w:u w:val="single"/>
      <w:lang w:val="en-GB" w:eastAsia="en-GB"/>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semiHidden/>
    <w:locked/>
    <w:rsid w:val="00243B71"/>
    <w:rPr>
      <w:rFonts w:ascii="Arial" w:hAnsi="Arial"/>
      <w:sz w:val="16"/>
      <w:lang w:val="en-GB" w:eastAsia="en-GB"/>
    </w:rPr>
  </w:style>
  <w:style w:type="character" w:customStyle="1" w:styleId="BodyTextChar">
    <w:name w:val="Body Text Char"/>
    <w:basedOn w:val="DefaultParagraphFont"/>
    <w:link w:val="BodyText"/>
    <w:rsid w:val="00243B71"/>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2537">
      <w:bodyDiv w:val="1"/>
      <w:marLeft w:val="0"/>
      <w:marRight w:val="0"/>
      <w:marTop w:val="0"/>
      <w:marBottom w:val="0"/>
      <w:divBdr>
        <w:top w:val="none" w:sz="0" w:space="0" w:color="auto"/>
        <w:left w:val="none" w:sz="0" w:space="0" w:color="auto"/>
        <w:bottom w:val="none" w:sz="0" w:space="0" w:color="auto"/>
        <w:right w:val="none" w:sz="0" w:space="0" w:color="auto"/>
      </w:divBdr>
    </w:div>
    <w:div w:id="140122751">
      <w:bodyDiv w:val="1"/>
      <w:marLeft w:val="0"/>
      <w:marRight w:val="0"/>
      <w:marTop w:val="0"/>
      <w:marBottom w:val="0"/>
      <w:divBdr>
        <w:top w:val="none" w:sz="0" w:space="0" w:color="auto"/>
        <w:left w:val="none" w:sz="0" w:space="0" w:color="auto"/>
        <w:bottom w:val="none" w:sz="0" w:space="0" w:color="auto"/>
        <w:right w:val="none" w:sz="0" w:space="0" w:color="auto"/>
      </w:divBdr>
    </w:div>
    <w:div w:id="162479534">
      <w:bodyDiv w:val="1"/>
      <w:marLeft w:val="0"/>
      <w:marRight w:val="0"/>
      <w:marTop w:val="0"/>
      <w:marBottom w:val="0"/>
      <w:divBdr>
        <w:top w:val="none" w:sz="0" w:space="0" w:color="auto"/>
        <w:left w:val="none" w:sz="0" w:space="0" w:color="auto"/>
        <w:bottom w:val="none" w:sz="0" w:space="0" w:color="auto"/>
        <w:right w:val="none" w:sz="0" w:space="0" w:color="auto"/>
      </w:divBdr>
    </w:div>
    <w:div w:id="351490247">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44371566">
      <w:bodyDiv w:val="1"/>
      <w:marLeft w:val="0"/>
      <w:marRight w:val="0"/>
      <w:marTop w:val="0"/>
      <w:marBottom w:val="0"/>
      <w:divBdr>
        <w:top w:val="none" w:sz="0" w:space="0" w:color="auto"/>
        <w:left w:val="none" w:sz="0" w:space="0" w:color="auto"/>
        <w:bottom w:val="none" w:sz="0" w:space="0" w:color="auto"/>
        <w:right w:val="none" w:sz="0" w:space="0" w:color="auto"/>
      </w:divBdr>
    </w:div>
    <w:div w:id="660886275">
      <w:bodyDiv w:val="1"/>
      <w:marLeft w:val="0"/>
      <w:marRight w:val="0"/>
      <w:marTop w:val="0"/>
      <w:marBottom w:val="0"/>
      <w:divBdr>
        <w:top w:val="none" w:sz="0" w:space="0" w:color="auto"/>
        <w:left w:val="none" w:sz="0" w:space="0" w:color="auto"/>
        <w:bottom w:val="none" w:sz="0" w:space="0" w:color="auto"/>
        <w:right w:val="none" w:sz="0" w:space="0" w:color="auto"/>
      </w:divBdr>
    </w:div>
    <w:div w:id="788552268">
      <w:bodyDiv w:val="1"/>
      <w:marLeft w:val="0"/>
      <w:marRight w:val="0"/>
      <w:marTop w:val="0"/>
      <w:marBottom w:val="0"/>
      <w:divBdr>
        <w:top w:val="none" w:sz="0" w:space="0" w:color="auto"/>
        <w:left w:val="none" w:sz="0" w:space="0" w:color="auto"/>
        <w:bottom w:val="none" w:sz="0" w:space="0" w:color="auto"/>
        <w:right w:val="none" w:sz="0" w:space="0" w:color="auto"/>
      </w:divBdr>
    </w:div>
    <w:div w:id="917405454">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96947351">
      <w:bodyDiv w:val="1"/>
      <w:marLeft w:val="0"/>
      <w:marRight w:val="0"/>
      <w:marTop w:val="0"/>
      <w:marBottom w:val="0"/>
      <w:divBdr>
        <w:top w:val="none" w:sz="0" w:space="0" w:color="auto"/>
        <w:left w:val="none" w:sz="0" w:space="0" w:color="auto"/>
        <w:bottom w:val="none" w:sz="0" w:space="0" w:color="auto"/>
        <w:right w:val="none" w:sz="0" w:space="0" w:color="auto"/>
      </w:divBdr>
    </w:div>
    <w:div w:id="1222250929">
      <w:bodyDiv w:val="1"/>
      <w:marLeft w:val="0"/>
      <w:marRight w:val="0"/>
      <w:marTop w:val="0"/>
      <w:marBottom w:val="0"/>
      <w:divBdr>
        <w:top w:val="none" w:sz="0" w:space="0" w:color="auto"/>
        <w:left w:val="none" w:sz="0" w:space="0" w:color="auto"/>
        <w:bottom w:val="none" w:sz="0" w:space="0" w:color="auto"/>
        <w:right w:val="none" w:sz="0" w:space="0" w:color="auto"/>
      </w:divBdr>
    </w:div>
    <w:div w:id="1251085817">
      <w:bodyDiv w:val="1"/>
      <w:marLeft w:val="0"/>
      <w:marRight w:val="0"/>
      <w:marTop w:val="0"/>
      <w:marBottom w:val="0"/>
      <w:divBdr>
        <w:top w:val="none" w:sz="0" w:space="0" w:color="auto"/>
        <w:left w:val="none" w:sz="0" w:space="0" w:color="auto"/>
        <w:bottom w:val="none" w:sz="0" w:space="0" w:color="auto"/>
        <w:right w:val="none" w:sz="0" w:space="0" w:color="auto"/>
      </w:divBdr>
    </w:div>
    <w:div w:id="1326398253">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560285056">
      <w:bodyDiv w:val="1"/>
      <w:marLeft w:val="0"/>
      <w:marRight w:val="0"/>
      <w:marTop w:val="0"/>
      <w:marBottom w:val="0"/>
      <w:divBdr>
        <w:top w:val="none" w:sz="0" w:space="0" w:color="auto"/>
        <w:left w:val="none" w:sz="0" w:space="0" w:color="auto"/>
        <w:bottom w:val="none" w:sz="0" w:space="0" w:color="auto"/>
        <w:right w:val="none" w:sz="0" w:space="0" w:color="auto"/>
      </w:divBdr>
    </w:div>
    <w:div w:id="1576938400">
      <w:bodyDiv w:val="1"/>
      <w:marLeft w:val="0"/>
      <w:marRight w:val="0"/>
      <w:marTop w:val="0"/>
      <w:marBottom w:val="0"/>
      <w:divBdr>
        <w:top w:val="none" w:sz="0" w:space="0" w:color="auto"/>
        <w:left w:val="none" w:sz="0" w:space="0" w:color="auto"/>
        <w:bottom w:val="none" w:sz="0" w:space="0" w:color="auto"/>
        <w:right w:val="none" w:sz="0" w:space="0" w:color="auto"/>
      </w:divBdr>
    </w:div>
    <w:div w:id="1584097257">
      <w:bodyDiv w:val="1"/>
      <w:marLeft w:val="0"/>
      <w:marRight w:val="0"/>
      <w:marTop w:val="0"/>
      <w:marBottom w:val="0"/>
      <w:divBdr>
        <w:top w:val="none" w:sz="0" w:space="0" w:color="auto"/>
        <w:left w:val="none" w:sz="0" w:space="0" w:color="auto"/>
        <w:bottom w:val="none" w:sz="0" w:space="0" w:color="auto"/>
        <w:right w:val="none" w:sz="0" w:space="0" w:color="auto"/>
      </w:divBdr>
    </w:div>
    <w:div w:id="1627590143">
      <w:bodyDiv w:val="1"/>
      <w:marLeft w:val="0"/>
      <w:marRight w:val="0"/>
      <w:marTop w:val="0"/>
      <w:marBottom w:val="0"/>
      <w:divBdr>
        <w:top w:val="none" w:sz="0" w:space="0" w:color="auto"/>
        <w:left w:val="none" w:sz="0" w:space="0" w:color="auto"/>
        <w:bottom w:val="none" w:sz="0" w:space="0" w:color="auto"/>
        <w:right w:val="none" w:sz="0" w:space="0" w:color="auto"/>
      </w:divBdr>
    </w:div>
    <w:div w:id="1677414046">
      <w:bodyDiv w:val="1"/>
      <w:marLeft w:val="0"/>
      <w:marRight w:val="0"/>
      <w:marTop w:val="0"/>
      <w:marBottom w:val="0"/>
      <w:divBdr>
        <w:top w:val="none" w:sz="0" w:space="0" w:color="auto"/>
        <w:left w:val="none" w:sz="0" w:space="0" w:color="auto"/>
        <w:bottom w:val="none" w:sz="0" w:space="0" w:color="auto"/>
        <w:right w:val="none" w:sz="0" w:space="0" w:color="auto"/>
      </w:divBdr>
    </w:div>
    <w:div w:id="1764064774">
      <w:bodyDiv w:val="1"/>
      <w:marLeft w:val="0"/>
      <w:marRight w:val="0"/>
      <w:marTop w:val="0"/>
      <w:marBottom w:val="0"/>
      <w:divBdr>
        <w:top w:val="none" w:sz="0" w:space="0" w:color="auto"/>
        <w:left w:val="none" w:sz="0" w:space="0" w:color="auto"/>
        <w:bottom w:val="none" w:sz="0" w:space="0" w:color="auto"/>
        <w:right w:val="none" w:sz="0" w:space="0" w:color="auto"/>
      </w:divBdr>
      <w:divsChild>
        <w:div w:id="955336191">
          <w:marLeft w:val="0"/>
          <w:marRight w:val="0"/>
          <w:marTop w:val="0"/>
          <w:marBottom w:val="0"/>
          <w:divBdr>
            <w:top w:val="none" w:sz="0" w:space="0" w:color="auto"/>
            <w:left w:val="none" w:sz="0" w:space="0" w:color="auto"/>
            <w:bottom w:val="none" w:sz="0" w:space="0" w:color="auto"/>
            <w:right w:val="none" w:sz="0" w:space="0" w:color="auto"/>
          </w:divBdr>
          <w:divsChild>
            <w:div w:id="1518737131">
              <w:marLeft w:val="0"/>
              <w:marRight w:val="0"/>
              <w:marTop w:val="0"/>
              <w:marBottom w:val="0"/>
              <w:divBdr>
                <w:top w:val="none" w:sz="0" w:space="0" w:color="auto"/>
                <w:left w:val="none" w:sz="0" w:space="0" w:color="auto"/>
                <w:bottom w:val="none" w:sz="0" w:space="0" w:color="auto"/>
                <w:right w:val="none" w:sz="0" w:space="0" w:color="auto"/>
              </w:divBdr>
              <w:divsChild>
                <w:div w:id="1196309997">
                  <w:marLeft w:val="0"/>
                  <w:marRight w:val="0"/>
                  <w:marTop w:val="0"/>
                  <w:marBottom w:val="0"/>
                  <w:divBdr>
                    <w:top w:val="none" w:sz="0" w:space="0" w:color="auto"/>
                    <w:left w:val="none" w:sz="0" w:space="0" w:color="auto"/>
                    <w:bottom w:val="none" w:sz="0" w:space="0" w:color="auto"/>
                    <w:right w:val="none" w:sz="0" w:space="0" w:color="auto"/>
                  </w:divBdr>
                  <w:divsChild>
                    <w:div w:id="894195119">
                      <w:marLeft w:val="0"/>
                      <w:marRight w:val="0"/>
                      <w:marTop w:val="0"/>
                      <w:marBottom w:val="0"/>
                      <w:divBdr>
                        <w:top w:val="none" w:sz="0" w:space="0" w:color="auto"/>
                        <w:left w:val="none" w:sz="0" w:space="0" w:color="auto"/>
                        <w:bottom w:val="none" w:sz="0" w:space="0" w:color="auto"/>
                        <w:right w:val="none" w:sz="0" w:space="0" w:color="auto"/>
                      </w:divBdr>
                      <w:divsChild>
                        <w:div w:id="276445503">
                          <w:marLeft w:val="0"/>
                          <w:marRight w:val="0"/>
                          <w:marTop w:val="0"/>
                          <w:marBottom w:val="0"/>
                          <w:divBdr>
                            <w:top w:val="none" w:sz="0" w:space="0" w:color="auto"/>
                            <w:left w:val="none" w:sz="0" w:space="0" w:color="auto"/>
                            <w:bottom w:val="none" w:sz="0" w:space="0" w:color="auto"/>
                            <w:right w:val="none" w:sz="0" w:space="0" w:color="auto"/>
                          </w:divBdr>
                        </w:div>
                        <w:div w:id="583031654">
                          <w:marLeft w:val="0"/>
                          <w:marRight w:val="0"/>
                          <w:marTop w:val="0"/>
                          <w:marBottom w:val="0"/>
                          <w:divBdr>
                            <w:top w:val="none" w:sz="0" w:space="0" w:color="auto"/>
                            <w:left w:val="none" w:sz="0" w:space="0" w:color="auto"/>
                            <w:bottom w:val="none" w:sz="0" w:space="0" w:color="auto"/>
                            <w:right w:val="none" w:sz="0" w:space="0" w:color="auto"/>
                          </w:divBdr>
                        </w:div>
                        <w:div w:id="607473210">
                          <w:marLeft w:val="0"/>
                          <w:marRight w:val="0"/>
                          <w:marTop w:val="0"/>
                          <w:marBottom w:val="0"/>
                          <w:divBdr>
                            <w:top w:val="none" w:sz="0" w:space="0" w:color="auto"/>
                            <w:left w:val="none" w:sz="0" w:space="0" w:color="auto"/>
                            <w:bottom w:val="none" w:sz="0" w:space="0" w:color="auto"/>
                            <w:right w:val="none" w:sz="0" w:space="0" w:color="auto"/>
                          </w:divBdr>
                        </w:div>
                        <w:div w:id="807091536">
                          <w:marLeft w:val="0"/>
                          <w:marRight w:val="0"/>
                          <w:marTop w:val="0"/>
                          <w:marBottom w:val="0"/>
                          <w:divBdr>
                            <w:top w:val="none" w:sz="0" w:space="0" w:color="auto"/>
                            <w:left w:val="none" w:sz="0" w:space="0" w:color="auto"/>
                            <w:bottom w:val="none" w:sz="0" w:space="0" w:color="auto"/>
                            <w:right w:val="none" w:sz="0" w:space="0" w:color="auto"/>
                          </w:divBdr>
                        </w:div>
                        <w:div w:id="942419494">
                          <w:marLeft w:val="0"/>
                          <w:marRight w:val="0"/>
                          <w:marTop w:val="0"/>
                          <w:marBottom w:val="0"/>
                          <w:divBdr>
                            <w:top w:val="none" w:sz="0" w:space="0" w:color="auto"/>
                            <w:left w:val="none" w:sz="0" w:space="0" w:color="auto"/>
                            <w:bottom w:val="none" w:sz="0" w:space="0" w:color="auto"/>
                            <w:right w:val="none" w:sz="0" w:space="0" w:color="auto"/>
                          </w:divBdr>
                        </w:div>
                        <w:div w:id="1123429363">
                          <w:marLeft w:val="0"/>
                          <w:marRight w:val="0"/>
                          <w:marTop w:val="0"/>
                          <w:marBottom w:val="0"/>
                          <w:divBdr>
                            <w:top w:val="none" w:sz="0" w:space="0" w:color="auto"/>
                            <w:left w:val="none" w:sz="0" w:space="0" w:color="auto"/>
                            <w:bottom w:val="none" w:sz="0" w:space="0" w:color="auto"/>
                            <w:right w:val="none" w:sz="0" w:space="0" w:color="auto"/>
                          </w:divBdr>
                        </w:div>
                        <w:div w:id="1332173590">
                          <w:marLeft w:val="0"/>
                          <w:marRight w:val="0"/>
                          <w:marTop w:val="0"/>
                          <w:marBottom w:val="0"/>
                          <w:divBdr>
                            <w:top w:val="none" w:sz="0" w:space="0" w:color="auto"/>
                            <w:left w:val="none" w:sz="0" w:space="0" w:color="auto"/>
                            <w:bottom w:val="none" w:sz="0" w:space="0" w:color="auto"/>
                            <w:right w:val="none" w:sz="0" w:space="0" w:color="auto"/>
                          </w:divBdr>
                        </w:div>
                        <w:div w:id="1650554176">
                          <w:marLeft w:val="0"/>
                          <w:marRight w:val="0"/>
                          <w:marTop w:val="0"/>
                          <w:marBottom w:val="0"/>
                          <w:divBdr>
                            <w:top w:val="none" w:sz="0" w:space="0" w:color="auto"/>
                            <w:left w:val="none" w:sz="0" w:space="0" w:color="auto"/>
                            <w:bottom w:val="none" w:sz="0" w:space="0" w:color="auto"/>
                            <w:right w:val="none" w:sz="0" w:space="0" w:color="auto"/>
                          </w:divBdr>
                        </w:div>
                        <w:div w:id="1796672861">
                          <w:marLeft w:val="0"/>
                          <w:marRight w:val="0"/>
                          <w:marTop w:val="0"/>
                          <w:marBottom w:val="0"/>
                          <w:divBdr>
                            <w:top w:val="none" w:sz="0" w:space="0" w:color="auto"/>
                            <w:left w:val="none" w:sz="0" w:space="0" w:color="auto"/>
                            <w:bottom w:val="none" w:sz="0" w:space="0" w:color="auto"/>
                            <w:right w:val="none" w:sz="0" w:space="0" w:color="auto"/>
                          </w:divBdr>
                        </w:div>
                        <w:div w:id="205877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27348418">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2026203952">
      <w:bodyDiv w:val="1"/>
      <w:marLeft w:val="0"/>
      <w:marRight w:val="0"/>
      <w:marTop w:val="0"/>
      <w:marBottom w:val="0"/>
      <w:divBdr>
        <w:top w:val="none" w:sz="0" w:space="0" w:color="auto"/>
        <w:left w:val="none" w:sz="0" w:space="0" w:color="auto"/>
        <w:bottom w:val="none" w:sz="0" w:space="0" w:color="auto"/>
        <w:right w:val="none" w:sz="0" w:space="0" w:color="auto"/>
      </w:divBdr>
    </w:div>
    <w:div w:id="211105090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mailto:aleksandar.banjac@mgsi.gov.rs"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eib.org/attachments/strategies/guide_to_procurement_en.pdf" TargetMode="External"/><Relationship Id="rId12" Type="http://schemas.openxmlformats.org/officeDocument/2006/relationships/hyperlink" Target="https://www.eib.org/en/publications/anti-fraud-policy"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ec.europa.eu/budget/explained/management/protecting/protect_en.cfm"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ib.org/attachments/strategies/guide_to_procurement_en.pdf" TargetMode="External"/><Relationship Id="rId5" Type="http://schemas.openxmlformats.org/officeDocument/2006/relationships/footnotes" Target="footnotes.xml"/><Relationship Id="rId15" Type="http://schemas.openxmlformats.org/officeDocument/2006/relationships/hyperlink" Target="http://ec.europa.eu/europeaid/prag/annexes.do?chapterTitleCode=A" TargetMode="External"/><Relationship Id="rId10" Type="http://schemas.openxmlformats.org/officeDocument/2006/relationships/hyperlink" Target="http://www.eib.org/infocentre/publications/all/anti-fraud-policy.ht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ib.org/attachments/strategies/guide_to_procurement_en.pdf" TargetMode="External"/><Relationship Id="rId14" Type="http://schemas.openxmlformats.org/officeDocument/2006/relationships/hyperlink" Target="http://ted.europa.eu/TED/main/HomePage.d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4d09258-035b-4e4f-ae3e-d79ff3d418d8}" enabled="1" method="Standard" siteId="{f4a12867-922d-4b9d-bb85-9ee7898512a0}" contentBits="2"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8348</Words>
  <Characters>47585</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55822</CharactersWithSpaces>
  <SharedDoc>false</SharedDoc>
  <HLinks>
    <vt:vector size="36" baseType="variant">
      <vt:variant>
        <vt:i4>4391006</vt:i4>
      </vt:variant>
      <vt:variant>
        <vt:i4>15</vt:i4>
      </vt:variant>
      <vt:variant>
        <vt:i4>0</vt:i4>
      </vt:variant>
      <vt:variant>
        <vt:i4>5</vt:i4>
      </vt:variant>
      <vt:variant>
        <vt:lpwstr>https://eur-lex.europa.eu/legal-content/EN/TXT/HTML/?uri=CELEX:12012E/PRO/07&amp;from=EN</vt:lpwstr>
      </vt:variant>
      <vt:variant>
        <vt:lpwstr/>
      </vt:variant>
      <vt:variant>
        <vt:i4>2490487</vt:i4>
      </vt:variant>
      <vt:variant>
        <vt:i4>12</vt:i4>
      </vt:variant>
      <vt:variant>
        <vt:i4>0</vt:i4>
      </vt:variant>
      <vt:variant>
        <vt:i4>5</vt:i4>
      </vt:variant>
      <vt:variant>
        <vt:lpwstr>https://www.eib.org/en/privacy/procurement.htm</vt:lpwstr>
      </vt:variant>
      <vt:variant>
        <vt:lpwstr/>
      </vt:variant>
      <vt:variant>
        <vt:i4>5636106</vt:i4>
      </vt:variant>
      <vt:variant>
        <vt:i4>9</vt:i4>
      </vt:variant>
      <vt:variant>
        <vt:i4>0</vt:i4>
      </vt:variant>
      <vt:variant>
        <vt:i4>5</vt:i4>
      </vt:variant>
      <vt:variant>
        <vt:lpwstr>http://ted.europa.eu/TED/main/HomePage.do</vt:lpwstr>
      </vt:variant>
      <vt:variant>
        <vt:lpwstr/>
      </vt:variant>
      <vt:variant>
        <vt:i4>6094949</vt:i4>
      </vt:variant>
      <vt:variant>
        <vt:i4>6</vt:i4>
      </vt:variant>
      <vt:variant>
        <vt:i4>0</vt:i4>
      </vt:variant>
      <vt:variant>
        <vt:i4>5</vt:i4>
      </vt:variant>
      <vt:variant>
        <vt:lpwstr>mailto:eib-cpcm-procurement@eib.org</vt:lpwstr>
      </vt:variant>
      <vt:variant>
        <vt:lpwstr/>
      </vt:variant>
      <vt:variant>
        <vt:i4>6094949</vt:i4>
      </vt:variant>
      <vt:variant>
        <vt:i4>3</vt:i4>
      </vt:variant>
      <vt:variant>
        <vt:i4>0</vt:i4>
      </vt:variant>
      <vt:variant>
        <vt:i4>5</vt:i4>
      </vt:variant>
      <vt:variant>
        <vt:lpwstr>mailto:eib-cpcm-procurement@eib.org</vt:lpwstr>
      </vt:variant>
      <vt:variant>
        <vt:lpwstr/>
      </vt:variant>
      <vt:variant>
        <vt:i4>2621560</vt:i4>
      </vt:variant>
      <vt:variant>
        <vt:i4>0</vt:i4>
      </vt:variant>
      <vt:variant>
        <vt:i4>0</vt:i4>
      </vt:variant>
      <vt:variant>
        <vt:i4>5</vt:i4>
      </vt:variant>
      <vt:variant>
        <vt:lpwstr>https://www.eib.org/en/publications/eib-s-corporate-and-technical-assistance-procurement-guide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2025-07-31T08:41:00Z</dcterms:created>
  <dcterms:modified xsi:type="dcterms:W3CDTF">2025-08-05T11:25:00Z</dcterms:modified>
</cp:coreProperties>
</file>