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GoBack"/>
    <w:bookmarkEnd w:id="0"/>
    <w:p w14:paraId="71DD00C4" w14:textId="7046FA4E" w:rsidR="00BB64C7" w:rsidRPr="005948DE" w:rsidRDefault="00CA5B5A" w:rsidP="005948DE">
      <w:pPr>
        <w:spacing w:after="120" w:line="276" w:lineRule="auto"/>
        <w:jc w:val="both"/>
        <w:rPr>
          <w:rFonts w:ascii="Times New Roman" w:hAnsi="Times New Roman" w:cs="Times New Roman"/>
          <w:color w:val="0070C0"/>
        </w:rPr>
      </w:pPr>
      <w:r w:rsidRPr="00D01979">
        <w:rPr>
          <w:rFonts w:ascii="Times New Roman" w:hAnsi="Times New Roman" w:cs="Times New Roman"/>
          <w:noProof/>
          <w:color w:val="0070C0"/>
          <w:lang w:val="en-US"/>
        </w:rPr>
        <mc:AlternateContent>
          <mc:Choice Requires="wps">
            <w:drawing>
              <wp:anchor distT="0" distB="0" distL="114300" distR="114300" simplePos="0" relativeHeight="251584512" behindDoc="0" locked="0" layoutInCell="1" allowOverlap="1" wp14:anchorId="2B7169B9" wp14:editId="27BC3577">
                <wp:simplePos x="0" y="0"/>
                <wp:positionH relativeFrom="margin">
                  <wp:posOffset>5312410</wp:posOffset>
                </wp:positionH>
                <wp:positionV relativeFrom="page">
                  <wp:posOffset>728345</wp:posOffset>
                </wp:positionV>
                <wp:extent cx="594360" cy="987425"/>
                <wp:effectExtent l="0" t="0" r="0" b="6350"/>
                <wp:wrapNone/>
                <wp:docPr id="130" name="Rectangle 1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98742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4"/>
                                <w:szCs w:val="24"/>
                              </w:rPr>
                              <w:alias w:val="Year"/>
                              <w:tag w:val=""/>
                              <w:id w:val="926847335"/>
                              <w:dataBinding w:prefixMappings="xmlns:ns0='http://schemas.microsoft.com/office/2006/coverPageProps' " w:xpath="/ns0:CoverPageProperties[1]/ns0:PublishDate[1]" w:storeItemID="{55AF091B-3C7A-41E3-B477-F2FDAA23CFDA}"/>
                              <w:date w:fullDate="2022-02-23T00:00:00Z">
                                <w:dateFormat w:val="yyyy"/>
                                <w:lid w:val="en-US"/>
                                <w:storeMappedDataAs w:val="dateTime"/>
                                <w:calendar w:val="gregorian"/>
                              </w:date>
                            </w:sdtPr>
                            <w:sdtEndPr/>
                            <w:sdtContent>
                              <w:p w14:paraId="69A6CB02" w14:textId="7D971922" w:rsidR="00CF7D57" w:rsidRPr="00CA5B5A" w:rsidRDefault="00CF7D57">
                                <w:pPr>
                                  <w:pStyle w:val="NoSpacing"/>
                                  <w:jc w:val="right"/>
                                  <w:rPr>
                                    <w:color w:val="FFFFFF" w:themeColor="background1"/>
                                    <w:sz w:val="24"/>
                                    <w:szCs w:val="24"/>
                                  </w:rPr>
                                </w:pPr>
                                <w:r>
                                  <w:rPr>
                                    <w:color w:val="FFFFFF" w:themeColor="background1"/>
                                    <w:sz w:val="24"/>
                                    <w:szCs w:val="24"/>
                                  </w:rPr>
                                  <w:t>2022</w:t>
                                </w:r>
                              </w:p>
                            </w:sdtContent>
                          </w:sdt>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9800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B7169B9" id="Rectangle 130" o:spid="_x0000_s1026" style="position:absolute;left:0;text-align:left;margin-left:418.3pt;margin-top:57.35pt;width:46.8pt;height:77.75pt;z-index:251584512;visibility:visible;mso-wrap-style:square;mso-width-percent:76;mso-height-percent:98;mso-wrap-distance-left:9pt;mso-wrap-distance-top:0;mso-wrap-distance-right:9pt;mso-wrap-distance-bottom:0;mso-position-horizontal:absolute;mso-position-horizontal-relative:margin;mso-position-vertical:absolute;mso-position-vertical-relative:page;mso-width-percent:76;mso-height-percent:9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" fillcolor="#4f81bd [3204]" stroked="f" strokeweight="2pt">
                <o:lock v:ext="edit" aspectratio="t"/>
                <v:textbox inset="3.6pt,,3.6pt">
                  <w:txbxContent>
                    <w:sdt>
                      <w:sdtPr>
                        <w:rPr>
                          <w:color w:val="FFFFFF" w:themeColor="background1"/>
                          <w:sz w:val="24"/>
                          <w:szCs w:val="24"/>
                        </w:rPr>
                        <w:alias w:val="Year"/>
                        <w:tag w:val=""/>
                        <w:id w:val="926847335"/>
                        <w:dataBinding w:prefixMappings="xmlns:ns0='http://schemas.microsoft.com/office/2006/coverPageProps' " w:xpath="/ns0:CoverPageProperties[1]/ns0:PublishDate[1]" w:storeItemID="{55AF091B-3C7A-41E3-B477-F2FDAA23CFDA}"/>
                        <w:date w:fullDate="2022-02-23T00:00:00Z">
                          <w:dateFormat w:val="yyyy"/>
                          <w:lid w:val="en-US"/>
                          <w:storeMappedDataAs w:val="dateTime"/>
                          <w:calendar w:val="gregorian"/>
                        </w:date>
                      </w:sdtPr>
                      <w:sdtEndPr/>
                      <w:sdtContent>
                        <w:p w14:paraId="69A6CB02" w14:textId="7D971922" w:rsidR="00CF7D57" w:rsidRPr="00CA5B5A" w:rsidRDefault="00CF7D57">
                          <w:pPr>
                            <w:pStyle w:val="NoSpacing"/>
                            <w:jc w:val="right"/>
                            <w:rPr>
                              <w:color w:val="FFFFFF" w:themeColor="background1"/>
                              <w:sz w:val="24"/>
                              <w:szCs w:val="24"/>
                            </w:rPr>
                          </w:pPr>
                          <w:r>
                            <w:rPr>
                              <w:color w:val="FFFFFF" w:themeColor="background1"/>
                              <w:sz w:val="24"/>
                              <w:szCs w:val="24"/>
                            </w:rPr>
                            <w:t>2022</w:t>
                          </w:r>
                        </w:p>
                      </w:sdtContent>
                    </w:sdt>
                  </w:txbxContent>
                </v:textbox>
                <w10:wrap anchorx="margin" anchory="page"/>
              </v:rect>
            </w:pict>
          </mc:Fallback>
        </mc:AlternateContent>
      </w:r>
      <w:r w:rsidR="00921B17">
        <w:rPr>
          <w:rFonts w:ascii="Times New Roman" w:hAnsi="Times New Roman" w:cs="Times New Roman"/>
          <w:color w:val="0070C0"/>
        </w:rPr>
        <w:t xml:space="preserve"> </w:t>
      </w:r>
    </w:p>
    <w:p w14:paraId="06D8DF40"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7DEF1EF8" w14:textId="5AF7A532"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r w:rsidRPr="005948DE">
        <w:rPr>
          <w:rFonts w:ascii="Times New Roman" w:hAnsi="Times New Roman" w:cs="Times New Roman"/>
          <w:noProof/>
          <w:color w:val="0070C0"/>
          <w:lang w:val="en-US"/>
        </w:rPr>
        <mc:AlternateContent>
          <mc:Choice Requires="wpg">
            <w:drawing>
              <wp:anchor distT="0" distB="0" distL="114300" distR="114300" simplePos="0" relativeHeight="251589632" behindDoc="1" locked="0" layoutInCell="1" allowOverlap="1" wp14:anchorId="18DA4360" wp14:editId="7A5BD40B">
                <wp:simplePos x="0" y="0"/>
                <wp:positionH relativeFrom="margin">
                  <wp:posOffset>130810</wp:posOffset>
                </wp:positionH>
                <wp:positionV relativeFrom="page">
                  <wp:posOffset>883285</wp:posOffset>
                </wp:positionV>
                <wp:extent cx="5981700" cy="4632325"/>
                <wp:effectExtent l="0" t="0" r="0" b="0"/>
                <wp:wrapNone/>
                <wp:docPr id="125" name="Group 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81700" cy="4642181"/>
                          <a:chOff x="720524" y="1934775"/>
                          <a:chExt cx="6606358" cy="3542084"/>
                        </a:xfrm>
                      </wpg:grpSpPr>
                      <wps:wsp>
                        <wps:cNvPr id="126" name="Freeform 10"/>
                        <wps:cNvSpPr>
                          <a:spLocks/>
                        </wps:cNvSpPr>
                        <wps:spPr bwMode="auto">
                          <a:xfrm>
                            <a:off x="720524" y="1934775"/>
                            <a:ext cx="6606358" cy="3542084"/>
                          </a:xfrm>
                          <a:custGeom>
                            <a:avLst/>
                            <a:gdLst>
                              <a:gd name="T0" fmla="*/ 0 w 720"/>
                              <a:gd name="T1" fmla="*/ 0 h 700"/>
                              <a:gd name="T2" fmla="*/ 0 w 720"/>
                              <a:gd name="T3" fmla="*/ 644 h 700"/>
                              <a:gd name="T4" fmla="*/ 113 w 720"/>
                              <a:gd name="T5" fmla="*/ 665 h 700"/>
                              <a:gd name="T6" fmla="*/ 720 w 720"/>
                              <a:gd name="T7" fmla="*/ 644 h 700"/>
                              <a:gd name="T8" fmla="*/ 720 w 720"/>
                              <a:gd name="T9" fmla="*/ 617 h 700"/>
                              <a:gd name="T10" fmla="*/ 720 w 720"/>
                              <a:gd name="T11" fmla="*/ 0 h 700"/>
                              <a:gd name="T12" fmla="*/ 0 w 720"/>
                              <a:gd name="T13" fmla="*/ 0 h 700"/>
                            </a:gdLst>
                            <a:ahLst/>
                            <a:cxnLst>
                              <a:cxn ang="0">
                                <a:pos x="T0" y="T1"/>
                              </a:cxn>
                              <a:cxn ang="0">
                                <a:pos x="T2" y="T3"/>
                              </a:cxn>
                              <a:cxn ang="0">
                                <a:pos x="T4" y="T5"/>
                              </a:cxn>
                              <a:cxn ang="0">
                                <a:pos x="T6" y="T7"/>
                              </a:cxn>
                              <a:cxn ang="0">
                                <a:pos x="T8" y="T9"/>
                              </a:cxn>
                              <a:cxn ang="0">
                                <a:pos x="T10" y="T11"/>
                              </a:cxn>
                              <a:cxn ang="0">
                                <a:pos x="T12" y="T13"/>
                              </a:cxn>
                            </a:cxnLst>
                            <a:rect l="0" t="0" r="r" b="b"/>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ln>
                            <a:noFill/>
                          </a:ln>
                        </wps:spPr>
                        <wps:style>
                          <a:lnRef idx="0">
                            <a:scrgbClr r="0" g="0" b="0"/>
                          </a:lnRef>
                          <a:fillRef idx="1003">
                            <a:schemeClr val="dk2"/>
                          </a:fillRef>
                          <a:effectRef idx="0">
                            <a:scrgbClr r="0" g="0" b="0"/>
                          </a:effectRef>
                          <a:fontRef idx="major"/>
                        </wps:style>
                        <wps:txbx>
                          <w:txbxContent>
                            <w:p w14:paraId="6EAB6EBC" w14:textId="457AB408" w:rsidR="00CF7D57" w:rsidRPr="00CA5B5A" w:rsidRDefault="003B7A19" w:rsidP="006204C8">
                              <w:pPr>
                                <w:jc w:val="center"/>
                                <w:rPr>
                                  <w:color w:val="FFFFFF" w:themeColor="background1"/>
                                  <w:sz w:val="72"/>
                                  <w:szCs w:val="72"/>
                                </w:rPr>
                              </w:pPr>
                              <w:sdt>
                                <w:sdtPr>
                                  <w:rPr>
                                    <w:color w:val="FFFFFF" w:themeColor="background1"/>
                                    <w:sz w:val="56"/>
                                    <w:szCs w:val="56"/>
                                  </w:rPr>
                                  <w:alias w:val="Title"/>
                                  <w:tag w:val=""/>
                                  <w:id w:val="-2097781417"/>
                                  <w:dataBinding w:prefixMappings="xmlns:ns0='http://purl.org/dc/elements/1.1/' xmlns:ns1='http://schemas.openxmlformats.org/package/2006/metadata/core-properties' " w:xpath="/ns1:coreProperties[1]/ns0:title[1]" w:storeItemID="{6C3C8BC8-F283-45AE-878A-BAB7291924A1}"/>
                                  <w:text/>
                                </w:sdtPr>
                                <w:sdtEndPr/>
                                <w:sdtContent>
                                  <w:r w:rsidR="00CF7D57">
                                    <w:rPr>
                                      <w:color w:val="FFFFFF" w:themeColor="background1"/>
                                      <w:sz w:val="56"/>
                                      <w:szCs w:val="56"/>
                                      <w:lang w:val="sr-Latn-RS"/>
                                    </w:rPr>
                                    <w:t>Serbia Local Infrastructure and Institutional Development Project (P174251)</w:t>
                                  </w:r>
                                </w:sdtContent>
                              </w:sdt>
                            </w:p>
                          </w:txbxContent>
                        </wps:txbx>
                        <wps:bodyPr rot="0" vert="horz" wrap="square" lIns="914400" tIns="1097280" rIns="1097280" bIns="1097280" anchor="b" anchorCtr="0" upright="1">
                          <a:noAutofit/>
                        </wps:bodyPr>
                      </wps:wsp>
                      <wps:wsp>
                        <wps:cNvPr id="127" name="Freeform 11"/>
                        <wps:cNvSpPr>
                          <a:spLocks/>
                        </wps:cNvSpPr>
                        <wps:spPr bwMode="auto">
                          <a:xfrm>
                            <a:off x="876300" y="4769783"/>
                            <a:ext cx="4685030" cy="509905"/>
                          </a:xfrm>
                          <a:custGeom>
                            <a:avLst/>
                            <a:gdLst>
                              <a:gd name="T0" fmla="*/ 607 w 607"/>
                              <a:gd name="T1" fmla="*/ 0 h 66"/>
                              <a:gd name="T2" fmla="*/ 176 w 607"/>
                              <a:gd name="T3" fmla="*/ 57 h 66"/>
                              <a:gd name="T4" fmla="*/ 0 w 607"/>
                              <a:gd name="T5" fmla="*/ 48 h 66"/>
                              <a:gd name="T6" fmla="*/ 251 w 607"/>
                              <a:gd name="T7" fmla="*/ 66 h 66"/>
                              <a:gd name="T8" fmla="*/ 607 w 607"/>
                              <a:gd name="T9" fmla="*/ 27 h 66"/>
                              <a:gd name="T10" fmla="*/ 607 w 607"/>
                              <a:gd name="T11" fmla="*/ 0 h 66"/>
                            </a:gdLst>
                            <a:ahLst/>
                            <a:cxnLst>
                              <a:cxn ang="0">
                                <a:pos x="T0" y="T1"/>
                              </a:cxn>
                              <a:cxn ang="0">
                                <a:pos x="T2" y="T3"/>
                              </a:cxn>
                              <a:cxn ang="0">
                                <a:pos x="T4" y="T5"/>
                              </a:cxn>
                              <a:cxn ang="0">
                                <a:pos x="T6" y="T7"/>
                              </a:cxn>
                              <a:cxn ang="0">
                                <a:pos x="T8" y="T9"/>
                              </a:cxn>
                              <a:cxn ang="0">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chemeClr val="bg1">
                              <a:alpha val="3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8DA4360" id="Group 125" o:spid="_x0000_s1027" style="position:absolute;left:0;text-align:left;margin-left:10.3pt;margin-top:69.55pt;width:471pt;height:364.75pt;z-index:-251726848;mso-position-horizontal-relative:margin;mso-position-vertical-relative:page;mso-width-relative:margin" coordorigin="7205,19347" coordsize="66063,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">
                <o:lock v:ext="edit" aspectratio="t"/>
                <v:shape id="Freeform 10" o:spid="_x0000_s1028" style="position:absolute;left:7205;top:19347;width:66063;height:35421;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" adj="-11796480,,5400" path="m,c,644,,644,,644v23,6,62,14,113,21c250,685,476,700,720,644v,-27,,-27,,-27c720,,720,,720,,,,,,,e" fillcolor="#2d69b5 [2578]" stroked="f">
                  <v:fill color2="#091525 [962]" rotate="t" focusposition=".5,.5" focussize="" focus="100%" type="gradientRadial"/>
                  <v:stroke joinstyle="miter"/>
                  <v:formulas/>
                  <v:path arrowok="t" o:connecttype="custom" o:connectlocs="0,0;0,3258717;1036831,3364980;6606358,3258717;6606358,3122094;6606358,0;0,0" o:connectangles="0,0,0,0,0,0,0" textboxrect="0,0,720,700"/>
                  <v:textbox inset="1in,86.4pt,86.4pt,86.4pt">
                    <w:txbxContent>
                      <w:p w14:paraId="6EAB6EBC" w14:textId="457AB408" w:rsidR="00CF7D57" w:rsidRPr="00CA5B5A" w:rsidRDefault="00027299" w:rsidP="006204C8">
                        <w:pPr>
                          <w:jc w:val="center"/>
                          <w:rPr>
                            <w:color w:val="FFFFFF" w:themeColor="background1"/>
                            <w:sz w:val="72"/>
                            <w:szCs w:val="72"/>
                          </w:rPr>
                        </w:pPr>
                        <w:sdt>
                          <w:sdtPr>
                            <w:rPr>
                              <w:color w:val="FFFFFF" w:themeColor="background1"/>
                              <w:sz w:val="56"/>
                              <w:szCs w:val="56"/>
                            </w:rPr>
                            <w:alias w:val="Title"/>
                            <w:tag w:val=""/>
                            <w:id w:val="-2097781417"/>
                            <w:dataBinding w:prefixMappings="xmlns:ns0='http://purl.org/dc/elements/1.1/' xmlns:ns1='http://schemas.openxmlformats.org/package/2006/metadata/core-properties' " w:xpath="/ns1:coreProperties[1]/ns0:title[1]" w:storeItemID="{6C3C8BC8-F283-45AE-878A-BAB7291924A1}"/>
                            <w:text/>
                          </w:sdtPr>
                          <w:sdtEndPr/>
                          <w:sdtContent>
                            <w:r w:rsidR="00CF7D57">
                              <w:rPr>
                                <w:color w:val="FFFFFF" w:themeColor="background1"/>
                                <w:sz w:val="56"/>
                                <w:szCs w:val="56"/>
                                <w:lang w:val="sr-Latn-RS"/>
                              </w:rPr>
                              <w:t>Serbia Local Infrastructure and Institutional Development Project (P174251)</w:t>
                            </w:r>
                          </w:sdtContent>
                        </w:sdt>
                      </w:p>
                    </w:txbxContent>
                  </v:textbox>
                </v:shape>
                <v:shape id="Freeform 11" o:spid="_x0000_s1029"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" path="m607,c450,44,300,57,176,57,109,57,49,53,,48,66,58,152,66,251,66,358,66,480,56,607,27,607,,607,,607,e" fillcolor="white [3212]" stroked="f">
                  <v:fill opacity="19789f"/>
                  <v:path arrowok="t" o:connecttype="custom" o:connectlocs="4685030,0;1358427,440373;0,370840;1937302,509905;4685030,208598;4685030,0" o:connectangles="0,0,0,0,0,0"/>
                </v:shape>
                <w10:wrap anchorx="margin" anchory="page"/>
              </v:group>
            </w:pict>
          </mc:Fallback>
        </mc:AlternateContent>
      </w:r>
    </w:p>
    <w:p w14:paraId="3C041D2D"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32D22101"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44C399D8"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22E4E1E7"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6519B3D0"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395D564F"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39EA727D"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318B50BC"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3269F2F8"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5334CC1E" w14:textId="77777777" w:rsidR="006204C8" w:rsidRPr="005948DE" w:rsidRDefault="006204C8" w:rsidP="005948DE">
      <w:pPr>
        <w:spacing w:after="120" w:line="276" w:lineRule="auto"/>
        <w:jc w:val="both"/>
        <w:rPr>
          <w:rFonts w:ascii="Times New Roman" w:eastAsiaTheme="majorEastAsia" w:hAnsi="Times New Roman" w:cs="Times New Roman"/>
          <w:b/>
          <w:bCs/>
          <w:smallCaps/>
          <w:color w:val="0070C0"/>
          <w:sz w:val="36"/>
          <w:szCs w:val="36"/>
        </w:rPr>
      </w:pPr>
    </w:p>
    <w:p w14:paraId="1AE047D1" w14:textId="77777777" w:rsidR="006204C8" w:rsidRPr="005948DE" w:rsidRDefault="006204C8" w:rsidP="005948DE">
      <w:pPr>
        <w:spacing w:after="120" w:line="276" w:lineRule="auto"/>
        <w:jc w:val="both"/>
        <w:rPr>
          <w:rFonts w:ascii="Times New Roman" w:eastAsiaTheme="majorEastAsia" w:hAnsi="Times New Roman" w:cs="Times New Roman"/>
          <w:b/>
          <w:bCs/>
          <w:smallCaps/>
          <w:sz w:val="36"/>
          <w:szCs w:val="36"/>
        </w:rPr>
      </w:pPr>
    </w:p>
    <w:p w14:paraId="34C15017" w14:textId="77777777" w:rsidR="006204C8" w:rsidRPr="005948DE" w:rsidRDefault="006204C8" w:rsidP="002F44F7">
      <w:pPr>
        <w:spacing w:after="120" w:line="276" w:lineRule="auto"/>
        <w:jc w:val="center"/>
        <w:rPr>
          <w:rFonts w:ascii="Times New Roman" w:eastAsiaTheme="majorEastAsia" w:hAnsi="Times New Roman" w:cs="Times New Roman"/>
          <w:b/>
          <w:bCs/>
          <w:smallCaps/>
          <w:sz w:val="36"/>
          <w:szCs w:val="36"/>
        </w:rPr>
      </w:pPr>
    </w:p>
    <w:p w14:paraId="39988BE9" w14:textId="34714BBF" w:rsidR="006204C8" w:rsidRPr="005948DE" w:rsidRDefault="006204C8" w:rsidP="002F44F7">
      <w:pPr>
        <w:spacing w:line="276" w:lineRule="auto"/>
        <w:jc w:val="center"/>
        <w:rPr>
          <w:rFonts w:ascii="Times New Roman" w:hAnsi="Times New Roman" w:cs="Times New Roman"/>
          <w:sz w:val="40"/>
        </w:rPr>
      </w:pPr>
      <w:r w:rsidRPr="005948DE">
        <w:rPr>
          <w:rFonts w:ascii="Times New Roman" w:hAnsi="Times New Roman" w:cs="Times New Roman"/>
          <w:sz w:val="40"/>
        </w:rPr>
        <w:t>PROJECT OPERATION</w:t>
      </w:r>
      <w:r w:rsidR="008C0E15" w:rsidRPr="005948DE">
        <w:rPr>
          <w:rFonts w:ascii="Times New Roman" w:hAnsi="Times New Roman" w:cs="Times New Roman"/>
          <w:sz w:val="40"/>
        </w:rPr>
        <w:t>S</w:t>
      </w:r>
      <w:r w:rsidRPr="005948DE">
        <w:rPr>
          <w:rFonts w:ascii="Times New Roman" w:hAnsi="Times New Roman" w:cs="Times New Roman"/>
          <w:sz w:val="40"/>
        </w:rPr>
        <w:t xml:space="preserve"> </w:t>
      </w:r>
      <w:r w:rsidR="008C0E15" w:rsidRPr="005948DE">
        <w:rPr>
          <w:rFonts w:ascii="Times New Roman" w:hAnsi="Times New Roman" w:cs="Times New Roman"/>
          <w:sz w:val="40"/>
        </w:rPr>
        <w:t xml:space="preserve">AND GRANT </w:t>
      </w:r>
      <w:r w:rsidRPr="005948DE">
        <w:rPr>
          <w:rFonts w:ascii="Times New Roman" w:hAnsi="Times New Roman" w:cs="Times New Roman"/>
          <w:sz w:val="40"/>
        </w:rPr>
        <w:t>MANUAL (</w:t>
      </w:r>
      <w:r w:rsidR="008F1997" w:rsidRPr="005948DE">
        <w:rPr>
          <w:rFonts w:ascii="Times New Roman" w:hAnsi="Times New Roman" w:cs="Times New Roman"/>
          <w:sz w:val="40"/>
        </w:rPr>
        <w:t>POGM</w:t>
      </w:r>
      <w:r w:rsidRPr="005948DE">
        <w:rPr>
          <w:rFonts w:ascii="Times New Roman" w:hAnsi="Times New Roman" w:cs="Times New Roman"/>
          <w:sz w:val="40"/>
        </w:rPr>
        <w:t>)</w:t>
      </w:r>
    </w:p>
    <w:p w14:paraId="33140694"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1858485D"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19031223"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4A58D820"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74948967"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1B05B13F"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12D21DBC"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1FDCC347" w14:textId="77777777" w:rsidR="006204C8" w:rsidRPr="005948DE" w:rsidRDefault="006204C8" w:rsidP="005948DE">
      <w:pPr>
        <w:spacing w:after="120" w:line="276" w:lineRule="auto"/>
        <w:jc w:val="both"/>
        <w:rPr>
          <w:rFonts w:ascii="Times New Roman" w:eastAsiaTheme="majorEastAsia" w:hAnsi="Times New Roman" w:cs="Times New Roman"/>
          <w:bCs/>
          <w:smallCaps/>
          <w:color w:val="0070C0"/>
          <w:szCs w:val="36"/>
        </w:rPr>
      </w:pPr>
    </w:p>
    <w:p w14:paraId="77B03FA0" w14:textId="034C7B04" w:rsidR="006204C8" w:rsidRPr="005948DE" w:rsidRDefault="00D23E88" w:rsidP="002F44F7">
      <w:pPr>
        <w:spacing w:after="120" w:line="276" w:lineRule="auto"/>
        <w:jc w:val="center"/>
        <w:rPr>
          <w:rFonts w:ascii="Times New Roman" w:eastAsiaTheme="majorEastAsia" w:hAnsi="Times New Roman" w:cs="Times New Roman"/>
          <w:bCs/>
          <w:smallCaps/>
          <w:szCs w:val="36"/>
        </w:rPr>
      </w:pPr>
      <w:r w:rsidRPr="005948DE">
        <w:rPr>
          <w:rFonts w:ascii="Times New Roman" w:eastAsiaTheme="majorEastAsia" w:hAnsi="Times New Roman" w:cs="Times New Roman"/>
          <w:bCs/>
          <w:smallCaps/>
          <w:szCs w:val="36"/>
        </w:rPr>
        <w:t xml:space="preserve">BELGRADE, </w:t>
      </w:r>
      <w:r w:rsidR="00F0228C">
        <w:rPr>
          <w:rFonts w:ascii="Times New Roman" w:eastAsiaTheme="majorEastAsia" w:hAnsi="Times New Roman" w:cs="Times New Roman"/>
          <w:bCs/>
          <w:smallCaps/>
          <w:szCs w:val="36"/>
        </w:rPr>
        <w:t>March</w:t>
      </w:r>
      <w:r w:rsidR="00CB1F9C">
        <w:rPr>
          <w:rFonts w:ascii="Times New Roman" w:eastAsiaTheme="majorEastAsia" w:hAnsi="Times New Roman" w:cs="Times New Roman"/>
          <w:bCs/>
          <w:smallCaps/>
          <w:szCs w:val="36"/>
        </w:rPr>
        <w:t xml:space="preserve"> </w:t>
      </w:r>
      <w:r w:rsidR="006204C8" w:rsidRPr="005948DE">
        <w:rPr>
          <w:rFonts w:ascii="Times New Roman" w:eastAsiaTheme="majorEastAsia" w:hAnsi="Times New Roman" w:cs="Times New Roman"/>
          <w:bCs/>
          <w:smallCaps/>
          <w:szCs w:val="36"/>
        </w:rPr>
        <w:t>202</w:t>
      </w:r>
      <w:r w:rsidR="009A23C1">
        <w:rPr>
          <w:rFonts w:ascii="Times New Roman" w:eastAsiaTheme="majorEastAsia" w:hAnsi="Times New Roman" w:cs="Times New Roman"/>
          <w:bCs/>
          <w:smallCaps/>
          <w:szCs w:val="36"/>
        </w:rPr>
        <w:t>2</w:t>
      </w:r>
    </w:p>
    <w:p w14:paraId="3877CD05" w14:textId="77777777" w:rsidR="00467B86" w:rsidRPr="005948DE" w:rsidRDefault="00467B86" w:rsidP="005948DE">
      <w:pPr>
        <w:spacing w:after="0" w:line="276" w:lineRule="auto"/>
        <w:jc w:val="both"/>
        <w:rPr>
          <w:rFonts w:ascii="Times New Roman" w:eastAsiaTheme="majorEastAsia" w:hAnsi="Times New Roman" w:cs="Times New Roman"/>
          <w:bCs/>
          <w:smallCaps/>
          <w:color w:val="0070C0"/>
          <w:sz w:val="16"/>
          <w:szCs w:val="36"/>
        </w:rPr>
        <w:sectPr w:rsidR="00467B86" w:rsidRPr="005948DE" w:rsidSect="005628E1">
          <w:headerReference w:type="default" r:id="rId12"/>
          <w:headerReference w:type="first" r:id="rId13"/>
          <w:footerReference w:type="first" r:id="rId14"/>
          <w:type w:val="nextColumn"/>
          <w:pgSz w:w="11905" w:h="16837" w:code="9"/>
          <w:pgMar w:top="1134" w:right="1134" w:bottom="1134" w:left="1418" w:header="510" w:footer="340" w:gutter="0"/>
          <w:pgNumType w:start="0"/>
          <w:cols w:space="720"/>
          <w:docGrid w:linePitch="360"/>
        </w:sectPr>
      </w:pPr>
    </w:p>
    <w:p w14:paraId="7DD661CC" w14:textId="1DBB60A8" w:rsidR="00295415" w:rsidRPr="005948DE" w:rsidRDefault="00295415" w:rsidP="005948DE">
      <w:pPr>
        <w:spacing w:after="0" w:line="276" w:lineRule="auto"/>
        <w:jc w:val="both"/>
        <w:rPr>
          <w:rFonts w:ascii="Times New Roman" w:eastAsiaTheme="majorEastAsia" w:hAnsi="Times New Roman" w:cs="Times New Roman"/>
          <w:bCs/>
          <w:smallCaps/>
          <w:color w:val="0070C0"/>
          <w:sz w:val="16"/>
          <w:szCs w:val="36"/>
        </w:rPr>
      </w:pPr>
    </w:p>
    <w:p w14:paraId="7BF35E3F" w14:textId="77777777" w:rsidR="00295415" w:rsidRPr="005948DE" w:rsidRDefault="00BB64C7" w:rsidP="005948DE">
      <w:pPr>
        <w:tabs>
          <w:tab w:val="left" w:pos="3070"/>
        </w:tabs>
        <w:spacing w:after="0" w:line="276" w:lineRule="auto"/>
        <w:jc w:val="both"/>
        <w:rPr>
          <w:rFonts w:ascii="Times New Roman" w:eastAsiaTheme="majorEastAsia" w:hAnsi="Times New Roman" w:cs="Times New Roman"/>
          <w:b/>
          <w:bCs/>
          <w:smallCaps/>
          <w:color w:val="0070C0"/>
          <w:sz w:val="24"/>
          <w:szCs w:val="36"/>
        </w:rPr>
      </w:pPr>
      <w:r w:rsidRPr="005948DE">
        <w:rPr>
          <w:rFonts w:ascii="Times New Roman" w:eastAsiaTheme="majorEastAsia" w:hAnsi="Times New Roman" w:cs="Times New Roman"/>
          <w:b/>
          <w:bCs/>
          <w:smallCaps/>
          <w:color w:val="0070C0"/>
          <w:sz w:val="24"/>
          <w:szCs w:val="36"/>
        </w:rPr>
        <w:br w:type="page"/>
      </w:r>
    </w:p>
    <w:sdt>
      <w:sdtPr>
        <w:rPr>
          <w:rFonts w:ascii="Times New Roman" w:eastAsiaTheme="minorEastAsia" w:hAnsi="Times New Roman" w:cs="Times New Roman"/>
          <w:b w:val="0"/>
          <w:bCs w:val="0"/>
          <w:smallCaps w:val="0"/>
          <w:color w:val="auto"/>
          <w:sz w:val="22"/>
          <w:szCs w:val="22"/>
        </w:rPr>
        <w:id w:val="-1152063633"/>
        <w:docPartObj>
          <w:docPartGallery w:val="Table of Contents"/>
          <w:docPartUnique/>
        </w:docPartObj>
      </w:sdtPr>
      <w:sdtEndPr>
        <w:rPr>
          <w:noProof/>
        </w:rPr>
      </w:sdtEndPr>
      <w:sdtContent>
        <w:p w14:paraId="2E03E9AE" w14:textId="5C2A4BCB" w:rsidR="00663DC2" w:rsidRPr="005948DE" w:rsidRDefault="00663DC2" w:rsidP="005948DE">
          <w:pPr>
            <w:pStyle w:val="TOCHeading"/>
            <w:spacing w:line="276" w:lineRule="auto"/>
            <w:jc w:val="both"/>
            <w:rPr>
              <w:rFonts w:ascii="Times New Roman" w:hAnsi="Times New Roman" w:cs="Times New Roman"/>
            </w:rPr>
          </w:pPr>
          <w:r w:rsidRPr="005948DE">
            <w:rPr>
              <w:rFonts w:ascii="Times New Roman" w:hAnsi="Times New Roman" w:cs="Times New Roman"/>
            </w:rPr>
            <w:t>Contents</w:t>
          </w:r>
        </w:p>
        <w:p w14:paraId="54D3A414" w14:textId="77777777" w:rsidR="00197FD1" w:rsidRDefault="00663DC2">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r w:rsidRPr="005948DE">
            <w:rPr>
              <w:rFonts w:ascii="Times New Roman" w:hAnsi="Times New Roman" w:cs="Times New Roman"/>
            </w:rPr>
            <w:fldChar w:fldCharType="begin"/>
          </w:r>
          <w:r w:rsidRPr="005948DE">
            <w:rPr>
              <w:rFonts w:ascii="Times New Roman" w:hAnsi="Times New Roman" w:cs="Times New Roman"/>
            </w:rPr>
            <w:instrText xml:space="preserve"> TOC \o "1-3" \h \z \u </w:instrText>
          </w:r>
          <w:r w:rsidRPr="005948DE">
            <w:rPr>
              <w:rFonts w:ascii="Times New Roman" w:hAnsi="Times New Roman" w:cs="Times New Roman"/>
            </w:rPr>
            <w:fldChar w:fldCharType="separate"/>
          </w:r>
          <w:hyperlink w:anchor="_Toc93342205" w:history="1">
            <w:r w:rsidR="00197FD1" w:rsidRPr="00CB35AF">
              <w:rPr>
                <w:rStyle w:val="Hyperlink"/>
                <w:rFonts w:ascii="Times New Roman" w:hAnsi="Times New Roman" w:cs="Times New Roman"/>
                <w:noProof/>
              </w:rPr>
              <w:t>1</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INTRODUCTION</w:t>
            </w:r>
            <w:r w:rsidR="00197FD1">
              <w:rPr>
                <w:noProof/>
                <w:webHidden/>
              </w:rPr>
              <w:tab/>
            </w:r>
            <w:r w:rsidR="00197FD1">
              <w:rPr>
                <w:noProof/>
                <w:webHidden/>
              </w:rPr>
              <w:fldChar w:fldCharType="begin"/>
            </w:r>
            <w:r w:rsidR="00197FD1">
              <w:rPr>
                <w:noProof/>
                <w:webHidden/>
              </w:rPr>
              <w:instrText xml:space="preserve"> PAGEREF _Toc93342205 \h </w:instrText>
            </w:r>
            <w:r w:rsidR="00197FD1">
              <w:rPr>
                <w:noProof/>
                <w:webHidden/>
              </w:rPr>
            </w:r>
            <w:r w:rsidR="00197FD1">
              <w:rPr>
                <w:noProof/>
                <w:webHidden/>
              </w:rPr>
              <w:fldChar w:fldCharType="separate"/>
            </w:r>
            <w:r w:rsidR="00BD5D6E">
              <w:rPr>
                <w:noProof/>
                <w:webHidden/>
              </w:rPr>
              <w:t>6</w:t>
            </w:r>
            <w:r w:rsidR="00197FD1">
              <w:rPr>
                <w:noProof/>
                <w:webHidden/>
              </w:rPr>
              <w:fldChar w:fldCharType="end"/>
            </w:r>
          </w:hyperlink>
        </w:p>
        <w:p w14:paraId="564A66BC"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06" w:history="1">
            <w:r w:rsidR="00197FD1" w:rsidRPr="00CB35AF">
              <w:rPr>
                <w:rStyle w:val="Hyperlink"/>
                <w:rFonts w:ascii="Times New Roman" w:hAnsi="Times New Roman" w:cs="Times New Roman"/>
                <w:noProof/>
              </w:rPr>
              <w:t>1.1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Purpose of Project Operations and Grant Manual</w:t>
            </w:r>
            <w:r w:rsidR="00197FD1">
              <w:rPr>
                <w:noProof/>
                <w:webHidden/>
              </w:rPr>
              <w:tab/>
            </w:r>
            <w:r w:rsidR="00197FD1">
              <w:rPr>
                <w:noProof/>
                <w:webHidden/>
              </w:rPr>
              <w:fldChar w:fldCharType="begin"/>
            </w:r>
            <w:r w:rsidR="00197FD1">
              <w:rPr>
                <w:noProof/>
                <w:webHidden/>
              </w:rPr>
              <w:instrText xml:space="preserve"> PAGEREF _Toc93342206 \h </w:instrText>
            </w:r>
            <w:r w:rsidR="00197FD1">
              <w:rPr>
                <w:noProof/>
                <w:webHidden/>
              </w:rPr>
            </w:r>
            <w:r w:rsidR="00197FD1">
              <w:rPr>
                <w:noProof/>
                <w:webHidden/>
              </w:rPr>
              <w:fldChar w:fldCharType="separate"/>
            </w:r>
            <w:r w:rsidR="00BD5D6E">
              <w:rPr>
                <w:noProof/>
                <w:webHidden/>
              </w:rPr>
              <w:t>6</w:t>
            </w:r>
            <w:r w:rsidR="00197FD1">
              <w:rPr>
                <w:noProof/>
                <w:webHidden/>
              </w:rPr>
              <w:fldChar w:fldCharType="end"/>
            </w:r>
          </w:hyperlink>
        </w:p>
        <w:p w14:paraId="7F542178"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07" w:history="1">
            <w:r w:rsidR="00197FD1" w:rsidRPr="00CB35AF">
              <w:rPr>
                <w:rStyle w:val="Hyperlink"/>
                <w:rFonts w:ascii="Times New Roman" w:hAnsi="Times New Roman" w:cs="Times New Roman"/>
                <w:noProof/>
              </w:rPr>
              <w:t>1.2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Key Project Documents</w:t>
            </w:r>
            <w:r w:rsidR="00197FD1">
              <w:rPr>
                <w:noProof/>
                <w:webHidden/>
              </w:rPr>
              <w:tab/>
            </w:r>
            <w:r w:rsidR="00197FD1">
              <w:rPr>
                <w:noProof/>
                <w:webHidden/>
              </w:rPr>
              <w:fldChar w:fldCharType="begin"/>
            </w:r>
            <w:r w:rsidR="00197FD1">
              <w:rPr>
                <w:noProof/>
                <w:webHidden/>
              </w:rPr>
              <w:instrText xml:space="preserve"> PAGEREF _Toc93342207 \h </w:instrText>
            </w:r>
            <w:r w:rsidR="00197FD1">
              <w:rPr>
                <w:noProof/>
                <w:webHidden/>
              </w:rPr>
            </w:r>
            <w:r w:rsidR="00197FD1">
              <w:rPr>
                <w:noProof/>
                <w:webHidden/>
              </w:rPr>
              <w:fldChar w:fldCharType="separate"/>
            </w:r>
            <w:r w:rsidR="00BD5D6E">
              <w:rPr>
                <w:noProof/>
                <w:webHidden/>
              </w:rPr>
              <w:t>6</w:t>
            </w:r>
            <w:r w:rsidR="00197FD1">
              <w:rPr>
                <w:noProof/>
                <w:webHidden/>
              </w:rPr>
              <w:fldChar w:fldCharType="end"/>
            </w:r>
          </w:hyperlink>
        </w:p>
        <w:p w14:paraId="5994FD5E"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208" w:history="1">
            <w:r w:rsidR="00197FD1" w:rsidRPr="00CB35AF">
              <w:rPr>
                <w:rStyle w:val="Hyperlink"/>
                <w:rFonts w:ascii="Times New Roman" w:hAnsi="Times New Roman" w:cs="Times New Roman"/>
                <w:noProof/>
              </w:rPr>
              <w:t>2</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PROJECT DESCRIPTION, OBJECTIVES AND INDICATORS</w:t>
            </w:r>
            <w:r w:rsidR="00197FD1">
              <w:rPr>
                <w:noProof/>
                <w:webHidden/>
              </w:rPr>
              <w:tab/>
            </w:r>
            <w:r w:rsidR="00197FD1">
              <w:rPr>
                <w:noProof/>
                <w:webHidden/>
              </w:rPr>
              <w:fldChar w:fldCharType="begin"/>
            </w:r>
            <w:r w:rsidR="00197FD1">
              <w:rPr>
                <w:noProof/>
                <w:webHidden/>
              </w:rPr>
              <w:instrText xml:space="preserve"> PAGEREF _Toc93342208 \h </w:instrText>
            </w:r>
            <w:r w:rsidR="00197FD1">
              <w:rPr>
                <w:noProof/>
                <w:webHidden/>
              </w:rPr>
            </w:r>
            <w:r w:rsidR="00197FD1">
              <w:rPr>
                <w:noProof/>
                <w:webHidden/>
              </w:rPr>
              <w:fldChar w:fldCharType="separate"/>
            </w:r>
            <w:r w:rsidR="00BD5D6E">
              <w:rPr>
                <w:noProof/>
                <w:webHidden/>
              </w:rPr>
              <w:t>8</w:t>
            </w:r>
            <w:r w:rsidR="00197FD1">
              <w:rPr>
                <w:noProof/>
                <w:webHidden/>
              </w:rPr>
              <w:fldChar w:fldCharType="end"/>
            </w:r>
          </w:hyperlink>
        </w:p>
        <w:p w14:paraId="43C8D3E4"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09" w:history="1">
            <w:r w:rsidR="00197FD1" w:rsidRPr="00CB35AF">
              <w:rPr>
                <w:rStyle w:val="Hyperlink"/>
                <w:rFonts w:ascii="Times New Roman" w:hAnsi="Times New Roman" w:cs="Times New Roman"/>
                <w:noProof/>
              </w:rPr>
              <w:t>2.1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Project Description</w:t>
            </w:r>
            <w:r w:rsidR="00197FD1">
              <w:rPr>
                <w:noProof/>
                <w:webHidden/>
              </w:rPr>
              <w:tab/>
            </w:r>
            <w:r w:rsidR="00197FD1">
              <w:rPr>
                <w:noProof/>
                <w:webHidden/>
              </w:rPr>
              <w:fldChar w:fldCharType="begin"/>
            </w:r>
            <w:r w:rsidR="00197FD1">
              <w:rPr>
                <w:noProof/>
                <w:webHidden/>
              </w:rPr>
              <w:instrText xml:space="preserve"> PAGEREF _Toc93342209 \h </w:instrText>
            </w:r>
            <w:r w:rsidR="00197FD1">
              <w:rPr>
                <w:noProof/>
                <w:webHidden/>
              </w:rPr>
            </w:r>
            <w:r w:rsidR="00197FD1">
              <w:rPr>
                <w:noProof/>
                <w:webHidden/>
              </w:rPr>
              <w:fldChar w:fldCharType="separate"/>
            </w:r>
            <w:r w:rsidR="00BD5D6E">
              <w:rPr>
                <w:noProof/>
                <w:webHidden/>
              </w:rPr>
              <w:t>8</w:t>
            </w:r>
            <w:r w:rsidR="00197FD1">
              <w:rPr>
                <w:noProof/>
                <w:webHidden/>
              </w:rPr>
              <w:fldChar w:fldCharType="end"/>
            </w:r>
          </w:hyperlink>
        </w:p>
        <w:p w14:paraId="0A75BC61"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10" w:history="1">
            <w:r w:rsidR="00197FD1" w:rsidRPr="00CB35AF">
              <w:rPr>
                <w:rStyle w:val="Hyperlink"/>
                <w:rFonts w:ascii="Times New Roman" w:hAnsi="Times New Roman" w:cs="Times New Roman"/>
                <w:noProof/>
              </w:rPr>
              <w:t>2.2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Project Components</w:t>
            </w:r>
            <w:r w:rsidR="00197FD1">
              <w:rPr>
                <w:noProof/>
                <w:webHidden/>
              </w:rPr>
              <w:tab/>
            </w:r>
            <w:r w:rsidR="00197FD1">
              <w:rPr>
                <w:noProof/>
                <w:webHidden/>
              </w:rPr>
              <w:fldChar w:fldCharType="begin"/>
            </w:r>
            <w:r w:rsidR="00197FD1">
              <w:rPr>
                <w:noProof/>
                <w:webHidden/>
              </w:rPr>
              <w:instrText xml:space="preserve"> PAGEREF _Toc93342210 \h </w:instrText>
            </w:r>
            <w:r w:rsidR="00197FD1">
              <w:rPr>
                <w:noProof/>
                <w:webHidden/>
              </w:rPr>
            </w:r>
            <w:r w:rsidR="00197FD1">
              <w:rPr>
                <w:noProof/>
                <w:webHidden/>
              </w:rPr>
              <w:fldChar w:fldCharType="separate"/>
            </w:r>
            <w:r w:rsidR="00BD5D6E">
              <w:rPr>
                <w:noProof/>
                <w:webHidden/>
              </w:rPr>
              <w:t>9</w:t>
            </w:r>
            <w:r w:rsidR="00197FD1">
              <w:rPr>
                <w:noProof/>
                <w:webHidden/>
              </w:rPr>
              <w:fldChar w:fldCharType="end"/>
            </w:r>
          </w:hyperlink>
        </w:p>
        <w:p w14:paraId="61C893F4" w14:textId="77777777" w:rsidR="00197FD1" w:rsidRDefault="003B7A19">
          <w:pPr>
            <w:pStyle w:val="TOC3"/>
            <w:tabs>
              <w:tab w:val="right" w:leader="dot" w:pos="9343"/>
            </w:tabs>
            <w:rPr>
              <w:rFonts w:asciiTheme="minorHAnsi" w:hAnsiTheme="minorHAnsi"/>
              <w:bCs w:val="0"/>
              <w:i w:val="0"/>
              <w:iCs w:val="0"/>
              <w:noProof/>
              <w:sz w:val="22"/>
              <w:lang w:val="en-US"/>
            </w:rPr>
          </w:pPr>
          <w:hyperlink w:anchor="_Toc93342211" w:history="1">
            <w:r w:rsidR="00197FD1" w:rsidRPr="00CB35AF">
              <w:rPr>
                <w:rStyle w:val="Hyperlink"/>
                <w:rFonts w:ascii="Times New Roman" w:hAnsi="Times New Roman" w:cs="Times New Roman"/>
                <w:noProof/>
              </w:rPr>
              <w:t>Component 1: Climate Smart Mobility</w:t>
            </w:r>
            <w:r w:rsidR="00197FD1">
              <w:rPr>
                <w:noProof/>
                <w:webHidden/>
              </w:rPr>
              <w:tab/>
            </w:r>
            <w:r w:rsidR="00197FD1">
              <w:rPr>
                <w:noProof/>
                <w:webHidden/>
              </w:rPr>
              <w:fldChar w:fldCharType="begin"/>
            </w:r>
            <w:r w:rsidR="00197FD1">
              <w:rPr>
                <w:noProof/>
                <w:webHidden/>
              </w:rPr>
              <w:instrText xml:space="preserve"> PAGEREF _Toc93342211 \h </w:instrText>
            </w:r>
            <w:r w:rsidR="00197FD1">
              <w:rPr>
                <w:noProof/>
                <w:webHidden/>
              </w:rPr>
            </w:r>
            <w:r w:rsidR="00197FD1">
              <w:rPr>
                <w:noProof/>
                <w:webHidden/>
              </w:rPr>
              <w:fldChar w:fldCharType="separate"/>
            </w:r>
            <w:r w:rsidR="00BD5D6E">
              <w:rPr>
                <w:noProof/>
                <w:webHidden/>
              </w:rPr>
              <w:t>9</w:t>
            </w:r>
            <w:r w:rsidR="00197FD1">
              <w:rPr>
                <w:noProof/>
                <w:webHidden/>
              </w:rPr>
              <w:fldChar w:fldCharType="end"/>
            </w:r>
          </w:hyperlink>
        </w:p>
        <w:p w14:paraId="66E0D2C0" w14:textId="77777777" w:rsidR="00197FD1" w:rsidRDefault="003B7A19">
          <w:pPr>
            <w:pStyle w:val="TOC3"/>
            <w:tabs>
              <w:tab w:val="right" w:leader="dot" w:pos="9343"/>
            </w:tabs>
            <w:rPr>
              <w:rFonts w:asciiTheme="minorHAnsi" w:hAnsiTheme="minorHAnsi"/>
              <w:bCs w:val="0"/>
              <w:i w:val="0"/>
              <w:iCs w:val="0"/>
              <w:noProof/>
              <w:sz w:val="22"/>
              <w:lang w:val="en-US"/>
            </w:rPr>
          </w:pPr>
          <w:hyperlink w:anchor="_Toc93342212" w:history="1">
            <w:r w:rsidR="00197FD1" w:rsidRPr="00CB35AF">
              <w:rPr>
                <w:rStyle w:val="Hyperlink"/>
                <w:rFonts w:ascii="Times New Roman" w:hAnsi="Times New Roman" w:cs="Times New Roman"/>
                <w:noProof/>
              </w:rPr>
              <w:t>Component 2: Strengthening Capacity for Infrastructure Service Delivery</w:t>
            </w:r>
            <w:r w:rsidR="00197FD1">
              <w:rPr>
                <w:noProof/>
                <w:webHidden/>
              </w:rPr>
              <w:tab/>
            </w:r>
            <w:r w:rsidR="00197FD1">
              <w:rPr>
                <w:noProof/>
                <w:webHidden/>
              </w:rPr>
              <w:fldChar w:fldCharType="begin"/>
            </w:r>
            <w:r w:rsidR="00197FD1">
              <w:rPr>
                <w:noProof/>
                <w:webHidden/>
              </w:rPr>
              <w:instrText xml:space="preserve"> PAGEREF _Toc93342212 \h </w:instrText>
            </w:r>
            <w:r w:rsidR="00197FD1">
              <w:rPr>
                <w:noProof/>
                <w:webHidden/>
              </w:rPr>
            </w:r>
            <w:r w:rsidR="00197FD1">
              <w:rPr>
                <w:noProof/>
                <w:webHidden/>
              </w:rPr>
              <w:fldChar w:fldCharType="separate"/>
            </w:r>
            <w:r w:rsidR="00BD5D6E">
              <w:rPr>
                <w:noProof/>
                <w:webHidden/>
              </w:rPr>
              <w:t>11</w:t>
            </w:r>
            <w:r w:rsidR="00197FD1">
              <w:rPr>
                <w:noProof/>
                <w:webHidden/>
              </w:rPr>
              <w:fldChar w:fldCharType="end"/>
            </w:r>
          </w:hyperlink>
        </w:p>
        <w:p w14:paraId="5A020B28" w14:textId="77777777" w:rsidR="00197FD1" w:rsidRDefault="003B7A19">
          <w:pPr>
            <w:pStyle w:val="TOC3"/>
            <w:tabs>
              <w:tab w:val="right" w:leader="dot" w:pos="9343"/>
            </w:tabs>
            <w:rPr>
              <w:rFonts w:asciiTheme="minorHAnsi" w:hAnsiTheme="minorHAnsi"/>
              <w:bCs w:val="0"/>
              <w:i w:val="0"/>
              <w:iCs w:val="0"/>
              <w:noProof/>
              <w:sz w:val="22"/>
              <w:lang w:val="en-US"/>
            </w:rPr>
          </w:pPr>
          <w:hyperlink w:anchor="_Toc93342213" w:history="1">
            <w:r w:rsidR="00197FD1" w:rsidRPr="00CB35AF">
              <w:rPr>
                <w:rStyle w:val="Hyperlink"/>
                <w:rFonts w:ascii="Times New Roman" w:hAnsi="Times New Roman" w:cs="Times New Roman"/>
                <w:noProof/>
              </w:rPr>
              <w:t>Component 3: Project Management and Awareness Raising</w:t>
            </w:r>
            <w:r w:rsidR="00197FD1">
              <w:rPr>
                <w:noProof/>
                <w:webHidden/>
              </w:rPr>
              <w:tab/>
            </w:r>
            <w:r w:rsidR="00197FD1">
              <w:rPr>
                <w:noProof/>
                <w:webHidden/>
              </w:rPr>
              <w:fldChar w:fldCharType="begin"/>
            </w:r>
            <w:r w:rsidR="00197FD1">
              <w:rPr>
                <w:noProof/>
                <w:webHidden/>
              </w:rPr>
              <w:instrText xml:space="preserve"> PAGEREF _Toc93342213 \h </w:instrText>
            </w:r>
            <w:r w:rsidR="00197FD1">
              <w:rPr>
                <w:noProof/>
                <w:webHidden/>
              </w:rPr>
            </w:r>
            <w:r w:rsidR="00197FD1">
              <w:rPr>
                <w:noProof/>
                <w:webHidden/>
              </w:rPr>
              <w:fldChar w:fldCharType="separate"/>
            </w:r>
            <w:r w:rsidR="00BD5D6E">
              <w:rPr>
                <w:noProof/>
                <w:webHidden/>
              </w:rPr>
              <w:t>12</w:t>
            </w:r>
            <w:r w:rsidR="00197FD1">
              <w:rPr>
                <w:noProof/>
                <w:webHidden/>
              </w:rPr>
              <w:fldChar w:fldCharType="end"/>
            </w:r>
          </w:hyperlink>
        </w:p>
        <w:p w14:paraId="1B72DD98"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14" w:history="1">
            <w:r w:rsidR="00197FD1" w:rsidRPr="00CB35AF">
              <w:rPr>
                <w:rStyle w:val="Hyperlink"/>
                <w:rFonts w:ascii="Times New Roman" w:hAnsi="Times New Roman" w:cs="Times New Roman"/>
                <w:noProof/>
              </w:rPr>
              <w:t>2.3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Project Development Objectives (PDO)</w:t>
            </w:r>
            <w:r w:rsidR="00197FD1">
              <w:rPr>
                <w:noProof/>
                <w:webHidden/>
              </w:rPr>
              <w:tab/>
            </w:r>
            <w:r w:rsidR="00197FD1">
              <w:rPr>
                <w:noProof/>
                <w:webHidden/>
              </w:rPr>
              <w:fldChar w:fldCharType="begin"/>
            </w:r>
            <w:r w:rsidR="00197FD1">
              <w:rPr>
                <w:noProof/>
                <w:webHidden/>
              </w:rPr>
              <w:instrText xml:space="preserve"> PAGEREF _Toc93342214 \h </w:instrText>
            </w:r>
            <w:r w:rsidR="00197FD1">
              <w:rPr>
                <w:noProof/>
                <w:webHidden/>
              </w:rPr>
            </w:r>
            <w:r w:rsidR="00197FD1">
              <w:rPr>
                <w:noProof/>
                <w:webHidden/>
              </w:rPr>
              <w:fldChar w:fldCharType="separate"/>
            </w:r>
            <w:r w:rsidR="00BD5D6E">
              <w:rPr>
                <w:noProof/>
                <w:webHidden/>
              </w:rPr>
              <w:t>12</w:t>
            </w:r>
            <w:r w:rsidR="00197FD1">
              <w:rPr>
                <w:noProof/>
                <w:webHidden/>
              </w:rPr>
              <w:fldChar w:fldCharType="end"/>
            </w:r>
          </w:hyperlink>
        </w:p>
        <w:p w14:paraId="20ABBE74"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215" w:history="1">
            <w:r w:rsidR="00197FD1" w:rsidRPr="00CB35AF">
              <w:rPr>
                <w:rStyle w:val="Hyperlink"/>
                <w:rFonts w:ascii="Times New Roman" w:hAnsi="Times New Roman" w:cs="Times New Roman"/>
                <w:noProof/>
              </w:rPr>
              <w:t>3</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INSTITUTIONAL AND IMPLEMENTATION ARRANGEMENTS</w:t>
            </w:r>
            <w:r w:rsidR="00197FD1">
              <w:rPr>
                <w:noProof/>
                <w:webHidden/>
              </w:rPr>
              <w:tab/>
            </w:r>
            <w:r w:rsidR="00197FD1">
              <w:rPr>
                <w:noProof/>
                <w:webHidden/>
              </w:rPr>
              <w:fldChar w:fldCharType="begin"/>
            </w:r>
            <w:r w:rsidR="00197FD1">
              <w:rPr>
                <w:noProof/>
                <w:webHidden/>
              </w:rPr>
              <w:instrText xml:space="preserve"> PAGEREF _Toc93342215 \h </w:instrText>
            </w:r>
            <w:r w:rsidR="00197FD1">
              <w:rPr>
                <w:noProof/>
                <w:webHidden/>
              </w:rPr>
            </w:r>
            <w:r w:rsidR="00197FD1">
              <w:rPr>
                <w:noProof/>
                <w:webHidden/>
              </w:rPr>
              <w:fldChar w:fldCharType="separate"/>
            </w:r>
            <w:r w:rsidR="00BD5D6E">
              <w:rPr>
                <w:noProof/>
                <w:webHidden/>
              </w:rPr>
              <w:t>14</w:t>
            </w:r>
            <w:r w:rsidR="00197FD1">
              <w:rPr>
                <w:noProof/>
                <w:webHidden/>
              </w:rPr>
              <w:fldChar w:fldCharType="end"/>
            </w:r>
          </w:hyperlink>
        </w:p>
        <w:p w14:paraId="77B61E63"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16" w:history="1">
            <w:r w:rsidR="00197FD1" w:rsidRPr="00CB35AF">
              <w:rPr>
                <w:rStyle w:val="Hyperlink"/>
                <w:rFonts w:ascii="Times New Roman" w:hAnsi="Times New Roman" w:cs="Times New Roman"/>
                <w:noProof/>
              </w:rPr>
              <w:t>3.1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Institutional arrangements and responsibilities</w:t>
            </w:r>
            <w:r w:rsidR="00197FD1">
              <w:rPr>
                <w:noProof/>
                <w:webHidden/>
              </w:rPr>
              <w:tab/>
            </w:r>
            <w:r w:rsidR="00197FD1">
              <w:rPr>
                <w:noProof/>
                <w:webHidden/>
              </w:rPr>
              <w:fldChar w:fldCharType="begin"/>
            </w:r>
            <w:r w:rsidR="00197FD1">
              <w:rPr>
                <w:noProof/>
                <w:webHidden/>
              </w:rPr>
              <w:instrText xml:space="preserve"> PAGEREF _Toc93342216 \h </w:instrText>
            </w:r>
            <w:r w:rsidR="00197FD1">
              <w:rPr>
                <w:noProof/>
                <w:webHidden/>
              </w:rPr>
            </w:r>
            <w:r w:rsidR="00197FD1">
              <w:rPr>
                <w:noProof/>
                <w:webHidden/>
              </w:rPr>
              <w:fldChar w:fldCharType="separate"/>
            </w:r>
            <w:r w:rsidR="00BD5D6E">
              <w:rPr>
                <w:noProof/>
                <w:webHidden/>
              </w:rPr>
              <w:t>14</w:t>
            </w:r>
            <w:r w:rsidR="00197FD1">
              <w:rPr>
                <w:noProof/>
                <w:webHidden/>
              </w:rPr>
              <w:fldChar w:fldCharType="end"/>
            </w:r>
          </w:hyperlink>
        </w:p>
        <w:p w14:paraId="20B8A94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17" w:history="1">
            <w:r w:rsidR="00197FD1" w:rsidRPr="00CB35AF">
              <w:rPr>
                <w:rStyle w:val="Hyperlink"/>
                <w:rFonts w:ascii="Times New Roman" w:hAnsi="Times New Roman" w:cs="Times New Roman"/>
                <w:noProof/>
              </w:rPr>
              <w:t>3.2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The Main Roles and Responsibilities of the Project Stakeholders</w:t>
            </w:r>
            <w:r w:rsidR="00197FD1">
              <w:rPr>
                <w:noProof/>
                <w:webHidden/>
              </w:rPr>
              <w:tab/>
            </w:r>
            <w:r w:rsidR="00197FD1">
              <w:rPr>
                <w:noProof/>
                <w:webHidden/>
              </w:rPr>
              <w:fldChar w:fldCharType="begin"/>
            </w:r>
            <w:r w:rsidR="00197FD1">
              <w:rPr>
                <w:noProof/>
                <w:webHidden/>
              </w:rPr>
              <w:instrText xml:space="preserve"> PAGEREF _Toc93342217 \h </w:instrText>
            </w:r>
            <w:r w:rsidR="00197FD1">
              <w:rPr>
                <w:noProof/>
                <w:webHidden/>
              </w:rPr>
            </w:r>
            <w:r w:rsidR="00197FD1">
              <w:rPr>
                <w:noProof/>
                <w:webHidden/>
              </w:rPr>
              <w:fldChar w:fldCharType="separate"/>
            </w:r>
            <w:r w:rsidR="00BD5D6E">
              <w:rPr>
                <w:noProof/>
                <w:webHidden/>
              </w:rPr>
              <w:t>15</w:t>
            </w:r>
            <w:r w:rsidR="00197FD1">
              <w:rPr>
                <w:noProof/>
                <w:webHidden/>
              </w:rPr>
              <w:fldChar w:fldCharType="end"/>
            </w:r>
          </w:hyperlink>
        </w:p>
        <w:p w14:paraId="67432FF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18" w:history="1">
            <w:r w:rsidR="00197FD1" w:rsidRPr="00CB35AF">
              <w:rPr>
                <w:rStyle w:val="Hyperlink"/>
                <w:rFonts w:ascii="Times New Roman" w:hAnsi="Times New Roman" w:cs="Times New Roman"/>
                <w:smallCaps/>
                <w:noProof/>
              </w:rPr>
              <w:t>3.2.1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Ministry of Construction, Transport and Infrastructure</w:t>
            </w:r>
            <w:r w:rsidR="00197FD1">
              <w:rPr>
                <w:noProof/>
                <w:webHidden/>
              </w:rPr>
              <w:tab/>
            </w:r>
            <w:r w:rsidR="00197FD1">
              <w:rPr>
                <w:noProof/>
                <w:webHidden/>
              </w:rPr>
              <w:fldChar w:fldCharType="begin"/>
            </w:r>
            <w:r w:rsidR="00197FD1">
              <w:rPr>
                <w:noProof/>
                <w:webHidden/>
              </w:rPr>
              <w:instrText xml:space="preserve"> PAGEREF _Toc93342218 \h </w:instrText>
            </w:r>
            <w:r w:rsidR="00197FD1">
              <w:rPr>
                <w:noProof/>
                <w:webHidden/>
              </w:rPr>
            </w:r>
            <w:r w:rsidR="00197FD1">
              <w:rPr>
                <w:noProof/>
                <w:webHidden/>
              </w:rPr>
              <w:fldChar w:fldCharType="separate"/>
            </w:r>
            <w:r w:rsidR="00BD5D6E">
              <w:rPr>
                <w:noProof/>
                <w:webHidden/>
              </w:rPr>
              <w:t>15</w:t>
            </w:r>
            <w:r w:rsidR="00197FD1">
              <w:rPr>
                <w:noProof/>
                <w:webHidden/>
              </w:rPr>
              <w:fldChar w:fldCharType="end"/>
            </w:r>
          </w:hyperlink>
        </w:p>
        <w:p w14:paraId="1793AD10"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19" w:history="1">
            <w:r w:rsidR="00197FD1" w:rsidRPr="00CB35AF">
              <w:rPr>
                <w:rStyle w:val="Hyperlink"/>
                <w:rFonts w:ascii="Times New Roman" w:hAnsi="Times New Roman" w:cs="Times New Roman"/>
                <w:noProof/>
              </w:rPr>
              <w:t>3.2.2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Project Implementation Unit (PIU)</w:t>
            </w:r>
            <w:r w:rsidR="00197FD1">
              <w:rPr>
                <w:noProof/>
                <w:webHidden/>
              </w:rPr>
              <w:tab/>
            </w:r>
            <w:r w:rsidR="00197FD1">
              <w:rPr>
                <w:noProof/>
                <w:webHidden/>
              </w:rPr>
              <w:fldChar w:fldCharType="begin"/>
            </w:r>
            <w:r w:rsidR="00197FD1">
              <w:rPr>
                <w:noProof/>
                <w:webHidden/>
              </w:rPr>
              <w:instrText xml:space="preserve"> PAGEREF _Toc93342219 \h </w:instrText>
            </w:r>
            <w:r w:rsidR="00197FD1">
              <w:rPr>
                <w:noProof/>
                <w:webHidden/>
              </w:rPr>
            </w:r>
            <w:r w:rsidR="00197FD1">
              <w:rPr>
                <w:noProof/>
                <w:webHidden/>
              </w:rPr>
              <w:fldChar w:fldCharType="separate"/>
            </w:r>
            <w:r w:rsidR="00BD5D6E">
              <w:rPr>
                <w:noProof/>
                <w:webHidden/>
              </w:rPr>
              <w:t>15</w:t>
            </w:r>
            <w:r w:rsidR="00197FD1">
              <w:rPr>
                <w:noProof/>
                <w:webHidden/>
              </w:rPr>
              <w:fldChar w:fldCharType="end"/>
            </w:r>
          </w:hyperlink>
        </w:p>
        <w:p w14:paraId="1762F73C"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0" w:history="1">
            <w:r w:rsidR="00197FD1" w:rsidRPr="00CB35AF">
              <w:rPr>
                <w:rStyle w:val="Hyperlink"/>
                <w:rFonts w:ascii="Times New Roman" w:hAnsi="Times New Roman" w:cs="Times New Roman"/>
                <w:smallCaps/>
                <w:noProof/>
              </w:rPr>
              <w:t>3.2.3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Steering Committee</w:t>
            </w:r>
            <w:r w:rsidR="00197FD1">
              <w:rPr>
                <w:noProof/>
                <w:webHidden/>
              </w:rPr>
              <w:tab/>
            </w:r>
            <w:r w:rsidR="00197FD1">
              <w:rPr>
                <w:noProof/>
                <w:webHidden/>
              </w:rPr>
              <w:fldChar w:fldCharType="begin"/>
            </w:r>
            <w:r w:rsidR="00197FD1">
              <w:rPr>
                <w:noProof/>
                <w:webHidden/>
              </w:rPr>
              <w:instrText xml:space="preserve"> PAGEREF _Toc93342220 \h </w:instrText>
            </w:r>
            <w:r w:rsidR="00197FD1">
              <w:rPr>
                <w:noProof/>
                <w:webHidden/>
              </w:rPr>
            </w:r>
            <w:r w:rsidR="00197FD1">
              <w:rPr>
                <w:noProof/>
                <w:webHidden/>
              </w:rPr>
              <w:fldChar w:fldCharType="separate"/>
            </w:r>
            <w:r w:rsidR="00BD5D6E">
              <w:rPr>
                <w:noProof/>
                <w:webHidden/>
              </w:rPr>
              <w:t>17</w:t>
            </w:r>
            <w:r w:rsidR="00197FD1">
              <w:rPr>
                <w:noProof/>
                <w:webHidden/>
              </w:rPr>
              <w:fldChar w:fldCharType="end"/>
            </w:r>
          </w:hyperlink>
        </w:p>
        <w:p w14:paraId="4AB38A0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1" w:history="1">
            <w:r w:rsidR="00197FD1" w:rsidRPr="00CB35AF">
              <w:rPr>
                <w:rStyle w:val="Hyperlink"/>
                <w:rFonts w:ascii="Times New Roman" w:hAnsi="Times New Roman" w:cs="Times New Roman"/>
                <w:smallCaps/>
                <w:noProof/>
              </w:rPr>
              <w:t>3.2.4</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Local Self Governments</w:t>
            </w:r>
            <w:r w:rsidR="00197FD1">
              <w:rPr>
                <w:noProof/>
                <w:webHidden/>
              </w:rPr>
              <w:tab/>
            </w:r>
            <w:r w:rsidR="00197FD1">
              <w:rPr>
                <w:noProof/>
                <w:webHidden/>
              </w:rPr>
              <w:fldChar w:fldCharType="begin"/>
            </w:r>
            <w:r w:rsidR="00197FD1">
              <w:rPr>
                <w:noProof/>
                <w:webHidden/>
              </w:rPr>
              <w:instrText xml:space="preserve"> PAGEREF _Toc93342221 \h </w:instrText>
            </w:r>
            <w:r w:rsidR="00197FD1">
              <w:rPr>
                <w:noProof/>
                <w:webHidden/>
              </w:rPr>
            </w:r>
            <w:r w:rsidR="00197FD1">
              <w:rPr>
                <w:noProof/>
                <w:webHidden/>
              </w:rPr>
              <w:fldChar w:fldCharType="separate"/>
            </w:r>
            <w:r w:rsidR="00BD5D6E">
              <w:rPr>
                <w:noProof/>
                <w:webHidden/>
              </w:rPr>
              <w:t>17</w:t>
            </w:r>
            <w:r w:rsidR="00197FD1">
              <w:rPr>
                <w:noProof/>
                <w:webHidden/>
              </w:rPr>
              <w:fldChar w:fldCharType="end"/>
            </w:r>
          </w:hyperlink>
        </w:p>
        <w:p w14:paraId="64C2B7C2"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2" w:history="1">
            <w:r w:rsidR="00197FD1" w:rsidRPr="00CB35AF">
              <w:rPr>
                <w:rStyle w:val="Hyperlink"/>
                <w:rFonts w:ascii="Times New Roman" w:hAnsi="Times New Roman" w:cs="Times New Roman"/>
                <w:smallCaps/>
                <w:noProof/>
              </w:rPr>
              <w:t>3.2.5</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Standing Conference of Towns and Municipalities</w:t>
            </w:r>
            <w:r w:rsidR="00197FD1">
              <w:rPr>
                <w:noProof/>
                <w:webHidden/>
              </w:rPr>
              <w:tab/>
            </w:r>
            <w:r w:rsidR="00197FD1">
              <w:rPr>
                <w:noProof/>
                <w:webHidden/>
              </w:rPr>
              <w:fldChar w:fldCharType="begin"/>
            </w:r>
            <w:r w:rsidR="00197FD1">
              <w:rPr>
                <w:noProof/>
                <w:webHidden/>
              </w:rPr>
              <w:instrText xml:space="preserve"> PAGEREF _Toc93342222 \h </w:instrText>
            </w:r>
            <w:r w:rsidR="00197FD1">
              <w:rPr>
                <w:noProof/>
                <w:webHidden/>
              </w:rPr>
            </w:r>
            <w:r w:rsidR="00197FD1">
              <w:rPr>
                <w:noProof/>
                <w:webHidden/>
              </w:rPr>
              <w:fldChar w:fldCharType="separate"/>
            </w:r>
            <w:r w:rsidR="00BD5D6E">
              <w:rPr>
                <w:noProof/>
                <w:webHidden/>
              </w:rPr>
              <w:t>19</w:t>
            </w:r>
            <w:r w:rsidR="00197FD1">
              <w:rPr>
                <w:noProof/>
                <w:webHidden/>
              </w:rPr>
              <w:fldChar w:fldCharType="end"/>
            </w:r>
          </w:hyperlink>
        </w:p>
        <w:p w14:paraId="1D10746E"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3" w:history="1">
            <w:r w:rsidR="00197FD1" w:rsidRPr="00CB35AF">
              <w:rPr>
                <w:rStyle w:val="Hyperlink"/>
                <w:rFonts w:ascii="Times New Roman" w:hAnsi="Times New Roman" w:cs="Times New Roman"/>
                <w:smallCaps/>
                <w:noProof/>
              </w:rPr>
              <w:t>3.2.6</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Central Fiduciary Unit (CFU)</w:t>
            </w:r>
            <w:r w:rsidR="00197FD1">
              <w:rPr>
                <w:noProof/>
                <w:webHidden/>
              </w:rPr>
              <w:tab/>
            </w:r>
            <w:r w:rsidR="00197FD1">
              <w:rPr>
                <w:noProof/>
                <w:webHidden/>
              </w:rPr>
              <w:fldChar w:fldCharType="begin"/>
            </w:r>
            <w:r w:rsidR="00197FD1">
              <w:rPr>
                <w:noProof/>
                <w:webHidden/>
              </w:rPr>
              <w:instrText xml:space="preserve"> PAGEREF _Toc93342223 \h </w:instrText>
            </w:r>
            <w:r w:rsidR="00197FD1">
              <w:rPr>
                <w:noProof/>
                <w:webHidden/>
              </w:rPr>
            </w:r>
            <w:r w:rsidR="00197FD1">
              <w:rPr>
                <w:noProof/>
                <w:webHidden/>
              </w:rPr>
              <w:fldChar w:fldCharType="separate"/>
            </w:r>
            <w:r w:rsidR="00BD5D6E">
              <w:rPr>
                <w:noProof/>
                <w:webHidden/>
              </w:rPr>
              <w:t>19</w:t>
            </w:r>
            <w:r w:rsidR="00197FD1">
              <w:rPr>
                <w:noProof/>
                <w:webHidden/>
              </w:rPr>
              <w:fldChar w:fldCharType="end"/>
            </w:r>
          </w:hyperlink>
        </w:p>
        <w:p w14:paraId="1B4F697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4" w:history="1">
            <w:r w:rsidR="00197FD1" w:rsidRPr="00CB35AF">
              <w:rPr>
                <w:rStyle w:val="Hyperlink"/>
                <w:rFonts w:ascii="Times New Roman" w:hAnsi="Times New Roman" w:cs="Times New Roman"/>
                <w:smallCaps/>
                <w:noProof/>
              </w:rPr>
              <w:t>3.2.7</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Funding Agencies</w:t>
            </w:r>
            <w:r w:rsidR="00197FD1">
              <w:rPr>
                <w:noProof/>
                <w:webHidden/>
              </w:rPr>
              <w:tab/>
            </w:r>
            <w:r w:rsidR="00197FD1">
              <w:rPr>
                <w:noProof/>
                <w:webHidden/>
              </w:rPr>
              <w:fldChar w:fldCharType="begin"/>
            </w:r>
            <w:r w:rsidR="00197FD1">
              <w:rPr>
                <w:noProof/>
                <w:webHidden/>
              </w:rPr>
              <w:instrText xml:space="preserve"> PAGEREF _Toc93342224 \h </w:instrText>
            </w:r>
            <w:r w:rsidR="00197FD1">
              <w:rPr>
                <w:noProof/>
                <w:webHidden/>
              </w:rPr>
            </w:r>
            <w:r w:rsidR="00197FD1">
              <w:rPr>
                <w:noProof/>
                <w:webHidden/>
              </w:rPr>
              <w:fldChar w:fldCharType="separate"/>
            </w:r>
            <w:r w:rsidR="00BD5D6E">
              <w:rPr>
                <w:noProof/>
                <w:webHidden/>
              </w:rPr>
              <w:t>20</w:t>
            </w:r>
            <w:r w:rsidR="00197FD1">
              <w:rPr>
                <w:noProof/>
                <w:webHidden/>
              </w:rPr>
              <w:fldChar w:fldCharType="end"/>
            </w:r>
          </w:hyperlink>
        </w:p>
        <w:p w14:paraId="508DDB56"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5" w:history="1">
            <w:r w:rsidR="00197FD1" w:rsidRPr="00CB35AF">
              <w:rPr>
                <w:rStyle w:val="Hyperlink"/>
                <w:rFonts w:ascii="Times New Roman" w:hAnsi="Times New Roman" w:cs="Times New Roman"/>
                <w:smallCaps/>
                <w:noProof/>
              </w:rPr>
              <w:t>3.2.8</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Working Groups</w:t>
            </w:r>
            <w:r w:rsidR="00197FD1">
              <w:rPr>
                <w:noProof/>
                <w:webHidden/>
              </w:rPr>
              <w:tab/>
            </w:r>
            <w:r w:rsidR="00197FD1">
              <w:rPr>
                <w:noProof/>
                <w:webHidden/>
              </w:rPr>
              <w:fldChar w:fldCharType="begin"/>
            </w:r>
            <w:r w:rsidR="00197FD1">
              <w:rPr>
                <w:noProof/>
                <w:webHidden/>
              </w:rPr>
              <w:instrText xml:space="preserve"> PAGEREF _Toc93342225 \h </w:instrText>
            </w:r>
            <w:r w:rsidR="00197FD1">
              <w:rPr>
                <w:noProof/>
                <w:webHidden/>
              </w:rPr>
            </w:r>
            <w:r w:rsidR="00197FD1">
              <w:rPr>
                <w:noProof/>
                <w:webHidden/>
              </w:rPr>
              <w:fldChar w:fldCharType="separate"/>
            </w:r>
            <w:r w:rsidR="00BD5D6E">
              <w:rPr>
                <w:noProof/>
                <w:webHidden/>
              </w:rPr>
              <w:t>22</w:t>
            </w:r>
            <w:r w:rsidR="00197FD1">
              <w:rPr>
                <w:noProof/>
                <w:webHidden/>
              </w:rPr>
              <w:fldChar w:fldCharType="end"/>
            </w:r>
          </w:hyperlink>
        </w:p>
        <w:p w14:paraId="6D245BAA"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6" w:history="1">
            <w:r w:rsidR="00197FD1" w:rsidRPr="00CB35AF">
              <w:rPr>
                <w:rStyle w:val="Hyperlink"/>
                <w:rFonts w:ascii="Times New Roman" w:hAnsi="Times New Roman" w:cs="Times New Roman"/>
                <w:noProof/>
              </w:rPr>
              <w:t>3.2.9</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Summary of Main Responsibilities of the Project Stakeholders</w:t>
            </w:r>
            <w:r w:rsidR="00197FD1">
              <w:rPr>
                <w:noProof/>
                <w:webHidden/>
              </w:rPr>
              <w:tab/>
            </w:r>
            <w:r w:rsidR="00197FD1">
              <w:rPr>
                <w:noProof/>
                <w:webHidden/>
              </w:rPr>
              <w:fldChar w:fldCharType="begin"/>
            </w:r>
            <w:r w:rsidR="00197FD1">
              <w:rPr>
                <w:noProof/>
                <w:webHidden/>
              </w:rPr>
              <w:instrText xml:space="preserve"> PAGEREF _Toc93342226 \h </w:instrText>
            </w:r>
            <w:r w:rsidR="00197FD1">
              <w:rPr>
                <w:noProof/>
                <w:webHidden/>
              </w:rPr>
            </w:r>
            <w:r w:rsidR="00197FD1">
              <w:rPr>
                <w:noProof/>
                <w:webHidden/>
              </w:rPr>
              <w:fldChar w:fldCharType="separate"/>
            </w:r>
            <w:r w:rsidR="00BD5D6E">
              <w:rPr>
                <w:noProof/>
                <w:webHidden/>
              </w:rPr>
              <w:t>22</w:t>
            </w:r>
            <w:r w:rsidR="00197FD1">
              <w:rPr>
                <w:noProof/>
                <w:webHidden/>
              </w:rPr>
              <w:fldChar w:fldCharType="end"/>
            </w:r>
          </w:hyperlink>
        </w:p>
        <w:p w14:paraId="26DD7867"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27" w:history="1">
            <w:r w:rsidR="00197FD1" w:rsidRPr="00CB35AF">
              <w:rPr>
                <w:rStyle w:val="Hyperlink"/>
                <w:rFonts w:ascii="Times New Roman" w:hAnsi="Times New Roman" w:cs="Times New Roman"/>
                <w:noProof/>
              </w:rPr>
              <w:t>3.3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Communication</w:t>
            </w:r>
            <w:r w:rsidR="00197FD1">
              <w:rPr>
                <w:noProof/>
                <w:webHidden/>
              </w:rPr>
              <w:tab/>
            </w:r>
            <w:r w:rsidR="00197FD1">
              <w:rPr>
                <w:noProof/>
                <w:webHidden/>
              </w:rPr>
              <w:fldChar w:fldCharType="begin"/>
            </w:r>
            <w:r w:rsidR="00197FD1">
              <w:rPr>
                <w:noProof/>
                <w:webHidden/>
              </w:rPr>
              <w:instrText xml:space="preserve"> PAGEREF _Toc93342227 \h </w:instrText>
            </w:r>
            <w:r w:rsidR="00197FD1">
              <w:rPr>
                <w:noProof/>
                <w:webHidden/>
              </w:rPr>
            </w:r>
            <w:r w:rsidR="00197FD1">
              <w:rPr>
                <w:noProof/>
                <w:webHidden/>
              </w:rPr>
              <w:fldChar w:fldCharType="separate"/>
            </w:r>
            <w:r w:rsidR="00BD5D6E">
              <w:rPr>
                <w:noProof/>
                <w:webHidden/>
              </w:rPr>
              <w:t>23</w:t>
            </w:r>
            <w:r w:rsidR="00197FD1">
              <w:rPr>
                <w:noProof/>
                <w:webHidden/>
              </w:rPr>
              <w:fldChar w:fldCharType="end"/>
            </w:r>
          </w:hyperlink>
        </w:p>
        <w:p w14:paraId="1960D39F"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8" w:history="1">
            <w:r w:rsidR="00197FD1" w:rsidRPr="00CB35AF">
              <w:rPr>
                <w:rStyle w:val="Hyperlink"/>
                <w:rFonts w:ascii="Times New Roman" w:hAnsi="Times New Roman" w:cs="Times New Roman"/>
                <w:smallCaps/>
                <w:noProof/>
              </w:rPr>
              <w:t>3.3.1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Communication for technical issues</w:t>
            </w:r>
            <w:r w:rsidR="00197FD1">
              <w:rPr>
                <w:noProof/>
                <w:webHidden/>
              </w:rPr>
              <w:tab/>
            </w:r>
            <w:r w:rsidR="00197FD1">
              <w:rPr>
                <w:noProof/>
                <w:webHidden/>
              </w:rPr>
              <w:fldChar w:fldCharType="begin"/>
            </w:r>
            <w:r w:rsidR="00197FD1">
              <w:rPr>
                <w:noProof/>
                <w:webHidden/>
              </w:rPr>
              <w:instrText xml:space="preserve"> PAGEREF _Toc93342228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32A34A30"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29" w:history="1">
            <w:r w:rsidR="00197FD1" w:rsidRPr="00CB35AF">
              <w:rPr>
                <w:rStyle w:val="Hyperlink"/>
                <w:rFonts w:ascii="Times New Roman" w:hAnsi="Times New Roman" w:cs="Times New Roman"/>
                <w:smallCaps/>
                <w:noProof/>
              </w:rPr>
              <w:t>3.3.2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Communication for procurement issues</w:t>
            </w:r>
            <w:r w:rsidR="00197FD1">
              <w:rPr>
                <w:noProof/>
                <w:webHidden/>
              </w:rPr>
              <w:tab/>
            </w:r>
            <w:r w:rsidR="00197FD1">
              <w:rPr>
                <w:noProof/>
                <w:webHidden/>
              </w:rPr>
              <w:fldChar w:fldCharType="begin"/>
            </w:r>
            <w:r w:rsidR="00197FD1">
              <w:rPr>
                <w:noProof/>
                <w:webHidden/>
              </w:rPr>
              <w:instrText xml:space="preserve"> PAGEREF _Toc93342229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3D61DB9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30" w:history="1">
            <w:r w:rsidR="00197FD1" w:rsidRPr="00CB35AF">
              <w:rPr>
                <w:rStyle w:val="Hyperlink"/>
                <w:rFonts w:ascii="Times New Roman" w:hAnsi="Times New Roman" w:cs="Times New Roman"/>
                <w:smallCaps/>
                <w:noProof/>
              </w:rPr>
              <w:t>3.3.3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Communication for financial issues</w:t>
            </w:r>
            <w:r w:rsidR="00197FD1">
              <w:rPr>
                <w:noProof/>
                <w:webHidden/>
              </w:rPr>
              <w:tab/>
            </w:r>
            <w:r w:rsidR="00197FD1">
              <w:rPr>
                <w:noProof/>
                <w:webHidden/>
              </w:rPr>
              <w:fldChar w:fldCharType="begin"/>
            </w:r>
            <w:r w:rsidR="00197FD1">
              <w:rPr>
                <w:noProof/>
                <w:webHidden/>
              </w:rPr>
              <w:instrText xml:space="preserve"> PAGEREF _Toc93342230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6E322CFC"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31" w:history="1">
            <w:r w:rsidR="00197FD1" w:rsidRPr="00CB35AF">
              <w:rPr>
                <w:rStyle w:val="Hyperlink"/>
                <w:rFonts w:ascii="Times New Roman" w:hAnsi="Times New Roman" w:cs="Times New Roman"/>
                <w:smallCaps/>
                <w:noProof/>
              </w:rPr>
              <w:t>3.3.4</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Communication for contractual issues</w:t>
            </w:r>
            <w:r w:rsidR="00197FD1">
              <w:rPr>
                <w:noProof/>
                <w:webHidden/>
              </w:rPr>
              <w:tab/>
            </w:r>
            <w:r w:rsidR="00197FD1">
              <w:rPr>
                <w:noProof/>
                <w:webHidden/>
              </w:rPr>
              <w:fldChar w:fldCharType="begin"/>
            </w:r>
            <w:r w:rsidR="00197FD1">
              <w:rPr>
                <w:noProof/>
                <w:webHidden/>
              </w:rPr>
              <w:instrText xml:space="preserve"> PAGEREF _Toc93342231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15F4A66D"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32" w:history="1">
            <w:r w:rsidR="00197FD1" w:rsidRPr="00CB35AF">
              <w:rPr>
                <w:rStyle w:val="Hyperlink"/>
                <w:rFonts w:ascii="Times New Roman" w:hAnsi="Times New Roman" w:cs="Times New Roman"/>
                <w:noProof/>
              </w:rPr>
              <w:t>3.4</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Meetings</w:t>
            </w:r>
            <w:r w:rsidR="00197FD1">
              <w:rPr>
                <w:noProof/>
                <w:webHidden/>
              </w:rPr>
              <w:tab/>
            </w:r>
            <w:r w:rsidR="00197FD1">
              <w:rPr>
                <w:noProof/>
                <w:webHidden/>
              </w:rPr>
              <w:fldChar w:fldCharType="begin"/>
            </w:r>
            <w:r w:rsidR="00197FD1">
              <w:rPr>
                <w:noProof/>
                <w:webHidden/>
              </w:rPr>
              <w:instrText xml:space="preserve"> PAGEREF _Toc93342232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65A1663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33" w:history="1">
            <w:r w:rsidR="00197FD1" w:rsidRPr="00CB35AF">
              <w:rPr>
                <w:rStyle w:val="Hyperlink"/>
                <w:rFonts w:ascii="Times New Roman" w:hAnsi="Times New Roman" w:cs="Times New Roman"/>
                <w:smallCaps/>
                <w:noProof/>
              </w:rPr>
              <w:t>3.4.1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Regular meetings</w:t>
            </w:r>
            <w:r w:rsidR="00197FD1">
              <w:rPr>
                <w:noProof/>
                <w:webHidden/>
              </w:rPr>
              <w:tab/>
            </w:r>
            <w:r w:rsidR="00197FD1">
              <w:rPr>
                <w:noProof/>
                <w:webHidden/>
              </w:rPr>
              <w:fldChar w:fldCharType="begin"/>
            </w:r>
            <w:r w:rsidR="00197FD1">
              <w:rPr>
                <w:noProof/>
                <w:webHidden/>
              </w:rPr>
              <w:instrText xml:space="preserve"> PAGEREF _Toc93342233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7BDAEB72"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34" w:history="1">
            <w:r w:rsidR="00197FD1" w:rsidRPr="00CB35AF">
              <w:rPr>
                <w:rStyle w:val="Hyperlink"/>
                <w:rFonts w:ascii="Times New Roman" w:hAnsi="Times New Roman" w:cs="Times New Roman"/>
                <w:smallCaps/>
                <w:noProof/>
              </w:rPr>
              <w:t>3.4.2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Ad-hoc meetings</w:t>
            </w:r>
            <w:r w:rsidR="00197FD1">
              <w:rPr>
                <w:noProof/>
                <w:webHidden/>
              </w:rPr>
              <w:tab/>
            </w:r>
            <w:r w:rsidR="00197FD1">
              <w:rPr>
                <w:noProof/>
                <w:webHidden/>
              </w:rPr>
              <w:fldChar w:fldCharType="begin"/>
            </w:r>
            <w:r w:rsidR="00197FD1">
              <w:rPr>
                <w:noProof/>
                <w:webHidden/>
              </w:rPr>
              <w:instrText xml:space="preserve"> PAGEREF _Toc93342234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18877FB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35" w:history="1">
            <w:r w:rsidR="00197FD1" w:rsidRPr="00CB35AF">
              <w:rPr>
                <w:rStyle w:val="Hyperlink"/>
                <w:rFonts w:ascii="Times New Roman" w:hAnsi="Times New Roman" w:cs="Times New Roman"/>
                <w:smallCaps/>
                <w:noProof/>
              </w:rPr>
              <w:t>3.4.3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Steering Committee Sessions</w:t>
            </w:r>
            <w:r w:rsidR="00197FD1">
              <w:rPr>
                <w:noProof/>
                <w:webHidden/>
              </w:rPr>
              <w:tab/>
            </w:r>
            <w:r w:rsidR="00197FD1">
              <w:rPr>
                <w:noProof/>
                <w:webHidden/>
              </w:rPr>
              <w:fldChar w:fldCharType="begin"/>
            </w:r>
            <w:r w:rsidR="00197FD1">
              <w:rPr>
                <w:noProof/>
                <w:webHidden/>
              </w:rPr>
              <w:instrText xml:space="preserve"> PAGEREF _Toc93342235 \h </w:instrText>
            </w:r>
            <w:r w:rsidR="00197FD1">
              <w:rPr>
                <w:noProof/>
                <w:webHidden/>
              </w:rPr>
            </w:r>
            <w:r w:rsidR="00197FD1">
              <w:rPr>
                <w:noProof/>
                <w:webHidden/>
              </w:rPr>
              <w:fldChar w:fldCharType="separate"/>
            </w:r>
            <w:r w:rsidR="00BD5D6E">
              <w:rPr>
                <w:noProof/>
                <w:webHidden/>
              </w:rPr>
              <w:t>25</w:t>
            </w:r>
            <w:r w:rsidR="00197FD1">
              <w:rPr>
                <w:noProof/>
                <w:webHidden/>
              </w:rPr>
              <w:fldChar w:fldCharType="end"/>
            </w:r>
          </w:hyperlink>
        </w:p>
        <w:p w14:paraId="213B1002"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236" w:history="1">
            <w:r w:rsidR="00197FD1" w:rsidRPr="00CB35AF">
              <w:rPr>
                <w:rStyle w:val="Hyperlink"/>
                <w:rFonts w:ascii="Times New Roman" w:hAnsi="Times New Roman" w:cs="Times New Roman"/>
                <w:noProof/>
              </w:rPr>
              <w:t>4</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PROJECT PROCEDURES AND INFRASTRUCTURE INVESTMENTS CYCLE</w:t>
            </w:r>
            <w:r w:rsidR="00197FD1">
              <w:rPr>
                <w:noProof/>
                <w:webHidden/>
              </w:rPr>
              <w:tab/>
            </w:r>
            <w:r w:rsidR="00197FD1">
              <w:rPr>
                <w:noProof/>
                <w:webHidden/>
              </w:rPr>
              <w:fldChar w:fldCharType="begin"/>
            </w:r>
            <w:r w:rsidR="00197FD1">
              <w:rPr>
                <w:noProof/>
                <w:webHidden/>
              </w:rPr>
              <w:instrText xml:space="preserve"> PAGEREF _Toc93342236 \h </w:instrText>
            </w:r>
            <w:r w:rsidR="00197FD1">
              <w:rPr>
                <w:noProof/>
                <w:webHidden/>
              </w:rPr>
            </w:r>
            <w:r w:rsidR="00197FD1">
              <w:rPr>
                <w:noProof/>
                <w:webHidden/>
              </w:rPr>
              <w:fldChar w:fldCharType="separate"/>
            </w:r>
            <w:r w:rsidR="00BD5D6E">
              <w:rPr>
                <w:noProof/>
                <w:webHidden/>
              </w:rPr>
              <w:t>26</w:t>
            </w:r>
            <w:r w:rsidR="00197FD1">
              <w:rPr>
                <w:noProof/>
                <w:webHidden/>
              </w:rPr>
              <w:fldChar w:fldCharType="end"/>
            </w:r>
          </w:hyperlink>
        </w:p>
        <w:p w14:paraId="71E1DA9D"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37" w:history="1">
            <w:r w:rsidR="00197FD1" w:rsidRPr="00CB35AF">
              <w:rPr>
                <w:rStyle w:val="Hyperlink"/>
                <w:rFonts w:ascii="Times New Roman" w:hAnsi="Times New Roman" w:cs="Times New Roman"/>
                <w:noProof/>
              </w:rPr>
              <w:t>4.1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Conditions precedent to the Project effectiveness</w:t>
            </w:r>
            <w:r w:rsidR="00197FD1">
              <w:rPr>
                <w:noProof/>
                <w:webHidden/>
              </w:rPr>
              <w:tab/>
            </w:r>
            <w:r w:rsidR="00197FD1">
              <w:rPr>
                <w:noProof/>
                <w:webHidden/>
              </w:rPr>
              <w:fldChar w:fldCharType="begin"/>
            </w:r>
            <w:r w:rsidR="00197FD1">
              <w:rPr>
                <w:noProof/>
                <w:webHidden/>
              </w:rPr>
              <w:instrText xml:space="preserve"> PAGEREF _Toc93342237 \h </w:instrText>
            </w:r>
            <w:r w:rsidR="00197FD1">
              <w:rPr>
                <w:noProof/>
                <w:webHidden/>
              </w:rPr>
            </w:r>
            <w:r w:rsidR="00197FD1">
              <w:rPr>
                <w:noProof/>
                <w:webHidden/>
              </w:rPr>
              <w:fldChar w:fldCharType="separate"/>
            </w:r>
            <w:r w:rsidR="00BD5D6E">
              <w:rPr>
                <w:noProof/>
                <w:webHidden/>
              </w:rPr>
              <w:t>26</w:t>
            </w:r>
            <w:r w:rsidR="00197FD1">
              <w:rPr>
                <w:noProof/>
                <w:webHidden/>
              </w:rPr>
              <w:fldChar w:fldCharType="end"/>
            </w:r>
          </w:hyperlink>
        </w:p>
        <w:p w14:paraId="008CBA97"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38" w:history="1">
            <w:r w:rsidR="00197FD1" w:rsidRPr="00CB35AF">
              <w:rPr>
                <w:rStyle w:val="Hyperlink"/>
                <w:rFonts w:ascii="Times New Roman" w:hAnsi="Times New Roman" w:cs="Times New Roman"/>
                <w:noProof/>
              </w:rPr>
              <w:t>4.2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Activities to be implemented</w:t>
            </w:r>
            <w:r w:rsidR="00197FD1">
              <w:rPr>
                <w:noProof/>
                <w:webHidden/>
              </w:rPr>
              <w:tab/>
            </w:r>
            <w:r w:rsidR="00197FD1">
              <w:rPr>
                <w:noProof/>
                <w:webHidden/>
              </w:rPr>
              <w:fldChar w:fldCharType="begin"/>
            </w:r>
            <w:r w:rsidR="00197FD1">
              <w:rPr>
                <w:noProof/>
                <w:webHidden/>
              </w:rPr>
              <w:instrText xml:space="preserve"> PAGEREF _Toc93342238 \h </w:instrText>
            </w:r>
            <w:r w:rsidR="00197FD1">
              <w:rPr>
                <w:noProof/>
                <w:webHidden/>
              </w:rPr>
            </w:r>
            <w:r w:rsidR="00197FD1">
              <w:rPr>
                <w:noProof/>
                <w:webHidden/>
              </w:rPr>
              <w:fldChar w:fldCharType="separate"/>
            </w:r>
            <w:r w:rsidR="00BD5D6E">
              <w:rPr>
                <w:noProof/>
                <w:webHidden/>
              </w:rPr>
              <w:t>27</w:t>
            </w:r>
            <w:r w:rsidR="00197FD1">
              <w:rPr>
                <w:noProof/>
                <w:webHidden/>
              </w:rPr>
              <w:fldChar w:fldCharType="end"/>
            </w:r>
          </w:hyperlink>
        </w:p>
        <w:p w14:paraId="31DEE895"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39" w:history="1">
            <w:r w:rsidR="00197FD1" w:rsidRPr="00CB35AF">
              <w:rPr>
                <w:rStyle w:val="Hyperlink"/>
                <w:rFonts w:ascii="Times New Roman" w:hAnsi="Times New Roman" w:cs="Times New Roman"/>
                <w:noProof/>
              </w:rPr>
              <w:t>4.3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Selection and approval of strictly targeted grant activities</w:t>
            </w:r>
            <w:r w:rsidR="00197FD1">
              <w:rPr>
                <w:noProof/>
                <w:webHidden/>
              </w:rPr>
              <w:tab/>
            </w:r>
            <w:r w:rsidR="00197FD1">
              <w:rPr>
                <w:noProof/>
                <w:webHidden/>
              </w:rPr>
              <w:fldChar w:fldCharType="begin"/>
            </w:r>
            <w:r w:rsidR="00197FD1">
              <w:rPr>
                <w:noProof/>
                <w:webHidden/>
              </w:rPr>
              <w:instrText xml:space="preserve"> PAGEREF _Toc93342239 \h </w:instrText>
            </w:r>
            <w:r w:rsidR="00197FD1">
              <w:rPr>
                <w:noProof/>
                <w:webHidden/>
              </w:rPr>
            </w:r>
            <w:r w:rsidR="00197FD1">
              <w:rPr>
                <w:noProof/>
                <w:webHidden/>
              </w:rPr>
              <w:fldChar w:fldCharType="separate"/>
            </w:r>
            <w:r w:rsidR="00BD5D6E">
              <w:rPr>
                <w:noProof/>
                <w:webHidden/>
              </w:rPr>
              <w:t>28</w:t>
            </w:r>
            <w:r w:rsidR="00197FD1">
              <w:rPr>
                <w:noProof/>
                <w:webHidden/>
              </w:rPr>
              <w:fldChar w:fldCharType="end"/>
            </w:r>
          </w:hyperlink>
        </w:p>
        <w:p w14:paraId="4F8D58AC"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1" w:history="1">
            <w:r w:rsidR="00197FD1" w:rsidRPr="00CB35AF">
              <w:rPr>
                <w:rStyle w:val="Hyperlink"/>
                <w:rFonts w:ascii="Times New Roman" w:hAnsi="Times New Roman" w:cs="Times New Roman"/>
                <w:noProof/>
              </w:rPr>
              <w:t>4.4</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Methodology for calculation of grant amounts / formula</w:t>
            </w:r>
            <w:r w:rsidR="00197FD1">
              <w:rPr>
                <w:noProof/>
                <w:webHidden/>
              </w:rPr>
              <w:tab/>
            </w:r>
            <w:r w:rsidR="00197FD1">
              <w:rPr>
                <w:noProof/>
                <w:webHidden/>
              </w:rPr>
              <w:fldChar w:fldCharType="begin"/>
            </w:r>
            <w:r w:rsidR="00197FD1">
              <w:rPr>
                <w:noProof/>
                <w:webHidden/>
              </w:rPr>
              <w:instrText xml:space="preserve"> PAGEREF _Toc93342241 \h </w:instrText>
            </w:r>
            <w:r w:rsidR="00197FD1">
              <w:rPr>
                <w:noProof/>
                <w:webHidden/>
              </w:rPr>
            </w:r>
            <w:r w:rsidR="00197FD1">
              <w:rPr>
                <w:noProof/>
                <w:webHidden/>
              </w:rPr>
              <w:fldChar w:fldCharType="separate"/>
            </w:r>
            <w:r w:rsidR="00BD5D6E">
              <w:rPr>
                <w:noProof/>
                <w:webHidden/>
              </w:rPr>
              <w:t>33</w:t>
            </w:r>
            <w:r w:rsidR="00197FD1">
              <w:rPr>
                <w:noProof/>
                <w:webHidden/>
              </w:rPr>
              <w:fldChar w:fldCharType="end"/>
            </w:r>
          </w:hyperlink>
        </w:p>
        <w:p w14:paraId="7C8F9AD5"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2" w:history="1">
            <w:r w:rsidR="00197FD1" w:rsidRPr="00CB35AF">
              <w:rPr>
                <w:rStyle w:val="Hyperlink"/>
                <w:rFonts w:ascii="Times New Roman" w:hAnsi="Times New Roman" w:cs="Times New Roman"/>
                <w:noProof/>
              </w:rPr>
              <w:t>4.5</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Citizen Engagement during infrastructure investment selections</w:t>
            </w:r>
            <w:r w:rsidR="00197FD1">
              <w:rPr>
                <w:noProof/>
                <w:webHidden/>
              </w:rPr>
              <w:tab/>
            </w:r>
            <w:r w:rsidR="00197FD1">
              <w:rPr>
                <w:noProof/>
                <w:webHidden/>
              </w:rPr>
              <w:fldChar w:fldCharType="begin"/>
            </w:r>
            <w:r w:rsidR="00197FD1">
              <w:rPr>
                <w:noProof/>
                <w:webHidden/>
              </w:rPr>
              <w:instrText xml:space="preserve"> PAGEREF _Toc93342242 \h </w:instrText>
            </w:r>
            <w:r w:rsidR="00197FD1">
              <w:rPr>
                <w:noProof/>
                <w:webHidden/>
              </w:rPr>
            </w:r>
            <w:r w:rsidR="00197FD1">
              <w:rPr>
                <w:noProof/>
                <w:webHidden/>
              </w:rPr>
              <w:fldChar w:fldCharType="separate"/>
            </w:r>
            <w:r w:rsidR="00BD5D6E">
              <w:rPr>
                <w:noProof/>
                <w:webHidden/>
              </w:rPr>
              <w:t>35</w:t>
            </w:r>
            <w:r w:rsidR="00197FD1">
              <w:rPr>
                <w:noProof/>
                <w:webHidden/>
              </w:rPr>
              <w:fldChar w:fldCharType="end"/>
            </w:r>
          </w:hyperlink>
        </w:p>
        <w:p w14:paraId="2C33C588"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3" w:history="1">
            <w:r w:rsidR="00197FD1" w:rsidRPr="00CB35AF">
              <w:rPr>
                <w:rStyle w:val="Hyperlink"/>
                <w:rFonts w:ascii="Times New Roman" w:hAnsi="Times New Roman" w:cs="Times New Roman"/>
                <w:noProof/>
              </w:rPr>
              <w:t>4.6</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Gender in infrastructure investments</w:t>
            </w:r>
            <w:r w:rsidR="00197FD1">
              <w:rPr>
                <w:noProof/>
                <w:webHidden/>
              </w:rPr>
              <w:tab/>
            </w:r>
            <w:r w:rsidR="00197FD1">
              <w:rPr>
                <w:noProof/>
                <w:webHidden/>
              </w:rPr>
              <w:fldChar w:fldCharType="begin"/>
            </w:r>
            <w:r w:rsidR="00197FD1">
              <w:rPr>
                <w:noProof/>
                <w:webHidden/>
              </w:rPr>
              <w:instrText xml:space="preserve"> PAGEREF _Toc93342243 \h </w:instrText>
            </w:r>
            <w:r w:rsidR="00197FD1">
              <w:rPr>
                <w:noProof/>
                <w:webHidden/>
              </w:rPr>
            </w:r>
            <w:r w:rsidR="00197FD1">
              <w:rPr>
                <w:noProof/>
                <w:webHidden/>
              </w:rPr>
              <w:fldChar w:fldCharType="separate"/>
            </w:r>
            <w:r w:rsidR="00BD5D6E">
              <w:rPr>
                <w:noProof/>
                <w:webHidden/>
              </w:rPr>
              <w:t>37</w:t>
            </w:r>
            <w:r w:rsidR="00197FD1">
              <w:rPr>
                <w:noProof/>
                <w:webHidden/>
              </w:rPr>
              <w:fldChar w:fldCharType="end"/>
            </w:r>
          </w:hyperlink>
        </w:p>
        <w:p w14:paraId="592DB850"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4" w:history="1">
            <w:r w:rsidR="00197FD1" w:rsidRPr="00CB35AF">
              <w:rPr>
                <w:rStyle w:val="Hyperlink"/>
                <w:rFonts w:ascii="Times New Roman" w:hAnsi="Times New Roman" w:cs="Times New Roman"/>
                <w:noProof/>
              </w:rPr>
              <w:t>4.7</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Quality of technical documentation for the infrastructure investments</w:t>
            </w:r>
            <w:r w:rsidR="00197FD1">
              <w:rPr>
                <w:noProof/>
                <w:webHidden/>
              </w:rPr>
              <w:tab/>
            </w:r>
            <w:r w:rsidR="00197FD1">
              <w:rPr>
                <w:noProof/>
                <w:webHidden/>
              </w:rPr>
              <w:fldChar w:fldCharType="begin"/>
            </w:r>
            <w:r w:rsidR="00197FD1">
              <w:rPr>
                <w:noProof/>
                <w:webHidden/>
              </w:rPr>
              <w:instrText xml:space="preserve"> PAGEREF _Toc93342244 \h </w:instrText>
            </w:r>
            <w:r w:rsidR="00197FD1">
              <w:rPr>
                <w:noProof/>
                <w:webHidden/>
              </w:rPr>
            </w:r>
            <w:r w:rsidR="00197FD1">
              <w:rPr>
                <w:noProof/>
                <w:webHidden/>
              </w:rPr>
              <w:fldChar w:fldCharType="separate"/>
            </w:r>
            <w:r w:rsidR="00BD5D6E">
              <w:rPr>
                <w:noProof/>
                <w:webHidden/>
              </w:rPr>
              <w:t>38</w:t>
            </w:r>
            <w:r w:rsidR="00197FD1">
              <w:rPr>
                <w:noProof/>
                <w:webHidden/>
              </w:rPr>
              <w:fldChar w:fldCharType="end"/>
            </w:r>
          </w:hyperlink>
        </w:p>
        <w:p w14:paraId="4A04C0F5"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5" w:history="1">
            <w:r w:rsidR="00197FD1" w:rsidRPr="00CB35AF">
              <w:rPr>
                <w:rStyle w:val="Hyperlink"/>
                <w:rFonts w:ascii="Times New Roman" w:hAnsi="Times New Roman" w:cs="Times New Roman"/>
                <w:noProof/>
              </w:rPr>
              <w:t>4.8</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Internship Program</w:t>
            </w:r>
            <w:r w:rsidR="00197FD1">
              <w:rPr>
                <w:noProof/>
                <w:webHidden/>
              </w:rPr>
              <w:tab/>
            </w:r>
            <w:r w:rsidR="00197FD1">
              <w:rPr>
                <w:noProof/>
                <w:webHidden/>
              </w:rPr>
              <w:fldChar w:fldCharType="begin"/>
            </w:r>
            <w:r w:rsidR="00197FD1">
              <w:rPr>
                <w:noProof/>
                <w:webHidden/>
              </w:rPr>
              <w:instrText xml:space="preserve"> PAGEREF _Toc93342245 \h </w:instrText>
            </w:r>
            <w:r w:rsidR="00197FD1">
              <w:rPr>
                <w:noProof/>
                <w:webHidden/>
              </w:rPr>
            </w:r>
            <w:r w:rsidR="00197FD1">
              <w:rPr>
                <w:noProof/>
                <w:webHidden/>
              </w:rPr>
              <w:fldChar w:fldCharType="separate"/>
            </w:r>
            <w:r w:rsidR="00BD5D6E">
              <w:rPr>
                <w:noProof/>
                <w:webHidden/>
              </w:rPr>
              <w:t>38</w:t>
            </w:r>
            <w:r w:rsidR="00197FD1">
              <w:rPr>
                <w:noProof/>
                <w:webHidden/>
              </w:rPr>
              <w:fldChar w:fldCharType="end"/>
            </w:r>
          </w:hyperlink>
        </w:p>
        <w:p w14:paraId="336B666C"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246" w:history="1">
            <w:r w:rsidR="00197FD1" w:rsidRPr="00CB35AF">
              <w:rPr>
                <w:rStyle w:val="Hyperlink"/>
                <w:rFonts w:ascii="Times New Roman" w:hAnsi="Times New Roman" w:cs="Times New Roman"/>
                <w:noProof/>
              </w:rPr>
              <w:t>5</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ENVIRONMENTAL AND SOCIAL FRAMEWORK</w:t>
            </w:r>
            <w:r w:rsidR="00197FD1">
              <w:rPr>
                <w:noProof/>
                <w:webHidden/>
              </w:rPr>
              <w:tab/>
            </w:r>
            <w:r w:rsidR="00197FD1">
              <w:rPr>
                <w:noProof/>
                <w:webHidden/>
              </w:rPr>
              <w:fldChar w:fldCharType="begin"/>
            </w:r>
            <w:r w:rsidR="00197FD1">
              <w:rPr>
                <w:noProof/>
                <w:webHidden/>
              </w:rPr>
              <w:instrText xml:space="preserve"> PAGEREF _Toc93342246 \h </w:instrText>
            </w:r>
            <w:r w:rsidR="00197FD1">
              <w:rPr>
                <w:noProof/>
                <w:webHidden/>
              </w:rPr>
            </w:r>
            <w:r w:rsidR="00197FD1">
              <w:rPr>
                <w:noProof/>
                <w:webHidden/>
              </w:rPr>
              <w:fldChar w:fldCharType="separate"/>
            </w:r>
            <w:r w:rsidR="00BD5D6E">
              <w:rPr>
                <w:noProof/>
                <w:webHidden/>
              </w:rPr>
              <w:t>40</w:t>
            </w:r>
            <w:r w:rsidR="00197FD1">
              <w:rPr>
                <w:noProof/>
                <w:webHidden/>
              </w:rPr>
              <w:fldChar w:fldCharType="end"/>
            </w:r>
          </w:hyperlink>
        </w:p>
        <w:p w14:paraId="3A451AE5"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7" w:history="1">
            <w:r w:rsidR="00197FD1" w:rsidRPr="00CB35AF">
              <w:rPr>
                <w:rStyle w:val="Hyperlink"/>
                <w:rFonts w:ascii="Times New Roman" w:hAnsi="Times New Roman" w:cs="Times New Roman"/>
                <w:noProof/>
              </w:rPr>
              <w:t>5.1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Overview of relevant Environmental and Social Standards for the LIID Project</w:t>
            </w:r>
            <w:r w:rsidR="00197FD1">
              <w:rPr>
                <w:noProof/>
                <w:webHidden/>
              </w:rPr>
              <w:tab/>
            </w:r>
            <w:r w:rsidR="00197FD1">
              <w:rPr>
                <w:noProof/>
                <w:webHidden/>
              </w:rPr>
              <w:fldChar w:fldCharType="begin"/>
            </w:r>
            <w:r w:rsidR="00197FD1">
              <w:rPr>
                <w:noProof/>
                <w:webHidden/>
              </w:rPr>
              <w:instrText xml:space="preserve"> PAGEREF _Toc93342247 \h </w:instrText>
            </w:r>
            <w:r w:rsidR="00197FD1">
              <w:rPr>
                <w:noProof/>
                <w:webHidden/>
              </w:rPr>
            </w:r>
            <w:r w:rsidR="00197FD1">
              <w:rPr>
                <w:noProof/>
                <w:webHidden/>
              </w:rPr>
              <w:fldChar w:fldCharType="separate"/>
            </w:r>
            <w:r w:rsidR="00BD5D6E">
              <w:rPr>
                <w:noProof/>
                <w:webHidden/>
              </w:rPr>
              <w:t>41</w:t>
            </w:r>
            <w:r w:rsidR="00197FD1">
              <w:rPr>
                <w:noProof/>
                <w:webHidden/>
              </w:rPr>
              <w:fldChar w:fldCharType="end"/>
            </w:r>
          </w:hyperlink>
        </w:p>
        <w:p w14:paraId="08259EFB"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8" w:history="1">
            <w:r w:rsidR="00197FD1" w:rsidRPr="00CB35AF">
              <w:rPr>
                <w:rStyle w:val="Hyperlink"/>
                <w:rFonts w:ascii="Times New Roman" w:hAnsi="Times New Roman" w:cs="Times New Roman"/>
                <w:noProof/>
              </w:rPr>
              <w:t>5.2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Legal Operational Policies relevant to the LIID Project</w:t>
            </w:r>
            <w:r w:rsidR="00197FD1">
              <w:rPr>
                <w:noProof/>
                <w:webHidden/>
              </w:rPr>
              <w:tab/>
            </w:r>
            <w:r w:rsidR="00197FD1">
              <w:rPr>
                <w:noProof/>
                <w:webHidden/>
              </w:rPr>
              <w:fldChar w:fldCharType="begin"/>
            </w:r>
            <w:r w:rsidR="00197FD1">
              <w:rPr>
                <w:noProof/>
                <w:webHidden/>
              </w:rPr>
              <w:instrText xml:space="preserve"> PAGEREF _Toc93342248 \h </w:instrText>
            </w:r>
            <w:r w:rsidR="00197FD1">
              <w:rPr>
                <w:noProof/>
                <w:webHidden/>
              </w:rPr>
            </w:r>
            <w:r w:rsidR="00197FD1">
              <w:rPr>
                <w:noProof/>
                <w:webHidden/>
              </w:rPr>
              <w:fldChar w:fldCharType="separate"/>
            </w:r>
            <w:r w:rsidR="00BD5D6E">
              <w:rPr>
                <w:noProof/>
                <w:webHidden/>
              </w:rPr>
              <w:t>41</w:t>
            </w:r>
            <w:r w:rsidR="00197FD1">
              <w:rPr>
                <w:noProof/>
                <w:webHidden/>
              </w:rPr>
              <w:fldChar w:fldCharType="end"/>
            </w:r>
          </w:hyperlink>
        </w:p>
        <w:p w14:paraId="2650CA38"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49" w:history="1">
            <w:r w:rsidR="00197FD1" w:rsidRPr="00CB35AF">
              <w:rPr>
                <w:rStyle w:val="Hyperlink"/>
                <w:rFonts w:ascii="Times New Roman" w:hAnsi="Times New Roman" w:cs="Times New Roman"/>
                <w:noProof/>
              </w:rPr>
              <w:t>5.3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Potential Environmental and Social Impacts and Risks</w:t>
            </w:r>
            <w:r w:rsidR="00197FD1">
              <w:rPr>
                <w:noProof/>
                <w:webHidden/>
              </w:rPr>
              <w:tab/>
            </w:r>
            <w:r w:rsidR="00197FD1">
              <w:rPr>
                <w:noProof/>
                <w:webHidden/>
              </w:rPr>
              <w:fldChar w:fldCharType="begin"/>
            </w:r>
            <w:r w:rsidR="00197FD1">
              <w:rPr>
                <w:noProof/>
                <w:webHidden/>
              </w:rPr>
              <w:instrText xml:space="preserve"> PAGEREF _Toc93342249 \h </w:instrText>
            </w:r>
            <w:r w:rsidR="00197FD1">
              <w:rPr>
                <w:noProof/>
                <w:webHidden/>
              </w:rPr>
            </w:r>
            <w:r w:rsidR="00197FD1">
              <w:rPr>
                <w:noProof/>
                <w:webHidden/>
              </w:rPr>
              <w:fldChar w:fldCharType="separate"/>
            </w:r>
            <w:r w:rsidR="00BD5D6E">
              <w:rPr>
                <w:noProof/>
                <w:webHidden/>
              </w:rPr>
              <w:t>42</w:t>
            </w:r>
            <w:r w:rsidR="00197FD1">
              <w:rPr>
                <w:noProof/>
                <w:webHidden/>
              </w:rPr>
              <w:fldChar w:fldCharType="end"/>
            </w:r>
          </w:hyperlink>
        </w:p>
        <w:p w14:paraId="046A8151"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0" w:history="1">
            <w:r w:rsidR="00197FD1" w:rsidRPr="00CB35AF">
              <w:rPr>
                <w:rStyle w:val="Hyperlink"/>
                <w:rFonts w:ascii="Times New Roman" w:hAnsi="Times New Roman" w:cs="Times New Roman"/>
                <w:noProof/>
              </w:rPr>
              <w:t>5.3.1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Environmental Risk Rating</w:t>
            </w:r>
            <w:r w:rsidR="00197FD1">
              <w:rPr>
                <w:noProof/>
                <w:webHidden/>
              </w:rPr>
              <w:tab/>
            </w:r>
            <w:r w:rsidR="00197FD1">
              <w:rPr>
                <w:noProof/>
                <w:webHidden/>
              </w:rPr>
              <w:fldChar w:fldCharType="begin"/>
            </w:r>
            <w:r w:rsidR="00197FD1">
              <w:rPr>
                <w:noProof/>
                <w:webHidden/>
              </w:rPr>
              <w:instrText xml:space="preserve"> PAGEREF _Toc93342250 \h </w:instrText>
            </w:r>
            <w:r w:rsidR="00197FD1">
              <w:rPr>
                <w:noProof/>
                <w:webHidden/>
              </w:rPr>
            </w:r>
            <w:r w:rsidR="00197FD1">
              <w:rPr>
                <w:noProof/>
                <w:webHidden/>
              </w:rPr>
              <w:fldChar w:fldCharType="separate"/>
            </w:r>
            <w:r w:rsidR="00BD5D6E">
              <w:rPr>
                <w:noProof/>
                <w:webHidden/>
              </w:rPr>
              <w:t>42</w:t>
            </w:r>
            <w:r w:rsidR="00197FD1">
              <w:rPr>
                <w:noProof/>
                <w:webHidden/>
              </w:rPr>
              <w:fldChar w:fldCharType="end"/>
            </w:r>
          </w:hyperlink>
        </w:p>
        <w:p w14:paraId="04EFB20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1" w:history="1">
            <w:r w:rsidR="00197FD1" w:rsidRPr="00CB35AF">
              <w:rPr>
                <w:rStyle w:val="Hyperlink"/>
                <w:rFonts w:ascii="Times New Roman" w:hAnsi="Times New Roman" w:cs="Times New Roman"/>
                <w:noProof/>
              </w:rPr>
              <w:t>5.3.2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Social Risk Rating</w:t>
            </w:r>
            <w:r w:rsidR="00197FD1">
              <w:rPr>
                <w:noProof/>
                <w:webHidden/>
              </w:rPr>
              <w:tab/>
            </w:r>
            <w:r w:rsidR="00197FD1">
              <w:rPr>
                <w:noProof/>
                <w:webHidden/>
              </w:rPr>
              <w:fldChar w:fldCharType="begin"/>
            </w:r>
            <w:r w:rsidR="00197FD1">
              <w:rPr>
                <w:noProof/>
                <w:webHidden/>
              </w:rPr>
              <w:instrText xml:space="preserve"> PAGEREF _Toc93342251 \h </w:instrText>
            </w:r>
            <w:r w:rsidR="00197FD1">
              <w:rPr>
                <w:noProof/>
                <w:webHidden/>
              </w:rPr>
            </w:r>
            <w:r w:rsidR="00197FD1">
              <w:rPr>
                <w:noProof/>
                <w:webHidden/>
              </w:rPr>
              <w:fldChar w:fldCharType="separate"/>
            </w:r>
            <w:r w:rsidR="00BD5D6E">
              <w:rPr>
                <w:noProof/>
                <w:webHidden/>
              </w:rPr>
              <w:t>42</w:t>
            </w:r>
            <w:r w:rsidR="00197FD1">
              <w:rPr>
                <w:noProof/>
                <w:webHidden/>
              </w:rPr>
              <w:fldChar w:fldCharType="end"/>
            </w:r>
          </w:hyperlink>
        </w:p>
        <w:p w14:paraId="7A8D99D2"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52" w:history="1">
            <w:r w:rsidR="00197FD1" w:rsidRPr="00CB35AF">
              <w:rPr>
                <w:rStyle w:val="Hyperlink"/>
                <w:rFonts w:ascii="Times New Roman" w:hAnsi="Times New Roman" w:cs="Times New Roman"/>
                <w:noProof/>
              </w:rPr>
              <w:t>5.4</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Environmental and Social Risk Management</w:t>
            </w:r>
            <w:r w:rsidR="00197FD1">
              <w:rPr>
                <w:noProof/>
                <w:webHidden/>
              </w:rPr>
              <w:tab/>
            </w:r>
            <w:r w:rsidR="00197FD1">
              <w:rPr>
                <w:noProof/>
                <w:webHidden/>
              </w:rPr>
              <w:fldChar w:fldCharType="begin"/>
            </w:r>
            <w:r w:rsidR="00197FD1">
              <w:rPr>
                <w:noProof/>
                <w:webHidden/>
              </w:rPr>
              <w:instrText xml:space="preserve"> PAGEREF _Toc93342252 \h </w:instrText>
            </w:r>
            <w:r w:rsidR="00197FD1">
              <w:rPr>
                <w:noProof/>
                <w:webHidden/>
              </w:rPr>
            </w:r>
            <w:r w:rsidR="00197FD1">
              <w:rPr>
                <w:noProof/>
                <w:webHidden/>
              </w:rPr>
              <w:fldChar w:fldCharType="separate"/>
            </w:r>
            <w:r w:rsidR="00BD5D6E">
              <w:rPr>
                <w:noProof/>
                <w:webHidden/>
              </w:rPr>
              <w:t>43</w:t>
            </w:r>
            <w:r w:rsidR="00197FD1">
              <w:rPr>
                <w:noProof/>
                <w:webHidden/>
              </w:rPr>
              <w:fldChar w:fldCharType="end"/>
            </w:r>
          </w:hyperlink>
        </w:p>
        <w:p w14:paraId="255300FB"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3" w:history="1">
            <w:r w:rsidR="00197FD1" w:rsidRPr="00CB35AF">
              <w:rPr>
                <w:rStyle w:val="Hyperlink"/>
                <w:rFonts w:ascii="Times New Roman" w:hAnsi="Times New Roman" w:cs="Times New Roman"/>
                <w:noProof/>
              </w:rPr>
              <w:t>5.4.1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Environment and Social Standards (ESSs) that Apply to the Activities Being Considered</w:t>
            </w:r>
            <w:r w:rsidR="00197FD1">
              <w:rPr>
                <w:noProof/>
                <w:webHidden/>
              </w:rPr>
              <w:tab/>
            </w:r>
            <w:r w:rsidR="00197FD1">
              <w:rPr>
                <w:noProof/>
                <w:webHidden/>
              </w:rPr>
              <w:fldChar w:fldCharType="begin"/>
            </w:r>
            <w:r w:rsidR="00197FD1">
              <w:rPr>
                <w:noProof/>
                <w:webHidden/>
              </w:rPr>
              <w:instrText xml:space="preserve"> PAGEREF _Toc93342253 \h </w:instrText>
            </w:r>
            <w:r w:rsidR="00197FD1">
              <w:rPr>
                <w:noProof/>
                <w:webHidden/>
              </w:rPr>
            </w:r>
            <w:r w:rsidR="00197FD1">
              <w:rPr>
                <w:noProof/>
                <w:webHidden/>
              </w:rPr>
              <w:fldChar w:fldCharType="separate"/>
            </w:r>
            <w:r w:rsidR="00BD5D6E">
              <w:rPr>
                <w:noProof/>
                <w:webHidden/>
              </w:rPr>
              <w:t>43</w:t>
            </w:r>
            <w:r w:rsidR="00197FD1">
              <w:rPr>
                <w:noProof/>
                <w:webHidden/>
              </w:rPr>
              <w:fldChar w:fldCharType="end"/>
            </w:r>
          </w:hyperlink>
        </w:p>
        <w:p w14:paraId="7C59620A"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4" w:history="1">
            <w:r w:rsidR="00197FD1" w:rsidRPr="00CB35AF">
              <w:rPr>
                <w:rStyle w:val="Hyperlink"/>
                <w:rFonts w:ascii="Times New Roman" w:hAnsi="Times New Roman" w:cs="Times New Roman"/>
                <w:noProof/>
              </w:rPr>
              <w:t>5.4.2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General Environmental, Health and Safety (EHS) Guidelines</w:t>
            </w:r>
            <w:r w:rsidR="00197FD1">
              <w:rPr>
                <w:noProof/>
                <w:webHidden/>
              </w:rPr>
              <w:tab/>
            </w:r>
            <w:r w:rsidR="00197FD1">
              <w:rPr>
                <w:noProof/>
                <w:webHidden/>
              </w:rPr>
              <w:fldChar w:fldCharType="begin"/>
            </w:r>
            <w:r w:rsidR="00197FD1">
              <w:rPr>
                <w:noProof/>
                <w:webHidden/>
              </w:rPr>
              <w:instrText xml:space="preserve"> PAGEREF _Toc93342254 \h </w:instrText>
            </w:r>
            <w:r w:rsidR="00197FD1">
              <w:rPr>
                <w:noProof/>
                <w:webHidden/>
              </w:rPr>
            </w:r>
            <w:r w:rsidR="00197FD1">
              <w:rPr>
                <w:noProof/>
                <w:webHidden/>
              </w:rPr>
              <w:fldChar w:fldCharType="separate"/>
            </w:r>
            <w:r w:rsidR="00BD5D6E">
              <w:rPr>
                <w:noProof/>
                <w:webHidden/>
              </w:rPr>
              <w:t>47</w:t>
            </w:r>
            <w:r w:rsidR="00197FD1">
              <w:rPr>
                <w:noProof/>
                <w:webHidden/>
              </w:rPr>
              <w:fldChar w:fldCharType="end"/>
            </w:r>
          </w:hyperlink>
        </w:p>
        <w:p w14:paraId="0C131711"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5" w:history="1">
            <w:r w:rsidR="00197FD1" w:rsidRPr="00CB35AF">
              <w:rPr>
                <w:rStyle w:val="Hyperlink"/>
                <w:rFonts w:ascii="Times New Roman" w:hAnsi="Times New Roman" w:cs="Times New Roman"/>
                <w:smallCaps/>
                <w:noProof/>
              </w:rPr>
              <w:t>5.4.3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Environmental and Social Eligibility Criteria and Exclusion</w:t>
            </w:r>
            <w:r w:rsidR="00197FD1">
              <w:rPr>
                <w:noProof/>
                <w:webHidden/>
              </w:rPr>
              <w:tab/>
            </w:r>
            <w:r w:rsidR="00197FD1">
              <w:rPr>
                <w:noProof/>
                <w:webHidden/>
              </w:rPr>
              <w:fldChar w:fldCharType="begin"/>
            </w:r>
            <w:r w:rsidR="00197FD1">
              <w:rPr>
                <w:noProof/>
                <w:webHidden/>
              </w:rPr>
              <w:instrText xml:space="preserve"> PAGEREF _Toc93342255 \h </w:instrText>
            </w:r>
            <w:r w:rsidR="00197FD1">
              <w:rPr>
                <w:noProof/>
                <w:webHidden/>
              </w:rPr>
            </w:r>
            <w:r w:rsidR="00197FD1">
              <w:rPr>
                <w:noProof/>
                <w:webHidden/>
              </w:rPr>
              <w:fldChar w:fldCharType="separate"/>
            </w:r>
            <w:r w:rsidR="00BD5D6E">
              <w:rPr>
                <w:noProof/>
                <w:webHidden/>
              </w:rPr>
              <w:t>47</w:t>
            </w:r>
            <w:r w:rsidR="00197FD1">
              <w:rPr>
                <w:noProof/>
                <w:webHidden/>
              </w:rPr>
              <w:fldChar w:fldCharType="end"/>
            </w:r>
          </w:hyperlink>
        </w:p>
        <w:p w14:paraId="53689D33"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6" w:history="1">
            <w:r w:rsidR="00197FD1" w:rsidRPr="00CB35AF">
              <w:rPr>
                <w:rStyle w:val="Hyperlink"/>
                <w:rFonts w:ascii="Times New Roman" w:hAnsi="Times New Roman" w:cs="Times New Roman"/>
                <w:smallCaps/>
                <w:noProof/>
              </w:rPr>
              <w:t>5.4.4</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Risk Classification according to the WB ESMF</w:t>
            </w:r>
            <w:r w:rsidR="00197FD1">
              <w:rPr>
                <w:noProof/>
                <w:webHidden/>
              </w:rPr>
              <w:tab/>
            </w:r>
            <w:r w:rsidR="00197FD1">
              <w:rPr>
                <w:noProof/>
                <w:webHidden/>
              </w:rPr>
              <w:fldChar w:fldCharType="begin"/>
            </w:r>
            <w:r w:rsidR="00197FD1">
              <w:rPr>
                <w:noProof/>
                <w:webHidden/>
              </w:rPr>
              <w:instrText xml:space="preserve"> PAGEREF _Toc93342256 \h </w:instrText>
            </w:r>
            <w:r w:rsidR="00197FD1">
              <w:rPr>
                <w:noProof/>
                <w:webHidden/>
              </w:rPr>
            </w:r>
            <w:r w:rsidR="00197FD1">
              <w:rPr>
                <w:noProof/>
                <w:webHidden/>
              </w:rPr>
              <w:fldChar w:fldCharType="separate"/>
            </w:r>
            <w:r w:rsidR="00BD5D6E">
              <w:rPr>
                <w:noProof/>
                <w:webHidden/>
              </w:rPr>
              <w:t>48</w:t>
            </w:r>
            <w:r w:rsidR="00197FD1">
              <w:rPr>
                <w:noProof/>
                <w:webHidden/>
              </w:rPr>
              <w:fldChar w:fldCharType="end"/>
            </w:r>
          </w:hyperlink>
        </w:p>
        <w:p w14:paraId="6F6385F1"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7" w:history="1">
            <w:r w:rsidR="00197FD1" w:rsidRPr="00CB35AF">
              <w:rPr>
                <w:rStyle w:val="Hyperlink"/>
                <w:rFonts w:ascii="Times New Roman" w:hAnsi="Times New Roman" w:cs="Times New Roman"/>
                <w:smallCaps/>
                <w:noProof/>
              </w:rPr>
              <w:t>5.4.5</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Selection and Approval of Strictly Targeted Grant Activities - Environmental and Social Screening and Project Approval</w:t>
            </w:r>
            <w:r w:rsidR="00197FD1">
              <w:rPr>
                <w:noProof/>
                <w:webHidden/>
              </w:rPr>
              <w:tab/>
            </w:r>
            <w:r w:rsidR="00197FD1">
              <w:rPr>
                <w:noProof/>
                <w:webHidden/>
              </w:rPr>
              <w:fldChar w:fldCharType="begin"/>
            </w:r>
            <w:r w:rsidR="00197FD1">
              <w:rPr>
                <w:noProof/>
                <w:webHidden/>
              </w:rPr>
              <w:instrText xml:space="preserve"> PAGEREF _Toc93342257 \h </w:instrText>
            </w:r>
            <w:r w:rsidR="00197FD1">
              <w:rPr>
                <w:noProof/>
                <w:webHidden/>
              </w:rPr>
            </w:r>
            <w:r w:rsidR="00197FD1">
              <w:rPr>
                <w:noProof/>
                <w:webHidden/>
              </w:rPr>
              <w:fldChar w:fldCharType="separate"/>
            </w:r>
            <w:r w:rsidR="00BD5D6E">
              <w:rPr>
                <w:noProof/>
                <w:webHidden/>
              </w:rPr>
              <w:t>48</w:t>
            </w:r>
            <w:r w:rsidR="00197FD1">
              <w:rPr>
                <w:noProof/>
                <w:webHidden/>
              </w:rPr>
              <w:fldChar w:fldCharType="end"/>
            </w:r>
          </w:hyperlink>
        </w:p>
        <w:p w14:paraId="58165547"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58" w:history="1">
            <w:r w:rsidR="00197FD1" w:rsidRPr="00CB35AF">
              <w:rPr>
                <w:rStyle w:val="Hyperlink"/>
                <w:rFonts w:ascii="Times New Roman" w:hAnsi="Times New Roman" w:cs="Times New Roman"/>
                <w:noProof/>
              </w:rPr>
              <w:t>5.4.6</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E&amp;S Performance, Supervision, Monitoring and Reporting</w:t>
            </w:r>
            <w:r w:rsidR="00197FD1">
              <w:rPr>
                <w:noProof/>
                <w:webHidden/>
              </w:rPr>
              <w:tab/>
            </w:r>
            <w:r w:rsidR="00197FD1">
              <w:rPr>
                <w:noProof/>
                <w:webHidden/>
              </w:rPr>
              <w:fldChar w:fldCharType="begin"/>
            </w:r>
            <w:r w:rsidR="00197FD1">
              <w:rPr>
                <w:noProof/>
                <w:webHidden/>
              </w:rPr>
              <w:instrText xml:space="preserve"> PAGEREF _Toc93342258 \h </w:instrText>
            </w:r>
            <w:r w:rsidR="00197FD1">
              <w:rPr>
                <w:noProof/>
                <w:webHidden/>
              </w:rPr>
            </w:r>
            <w:r w:rsidR="00197FD1">
              <w:rPr>
                <w:noProof/>
                <w:webHidden/>
              </w:rPr>
              <w:fldChar w:fldCharType="separate"/>
            </w:r>
            <w:r w:rsidR="00BD5D6E">
              <w:rPr>
                <w:noProof/>
                <w:webHidden/>
              </w:rPr>
              <w:t>51</w:t>
            </w:r>
            <w:r w:rsidR="00197FD1">
              <w:rPr>
                <w:noProof/>
                <w:webHidden/>
              </w:rPr>
              <w:fldChar w:fldCharType="end"/>
            </w:r>
          </w:hyperlink>
        </w:p>
        <w:p w14:paraId="6BD25FD4"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70" w:history="1">
            <w:r w:rsidR="00197FD1" w:rsidRPr="00CB35AF">
              <w:rPr>
                <w:rStyle w:val="Hyperlink"/>
                <w:rFonts w:ascii="Times New Roman" w:hAnsi="Times New Roman" w:cs="Times New Roman"/>
                <w:noProof/>
              </w:rPr>
              <w:t>5.4.7</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Environmental and Social Audit for Activities Already Commenced</w:t>
            </w:r>
            <w:r w:rsidR="00197FD1">
              <w:rPr>
                <w:noProof/>
                <w:webHidden/>
              </w:rPr>
              <w:tab/>
            </w:r>
            <w:r w:rsidR="00197FD1">
              <w:rPr>
                <w:noProof/>
                <w:webHidden/>
              </w:rPr>
              <w:fldChar w:fldCharType="begin"/>
            </w:r>
            <w:r w:rsidR="00197FD1">
              <w:rPr>
                <w:noProof/>
                <w:webHidden/>
              </w:rPr>
              <w:instrText xml:space="preserve"> PAGEREF _Toc93342270 \h </w:instrText>
            </w:r>
            <w:r w:rsidR="00197FD1">
              <w:rPr>
                <w:noProof/>
                <w:webHidden/>
              </w:rPr>
            </w:r>
            <w:r w:rsidR="00197FD1">
              <w:rPr>
                <w:noProof/>
                <w:webHidden/>
              </w:rPr>
              <w:fldChar w:fldCharType="separate"/>
            </w:r>
            <w:r w:rsidR="00BD5D6E">
              <w:rPr>
                <w:noProof/>
                <w:webHidden/>
              </w:rPr>
              <w:t>52</w:t>
            </w:r>
            <w:r w:rsidR="00197FD1">
              <w:rPr>
                <w:noProof/>
                <w:webHidden/>
              </w:rPr>
              <w:fldChar w:fldCharType="end"/>
            </w:r>
          </w:hyperlink>
        </w:p>
        <w:p w14:paraId="00B33C7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71" w:history="1">
            <w:r w:rsidR="00197FD1" w:rsidRPr="00CB35AF">
              <w:rPr>
                <w:rStyle w:val="Hyperlink"/>
                <w:rFonts w:ascii="Times New Roman" w:hAnsi="Times New Roman" w:cs="Times New Roman"/>
                <w:smallCaps/>
                <w:noProof/>
              </w:rPr>
              <w:t>5.4.8</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Social screening of Infrastructure Investments for Land Acquisition, Restriction on Land Use and Involuntary Resettlement Impacts</w:t>
            </w:r>
            <w:r w:rsidR="00197FD1">
              <w:rPr>
                <w:noProof/>
                <w:webHidden/>
              </w:rPr>
              <w:tab/>
            </w:r>
            <w:r w:rsidR="00197FD1">
              <w:rPr>
                <w:noProof/>
                <w:webHidden/>
              </w:rPr>
              <w:fldChar w:fldCharType="begin"/>
            </w:r>
            <w:r w:rsidR="00197FD1">
              <w:rPr>
                <w:noProof/>
                <w:webHidden/>
              </w:rPr>
              <w:instrText xml:space="preserve"> PAGEREF _Toc93342271 \h </w:instrText>
            </w:r>
            <w:r w:rsidR="00197FD1">
              <w:rPr>
                <w:noProof/>
                <w:webHidden/>
              </w:rPr>
            </w:r>
            <w:r w:rsidR="00197FD1">
              <w:rPr>
                <w:noProof/>
                <w:webHidden/>
              </w:rPr>
              <w:fldChar w:fldCharType="separate"/>
            </w:r>
            <w:r w:rsidR="00BD5D6E">
              <w:rPr>
                <w:noProof/>
                <w:webHidden/>
              </w:rPr>
              <w:t>53</w:t>
            </w:r>
            <w:r w:rsidR="00197FD1">
              <w:rPr>
                <w:noProof/>
                <w:webHidden/>
              </w:rPr>
              <w:fldChar w:fldCharType="end"/>
            </w:r>
          </w:hyperlink>
        </w:p>
        <w:p w14:paraId="77231251"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2" w:history="1">
            <w:r w:rsidR="00197FD1" w:rsidRPr="00CB35AF">
              <w:rPr>
                <w:rStyle w:val="Hyperlink"/>
                <w:rFonts w:ascii="Times New Roman" w:hAnsi="Times New Roman" w:cs="Times New Roman"/>
                <w:noProof/>
              </w:rPr>
              <w:t>5.5</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Monitoring and Reporting</w:t>
            </w:r>
            <w:r w:rsidR="00197FD1">
              <w:rPr>
                <w:noProof/>
                <w:webHidden/>
              </w:rPr>
              <w:tab/>
            </w:r>
            <w:r w:rsidR="00197FD1">
              <w:rPr>
                <w:noProof/>
                <w:webHidden/>
              </w:rPr>
              <w:fldChar w:fldCharType="begin"/>
            </w:r>
            <w:r w:rsidR="00197FD1">
              <w:rPr>
                <w:noProof/>
                <w:webHidden/>
              </w:rPr>
              <w:instrText xml:space="preserve"> PAGEREF _Toc93342272 \h </w:instrText>
            </w:r>
            <w:r w:rsidR="00197FD1">
              <w:rPr>
                <w:noProof/>
                <w:webHidden/>
              </w:rPr>
            </w:r>
            <w:r w:rsidR="00197FD1">
              <w:rPr>
                <w:noProof/>
                <w:webHidden/>
              </w:rPr>
              <w:fldChar w:fldCharType="separate"/>
            </w:r>
            <w:r w:rsidR="00BD5D6E">
              <w:rPr>
                <w:noProof/>
                <w:webHidden/>
              </w:rPr>
              <w:t>53</w:t>
            </w:r>
            <w:r w:rsidR="00197FD1">
              <w:rPr>
                <w:noProof/>
                <w:webHidden/>
              </w:rPr>
              <w:fldChar w:fldCharType="end"/>
            </w:r>
          </w:hyperlink>
        </w:p>
        <w:p w14:paraId="1782A803"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273" w:history="1">
            <w:r w:rsidR="00197FD1" w:rsidRPr="00CB35AF">
              <w:rPr>
                <w:rStyle w:val="Hyperlink"/>
                <w:rFonts w:ascii="Times New Roman" w:hAnsi="Times New Roman" w:cs="Times New Roman"/>
                <w:noProof/>
              </w:rPr>
              <w:t>6</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FINANCIAL MANAGEMENT</w:t>
            </w:r>
            <w:r w:rsidR="00197FD1">
              <w:rPr>
                <w:noProof/>
                <w:webHidden/>
              </w:rPr>
              <w:tab/>
            </w:r>
            <w:r w:rsidR="00197FD1">
              <w:rPr>
                <w:noProof/>
                <w:webHidden/>
              </w:rPr>
              <w:fldChar w:fldCharType="begin"/>
            </w:r>
            <w:r w:rsidR="00197FD1">
              <w:rPr>
                <w:noProof/>
                <w:webHidden/>
              </w:rPr>
              <w:instrText xml:space="preserve"> PAGEREF _Toc93342273 \h </w:instrText>
            </w:r>
            <w:r w:rsidR="00197FD1">
              <w:rPr>
                <w:noProof/>
                <w:webHidden/>
              </w:rPr>
            </w:r>
            <w:r w:rsidR="00197FD1">
              <w:rPr>
                <w:noProof/>
                <w:webHidden/>
              </w:rPr>
              <w:fldChar w:fldCharType="separate"/>
            </w:r>
            <w:r w:rsidR="00BD5D6E">
              <w:rPr>
                <w:noProof/>
                <w:webHidden/>
              </w:rPr>
              <w:t>54</w:t>
            </w:r>
            <w:r w:rsidR="00197FD1">
              <w:rPr>
                <w:noProof/>
                <w:webHidden/>
              </w:rPr>
              <w:fldChar w:fldCharType="end"/>
            </w:r>
          </w:hyperlink>
        </w:p>
        <w:p w14:paraId="0A744067"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4" w:history="1">
            <w:r w:rsidR="00197FD1" w:rsidRPr="00CB35AF">
              <w:rPr>
                <w:rStyle w:val="Hyperlink"/>
                <w:rFonts w:ascii="Times New Roman" w:hAnsi="Times New Roman" w:cs="Times New Roman"/>
                <w:noProof/>
              </w:rPr>
              <w:t>6.1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Financial Management</w:t>
            </w:r>
            <w:r w:rsidR="00197FD1">
              <w:rPr>
                <w:noProof/>
                <w:webHidden/>
              </w:rPr>
              <w:tab/>
            </w:r>
            <w:r w:rsidR="00197FD1">
              <w:rPr>
                <w:noProof/>
                <w:webHidden/>
              </w:rPr>
              <w:fldChar w:fldCharType="begin"/>
            </w:r>
            <w:r w:rsidR="00197FD1">
              <w:rPr>
                <w:noProof/>
                <w:webHidden/>
              </w:rPr>
              <w:instrText xml:space="preserve"> PAGEREF _Toc93342274 \h </w:instrText>
            </w:r>
            <w:r w:rsidR="00197FD1">
              <w:rPr>
                <w:noProof/>
                <w:webHidden/>
              </w:rPr>
            </w:r>
            <w:r w:rsidR="00197FD1">
              <w:rPr>
                <w:noProof/>
                <w:webHidden/>
              </w:rPr>
              <w:fldChar w:fldCharType="separate"/>
            </w:r>
            <w:r w:rsidR="00BD5D6E">
              <w:rPr>
                <w:noProof/>
                <w:webHidden/>
              </w:rPr>
              <w:t>54</w:t>
            </w:r>
            <w:r w:rsidR="00197FD1">
              <w:rPr>
                <w:noProof/>
                <w:webHidden/>
              </w:rPr>
              <w:fldChar w:fldCharType="end"/>
            </w:r>
          </w:hyperlink>
        </w:p>
        <w:p w14:paraId="28D76392"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5" w:history="1">
            <w:r w:rsidR="00197FD1" w:rsidRPr="00CB35AF">
              <w:rPr>
                <w:rStyle w:val="Hyperlink"/>
                <w:rFonts w:ascii="Times New Roman" w:hAnsi="Times New Roman" w:cs="Times New Roman"/>
                <w:noProof/>
              </w:rPr>
              <w:t>6.2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Accounting System</w:t>
            </w:r>
            <w:r w:rsidR="00197FD1">
              <w:rPr>
                <w:noProof/>
                <w:webHidden/>
              </w:rPr>
              <w:tab/>
            </w:r>
            <w:r w:rsidR="00197FD1">
              <w:rPr>
                <w:noProof/>
                <w:webHidden/>
              </w:rPr>
              <w:fldChar w:fldCharType="begin"/>
            </w:r>
            <w:r w:rsidR="00197FD1">
              <w:rPr>
                <w:noProof/>
                <w:webHidden/>
              </w:rPr>
              <w:instrText xml:space="preserve"> PAGEREF _Toc93342275 \h </w:instrText>
            </w:r>
            <w:r w:rsidR="00197FD1">
              <w:rPr>
                <w:noProof/>
                <w:webHidden/>
              </w:rPr>
            </w:r>
            <w:r w:rsidR="00197FD1">
              <w:rPr>
                <w:noProof/>
                <w:webHidden/>
              </w:rPr>
              <w:fldChar w:fldCharType="separate"/>
            </w:r>
            <w:r w:rsidR="00BD5D6E">
              <w:rPr>
                <w:noProof/>
                <w:webHidden/>
              </w:rPr>
              <w:t>54</w:t>
            </w:r>
            <w:r w:rsidR="00197FD1">
              <w:rPr>
                <w:noProof/>
                <w:webHidden/>
              </w:rPr>
              <w:fldChar w:fldCharType="end"/>
            </w:r>
          </w:hyperlink>
        </w:p>
        <w:p w14:paraId="6A139BB2"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6" w:history="1">
            <w:r w:rsidR="00197FD1" w:rsidRPr="00CB35AF">
              <w:rPr>
                <w:rStyle w:val="Hyperlink"/>
                <w:rFonts w:ascii="Times New Roman" w:hAnsi="Times New Roman" w:cs="Times New Roman"/>
                <w:noProof/>
              </w:rPr>
              <w:t>6.3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Financial Reporting</w:t>
            </w:r>
            <w:r w:rsidR="00197FD1">
              <w:rPr>
                <w:noProof/>
                <w:webHidden/>
              </w:rPr>
              <w:tab/>
            </w:r>
            <w:r w:rsidR="00197FD1">
              <w:rPr>
                <w:noProof/>
                <w:webHidden/>
              </w:rPr>
              <w:fldChar w:fldCharType="begin"/>
            </w:r>
            <w:r w:rsidR="00197FD1">
              <w:rPr>
                <w:noProof/>
                <w:webHidden/>
              </w:rPr>
              <w:instrText xml:space="preserve"> PAGEREF _Toc93342276 \h </w:instrText>
            </w:r>
            <w:r w:rsidR="00197FD1">
              <w:rPr>
                <w:noProof/>
                <w:webHidden/>
              </w:rPr>
            </w:r>
            <w:r w:rsidR="00197FD1">
              <w:rPr>
                <w:noProof/>
                <w:webHidden/>
              </w:rPr>
              <w:fldChar w:fldCharType="separate"/>
            </w:r>
            <w:r w:rsidR="00BD5D6E">
              <w:rPr>
                <w:noProof/>
                <w:webHidden/>
              </w:rPr>
              <w:t>55</w:t>
            </w:r>
            <w:r w:rsidR="00197FD1">
              <w:rPr>
                <w:noProof/>
                <w:webHidden/>
              </w:rPr>
              <w:fldChar w:fldCharType="end"/>
            </w:r>
          </w:hyperlink>
        </w:p>
        <w:p w14:paraId="0D48FCB2"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7" w:history="1">
            <w:r w:rsidR="00197FD1" w:rsidRPr="00CB35AF">
              <w:rPr>
                <w:rStyle w:val="Hyperlink"/>
                <w:rFonts w:ascii="Times New Roman" w:hAnsi="Times New Roman" w:cs="Times New Roman"/>
                <w:noProof/>
              </w:rPr>
              <w:t>6.4</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Financial Control</w:t>
            </w:r>
            <w:r w:rsidR="00197FD1">
              <w:rPr>
                <w:noProof/>
                <w:webHidden/>
              </w:rPr>
              <w:tab/>
            </w:r>
            <w:r w:rsidR="00197FD1">
              <w:rPr>
                <w:noProof/>
                <w:webHidden/>
              </w:rPr>
              <w:fldChar w:fldCharType="begin"/>
            </w:r>
            <w:r w:rsidR="00197FD1">
              <w:rPr>
                <w:noProof/>
                <w:webHidden/>
              </w:rPr>
              <w:instrText xml:space="preserve"> PAGEREF _Toc93342277 \h </w:instrText>
            </w:r>
            <w:r w:rsidR="00197FD1">
              <w:rPr>
                <w:noProof/>
                <w:webHidden/>
              </w:rPr>
            </w:r>
            <w:r w:rsidR="00197FD1">
              <w:rPr>
                <w:noProof/>
                <w:webHidden/>
              </w:rPr>
              <w:fldChar w:fldCharType="separate"/>
            </w:r>
            <w:r w:rsidR="00BD5D6E">
              <w:rPr>
                <w:noProof/>
                <w:webHidden/>
              </w:rPr>
              <w:t>55</w:t>
            </w:r>
            <w:r w:rsidR="00197FD1">
              <w:rPr>
                <w:noProof/>
                <w:webHidden/>
              </w:rPr>
              <w:fldChar w:fldCharType="end"/>
            </w:r>
          </w:hyperlink>
        </w:p>
        <w:p w14:paraId="4412E3E6"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8" w:history="1">
            <w:r w:rsidR="00197FD1" w:rsidRPr="00CB35AF">
              <w:rPr>
                <w:rStyle w:val="Hyperlink"/>
                <w:rFonts w:ascii="Times New Roman" w:hAnsi="Times New Roman" w:cs="Times New Roman"/>
                <w:noProof/>
              </w:rPr>
              <w:t>6.5</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Internal Control</w:t>
            </w:r>
            <w:r w:rsidR="00197FD1">
              <w:rPr>
                <w:noProof/>
                <w:webHidden/>
              </w:rPr>
              <w:tab/>
            </w:r>
            <w:r w:rsidR="00197FD1">
              <w:rPr>
                <w:noProof/>
                <w:webHidden/>
              </w:rPr>
              <w:fldChar w:fldCharType="begin"/>
            </w:r>
            <w:r w:rsidR="00197FD1">
              <w:rPr>
                <w:noProof/>
                <w:webHidden/>
              </w:rPr>
              <w:instrText xml:space="preserve"> PAGEREF _Toc93342278 \h </w:instrText>
            </w:r>
            <w:r w:rsidR="00197FD1">
              <w:rPr>
                <w:noProof/>
                <w:webHidden/>
              </w:rPr>
            </w:r>
            <w:r w:rsidR="00197FD1">
              <w:rPr>
                <w:noProof/>
                <w:webHidden/>
              </w:rPr>
              <w:fldChar w:fldCharType="separate"/>
            </w:r>
            <w:r w:rsidR="00BD5D6E">
              <w:rPr>
                <w:noProof/>
                <w:webHidden/>
              </w:rPr>
              <w:t>56</w:t>
            </w:r>
            <w:r w:rsidR="00197FD1">
              <w:rPr>
                <w:noProof/>
                <w:webHidden/>
              </w:rPr>
              <w:fldChar w:fldCharType="end"/>
            </w:r>
          </w:hyperlink>
        </w:p>
        <w:p w14:paraId="23BDC0F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79" w:history="1">
            <w:r w:rsidR="00197FD1" w:rsidRPr="00CB35AF">
              <w:rPr>
                <w:rStyle w:val="Hyperlink"/>
                <w:rFonts w:ascii="Times New Roman" w:hAnsi="Times New Roman" w:cs="Times New Roman"/>
                <w:noProof/>
              </w:rPr>
              <w:t>6.6</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Financial Audit</w:t>
            </w:r>
            <w:r w:rsidR="00197FD1">
              <w:rPr>
                <w:noProof/>
                <w:webHidden/>
              </w:rPr>
              <w:tab/>
            </w:r>
            <w:r w:rsidR="00197FD1">
              <w:rPr>
                <w:noProof/>
                <w:webHidden/>
              </w:rPr>
              <w:fldChar w:fldCharType="begin"/>
            </w:r>
            <w:r w:rsidR="00197FD1">
              <w:rPr>
                <w:noProof/>
                <w:webHidden/>
              </w:rPr>
              <w:instrText xml:space="preserve"> PAGEREF _Toc93342279 \h </w:instrText>
            </w:r>
            <w:r w:rsidR="00197FD1">
              <w:rPr>
                <w:noProof/>
                <w:webHidden/>
              </w:rPr>
            </w:r>
            <w:r w:rsidR="00197FD1">
              <w:rPr>
                <w:noProof/>
                <w:webHidden/>
              </w:rPr>
              <w:fldChar w:fldCharType="separate"/>
            </w:r>
            <w:r w:rsidR="00BD5D6E">
              <w:rPr>
                <w:noProof/>
                <w:webHidden/>
              </w:rPr>
              <w:t>56</w:t>
            </w:r>
            <w:r w:rsidR="00197FD1">
              <w:rPr>
                <w:noProof/>
                <w:webHidden/>
              </w:rPr>
              <w:fldChar w:fldCharType="end"/>
            </w:r>
          </w:hyperlink>
        </w:p>
        <w:p w14:paraId="41A1092B"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80" w:history="1">
            <w:r w:rsidR="00197FD1" w:rsidRPr="00CB35AF">
              <w:rPr>
                <w:rStyle w:val="Hyperlink"/>
                <w:rFonts w:ascii="Times New Roman" w:hAnsi="Times New Roman" w:cs="Times New Roman"/>
                <w:noProof/>
              </w:rPr>
              <w:t>6.7</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Financial Procedures</w:t>
            </w:r>
            <w:r w:rsidR="00197FD1">
              <w:rPr>
                <w:noProof/>
                <w:webHidden/>
              </w:rPr>
              <w:tab/>
            </w:r>
            <w:r w:rsidR="00197FD1">
              <w:rPr>
                <w:noProof/>
                <w:webHidden/>
              </w:rPr>
              <w:fldChar w:fldCharType="begin"/>
            </w:r>
            <w:r w:rsidR="00197FD1">
              <w:rPr>
                <w:noProof/>
                <w:webHidden/>
              </w:rPr>
              <w:instrText xml:space="preserve"> PAGEREF _Toc93342280 \h </w:instrText>
            </w:r>
            <w:r w:rsidR="00197FD1">
              <w:rPr>
                <w:noProof/>
                <w:webHidden/>
              </w:rPr>
            </w:r>
            <w:r w:rsidR="00197FD1">
              <w:rPr>
                <w:noProof/>
                <w:webHidden/>
              </w:rPr>
              <w:fldChar w:fldCharType="separate"/>
            </w:r>
            <w:r w:rsidR="00BD5D6E">
              <w:rPr>
                <w:noProof/>
                <w:webHidden/>
              </w:rPr>
              <w:t>57</w:t>
            </w:r>
            <w:r w:rsidR="00197FD1">
              <w:rPr>
                <w:noProof/>
                <w:webHidden/>
              </w:rPr>
              <w:fldChar w:fldCharType="end"/>
            </w:r>
          </w:hyperlink>
        </w:p>
        <w:p w14:paraId="59E981FF"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81" w:history="1">
            <w:r w:rsidR="00197FD1" w:rsidRPr="00CB35AF">
              <w:rPr>
                <w:rStyle w:val="Hyperlink"/>
                <w:rFonts w:ascii="Times New Roman" w:hAnsi="Times New Roman" w:cs="Times New Roman"/>
                <w:noProof/>
              </w:rPr>
              <w:t>6.8</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Financial Plan</w:t>
            </w:r>
            <w:r w:rsidR="00197FD1">
              <w:rPr>
                <w:noProof/>
                <w:webHidden/>
              </w:rPr>
              <w:tab/>
            </w:r>
            <w:r w:rsidR="00197FD1">
              <w:rPr>
                <w:noProof/>
                <w:webHidden/>
              </w:rPr>
              <w:fldChar w:fldCharType="begin"/>
            </w:r>
            <w:r w:rsidR="00197FD1">
              <w:rPr>
                <w:noProof/>
                <w:webHidden/>
              </w:rPr>
              <w:instrText xml:space="preserve"> PAGEREF _Toc93342281 \h </w:instrText>
            </w:r>
            <w:r w:rsidR="00197FD1">
              <w:rPr>
                <w:noProof/>
                <w:webHidden/>
              </w:rPr>
            </w:r>
            <w:r w:rsidR="00197FD1">
              <w:rPr>
                <w:noProof/>
                <w:webHidden/>
              </w:rPr>
              <w:fldChar w:fldCharType="separate"/>
            </w:r>
            <w:r w:rsidR="00BD5D6E">
              <w:rPr>
                <w:noProof/>
                <w:webHidden/>
              </w:rPr>
              <w:t>57</w:t>
            </w:r>
            <w:r w:rsidR="00197FD1">
              <w:rPr>
                <w:noProof/>
                <w:webHidden/>
              </w:rPr>
              <w:fldChar w:fldCharType="end"/>
            </w:r>
          </w:hyperlink>
        </w:p>
        <w:p w14:paraId="6E2D097F"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82" w:history="1">
            <w:r w:rsidR="00197FD1" w:rsidRPr="00CB35AF">
              <w:rPr>
                <w:rStyle w:val="Hyperlink"/>
                <w:rFonts w:ascii="Times New Roman" w:hAnsi="Times New Roman" w:cs="Times New Roman"/>
                <w:noProof/>
              </w:rPr>
              <w:t>6.9</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Disbursement</w:t>
            </w:r>
            <w:r w:rsidR="00197FD1">
              <w:rPr>
                <w:noProof/>
                <w:webHidden/>
              </w:rPr>
              <w:tab/>
            </w:r>
            <w:r w:rsidR="00197FD1">
              <w:rPr>
                <w:noProof/>
                <w:webHidden/>
              </w:rPr>
              <w:fldChar w:fldCharType="begin"/>
            </w:r>
            <w:r w:rsidR="00197FD1">
              <w:rPr>
                <w:noProof/>
                <w:webHidden/>
              </w:rPr>
              <w:instrText xml:space="preserve"> PAGEREF _Toc93342282 \h </w:instrText>
            </w:r>
            <w:r w:rsidR="00197FD1">
              <w:rPr>
                <w:noProof/>
                <w:webHidden/>
              </w:rPr>
            </w:r>
            <w:r w:rsidR="00197FD1">
              <w:rPr>
                <w:noProof/>
                <w:webHidden/>
              </w:rPr>
              <w:fldChar w:fldCharType="separate"/>
            </w:r>
            <w:r w:rsidR="00BD5D6E">
              <w:rPr>
                <w:noProof/>
                <w:webHidden/>
              </w:rPr>
              <w:t>57</w:t>
            </w:r>
            <w:r w:rsidR="00197FD1">
              <w:rPr>
                <w:noProof/>
                <w:webHidden/>
              </w:rPr>
              <w:fldChar w:fldCharType="end"/>
            </w:r>
          </w:hyperlink>
        </w:p>
        <w:p w14:paraId="50D242A0"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83" w:history="1">
            <w:r w:rsidR="00197FD1" w:rsidRPr="00CB35AF">
              <w:rPr>
                <w:rStyle w:val="Hyperlink"/>
                <w:rFonts w:ascii="Times New Roman" w:hAnsi="Times New Roman" w:cs="Times New Roman"/>
                <w:noProof/>
              </w:rPr>
              <w:t>6.10</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Payments</w:t>
            </w:r>
            <w:r w:rsidR="00197FD1">
              <w:rPr>
                <w:noProof/>
                <w:webHidden/>
              </w:rPr>
              <w:tab/>
            </w:r>
            <w:r w:rsidR="00197FD1">
              <w:rPr>
                <w:noProof/>
                <w:webHidden/>
              </w:rPr>
              <w:fldChar w:fldCharType="begin"/>
            </w:r>
            <w:r w:rsidR="00197FD1">
              <w:rPr>
                <w:noProof/>
                <w:webHidden/>
              </w:rPr>
              <w:instrText xml:space="preserve"> PAGEREF _Toc93342283 \h </w:instrText>
            </w:r>
            <w:r w:rsidR="00197FD1">
              <w:rPr>
                <w:noProof/>
                <w:webHidden/>
              </w:rPr>
            </w:r>
            <w:r w:rsidR="00197FD1">
              <w:rPr>
                <w:noProof/>
                <w:webHidden/>
              </w:rPr>
              <w:fldChar w:fldCharType="separate"/>
            </w:r>
            <w:r w:rsidR="00BD5D6E">
              <w:rPr>
                <w:noProof/>
                <w:webHidden/>
              </w:rPr>
              <w:t>60</w:t>
            </w:r>
            <w:r w:rsidR="00197FD1">
              <w:rPr>
                <w:noProof/>
                <w:webHidden/>
              </w:rPr>
              <w:fldChar w:fldCharType="end"/>
            </w:r>
          </w:hyperlink>
        </w:p>
        <w:p w14:paraId="2D52C6C6"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284" w:history="1">
            <w:r w:rsidR="00197FD1" w:rsidRPr="00CB35AF">
              <w:rPr>
                <w:rStyle w:val="Hyperlink"/>
                <w:rFonts w:ascii="Times New Roman" w:hAnsi="Times New Roman" w:cs="Times New Roman"/>
                <w:noProof/>
              </w:rPr>
              <w:t>6.10.1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Payment of services</w:t>
            </w:r>
            <w:r w:rsidR="00197FD1">
              <w:rPr>
                <w:noProof/>
                <w:webHidden/>
              </w:rPr>
              <w:tab/>
            </w:r>
            <w:r w:rsidR="00197FD1">
              <w:rPr>
                <w:noProof/>
                <w:webHidden/>
              </w:rPr>
              <w:fldChar w:fldCharType="begin"/>
            </w:r>
            <w:r w:rsidR="00197FD1">
              <w:rPr>
                <w:noProof/>
                <w:webHidden/>
              </w:rPr>
              <w:instrText xml:space="preserve"> PAGEREF _Toc93342284 \h </w:instrText>
            </w:r>
            <w:r w:rsidR="00197FD1">
              <w:rPr>
                <w:noProof/>
                <w:webHidden/>
              </w:rPr>
            </w:r>
            <w:r w:rsidR="00197FD1">
              <w:rPr>
                <w:noProof/>
                <w:webHidden/>
              </w:rPr>
              <w:fldChar w:fldCharType="separate"/>
            </w:r>
            <w:r w:rsidR="00BD5D6E">
              <w:rPr>
                <w:noProof/>
                <w:webHidden/>
              </w:rPr>
              <w:t>62</w:t>
            </w:r>
            <w:r w:rsidR="00197FD1">
              <w:rPr>
                <w:noProof/>
                <w:webHidden/>
              </w:rPr>
              <w:fldChar w:fldCharType="end"/>
            </w:r>
          </w:hyperlink>
        </w:p>
        <w:p w14:paraId="5BA05AD1"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285" w:history="1">
            <w:r w:rsidR="00197FD1" w:rsidRPr="00CB35AF">
              <w:rPr>
                <w:rStyle w:val="Hyperlink"/>
                <w:rFonts w:ascii="Times New Roman" w:hAnsi="Times New Roman" w:cs="Times New Roman"/>
                <w:noProof/>
              </w:rPr>
              <w:t>6.10.2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Payment of goods</w:t>
            </w:r>
            <w:r w:rsidR="00197FD1">
              <w:rPr>
                <w:noProof/>
                <w:webHidden/>
              </w:rPr>
              <w:tab/>
            </w:r>
            <w:r w:rsidR="00197FD1">
              <w:rPr>
                <w:noProof/>
                <w:webHidden/>
              </w:rPr>
              <w:fldChar w:fldCharType="begin"/>
            </w:r>
            <w:r w:rsidR="00197FD1">
              <w:rPr>
                <w:noProof/>
                <w:webHidden/>
              </w:rPr>
              <w:instrText xml:space="preserve"> PAGEREF _Toc93342285 \h </w:instrText>
            </w:r>
            <w:r w:rsidR="00197FD1">
              <w:rPr>
                <w:noProof/>
                <w:webHidden/>
              </w:rPr>
            </w:r>
            <w:r w:rsidR="00197FD1">
              <w:rPr>
                <w:noProof/>
                <w:webHidden/>
              </w:rPr>
              <w:fldChar w:fldCharType="separate"/>
            </w:r>
            <w:r w:rsidR="00BD5D6E">
              <w:rPr>
                <w:noProof/>
                <w:webHidden/>
              </w:rPr>
              <w:t>62</w:t>
            </w:r>
            <w:r w:rsidR="00197FD1">
              <w:rPr>
                <w:noProof/>
                <w:webHidden/>
              </w:rPr>
              <w:fldChar w:fldCharType="end"/>
            </w:r>
          </w:hyperlink>
        </w:p>
        <w:p w14:paraId="31C8E94E"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286" w:history="1">
            <w:r w:rsidR="00197FD1" w:rsidRPr="00CB35AF">
              <w:rPr>
                <w:rStyle w:val="Hyperlink"/>
                <w:rFonts w:ascii="Times New Roman" w:hAnsi="Times New Roman" w:cs="Times New Roman"/>
                <w:noProof/>
              </w:rPr>
              <w:t>6.10.3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Payments for Infrastructure investment projects implemented by the LSG</w:t>
            </w:r>
            <w:r w:rsidR="00197FD1">
              <w:rPr>
                <w:noProof/>
                <w:webHidden/>
              </w:rPr>
              <w:tab/>
            </w:r>
            <w:r w:rsidR="00197FD1">
              <w:rPr>
                <w:noProof/>
                <w:webHidden/>
              </w:rPr>
              <w:fldChar w:fldCharType="begin"/>
            </w:r>
            <w:r w:rsidR="00197FD1">
              <w:rPr>
                <w:noProof/>
                <w:webHidden/>
              </w:rPr>
              <w:instrText xml:space="preserve"> PAGEREF _Toc93342286 \h </w:instrText>
            </w:r>
            <w:r w:rsidR="00197FD1">
              <w:rPr>
                <w:noProof/>
                <w:webHidden/>
              </w:rPr>
            </w:r>
            <w:r w:rsidR="00197FD1">
              <w:rPr>
                <w:noProof/>
                <w:webHidden/>
              </w:rPr>
              <w:fldChar w:fldCharType="separate"/>
            </w:r>
            <w:r w:rsidR="00BD5D6E">
              <w:rPr>
                <w:noProof/>
                <w:webHidden/>
              </w:rPr>
              <w:t>62</w:t>
            </w:r>
            <w:r w:rsidR="00197FD1">
              <w:rPr>
                <w:noProof/>
                <w:webHidden/>
              </w:rPr>
              <w:fldChar w:fldCharType="end"/>
            </w:r>
          </w:hyperlink>
        </w:p>
        <w:p w14:paraId="03AB25F6"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287" w:history="1">
            <w:r w:rsidR="00197FD1" w:rsidRPr="00CB35AF">
              <w:rPr>
                <w:rStyle w:val="Hyperlink"/>
                <w:rFonts w:ascii="Times New Roman" w:hAnsi="Times New Roman" w:cs="Times New Roman"/>
                <w:noProof/>
              </w:rPr>
              <w:t>7</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PROCUREMENT</w:t>
            </w:r>
            <w:r w:rsidR="00197FD1">
              <w:rPr>
                <w:noProof/>
                <w:webHidden/>
              </w:rPr>
              <w:tab/>
            </w:r>
            <w:r w:rsidR="00197FD1">
              <w:rPr>
                <w:noProof/>
                <w:webHidden/>
              </w:rPr>
              <w:fldChar w:fldCharType="begin"/>
            </w:r>
            <w:r w:rsidR="00197FD1">
              <w:rPr>
                <w:noProof/>
                <w:webHidden/>
              </w:rPr>
              <w:instrText xml:space="preserve"> PAGEREF _Toc93342287 \h </w:instrText>
            </w:r>
            <w:r w:rsidR="00197FD1">
              <w:rPr>
                <w:noProof/>
                <w:webHidden/>
              </w:rPr>
            </w:r>
            <w:r w:rsidR="00197FD1">
              <w:rPr>
                <w:noProof/>
                <w:webHidden/>
              </w:rPr>
              <w:fldChar w:fldCharType="separate"/>
            </w:r>
            <w:r w:rsidR="00BD5D6E">
              <w:rPr>
                <w:noProof/>
                <w:webHidden/>
              </w:rPr>
              <w:t>64</w:t>
            </w:r>
            <w:r w:rsidR="00197FD1">
              <w:rPr>
                <w:noProof/>
                <w:webHidden/>
              </w:rPr>
              <w:fldChar w:fldCharType="end"/>
            </w:r>
          </w:hyperlink>
        </w:p>
        <w:p w14:paraId="57DC12ED"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88" w:history="1">
            <w:r w:rsidR="00197FD1" w:rsidRPr="00CB35AF">
              <w:rPr>
                <w:rStyle w:val="Hyperlink"/>
                <w:rFonts w:ascii="Times New Roman" w:hAnsi="Times New Roman" w:cs="Times New Roman"/>
                <w:noProof/>
              </w:rPr>
              <w:t>7.1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General</w:t>
            </w:r>
            <w:r w:rsidR="00197FD1">
              <w:rPr>
                <w:noProof/>
                <w:webHidden/>
              </w:rPr>
              <w:tab/>
            </w:r>
            <w:r w:rsidR="00197FD1">
              <w:rPr>
                <w:noProof/>
                <w:webHidden/>
              </w:rPr>
              <w:fldChar w:fldCharType="begin"/>
            </w:r>
            <w:r w:rsidR="00197FD1">
              <w:rPr>
                <w:noProof/>
                <w:webHidden/>
              </w:rPr>
              <w:instrText xml:space="preserve"> PAGEREF _Toc93342288 \h </w:instrText>
            </w:r>
            <w:r w:rsidR="00197FD1">
              <w:rPr>
                <w:noProof/>
                <w:webHidden/>
              </w:rPr>
            </w:r>
            <w:r w:rsidR="00197FD1">
              <w:rPr>
                <w:noProof/>
                <w:webHidden/>
              </w:rPr>
              <w:fldChar w:fldCharType="separate"/>
            </w:r>
            <w:r w:rsidR="00BD5D6E">
              <w:rPr>
                <w:noProof/>
                <w:webHidden/>
              </w:rPr>
              <w:t>64</w:t>
            </w:r>
            <w:r w:rsidR="00197FD1">
              <w:rPr>
                <w:noProof/>
                <w:webHidden/>
              </w:rPr>
              <w:fldChar w:fldCharType="end"/>
            </w:r>
          </w:hyperlink>
        </w:p>
        <w:p w14:paraId="30CEEFA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89" w:history="1">
            <w:r w:rsidR="00197FD1" w:rsidRPr="00CB35AF">
              <w:rPr>
                <w:rStyle w:val="Hyperlink"/>
                <w:rFonts w:ascii="Times New Roman" w:hAnsi="Times New Roman" w:cs="Times New Roman"/>
                <w:noProof/>
              </w:rPr>
              <w:t>7.1.1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General Procurement Notice (GPN).</w:t>
            </w:r>
            <w:r w:rsidR="00197FD1">
              <w:rPr>
                <w:noProof/>
                <w:webHidden/>
              </w:rPr>
              <w:tab/>
            </w:r>
            <w:r w:rsidR="00197FD1">
              <w:rPr>
                <w:noProof/>
                <w:webHidden/>
              </w:rPr>
              <w:fldChar w:fldCharType="begin"/>
            </w:r>
            <w:r w:rsidR="00197FD1">
              <w:rPr>
                <w:noProof/>
                <w:webHidden/>
              </w:rPr>
              <w:instrText xml:space="preserve"> PAGEREF _Toc93342289 \h </w:instrText>
            </w:r>
            <w:r w:rsidR="00197FD1">
              <w:rPr>
                <w:noProof/>
                <w:webHidden/>
              </w:rPr>
            </w:r>
            <w:r w:rsidR="00197FD1">
              <w:rPr>
                <w:noProof/>
                <w:webHidden/>
              </w:rPr>
              <w:fldChar w:fldCharType="separate"/>
            </w:r>
            <w:r w:rsidR="00BD5D6E">
              <w:rPr>
                <w:noProof/>
                <w:webHidden/>
              </w:rPr>
              <w:t>65</w:t>
            </w:r>
            <w:r w:rsidR="00197FD1">
              <w:rPr>
                <w:noProof/>
                <w:webHidden/>
              </w:rPr>
              <w:fldChar w:fldCharType="end"/>
            </w:r>
          </w:hyperlink>
        </w:p>
        <w:p w14:paraId="0DCCC68B"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0" w:history="1">
            <w:r w:rsidR="00197FD1" w:rsidRPr="00CB35AF">
              <w:rPr>
                <w:rStyle w:val="Hyperlink"/>
                <w:rFonts w:ascii="Times New Roman" w:hAnsi="Times New Roman" w:cs="Times New Roman"/>
                <w:noProof/>
              </w:rPr>
              <w:t>7.1.2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Major procurement categories under the Project.</w:t>
            </w:r>
            <w:r w:rsidR="00197FD1">
              <w:rPr>
                <w:noProof/>
                <w:webHidden/>
              </w:rPr>
              <w:tab/>
            </w:r>
            <w:r w:rsidR="00197FD1">
              <w:rPr>
                <w:noProof/>
                <w:webHidden/>
              </w:rPr>
              <w:fldChar w:fldCharType="begin"/>
            </w:r>
            <w:r w:rsidR="00197FD1">
              <w:rPr>
                <w:noProof/>
                <w:webHidden/>
              </w:rPr>
              <w:instrText xml:space="preserve"> PAGEREF _Toc93342290 \h </w:instrText>
            </w:r>
            <w:r w:rsidR="00197FD1">
              <w:rPr>
                <w:noProof/>
                <w:webHidden/>
              </w:rPr>
            </w:r>
            <w:r w:rsidR="00197FD1">
              <w:rPr>
                <w:noProof/>
                <w:webHidden/>
              </w:rPr>
              <w:fldChar w:fldCharType="separate"/>
            </w:r>
            <w:r w:rsidR="00BD5D6E">
              <w:rPr>
                <w:noProof/>
                <w:webHidden/>
              </w:rPr>
              <w:t>65</w:t>
            </w:r>
            <w:r w:rsidR="00197FD1">
              <w:rPr>
                <w:noProof/>
                <w:webHidden/>
              </w:rPr>
              <w:fldChar w:fldCharType="end"/>
            </w:r>
          </w:hyperlink>
        </w:p>
        <w:p w14:paraId="03E9730E"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1" w:history="1">
            <w:r w:rsidR="00197FD1" w:rsidRPr="00CB35AF">
              <w:rPr>
                <w:rStyle w:val="Hyperlink"/>
                <w:rFonts w:ascii="Times New Roman" w:hAnsi="Times New Roman" w:cs="Times New Roman"/>
                <w:noProof/>
              </w:rPr>
              <w:t>7.1.3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The Client and the PIU Capability Assessment.</w:t>
            </w:r>
            <w:r w:rsidR="00197FD1">
              <w:rPr>
                <w:noProof/>
                <w:webHidden/>
              </w:rPr>
              <w:tab/>
            </w:r>
            <w:r w:rsidR="00197FD1">
              <w:rPr>
                <w:noProof/>
                <w:webHidden/>
              </w:rPr>
              <w:fldChar w:fldCharType="begin"/>
            </w:r>
            <w:r w:rsidR="00197FD1">
              <w:rPr>
                <w:noProof/>
                <w:webHidden/>
              </w:rPr>
              <w:instrText xml:space="preserve"> PAGEREF _Toc93342291 \h </w:instrText>
            </w:r>
            <w:r w:rsidR="00197FD1">
              <w:rPr>
                <w:noProof/>
                <w:webHidden/>
              </w:rPr>
            </w:r>
            <w:r w:rsidR="00197FD1">
              <w:rPr>
                <w:noProof/>
                <w:webHidden/>
              </w:rPr>
              <w:fldChar w:fldCharType="separate"/>
            </w:r>
            <w:r w:rsidR="00BD5D6E">
              <w:rPr>
                <w:noProof/>
                <w:webHidden/>
              </w:rPr>
              <w:t>66</w:t>
            </w:r>
            <w:r w:rsidR="00197FD1">
              <w:rPr>
                <w:noProof/>
                <w:webHidden/>
              </w:rPr>
              <w:fldChar w:fldCharType="end"/>
            </w:r>
          </w:hyperlink>
        </w:p>
        <w:p w14:paraId="2DEF882D"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2" w:history="1">
            <w:r w:rsidR="00197FD1" w:rsidRPr="00CB35AF">
              <w:rPr>
                <w:rStyle w:val="Hyperlink"/>
                <w:rFonts w:ascii="Times New Roman" w:hAnsi="Times New Roman" w:cs="Times New Roman"/>
                <w:noProof/>
              </w:rPr>
              <w:t>7.1.4</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Procurement Risk</w:t>
            </w:r>
            <w:r w:rsidR="00197FD1">
              <w:rPr>
                <w:noProof/>
                <w:webHidden/>
              </w:rPr>
              <w:tab/>
            </w:r>
            <w:r w:rsidR="00197FD1">
              <w:rPr>
                <w:noProof/>
                <w:webHidden/>
              </w:rPr>
              <w:fldChar w:fldCharType="begin"/>
            </w:r>
            <w:r w:rsidR="00197FD1">
              <w:rPr>
                <w:noProof/>
                <w:webHidden/>
              </w:rPr>
              <w:instrText xml:space="preserve"> PAGEREF _Toc93342292 \h </w:instrText>
            </w:r>
            <w:r w:rsidR="00197FD1">
              <w:rPr>
                <w:noProof/>
                <w:webHidden/>
              </w:rPr>
            </w:r>
            <w:r w:rsidR="00197FD1">
              <w:rPr>
                <w:noProof/>
                <w:webHidden/>
              </w:rPr>
              <w:fldChar w:fldCharType="separate"/>
            </w:r>
            <w:r w:rsidR="00BD5D6E">
              <w:rPr>
                <w:noProof/>
                <w:webHidden/>
              </w:rPr>
              <w:t>66</w:t>
            </w:r>
            <w:r w:rsidR="00197FD1">
              <w:rPr>
                <w:noProof/>
                <w:webHidden/>
              </w:rPr>
              <w:fldChar w:fldCharType="end"/>
            </w:r>
          </w:hyperlink>
        </w:p>
        <w:p w14:paraId="5947E0A4" w14:textId="77777777" w:rsidR="00197FD1" w:rsidRDefault="003B7A19">
          <w:pPr>
            <w:pStyle w:val="TOC3"/>
            <w:tabs>
              <w:tab w:val="right" w:leader="dot" w:pos="9343"/>
            </w:tabs>
            <w:rPr>
              <w:rFonts w:asciiTheme="minorHAnsi" w:hAnsiTheme="minorHAnsi"/>
              <w:bCs w:val="0"/>
              <w:i w:val="0"/>
              <w:iCs w:val="0"/>
              <w:noProof/>
              <w:sz w:val="22"/>
              <w:lang w:val="en-US"/>
            </w:rPr>
          </w:pPr>
          <w:hyperlink w:anchor="_Toc93342293" w:history="1">
            <w:r w:rsidR="00197FD1" w:rsidRPr="00CB35AF">
              <w:rPr>
                <w:rStyle w:val="Hyperlink"/>
                <w:rFonts w:ascii="Times New Roman" w:hAnsi="Times New Roman" w:cs="Times New Roman"/>
                <w:noProof/>
              </w:rPr>
              <w:t>Procurement Risk Mitigation Measures:</w:t>
            </w:r>
            <w:r w:rsidR="00197FD1">
              <w:rPr>
                <w:noProof/>
                <w:webHidden/>
              </w:rPr>
              <w:tab/>
            </w:r>
            <w:r w:rsidR="00197FD1">
              <w:rPr>
                <w:noProof/>
                <w:webHidden/>
              </w:rPr>
              <w:fldChar w:fldCharType="begin"/>
            </w:r>
            <w:r w:rsidR="00197FD1">
              <w:rPr>
                <w:noProof/>
                <w:webHidden/>
              </w:rPr>
              <w:instrText xml:space="preserve"> PAGEREF _Toc93342293 \h </w:instrText>
            </w:r>
            <w:r w:rsidR="00197FD1">
              <w:rPr>
                <w:noProof/>
                <w:webHidden/>
              </w:rPr>
            </w:r>
            <w:r w:rsidR="00197FD1">
              <w:rPr>
                <w:noProof/>
                <w:webHidden/>
              </w:rPr>
              <w:fldChar w:fldCharType="separate"/>
            </w:r>
            <w:r w:rsidR="00BD5D6E">
              <w:rPr>
                <w:noProof/>
                <w:webHidden/>
              </w:rPr>
              <w:t>66</w:t>
            </w:r>
            <w:r w:rsidR="00197FD1">
              <w:rPr>
                <w:noProof/>
                <w:webHidden/>
              </w:rPr>
              <w:fldChar w:fldCharType="end"/>
            </w:r>
          </w:hyperlink>
        </w:p>
        <w:p w14:paraId="3581D98E"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4" w:history="1">
            <w:r w:rsidR="00197FD1" w:rsidRPr="00CB35AF">
              <w:rPr>
                <w:rStyle w:val="Hyperlink"/>
                <w:rFonts w:ascii="Times New Roman" w:hAnsi="Times New Roman" w:cs="Times New Roman"/>
                <w:noProof/>
              </w:rPr>
              <w:t>7.1.5</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Use of Serbian electronic Government Procurement</w:t>
            </w:r>
            <w:r w:rsidR="00197FD1">
              <w:rPr>
                <w:noProof/>
                <w:webHidden/>
              </w:rPr>
              <w:tab/>
            </w:r>
            <w:r w:rsidR="00197FD1">
              <w:rPr>
                <w:noProof/>
                <w:webHidden/>
              </w:rPr>
              <w:fldChar w:fldCharType="begin"/>
            </w:r>
            <w:r w:rsidR="00197FD1">
              <w:rPr>
                <w:noProof/>
                <w:webHidden/>
              </w:rPr>
              <w:instrText xml:space="preserve"> PAGEREF _Toc93342294 \h </w:instrText>
            </w:r>
            <w:r w:rsidR="00197FD1">
              <w:rPr>
                <w:noProof/>
                <w:webHidden/>
              </w:rPr>
            </w:r>
            <w:r w:rsidR="00197FD1">
              <w:rPr>
                <w:noProof/>
                <w:webHidden/>
              </w:rPr>
              <w:fldChar w:fldCharType="separate"/>
            </w:r>
            <w:r w:rsidR="00BD5D6E">
              <w:rPr>
                <w:noProof/>
                <w:webHidden/>
              </w:rPr>
              <w:t>66</w:t>
            </w:r>
            <w:r w:rsidR="00197FD1">
              <w:rPr>
                <w:noProof/>
                <w:webHidden/>
              </w:rPr>
              <w:fldChar w:fldCharType="end"/>
            </w:r>
          </w:hyperlink>
        </w:p>
        <w:p w14:paraId="5183FE97"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5" w:history="1">
            <w:r w:rsidR="00197FD1" w:rsidRPr="00CB35AF">
              <w:rPr>
                <w:rStyle w:val="Hyperlink"/>
                <w:rFonts w:ascii="Times New Roman" w:hAnsi="Times New Roman" w:cs="Times New Roman"/>
                <w:noProof/>
              </w:rPr>
              <w:t>7.1.6</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Procurement KPIs for the LSGs Procurement</w:t>
            </w:r>
            <w:r w:rsidR="00197FD1">
              <w:rPr>
                <w:noProof/>
                <w:webHidden/>
              </w:rPr>
              <w:tab/>
            </w:r>
            <w:r w:rsidR="00197FD1">
              <w:rPr>
                <w:noProof/>
                <w:webHidden/>
              </w:rPr>
              <w:fldChar w:fldCharType="begin"/>
            </w:r>
            <w:r w:rsidR="00197FD1">
              <w:rPr>
                <w:noProof/>
                <w:webHidden/>
              </w:rPr>
              <w:instrText xml:space="preserve"> PAGEREF _Toc93342295 \h </w:instrText>
            </w:r>
            <w:r w:rsidR="00197FD1">
              <w:rPr>
                <w:noProof/>
                <w:webHidden/>
              </w:rPr>
            </w:r>
            <w:r w:rsidR="00197FD1">
              <w:rPr>
                <w:noProof/>
                <w:webHidden/>
              </w:rPr>
              <w:fldChar w:fldCharType="separate"/>
            </w:r>
            <w:r w:rsidR="00BD5D6E">
              <w:rPr>
                <w:noProof/>
                <w:webHidden/>
              </w:rPr>
              <w:t>66</w:t>
            </w:r>
            <w:r w:rsidR="00197FD1">
              <w:rPr>
                <w:noProof/>
                <w:webHidden/>
              </w:rPr>
              <w:fldChar w:fldCharType="end"/>
            </w:r>
          </w:hyperlink>
        </w:p>
        <w:p w14:paraId="4FCAD72C"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6" w:history="1">
            <w:r w:rsidR="00197FD1" w:rsidRPr="00CB35AF">
              <w:rPr>
                <w:rStyle w:val="Hyperlink"/>
                <w:rFonts w:ascii="Times New Roman" w:hAnsi="Times New Roman" w:cs="Times New Roman"/>
                <w:noProof/>
              </w:rPr>
              <w:t>7.1.7</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Procurement thresholds and prior review thresholds.</w:t>
            </w:r>
            <w:r w:rsidR="00197FD1">
              <w:rPr>
                <w:noProof/>
                <w:webHidden/>
              </w:rPr>
              <w:tab/>
            </w:r>
            <w:r w:rsidR="00197FD1">
              <w:rPr>
                <w:noProof/>
                <w:webHidden/>
              </w:rPr>
              <w:fldChar w:fldCharType="begin"/>
            </w:r>
            <w:r w:rsidR="00197FD1">
              <w:rPr>
                <w:noProof/>
                <w:webHidden/>
              </w:rPr>
              <w:instrText xml:space="preserve"> PAGEREF _Toc93342296 \h </w:instrText>
            </w:r>
            <w:r w:rsidR="00197FD1">
              <w:rPr>
                <w:noProof/>
                <w:webHidden/>
              </w:rPr>
            </w:r>
            <w:r w:rsidR="00197FD1">
              <w:rPr>
                <w:noProof/>
                <w:webHidden/>
              </w:rPr>
              <w:fldChar w:fldCharType="separate"/>
            </w:r>
            <w:r w:rsidR="00BD5D6E">
              <w:rPr>
                <w:noProof/>
                <w:webHidden/>
              </w:rPr>
              <w:t>67</w:t>
            </w:r>
            <w:r w:rsidR="00197FD1">
              <w:rPr>
                <w:noProof/>
                <w:webHidden/>
              </w:rPr>
              <w:fldChar w:fldCharType="end"/>
            </w:r>
          </w:hyperlink>
        </w:p>
        <w:p w14:paraId="33AD978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297" w:history="1">
            <w:r w:rsidR="00197FD1" w:rsidRPr="00CB35AF">
              <w:rPr>
                <w:rStyle w:val="Hyperlink"/>
                <w:rFonts w:ascii="Times New Roman" w:hAnsi="Times New Roman" w:cs="Times New Roman"/>
                <w:noProof/>
              </w:rPr>
              <w:t>7.2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Procurement Planning</w:t>
            </w:r>
            <w:r w:rsidR="00197FD1">
              <w:rPr>
                <w:noProof/>
                <w:webHidden/>
              </w:rPr>
              <w:tab/>
            </w:r>
            <w:r w:rsidR="00197FD1">
              <w:rPr>
                <w:noProof/>
                <w:webHidden/>
              </w:rPr>
              <w:fldChar w:fldCharType="begin"/>
            </w:r>
            <w:r w:rsidR="00197FD1">
              <w:rPr>
                <w:noProof/>
                <w:webHidden/>
              </w:rPr>
              <w:instrText xml:space="preserve"> PAGEREF _Toc93342297 \h </w:instrText>
            </w:r>
            <w:r w:rsidR="00197FD1">
              <w:rPr>
                <w:noProof/>
                <w:webHidden/>
              </w:rPr>
            </w:r>
            <w:r w:rsidR="00197FD1">
              <w:rPr>
                <w:noProof/>
                <w:webHidden/>
              </w:rPr>
              <w:fldChar w:fldCharType="separate"/>
            </w:r>
            <w:r w:rsidR="00BD5D6E">
              <w:rPr>
                <w:noProof/>
                <w:webHidden/>
              </w:rPr>
              <w:t>67</w:t>
            </w:r>
            <w:r w:rsidR="00197FD1">
              <w:rPr>
                <w:noProof/>
                <w:webHidden/>
              </w:rPr>
              <w:fldChar w:fldCharType="end"/>
            </w:r>
          </w:hyperlink>
        </w:p>
        <w:p w14:paraId="259B59D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8" w:history="1">
            <w:r w:rsidR="00197FD1" w:rsidRPr="00CB35AF">
              <w:rPr>
                <w:rStyle w:val="Hyperlink"/>
                <w:rFonts w:ascii="Times New Roman" w:hAnsi="Times New Roman" w:cs="Times New Roman"/>
                <w:noProof/>
              </w:rPr>
              <w:t>7.2.1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Project Procurement Strategy for Development</w:t>
            </w:r>
            <w:r w:rsidR="00197FD1">
              <w:rPr>
                <w:noProof/>
                <w:webHidden/>
              </w:rPr>
              <w:tab/>
            </w:r>
            <w:r w:rsidR="00197FD1">
              <w:rPr>
                <w:noProof/>
                <w:webHidden/>
              </w:rPr>
              <w:fldChar w:fldCharType="begin"/>
            </w:r>
            <w:r w:rsidR="00197FD1">
              <w:rPr>
                <w:noProof/>
                <w:webHidden/>
              </w:rPr>
              <w:instrText xml:space="preserve"> PAGEREF _Toc93342298 \h </w:instrText>
            </w:r>
            <w:r w:rsidR="00197FD1">
              <w:rPr>
                <w:noProof/>
                <w:webHidden/>
              </w:rPr>
            </w:r>
            <w:r w:rsidR="00197FD1">
              <w:rPr>
                <w:noProof/>
                <w:webHidden/>
              </w:rPr>
              <w:fldChar w:fldCharType="separate"/>
            </w:r>
            <w:r w:rsidR="00BD5D6E">
              <w:rPr>
                <w:noProof/>
                <w:webHidden/>
              </w:rPr>
              <w:t>67</w:t>
            </w:r>
            <w:r w:rsidR="00197FD1">
              <w:rPr>
                <w:noProof/>
                <w:webHidden/>
              </w:rPr>
              <w:fldChar w:fldCharType="end"/>
            </w:r>
          </w:hyperlink>
        </w:p>
        <w:p w14:paraId="53D20BE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299" w:history="1">
            <w:r w:rsidR="00197FD1" w:rsidRPr="00CB35AF">
              <w:rPr>
                <w:rStyle w:val="Hyperlink"/>
                <w:rFonts w:ascii="Times New Roman" w:hAnsi="Times New Roman" w:cs="Times New Roman"/>
                <w:noProof/>
              </w:rPr>
              <w:t>7.2.2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STEP</w:t>
            </w:r>
            <w:r w:rsidR="00197FD1">
              <w:rPr>
                <w:noProof/>
                <w:webHidden/>
              </w:rPr>
              <w:tab/>
            </w:r>
            <w:r w:rsidR="00197FD1">
              <w:rPr>
                <w:noProof/>
                <w:webHidden/>
              </w:rPr>
              <w:fldChar w:fldCharType="begin"/>
            </w:r>
            <w:r w:rsidR="00197FD1">
              <w:rPr>
                <w:noProof/>
                <w:webHidden/>
              </w:rPr>
              <w:instrText xml:space="preserve"> PAGEREF _Toc93342299 \h </w:instrText>
            </w:r>
            <w:r w:rsidR="00197FD1">
              <w:rPr>
                <w:noProof/>
                <w:webHidden/>
              </w:rPr>
            </w:r>
            <w:r w:rsidR="00197FD1">
              <w:rPr>
                <w:noProof/>
                <w:webHidden/>
              </w:rPr>
              <w:fldChar w:fldCharType="separate"/>
            </w:r>
            <w:r w:rsidR="00BD5D6E">
              <w:rPr>
                <w:noProof/>
                <w:webHidden/>
              </w:rPr>
              <w:t>68</w:t>
            </w:r>
            <w:r w:rsidR="00197FD1">
              <w:rPr>
                <w:noProof/>
                <w:webHidden/>
              </w:rPr>
              <w:fldChar w:fldCharType="end"/>
            </w:r>
          </w:hyperlink>
        </w:p>
        <w:p w14:paraId="3C1FA0B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0" w:history="1">
            <w:r w:rsidR="00197FD1" w:rsidRPr="00CB35AF">
              <w:rPr>
                <w:rStyle w:val="Hyperlink"/>
                <w:rFonts w:ascii="Times New Roman" w:hAnsi="Times New Roman" w:cs="Times New Roman"/>
                <w:noProof/>
              </w:rPr>
              <w:t>7.2.3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Procurement Arrangements and Management</w:t>
            </w:r>
            <w:r w:rsidR="00197FD1">
              <w:rPr>
                <w:noProof/>
                <w:webHidden/>
              </w:rPr>
              <w:tab/>
            </w:r>
            <w:r w:rsidR="00197FD1">
              <w:rPr>
                <w:noProof/>
                <w:webHidden/>
              </w:rPr>
              <w:fldChar w:fldCharType="begin"/>
            </w:r>
            <w:r w:rsidR="00197FD1">
              <w:rPr>
                <w:noProof/>
                <w:webHidden/>
              </w:rPr>
              <w:instrText xml:space="preserve"> PAGEREF _Toc93342300 \h </w:instrText>
            </w:r>
            <w:r w:rsidR="00197FD1">
              <w:rPr>
                <w:noProof/>
                <w:webHidden/>
              </w:rPr>
            </w:r>
            <w:r w:rsidR="00197FD1">
              <w:rPr>
                <w:noProof/>
                <w:webHidden/>
              </w:rPr>
              <w:fldChar w:fldCharType="separate"/>
            </w:r>
            <w:r w:rsidR="00BD5D6E">
              <w:rPr>
                <w:noProof/>
                <w:webHidden/>
              </w:rPr>
              <w:t>68</w:t>
            </w:r>
            <w:r w:rsidR="00197FD1">
              <w:rPr>
                <w:noProof/>
                <w:webHidden/>
              </w:rPr>
              <w:fldChar w:fldCharType="end"/>
            </w:r>
          </w:hyperlink>
        </w:p>
        <w:p w14:paraId="246579B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01" w:history="1">
            <w:r w:rsidR="00197FD1" w:rsidRPr="00CB35AF">
              <w:rPr>
                <w:rStyle w:val="Hyperlink"/>
                <w:rFonts w:ascii="Times New Roman" w:hAnsi="Times New Roman" w:cs="Times New Roman"/>
                <w:noProof/>
              </w:rPr>
              <w:t>7.3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Procurement Methods</w:t>
            </w:r>
            <w:r w:rsidR="00197FD1">
              <w:rPr>
                <w:noProof/>
                <w:webHidden/>
              </w:rPr>
              <w:tab/>
            </w:r>
            <w:r w:rsidR="00197FD1">
              <w:rPr>
                <w:noProof/>
                <w:webHidden/>
              </w:rPr>
              <w:fldChar w:fldCharType="begin"/>
            </w:r>
            <w:r w:rsidR="00197FD1">
              <w:rPr>
                <w:noProof/>
                <w:webHidden/>
              </w:rPr>
              <w:instrText xml:space="preserve"> PAGEREF _Toc93342301 \h </w:instrText>
            </w:r>
            <w:r w:rsidR="00197FD1">
              <w:rPr>
                <w:noProof/>
                <w:webHidden/>
              </w:rPr>
            </w:r>
            <w:r w:rsidR="00197FD1">
              <w:rPr>
                <w:noProof/>
                <w:webHidden/>
              </w:rPr>
              <w:fldChar w:fldCharType="separate"/>
            </w:r>
            <w:r w:rsidR="00BD5D6E">
              <w:rPr>
                <w:noProof/>
                <w:webHidden/>
              </w:rPr>
              <w:t>68</w:t>
            </w:r>
            <w:r w:rsidR="00197FD1">
              <w:rPr>
                <w:noProof/>
                <w:webHidden/>
              </w:rPr>
              <w:fldChar w:fldCharType="end"/>
            </w:r>
          </w:hyperlink>
        </w:p>
        <w:p w14:paraId="63FBA7F7"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2" w:history="1">
            <w:r w:rsidR="00197FD1" w:rsidRPr="00CB35AF">
              <w:rPr>
                <w:rStyle w:val="Hyperlink"/>
                <w:rFonts w:ascii="Times New Roman" w:hAnsi="Times New Roman" w:cs="Times New Roman"/>
                <w:noProof/>
              </w:rPr>
              <w:t>7.3.1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Approved Selection Methods: Goods, Works and Non-consulting Services</w:t>
            </w:r>
            <w:r w:rsidR="00197FD1">
              <w:rPr>
                <w:noProof/>
                <w:webHidden/>
              </w:rPr>
              <w:tab/>
            </w:r>
            <w:r w:rsidR="00197FD1">
              <w:rPr>
                <w:noProof/>
                <w:webHidden/>
              </w:rPr>
              <w:fldChar w:fldCharType="begin"/>
            </w:r>
            <w:r w:rsidR="00197FD1">
              <w:rPr>
                <w:noProof/>
                <w:webHidden/>
              </w:rPr>
              <w:instrText xml:space="preserve"> PAGEREF _Toc93342302 \h </w:instrText>
            </w:r>
            <w:r w:rsidR="00197FD1">
              <w:rPr>
                <w:noProof/>
                <w:webHidden/>
              </w:rPr>
            </w:r>
            <w:r w:rsidR="00197FD1">
              <w:rPr>
                <w:noProof/>
                <w:webHidden/>
              </w:rPr>
              <w:fldChar w:fldCharType="separate"/>
            </w:r>
            <w:r w:rsidR="00BD5D6E">
              <w:rPr>
                <w:noProof/>
                <w:webHidden/>
              </w:rPr>
              <w:t>68</w:t>
            </w:r>
            <w:r w:rsidR="00197FD1">
              <w:rPr>
                <w:noProof/>
                <w:webHidden/>
              </w:rPr>
              <w:fldChar w:fldCharType="end"/>
            </w:r>
          </w:hyperlink>
        </w:p>
        <w:p w14:paraId="48678EF0"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3" w:history="1">
            <w:r w:rsidR="00197FD1" w:rsidRPr="00CB35AF">
              <w:rPr>
                <w:rStyle w:val="Hyperlink"/>
                <w:rFonts w:ascii="Times New Roman" w:hAnsi="Times New Roman" w:cs="Times New Roman"/>
                <w:noProof/>
              </w:rPr>
              <w:t>7.3.2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Approved Selection Methods: Consulting Services</w:t>
            </w:r>
            <w:r w:rsidR="00197FD1">
              <w:rPr>
                <w:noProof/>
                <w:webHidden/>
              </w:rPr>
              <w:tab/>
            </w:r>
            <w:r w:rsidR="00197FD1">
              <w:rPr>
                <w:noProof/>
                <w:webHidden/>
              </w:rPr>
              <w:fldChar w:fldCharType="begin"/>
            </w:r>
            <w:r w:rsidR="00197FD1">
              <w:rPr>
                <w:noProof/>
                <w:webHidden/>
              </w:rPr>
              <w:instrText xml:space="preserve"> PAGEREF _Toc93342303 \h </w:instrText>
            </w:r>
            <w:r w:rsidR="00197FD1">
              <w:rPr>
                <w:noProof/>
                <w:webHidden/>
              </w:rPr>
            </w:r>
            <w:r w:rsidR="00197FD1">
              <w:rPr>
                <w:noProof/>
                <w:webHidden/>
              </w:rPr>
              <w:fldChar w:fldCharType="separate"/>
            </w:r>
            <w:r w:rsidR="00BD5D6E">
              <w:rPr>
                <w:noProof/>
                <w:webHidden/>
              </w:rPr>
              <w:t>74</w:t>
            </w:r>
            <w:r w:rsidR="00197FD1">
              <w:rPr>
                <w:noProof/>
                <w:webHidden/>
              </w:rPr>
              <w:fldChar w:fldCharType="end"/>
            </w:r>
          </w:hyperlink>
        </w:p>
        <w:p w14:paraId="47E36FB8"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4" w:history="1">
            <w:r w:rsidR="00197FD1" w:rsidRPr="00CB35AF">
              <w:rPr>
                <w:rStyle w:val="Hyperlink"/>
                <w:rFonts w:ascii="Times New Roman" w:hAnsi="Times New Roman" w:cs="Times New Roman"/>
                <w:noProof/>
              </w:rPr>
              <w:t>7.3.3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Operating costs</w:t>
            </w:r>
            <w:r w:rsidR="00197FD1">
              <w:rPr>
                <w:noProof/>
                <w:webHidden/>
              </w:rPr>
              <w:tab/>
            </w:r>
            <w:r w:rsidR="00197FD1">
              <w:rPr>
                <w:noProof/>
                <w:webHidden/>
              </w:rPr>
              <w:fldChar w:fldCharType="begin"/>
            </w:r>
            <w:r w:rsidR="00197FD1">
              <w:rPr>
                <w:noProof/>
                <w:webHidden/>
              </w:rPr>
              <w:instrText xml:space="preserve"> PAGEREF _Toc93342304 \h </w:instrText>
            </w:r>
            <w:r w:rsidR="00197FD1">
              <w:rPr>
                <w:noProof/>
                <w:webHidden/>
              </w:rPr>
            </w:r>
            <w:r w:rsidR="00197FD1">
              <w:rPr>
                <w:noProof/>
                <w:webHidden/>
              </w:rPr>
              <w:fldChar w:fldCharType="separate"/>
            </w:r>
            <w:r w:rsidR="00BD5D6E">
              <w:rPr>
                <w:noProof/>
                <w:webHidden/>
              </w:rPr>
              <w:t>78</w:t>
            </w:r>
            <w:r w:rsidR="00197FD1">
              <w:rPr>
                <w:noProof/>
                <w:webHidden/>
              </w:rPr>
              <w:fldChar w:fldCharType="end"/>
            </w:r>
          </w:hyperlink>
        </w:p>
        <w:p w14:paraId="7B41BA36"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5" w:history="1">
            <w:r w:rsidR="00197FD1" w:rsidRPr="00CB35AF">
              <w:rPr>
                <w:rStyle w:val="Hyperlink"/>
                <w:rFonts w:ascii="Times New Roman" w:hAnsi="Times New Roman" w:cs="Times New Roman"/>
                <w:noProof/>
              </w:rPr>
              <w:t>7.3.4</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Post Review Ratio</w:t>
            </w:r>
            <w:r w:rsidR="00197FD1">
              <w:rPr>
                <w:noProof/>
                <w:webHidden/>
              </w:rPr>
              <w:tab/>
            </w:r>
            <w:r w:rsidR="00197FD1">
              <w:rPr>
                <w:noProof/>
                <w:webHidden/>
              </w:rPr>
              <w:fldChar w:fldCharType="begin"/>
            </w:r>
            <w:r w:rsidR="00197FD1">
              <w:rPr>
                <w:noProof/>
                <w:webHidden/>
              </w:rPr>
              <w:instrText xml:space="preserve"> PAGEREF _Toc93342305 \h </w:instrText>
            </w:r>
            <w:r w:rsidR="00197FD1">
              <w:rPr>
                <w:noProof/>
                <w:webHidden/>
              </w:rPr>
            </w:r>
            <w:r w:rsidR="00197FD1">
              <w:rPr>
                <w:noProof/>
                <w:webHidden/>
              </w:rPr>
              <w:fldChar w:fldCharType="separate"/>
            </w:r>
            <w:r w:rsidR="00BD5D6E">
              <w:rPr>
                <w:noProof/>
                <w:webHidden/>
              </w:rPr>
              <w:t>78</w:t>
            </w:r>
            <w:r w:rsidR="00197FD1">
              <w:rPr>
                <w:noProof/>
                <w:webHidden/>
              </w:rPr>
              <w:fldChar w:fldCharType="end"/>
            </w:r>
          </w:hyperlink>
        </w:p>
        <w:p w14:paraId="239197B0"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6" w:history="1">
            <w:r w:rsidR="00197FD1" w:rsidRPr="00CB35AF">
              <w:rPr>
                <w:rStyle w:val="Hyperlink"/>
                <w:rFonts w:ascii="Times New Roman" w:hAnsi="Times New Roman" w:cs="Times New Roman"/>
                <w:noProof/>
              </w:rPr>
              <w:t>7.3.5</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Fraud and Corruption</w:t>
            </w:r>
            <w:r w:rsidR="00197FD1">
              <w:rPr>
                <w:noProof/>
                <w:webHidden/>
              </w:rPr>
              <w:tab/>
            </w:r>
            <w:r w:rsidR="00197FD1">
              <w:rPr>
                <w:noProof/>
                <w:webHidden/>
              </w:rPr>
              <w:fldChar w:fldCharType="begin"/>
            </w:r>
            <w:r w:rsidR="00197FD1">
              <w:rPr>
                <w:noProof/>
                <w:webHidden/>
              </w:rPr>
              <w:instrText xml:space="preserve"> PAGEREF _Toc93342306 \h </w:instrText>
            </w:r>
            <w:r w:rsidR="00197FD1">
              <w:rPr>
                <w:noProof/>
                <w:webHidden/>
              </w:rPr>
            </w:r>
            <w:r w:rsidR="00197FD1">
              <w:rPr>
                <w:noProof/>
                <w:webHidden/>
              </w:rPr>
              <w:fldChar w:fldCharType="separate"/>
            </w:r>
            <w:r w:rsidR="00BD5D6E">
              <w:rPr>
                <w:noProof/>
                <w:webHidden/>
              </w:rPr>
              <w:t>78</w:t>
            </w:r>
            <w:r w:rsidR="00197FD1">
              <w:rPr>
                <w:noProof/>
                <w:webHidden/>
              </w:rPr>
              <w:fldChar w:fldCharType="end"/>
            </w:r>
          </w:hyperlink>
        </w:p>
        <w:p w14:paraId="23750E56"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7" w:history="1">
            <w:r w:rsidR="00197FD1" w:rsidRPr="00CB35AF">
              <w:rPr>
                <w:rStyle w:val="Hyperlink"/>
                <w:rFonts w:ascii="Times New Roman" w:hAnsi="Times New Roman" w:cs="Times New Roman"/>
                <w:smallCaps/>
                <w:noProof/>
              </w:rPr>
              <w:t>7.3.6</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Eligibility and Mitigation of Conflict of Interest</w:t>
            </w:r>
            <w:r w:rsidR="00197FD1">
              <w:rPr>
                <w:noProof/>
                <w:webHidden/>
              </w:rPr>
              <w:tab/>
            </w:r>
            <w:r w:rsidR="00197FD1">
              <w:rPr>
                <w:noProof/>
                <w:webHidden/>
              </w:rPr>
              <w:fldChar w:fldCharType="begin"/>
            </w:r>
            <w:r w:rsidR="00197FD1">
              <w:rPr>
                <w:noProof/>
                <w:webHidden/>
              </w:rPr>
              <w:instrText xml:space="preserve"> PAGEREF _Toc93342307 \h </w:instrText>
            </w:r>
            <w:r w:rsidR="00197FD1">
              <w:rPr>
                <w:noProof/>
                <w:webHidden/>
              </w:rPr>
            </w:r>
            <w:r w:rsidR="00197FD1">
              <w:rPr>
                <w:noProof/>
                <w:webHidden/>
              </w:rPr>
              <w:fldChar w:fldCharType="separate"/>
            </w:r>
            <w:r w:rsidR="00BD5D6E">
              <w:rPr>
                <w:noProof/>
                <w:webHidden/>
              </w:rPr>
              <w:t>81</w:t>
            </w:r>
            <w:r w:rsidR="00197FD1">
              <w:rPr>
                <w:noProof/>
                <w:webHidden/>
              </w:rPr>
              <w:fldChar w:fldCharType="end"/>
            </w:r>
          </w:hyperlink>
        </w:p>
        <w:p w14:paraId="5CB3B316"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8" w:history="1">
            <w:r w:rsidR="00197FD1" w:rsidRPr="00CB35AF">
              <w:rPr>
                <w:rStyle w:val="Hyperlink"/>
                <w:rFonts w:ascii="Times New Roman" w:hAnsi="Times New Roman" w:cs="Times New Roman"/>
                <w:smallCaps/>
                <w:noProof/>
              </w:rPr>
              <w:t>7.3.7</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Retention of Procurement and Record Keeping</w:t>
            </w:r>
            <w:r w:rsidR="00197FD1">
              <w:rPr>
                <w:noProof/>
                <w:webHidden/>
              </w:rPr>
              <w:tab/>
            </w:r>
            <w:r w:rsidR="00197FD1">
              <w:rPr>
                <w:noProof/>
                <w:webHidden/>
              </w:rPr>
              <w:fldChar w:fldCharType="begin"/>
            </w:r>
            <w:r w:rsidR="00197FD1">
              <w:rPr>
                <w:noProof/>
                <w:webHidden/>
              </w:rPr>
              <w:instrText xml:space="preserve"> PAGEREF _Toc93342308 \h </w:instrText>
            </w:r>
            <w:r w:rsidR="00197FD1">
              <w:rPr>
                <w:noProof/>
                <w:webHidden/>
              </w:rPr>
            </w:r>
            <w:r w:rsidR="00197FD1">
              <w:rPr>
                <w:noProof/>
                <w:webHidden/>
              </w:rPr>
              <w:fldChar w:fldCharType="separate"/>
            </w:r>
            <w:r w:rsidR="00BD5D6E">
              <w:rPr>
                <w:noProof/>
                <w:webHidden/>
              </w:rPr>
              <w:t>81</w:t>
            </w:r>
            <w:r w:rsidR="00197FD1">
              <w:rPr>
                <w:noProof/>
                <w:webHidden/>
              </w:rPr>
              <w:fldChar w:fldCharType="end"/>
            </w:r>
          </w:hyperlink>
        </w:p>
        <w:p w14:paraId="74EA3585"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09" w:history="1">
            <w:r w:rsidR="00197FD1" w:rsidRPr="00CB35AF">
              <w:rPr>
                <w:rStyle w:val="Hyperlink"/>
                <w:rFonts w:ascii="Times New Roman" w:hAnsi="Times New Roman" w:cs="Times New Roman"/>
                <w:smallCaps/>
                <w:noProof/>
              </w:rPr>
              <w:t>7.3.8</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Advertisements</w:t>
            </w:r>
            <w:r w:rsidR="00197FD1">
              <w:rPr>
                <w:noProof/>
                <w:webHidden/>
              </w:rPr>
              <w:tab/>
            </w:r>
            <w:r w:rsidR="00197FD1">
              <w:rPr>
                <w:noProof/>
                <w:webHidden/>
              </w:rPr>
              <w:fldChar w:fldCharType="begin"/>
            </w:r>
            <w:r w:rsidR="00197FD1">
              <w:rPr>
                <w:noProof/>
                <w:webHidden/>
              </w:rPr>
              <w:instrText xml:space="preserve"> PAGEREF _Toc93342309 \h </w:instrText>
            </w:r>
            <w:r w:rsidR="00197FD1">
              <w:rPr>
                <w:noProof/>
                <w:webHidden/>
              </w:rPr>
            </w:r>
            <w:r w:rsidR="00197FD1">
              <w:rPr>
                <w:noProof/>
                <w:webHidden/>
              </w:rPr>
              <w:fldChar w:fldCharType="separate"/>
            </w:r>
            <w:r w:rsidR="00BD5D6E">
              <w:rPr>
                <w:noProof/>
                <w:webHidden/>
              </w:rPr>
              <w:t>82</w:t>
            </w:r>
            <w:r w:rsidR="00197FD1">
              <w:rPr>
                <w:noProof/>
                <w:webHidden/>
              </w:rPr>
              <w:fldChar w:fldCharType="end"/>
            </w:r>
          </w:hyperlink>
        </w:p>
        <w:p w14:paraId="58142A0C" w14:textId="77777777" w:rsidR="00197FD1" w:rsidRDefault="003B7A19">
          <w:pPr>
            <w:pStyle w:val="TOC3"/>
            <w:tabs>
              <w:tab w:val="left" w:pos="1100"/>
              <w:tab w:val="right" w:leader="dot" w:pos="9343"/>
            </w:tabs>
            <w:rPr>
              <w:rFonts w:asciiTheme="minorHAnsi" w:hAnsiTheme="minorHAnsi"/>
              <w:bCs w:val="0"/>
              <w:i w:val="0"/>
              <w:iCs w:val="0"/>
              <w:noProof/>
              <w:sz w:val="22"/>
              <w:lang w:val="en-US"/>
            </w:rPr>
          </w:pPr>
          <w:hyperlink w:anchor="_Toc93342310" w:history="1">
            <w:r w:rsidR="00197FD1" w:rsidRPr="00CB35AF">
              <w:rPr>
                <w:rStyle w:val="Hyperlink"/>
                <w:rFonts w:ascii="Times New Roman" w:hAnsi="Times New Roman" w:cs="Times New Roman"/>
                <w:smallCaps/>
                <w:noProof/>
              </w:rPr>
              <w:t>7.3.9</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Evaluation Committees</w:t>
            </w:r>
            <w:r w:rsidR="00197FD1">
              <w:rPr>
                <w:noProof/>
                <w:webHidden/>
              </w:rPr>
              <w:tab/>
            </w:r>
            <w:r w:rsidR="00197FD1">
              <w:rPr>
                <w:noProof/>
                <w:webHidden/>
              </w:rPr>
              <w:fldChar w:fldCharType="begin"/>
            </w:r>
            <w:r w:rsidR="00197FD1">
              <w:rPr>
                <w:noProof/>
                <w:webHidden/>
              </w:rPr>
              <w:instrText xml:space="preserve"> PAGEREF _Toc93342310 \h </w:instrText>
            </w:r>
            <w:r w:rsidR="00197FD1">
              <w:rPr>
                <w:noProof/>
                <w:webHidden/>
              </w:rPr>
            </w:r>
            <w:r w:rsidR="00197FD1">
              <w:rPr>
                <w:noProof/>
                <w:webHidden/>
              </w:rPr>
              <w:fldChar w:fldCharType="separate"/>
            </w:r>
            <w:r w:rsidR="00BD5D6E">
              <w:rPr>
                <w:noProof/>
                <w:webHidden/>
              </w:rPr>
              <w:t>82</w:t>
            </w:r>
            <w:r w:rsidR="00197FD1">
              <w:rPr>
                <w:noProof/>
                <w:webHidden/>
              </w:rPr>
              <w:fldChar w:fldCharType="end"/>
            </w:r>
          </w:hyperlink>
        </w:p>
        <w:p w14:paraId="189DFC6F"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1" w:history="1">
            <w:r w:rsidR="00197FD1" w:rsidRPr="00CB35AF">
              <w:rPr>
                <w:rStyle w:val="Hyperlink"/>
                <w:rFonts w:ascii="Times New Roman" w:hAnsi="Times New Roman" w:cs="Times New Roman"/>
                <w:noProof/>
              </w:rPr>
              <w:t>7.4</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Complaints management and dispute resolution systems</w:t>
            </w:r>
            <w:r w:rsidR="00197FD1">
              <w:rPr>
                <w:noProof/>
                <w:webHidden/>
              </w:rPr>
              <w:tab/>
            </w:r>
            <w:r w:rsidR="00197FD1">
              <w:rPr>
                <w:noProof/>
                <w:webHidden/>
              </w:rPr>
              <w:fldChar w:fldCharType="begin"/>
            </w:r>
            <w:r w:rsidR="00197FD1">
              <w:rPr>
                <w:noProof/>
                <w:webHidden/>
              </w:rPr>
              <w:instrText xml:space="preserve"> PAGEREF _Toc93342311 \h </w:instrText>
            </w:r>
            <w:r w:rsidR="00197FD1">
              <w:rPr>
                <w:noProof/>
                <w:webHidden/>
              </w:rPr>
            </w:r>
            <w:r w:rsidR="00197FD1">
              <w:rPr>
                <w:noProof/>
                <w:webHidden/>
              </w:rPr>
              <w:fldChar w:fldCharType="separate"/>
            </w:r>
            <w:r w:rsidR="00BD5D6E">
              <w:rPr>
                <w:noProof/>
                <w:webHidden/>
              </w:rPr>
              <w:t>82</w:t>
            </w:r>
            <w:r w:rsidR="00197FD1">
              <w:rPr>
                <w:noProof/>
                <w:webHidden/>
              </w:rPr>
              <w:fldChar w:fldCharType="end"/>
            </w:r>
          </w:hyperlink>
        </w:p>
        <w:p w14:paraId="7FE9DB47"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2" w:history="1">
            <w:r w:rsidR="00197FD1" w:rsidRPr="00CB35AF">
              <w:rPr>
                <w:rStyle w:val="Hyperlink"/>
                <w:rFonts w:ascii="Times New Roman" w:hAnsi="Times New Roman" w:cs="Times New Roman"/>
                <w:noProof/>
              </w:rPr>
              <w:t>7.5</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Misprocurement</w:t>
            </w:r>
            <w:r w:rsidR="00197FD1">
              <w:rPr>
                <w:noProof/>
                <w:webHidden/>
              </w:rPr>
              <w:tab/>
            </w:r>
            <w:r w:rsidR="00197FD1">
              <w:rPr>
                <w:noProof/>
                <w:webHidden/>
              </w:rPr>
              <w:fldChar w:fldCharType="begin"/>
            </w:r>
            <w:r w:rsidR="00197FD1">
              <w:rPr>
                <w:noProof/>
                <w:webHidden/>
              </w:rPr>
              <w:instrText xml:space="preserve"> PAGEREF _Toc93342312 \h </w:instrText>
            </w:r>
            <w:r w:rsidR="00197FD1">
              <w:rPr>
                <w:noProof/>
                <w:webHidden/>
              </w:rPr>
            </w:r>
            <w:r w:rsidR="00197FD1">
              <w:rPr>
                <w:noProof/>
                <w:webHidden/>
              </w:rPr>
              <w:fldChar w:fldCharType="separate"/>
            </w:r>
            <w:r w:rsidR="00BD5D6E">
              <w:rPr>
                <w:noProof/>
                <w:webHidden/>
              </w:rPr>
              <w:t>82</w:t>
            </w:r>
            <w:r w:rsidR="00197FD1">
              <w:rPr>
                <w:noProof/>
                <w:webHidden/>
              </w:rPr>
              <w:fldChar w:fldCharType="end"/>
            </w:r>
          </w:hyperlink>
        </w:p>
        <w:p w14:paraId="498E3265"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3" w:history="1">
            <w:r w:rsidR="00197FD1" w:rsidRPr="00CB35AF">
              <w:rPr>
                <w:rStyle w:val="Hyperlink"/>
                <w:rFonts w:ascii="Times New Roman" w:hAnsi="Times New Roman" w:cs="Times New Roman"/>
                <w:noProof/>
              </w:rPr>
              <w:t>7.6</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The World Bank standard sample Procurement Documents</w:t>
            </w:r>
            <w:r w:rsidR="00197FD1">
              <w:rPr>
                <w:noProof/>
                <w:webHidden/>
              </w:rPr>
              <w:tab/>
            </w:r>
            <w:r w:rsidR="00197FD1">
              <w:rPr>
                <w:noProof/>
                <w:webHidden/>
              </w:rPr>
              <w:fldChar w:fldCharType="begin"/>
            </w:r>
            <w:r w:rsidR="00197FD1">
              <w:rPr>
                <w:noProof/>
                <w:webHidden/>
              </w:rPr>
              <w:instrText xml:space="preserve"> PAGEREF _Toc93342313 \h </w:instrText>
            </w:r>
            <w:r w:rsidR="00197FD1">
              <w:rPr>
                <w:noProof/>
                <w:webHidden/>
              </w:rPr>
            </w:r>
            <w:r w:rsidR="00197FD1">
              <w:rPr>
                <w:noProof/>
                <w:webHidden/>
              </w:rPr>
              <w:fldChar w:fldCharType="separate"/>
            </w:r>
            <w:r w:rsidR="00BD5D6E">
              <w:rPr>
                <w:noProof/>
                <w:webHidden/>
              </w:rPr>
              <w:t>83</w:t>
            </w:r>
            <w:r w:rsidR="00197FD1">
              <w:rPr>
                <w:noProof/>
                <w:webHidden/>
              </w:rPr>
              <w:fldChar w:fldCharType="end"/>
            </w:r>
          </w:hyperlink>
        </w:p>
        <w:p w14:paraId="6F30336A"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314" w:history="1">
            <w:r w:rsidR="00197FD1" w:rsidRPr="00CB35AF">
              <w:rPr>
                <w:rStyle w:val="Hyperlink"/>
                <w:rFonts w:ascii="Times New Roman" w:hAnsi="Times New Roman" w:cs="Times New Roman"/>
                <w:noProof/>
              </w:rPr>
              <w:t>8</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STAKEHOLDER ENGAGEMENT AND GRIEVANCE MANAGEMENT</w:t>
            </w:r>
            <w:r w:rsidR="00197FD1">
              <w:rPr>
                <w:noProof/>
                <w:webHidden/>
              </w:rPr>
              <w:tab/>
            </w:r>
            <w:r w:rsidR="00197FD1">
              <w:rPr>
                <w:noProof/>
                <w:webHidden/>
              </w:rPr>
              <w:fldChar w:fldCharType="begin"/>
            </w:r>
            <w:r w:rsidR="00197FD1">
              <w:rPr>
                <w:noProof/>
                <w:webHidden/>
              </w:rPr>
              <w:instrText xml:space="preserve"> PAGEREF _Toc93342314 \h </w:instrText>
            </w:r>
            <w:r w:rsidR="00197FD1">
              <w:rPr>
                <w:noProof/>
                <w:webHidden/>
              </w:rPr>
            </w:r>
            <w:r w:rsidR="00197FD1">
              <w:rPr>
                <w:noProof/>
                <w:webHidden/>
              </w:rPr>
              <w:fldChar w:fldCharType="separate"/>
            </w:r>
            <w:r w:rsidR="00BD5D6E">
              <w:rPr>
                <w:noProof/>
                <w:webHidden/>
              </w:rPr>
              <w:t>84</w:t>
            </w:r>
            <w:r w:rsidR="00197FD1">
              <w:rPr>
                <w:noProof/>
                <w:webHidden/>
              </w:rPr>
              <w:fldChar w:fldCharType="end"/>
            </w:r>
          </w:hyperlink>
        </w:p>
        <w:p w14:paraId="27316AD6"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5" w:history="1">
            <w:r w:rsidR="00197FD1" w:rsidRPr="00CB35AF">
              <w:rPr>
                <w:rStyle w:val="Hyperlink"/>
                <w:rFonts w:ascii="Times New Roman" w:hAnsi="Times New Roman" w:cs="Times New Roman"/>
                <w:noProof/>
              </w:rPr>
              <w:t>8.1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Project Grievance Mechanism</w:t>
            </w:r>
            <w:r w:rsidR="00197FD1">
              <w:rPr>
                <w:noProof/>
                <w:webHidden/>
              </w:rPr>
              <w:tab/>
            </w:r>
            <w:r w:rsidR="00197FD1">
              <w:rPr>
                <w:noProof/>
                <w:webHidden/>
              </w:rPr>
              <w:fldChar w:fldCharType="begin"/>
            </w:r>
            <w:r w:rsidR="00197FD1">
              <w:rPr>
                <w:noProof/>
                <w:webHidden/>
              </w:rPr>
              <w:instrText xml:space="preserve"> PAGEREF _Toc93342315 \h </w:instrText>
            </w:r>
            <w:r w:rsidR="00197FD1">
              <w:rPr>
                <w:noProof/>
                <w:webHidden/>
              </w:rPr>
            </w:r>
            <w:r w:rsidR="00197FD1">
              <w:rPr>
                <w:noProof/>
                <w:webHidden/>
              </w:rPr>
              <w:fldChar w:fldCharType="separate"/>
            </w:r>
            <w:r w:rsidR="00BD5D6E">
              <w:rPr>
                <w:noProof/>
                <w:webHidden/>
              </w:rPr>
              <w:t>84</w:t>
            </w:r>
            <w:r w:rsidR="00197FD1">
              <w:rPr>
                <w:noProof/>
                <w:webHidden/>
              </w:rPr>
              <w:fldChar w:fldCharType="end"/>
            </w:r>
          </w:hyperlink>
        </w:p>
        <w:p w14:paraId="2DDC5AD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6" w:history="1">
            <w:r w:rsidR="00197FD1" w:rsidRPr="00CB35AF">
              <w:rPr>
                <w:rStyle w:val="Hyperlink"/>
                <w:rFonts w:ascii="Times New Roman" w:hAnsi="Times New Roman" w:cs="Times New Roman"/>
                <w:noProof/>
              </w:rPr>
              <w:t>8.2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World Bank Grievance Redress Services</w:t>
            </w:r>
            <w:r w:rsidR="00197FD1">
              <w:rPr>
                <w:noProof/>
                <w:webHidden/>
              </w:rPr>
              <w:tab/>
            </w:r>
            <w:r w:rsidR="00197FD1">
              <w:rPr>
                <w:noProof/>
                <w:webHidden/>
              </w:rPr>
              <w:fldChar w:fldCharType="begin"/>
            </w:r>
            <w:r w:rsidR="00197FD1">
              <w:rPr>
                <w:noProof/>
                <w:webHidden/>
              </w:rPr>
              <w:instrText xml:space="preserve"> PAGEREF _Toc93342316 \h </w:instrText>
            </w:r>
            <w:r w:rsidR="00197FD1">
              <w:rPr>
                <w:noProof/>
                <w:webHidden/>
              </w:rPr>
            </w:r>
            <w:r w:rsidR="00197FD1">
              <w:rPr>
                <w:noProof/>
                <w:webHidden/>
              </w:rPr>
              <w:fldChar w:fldCharType="separate"/>
            </w:r>
            <w:r w:rsidR="00BD5D6E">
              <w:rPr>
                <w:noProof/>
                <w:webHidden/>
              </w:rPr>
              <w:t>85</w:t>
            </w:r>
            <w:r w:rsidR="00197FD1">
              <w:rPr>
                <w:noProof/>
                <w:webHidden/>
              </w:rPr>
              <w:fldChar w:fldCharType="end"/>
            </w:r>
          </w:hyperlink>
        </w:p>
        <w:p w14:paraId="79961F21"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317" w:history="1">
            <w:r w:rsidR="00197FD1" w:rsidRPr="00CB35AF">
              <w:rPr>
                <w:rStyle w:val="Hyperlink"/>
                <w:rFonts w:ascii="Times New Roman" w:hAnsi="Times New Roman" w:cs="Times New Roman"/>
                <w:noProof/>
              </w:rPr>
              <w:t>9</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Document Management System</w:t>
            </w:r>
            <w:r w:rsidR="00197FD1">
              <w:rPr>
                <w:noProof/>
                <w:webHidden/>
              </w:rPr>
              <w:tab/>
            </w:r>
            <w:r w:rsidR="00197FD1">
              <w:rPr>
                <w:noProof/>
                <w:webHidden/>
              </w:rPr>
              <w:fldChar w:fldCharType="begin"/>
            </w:r>
            <w:r w:rsidR="00197FD1">
              <w:rPr>
                <w:noProof/>
                <w:webHidden/>
              </w:rPr>
              <w:instrText xml:space="preserve"> PAGEREF _Toc93342317 \h </w:instrText>
            </w:r>
            <w:r w:rsidR="00197FD1">
              <w:rPr>
                <w:noProof/>
                <w:webHidden/>
              </w:rPr>
            </w:r>
            <w:r w:rsidR="00197FD1">
              <w:rPr>
                <w:noProof/>
                <w:webHidden/>
              </w:rPr>
              <w:fldChar w:fldCharType="separate"/>
            </w:r>
            <w:r w:rsidR="00BD5D6E">
              <w:rPr>
                <w:noProof/>
                <w:webHidden/>
              </w:rPr>
              <w:t>86</w:t>
            </w:r>
            <w:r w:rsidR="00197FD1">
              <w:rPr>
                <w:noProof/>
                <w:webHidden/>
              </w:rPr>
              <w:fldChar w:fldCharType="end"/>
            </w:r>
          </w:hyperlink>
        </w:p>
        <w:p w14:paraId="0F352F33"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8" w:history="1">
            <w:r w:rsidR="00197FD1" w:rsidRPr="00CB35AF">
              <w:rPr>
                <w:rStyle w:val="Hyperlink"/>
                <w:rFonts w:ascii="Times New Roman" w:hAnsi="Times New Roman" w:cs="Times New Roman"/>
                <w:noProof/>
              </w:rPr>
              <w:t>9.1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Type of Documents</w:t>
            </w:r>
            <w:r w:rsidR="00197FD1">
              <w:rPr>
                <w:noProof/>
                <w:webHidden/>
              </w:rPr>
              <w:tab/>
            </w:r>
            <w:r w:rsidR="00197FD1">
              <w:rPr>
                <w:noProof/>
                <w:webHidden/>
              </w:rPr>
              <w:fldChar w:fldCharType="begin"/>
            </w:r>
            <w:r w:rsidR="00197FD1">
              <w:rPr>
                <w:noProof/>
                <w:webHidden/>
              </w:rPr>
              <w:instrText xml:space="preserve"> PAGEREF _Toc93342318 \h </w:instrText>
            </w:r>
            <w:r w:rsidR="00197FD1">
              <w:rPr>
                <w:noProof/>
                <w:webHidden/>
              </w:rPr>
            </w:r>
            <w:r w:rsidR="00197FD1">
              <w:rPr>
                <w:noProof/>
                <w:webHidden/>
              </w:rPr>
              <w:fldChar w:fldCharType="separate"/>
            </w:r>
            <w:r w:rsidR="00BD5D6E">
              <w:rPr>
                <w:noProof/>
                <w:webHidden/>
              </w:rPr>
              <w:t>86</w:t>
            </w:r>
            <w:r w:rsidR="00197FD1">
              <w:rPr>
                <w:noProof/>
                <w:webHidden/>
              </w:rPr>
              <w:fldChar w:fldCharType="end"/>
            </w:r>
          </w:hyperlink>
        </w:p>
        <w:p w14:paraId="066074E6"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19" w:history="1">
            <w:r w:rsidR="00197FD1" w:rsidRPr="00CB35AF">
              <w:rPr>
                <w:rStyle w:val="Hyperlink"/>
                <w:rFonts w:ascii="Times New Roman" w:hAnsi="Times New Roman" w:cs="Times New Roman"/>
                <w:noProof/>
              </w:rPr>
              <w:t>9.2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Identification of Documents</w:t>
            </w:r>
            <w:r w:rsidR="00197FD1">
              <w:rPr>
                <w:noProof/>
                <w:webHidden/>
              </w:rPr>
              <w:tab/>
            </w:r>
            <w:r w:rsidR="00197FD1">
              <w:rPr>
                <w:noProof/>
                <w:webHidden/>
              </w:rPr>
              <w:fldChar w:fldCharType="begin"/>
            </w:r>
            <w:r w:rsidR="00197FD1">
              <w:rPr>
                <w:noProof/>
                <w:webHidden/>
              </w:rPr>
              <w:instrText xml:space="preserve"> PAGEREF _Toc93342319 \h </w:instrText>
            </w:r>
            <w:r w:rsidR="00197FD1">
              <w:rPr>
                <w:noProof/>
                <w:webHidden/>
              </w:rPr>
            </w:r>
            <w:r w:rsidR="00197FD1">
              <w:rPr>
                <w:noProof/>
                <w:webHidden/>
              </w:rPr>
              <w:fldChar w:fldCharType="separate"/>
            </w:r>
            <w:r w:rsidR="00BD5D6E">
              <w:rPr>
                <w:noProof/>
                <w:webHidden/>
              </w:rPr>
              <w:t>86</w:t>
            </w:r>
            <w:r w:rsidR="00197FD1">
              <w:rPr>
                <w:noProof/>
                <w:webHidden/>
              </w:rPr>
              <w:fldChar w:fldCharType="end"/>
            </w:r>
          </w:hyperlink>
        </w:p>
        <w:p w14:paraId="3D7145F7"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20" w:history="1">
            <w:r w:rsidR="00197FD1" w:rsidRPr="00CB35AF">
              <w:rPr>
                <w:rStyle w:val="Hyperlink"/>
                <w:rFonts w:ascii="Times New Roman" w:hAnsi="Times New Roman" w:cs="Times New Roman"/>
                <w:noProof/>
              </w:rPr>
              <w:t>9.3</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Registration and Distribution of Reports and Minutes</w:t>
            </w:r>
            <w:r w:rsidR="00197FD1">
              <w:rPr>
                <w:noProof/>
                <w:webHidden/>
              </w:rPr>
              <w:tab/>
            </w:r>
            <w:r w:rsidR="00197FD1">
              <w:rPr>
                <w:noProof/>
                <w:webHidden/>
              </w:rPr>
              <w:fldChar w:fldCharType="begin"/>
            </w:r>
            <w:r w:rsidR="00197FD1">
              <w:rPr>
                <w:noProof/>
                <w:webHidden/>
              </w:rPr>
              <w:instrText xml:space="preserve"> PAGEREF _Toc93342320 \h </w:instrText>
            </w:r>
            <w:r w:rsidR="00197FD1">
              <w:rPr>
                <w:noProof/>
                <w:webHidden/>
              </w:rPr>
            </w:r>
            <w:r w:rsidR="00197FD1">
              <w:rPr>
                <w:noProof/>
                <w:webHidden/>
              </w:rPr>
              <w:fldChar w:fldCharType="separate"/>
            </w:r>
            <w:r w:rsidR="00BD5D6E">
              <w:rPr>
                <w:noProof/>
                <w:webHidden/>
              </w:rPr>
              <w:t>87</w:t>
            </w:r>
            <w:r w:rsidR="00197FD1">
              <w:rPr>
                <w:noProof/>
                <w:webHidden/>
              </w:rPr>
              <w:fldChar w:fldCharType="end"/>
            </w:r>
          </w:hyperlink>
        </w:p>
        <w:p w14:paraId="3D95E73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21" w:history="1">
            <w:r w:rsidR="00197FD1" w:rsidRPr="00CB35AF">
              <w:rPr>
                <w:rStyle w:val="Hyperlink"/>
                <w:rFonts w:ascii="Times New Roman" w:hAnsi="Times New Roman" w:cs="Times New Roman"/>
                <w:noProof/>
              </w:rPr>
              <w:t>9.4</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Handling of Communication Documents</w:t>
            </w:r>
            <w:r w:rsidR="00197FD1">
              <w:rPr>
                <w:noProof/>
                <w:webHidden/>
              </w:rPr>
              <w:tab/>
            </w:r>
            <w:r w:rsidR="00197FD1">
              <w:rPr>
                <w:noProof/>
                <w:webHidden/>
              </w:rPr>
              <w:fldChar w:fldCharType="begin"/>
            </w:r>
            <w:r w:rsidR="00197FD1">
              <w:rPr>
                <w:noProof/>
                <w:webHidden/>
              </w:rPr>
              <w:instrText xml:space="preserve"> PAGEREF _Toc93342321 \h </w:instrText>
            </w:r>
            <w:r w:rsidR="00197FD1">
              <w:rPr>
                <w:noProof/>
                <w:webHidden/>
              </w:rPr>
            </w:r>
            <w:r w:rsidR="00197FD1">
              <w:rPr>
                <w:noProof/>
                <w:webHidden/>
              </w:rPr>
              <w:fldChar w:fldCharType="separate"/>
            </w:r>
            <w:r w:rsidR="00BD5D6E">
              <w:rPr>
                <w:noProof/>
                <w:webHidden/>
              </w:rPr>
              <w:t>88</w:t>
            </w:r>
            <w:r w:rsidR="00197FD1">
              <w:rPr>
                <w:noProof/>
                <w:webHidden/>
              </w:rPr>
              <w:fldChar w:fldCharType="end"/>
            </w:r>
          </w:hyperlink>
        </w:p>
        <w:p w14:paraId="3AD47563"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22" w:history="1">
            <w:r w:rsidR="00197FD1" w:rsidRPr="00CB35AF">
              <w:rPr>
                <w:rStyle w:val="Hyperlink"/>
                <w:rFonts w:ascii="Times New Roman" w:hAnsi="Times New Roman" w:cs="Times New Roman"/>
                <w:noProof/>
              </w:rPr>
              <w:t>9.5</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Handling of Visibility Documents</w:t>
            </w:r>
            <w:r w:rsidR="00197FD1">
              <w:rPr>
                <w:noProof/>
                <w:webHidden/>
              </w:rPr>
              <w:tab/>
            </w:r>
            <w:r w:rsidR="00197FD1">
              <w:rPr>
                <w:noProof/>
                <w:webHidden/>
              </w:rPr>
              <w:fldChar w:fldCharType="begin"/>
            </w:r>
            <w:r w:rsidR="00197FD1">
              <w:rPr>
                <w:noProof/>
                <w:webHidden/>
              </w:rPr>
              <w:instrText xml:space="preserve"> PAGEREF _Toc93342322 \h </w:instrText>
            </w:r>
            <w:r w:rsidR="00197FD1">
              <w:rPr>
                <w:noProof/>
                <w:webHidden/>
              </w:rPr>
            </w:r>
            <w:r w:rsidR="00197FD1">
              <w:rPr>
                <w:noProof/>
                <w:webHidden/>
              </w:rPr>
              <w:fldChar w:fldCharType="separate"/>
            </w:r>
            <w:r w:rsidR="00BD5D6E">
              <w:rPr>
                <w:noProof/>
                <w:webHidden/>
              </w:rPr>
              <w:t>88</w:t>
            </w:r>
            <w:r w:rsidR="00197FD1">
              <w:rPr>
                <w:noProof/>
                <w:webHidden/>
              </w:rPr>
              <w:fldChar w:fldCharType="end"/>
            </w:r>
          </w:hyperlink>
        </w:p>
        <w:p w14:paraId="03A81E3A" w14:textId="77777777" w:rsidR="00197FD1" w:rsidRDefault="003B7A19">
          <w:pPr>
            <w:pStyle w:val="TOC1"/>
            <w:tabs>
              <w:tab w:val="left" w:pos="440"/>
              <w:tab w:val="right" w:leader="dot" w:pos="9343"/>
            </w:tabs>
            <w:rPr>
              <w:rFonts w:asciiTheme="minorHAnsi" w:eastAsiaTheme="minorEastAsia" w:hAnsiTheme="minorHAnsi" w:cstheme="minorBidi"/>
              <w:b w:val="0"/>
              <w:bCs w:val="0"/>
              <w:caps w:val="0"/>
              <w:noProof/>
              <w:sz w:val="22"/>
              <w:szCs w:val="22"/>
              <w:lang w:eastAsia="en-US"/>
            </w:rPr>
          </w:pPr>
          <w:hyperlink w:anchor="_Toc93342323" w:history="1">
            <w:r w:rsidR="00197FD1" w:rsidRPr="00CB35AF">
              <w:rPr>
                <w:rStyle w:val="Hyperlink"/>
                <w:rFonts w:ascii="Times New Roman" w:hAnsi="Times New Roman" w:cs="Times New Roman"/>
                <w:noProof/>
              </w:rPr>
              <w:t>10</w:t>
            </w:r>
            <w:r w:rsidR="00197FD1">
              <w:rPr>
                <w:rFonts w:asciiTheme="minorHAnsi" w:eastAsiaTheme="minorEastAsia" w:hAnsiTheme="minorHAnsi" w:cstheme="minorBidi"/>
                <w:b w:val="0"/>
                <w:bCs w:val="0"/>
                <w:caps w:val="0"/>
                <w:noProof/>
                <w:sz w:val="22"/>
                <w:szCs w:val="22"/>
                <w:lang w:eastAsia="en-US"/>
              </w:rPr>
              <w:tab/>
            </w:r>
            <w:r w:rsidR="00197FD1" w:rsidRPr="00CB35AF">
              <w:rPr>
                <w:rStyle w:val="Hyperlink"/>
                <w:rFonts w:ascii="Times New Roman" w:hAnsi="Times New Roman" w:cs="Times New Roman"/>
                <w:noProof/>
              </w:rPr>
              <w:t>PROJECT MONITORING, REPORTING AND EVALUATION</w:t>
            </w:r>
            <w:r w:rsidR="00197FD1">
              <w:rPr>
                <w:noProof/>
                <w:webHidden/>
              </w:rPr>
              <w:tab/>
            </w:r>
            <w:r w:rsidR="00197FD1">
              <w:rPr>
                <w:noProof/>
                <w:webHidden/>
              </w:rPr>
              <w:fldChar w:fldCharType="begin"/>
            </w:r>
            <w:r w:rsidR="00197FD1">
              <w:rPr>
                <w:noProof/>
                <w:webHidden/>
              </w:rPr>
              <w:instrText xml:space="preserve"> PAGEREF _Toc93342323 \h </w:instrText>
            </w:r>
            <w:r w:rsidR="00197FD1">
              <w:rPr>
                <w:noProof/>
                <w:webHidden/>
              </w:rPr>
            </w:r>
            <w:r w:rsidR="00197FD1">
              <w:rPr>
                <w:noProof/>
                <w:webHidden/>
              </w:rPr>
              <w:fldChar w:fldCharType="separate"/>
            </w:r>
            <w:r w:rsidR="00BD5D6E">
              <w:rPr>
                <w:noProof/>
                <w:webHidden/>
              </w:rPr>
              <w:t>89</w:t>
            </w:r>
            <w:r w:rsidR="00197FD1">
              <w:rPr>
                <w:noProof/>
                <w:webHidden/>
              </w:rPr>
              <w:fldChar w:fldCharType="end"/>
            </w:r>
          </w:hyperlink>
        </w:p>
        <w:p w14:paraId="639C4094"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24" w:history="1">
            <w:r w:rsidR="00197FD1" w:rsidRPr="00CB35AF">
              <w:rPr>
                <w:rStyle w:val="Hyperlink"/>
                <w:rFonts w:ascii="Times New Roman" w:hAnsi="Times New Roman" w:cs="Times New Roman"/>
                <w:noProof/>
              </w:rPr>
              <w:t>10.1</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Project Result Monitoring and Evaluation Arrangements</w:t>
            </w:r>
            <w:r w:rsidR="00197FD1">
              <w:rPr>
                <w:noProof/>
                <w:webHidden/>
              </w:rPr>
              <w:tab/>
            </w:r>
            <w:r w:rsidR="00197FD1">
              <w:rPr>
                <w:noProof/>
                <w:webHidden/>
              </w:rPr>
              <w:fldChar w:fldCharType="begin"/>
            </w:r>
            <w:r w:rsidR="00197FD1">
              <w:rPr>
                <w:noProof/>
                <w:webHidden/>
              </w:rPr>
              <w:instrText xml:space="preserve"> PAGEREF _Toc93342324 \h </w:instrText>
            </w:r>
            <w:r w:rsidR="00197FD1">
              <w:rPr>
                <w:noProof/>
                <w:webHidden/>
              </w:rPr>
            </w:r>
            <w:r w:rsidR="00197FD1">
              <w:rPr>
                <w:noProof/>
                <w:webHidden/>
              </w:rPr>
              <w:fldChar w:fldCharType="separate"/>
            </w:r>
            <w:r w:rsidR="00BD5D6E">
              <w:rPr>
                <w:noProof/>
                <w:webHidden/>
              </w:rPr>
              <w:t>89</w:t>
            </w:r>
            <w:r w:rsidR="00197FD1">
              <w:rPr>
                <w:noProof/>
                <w:webHidden/>
              </w:rPr>
              <w:fldChar w:fldCharType="end"/>
            </w:r>
          </w:hyperlink>
        </w:p>
        <w:p w14:paraId="7C665FBA" w14:textId="77777777" w:rsidR="00197FD1" w:rsidRDefault="003B7A19">
          <w:pPr>
            <w:pStyle w:val="TOC2"/>
            <w:tabs>
              <w:tab w:val="left" w:pos="880"/>
              <w:tab w:val="right" w:leader="dot" w:pos="9343"/>
            </w:tabs>
            <w:rPr>
              <w:rFonts w:asciiTheme="minorHAnsi" w:hAnsiTheme="minorHAnsi"/>
              <w:bCs w:val="0"/>
              <w:smallCaps w:val="0"/>
              <w:noProof/>
              <w:sz w:val="22"/>
              <w:lang w:val="en-US"/>
            </w:rPr>
          </w:pPr>
          <w:hyperlink w:anchor="_Toc93342325" w:history="1">
            <w:r w:rsidR="00197FD1" w:rsidRPr="00CB35AF">
              <w:rPr>
                <w:rStyle w:val="Hyperlink"/>
                <w:rFonts w:ascii="Times New Roman" w:hAnsi="Times New Roman" w:cs="Times New Roman"/>
                <w:noProof/>
              </w:rPr>
              <w:t>10.2</w:t>
            </w:r>
            <w:r w:rsidR="00197FD1">
              <w:rPr>
                <w:rFonts w:asciiTheme="minorHAnsi" w:hAnsiTheme="minorHAnsi"/>
                <w:bCs w:val="0"/>
                <w:smallCaps w:val="0"/>
                <w:noProof/>
                <w:sz w:val="22"/>
                <w:lang w:val="en-US"/>
              </w:rPr>
              <w:tab/>
            </w:r>
            <w:r w:rsidR="00197FD1" w:rsidRPr="00CB35AF">
              <w:rPr>
                <w:rStyle w:val="Hyperlink"/>
                <w:rFonts w:ascii="Times New Roman" w:hAnsi="Times New Roman" w:cs="Times New Roman"/>
                <w:noProof/>
              </w:rPr>
              <w:t>Monitoring of Works Contracts</w:t>
            </w:r>
            <w:r w:rsidR="00197FD1">
              <w:rPr>
                <w:noProof/>
                <w:webHidden/>
              </w:rPr>
              <w:tab/>
            </w:r>
            <w:r w:rsidR="00197FD1">
              <w:rPr>
                <w:noProof/>
                <w:webHidden/>
              </w:rPr>
              <w:fldChar w:fldCharType="begin"/>
            </w:r>
            <w:r w:rsidR="00197FD1">
              <w:rPr>
                <w:noProof/>
                <w:webHidden/>
              </w:rPr>
              <w:instrText xml:space="preserve"> PAGEREF _Toc93342325 \h </w:instrText>
            </w:r>
            <w:r w:rsidR="00197FD1">
              <w:rPr>
                <w:noProof/>
                <w:webHidden/>
              </w:rPr>
            </w:r>
            <w:r w:rsidR="00197FD1">
              <w:rPr>
                <w:noProof/>
                <w:webHidden/>
              </w:rPr>
              <w:fldChar w:fldCharType="separate"/>
            </w:r>
            <w:r w:rsidR="00BD5D6E">
              <w:rPr>
                <w:noProof/>
                <w:webHidden/>
              </w:rPr>
              <w:t>90</w:t>
            </w:r>
            <w:r w:rsidR="00197FD1">
              <w:rPr>
                <w:noProof/>
                <w:webHidden/>
              </w:rPr>
              <w:fldChar w:fldCharType="end"/>
            </w:r>
          </w:hyperlink>
        </w:p>
        <w:p w14:paraId="7E736D56"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326" w:history="1">
            <w:r w:rsidR="00197FD1" w:rsidRPr="00CB35AF">
              <w:rPr>
                <w:rStyle w:val="Hyperlink"/>
                <w:rFonts w:ascii="Times New Roman" w:hAnsi="Times New Roman" w:cs="Times New Roman"/>
                <w:smallCaps/>
                <w:noProof/>
              </w:rPr>
              <w:t>10.2.1</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Possession of Site</w:t>
            </w:r>
            <w:r w:rsidR="00197FD1">
              <w:rPr>
                <w:noProof/>
                <w:webHidden/>
              </w:rPr>
              <w:tab/>
            </w:r>
            <w:r w:rsidR="00197FD1">
              <w:rPr>
                <w:noProof/>
                <w:webHidden/>
              </w:rPr>
              <w:fldChar w:fldCharType="begin"/>
            </w:r>
            <w:r w:rsidR="00197FD1">
              <w:rPr>
                <w:noProof/>
                <w:webHidden/>
              </w:rPr>
              <w:instrText xml:space="preserve"> PAGEREF _Toc93342326 \h </w:instrText>
            </w:r>
            <w:r w:rsidR="00197FD1">
              <w:rPr>
                <w:noProof/>
                <w:webHidden/>
              </w:rPr>
            </w:r>
            <w:r w:rsidR="00197FD1">
              <w:rPr>
                <w:noProof/>
                <w:webHidden/>
              </w:rPr>
              <w:fldChar w:fldCharType="separate"/>
            </w:r>
            <w:r w:rsidR="00BD5D6E">
              <w:rPr>
                <w:noProof/>
                <w:webHidden/>
              </w:rPr>
              <w:t>90</w:t>
            </w:r>
            <w:r w:rsidR="00197FD1">
              <w:rPr>
                <w:noProof/>
                <w:webHidden/>
              </w:rPr>
              <w:fldChar w:fldCharType="end"/>
            </w:r>
          </w:hyperlink>
        </w:p>
        <w:p w14:paraId="2D36655E"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327" w:history="1">
            <w:r w:rsidR="00197FD1" w:rsidRPr="00CB35AF">
              <w:rPr>
                <w:rStyle w:val="Hyperlink"/>
                <w:rFonts w:ascii="Times New Roman" w:hAnsi="Times New Roman" w:cs="Times New Roman"/>
                <w:smallCaps/>
                <w:noProof/>
              </w:rPr>
              <w:t>10.2.2</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Supervising engineer</w:t>
            </w:r>
            <w:r w:rsidR="00197FD1">
              <w:rPr>
                <w:noProof/>
                <w:webHidden/>
              </w:rPr>
              <w:tab/>
            </w:r>
            <w:r w:rsidR="00197FD1">
              <w:rPr>
                <w:noProof/>
                <w:webHidden/>
              </w:rPr>
              <w:fldChar w:fldCharType="begin"/>
            </w:r>
            <w:r w:rsidR="00197FD1">
              <w:rPr>
                <w:noProof/>
                <w:webHidden/>
              </w:rPr>
              <w:instrText xml:space="preserve"> PAGEREF _Toc93342327 \h </w:instrText>
            </w:r>
            <w:r w:rsidR="00197FD1">
              <w:rPr>
                <w:noProof/>
                <w:webHidden/>
              </w:rPr>
            </w:r>
            <w:r w:rsidR="00197FD1">
              <w:rPr>
                <w:noProof/>
                <w:webHidden/>
              </w:rPr>
              <w:fldChar w:fldCharType="separate"/>
            </w:r>
            <w:r w:rsidR="00BD5D6E">
              <w:rPr>
                <w:noProof/>
                <w:webHidden/>
              </w:rPr>
              <w:t>90</w:t>
            </w:r>
            <w:r w:rsidR="00197FD1">
              <w:rPr>
                <w:noProof/>
                <w:webHidden/>
              </w:rPr>
              <w:fldChar w:fldCharType="end"/>
            </w:r>
          </w:hyperlink>
        </w:p>
        <w:p w14:paraId="1ADB9AFF"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328" w:history="1">
            <w:r w:rsidR="00197FD1" w:rsidRPr="00CB35AF">
              <w:rPr>
                <w:rStyle w:val="Hyperlink"/>
                <w:rFonts w:ascii="Times New Roman" w:hAnsi="Times New Roman" w:cs="Times New Roman"/>
                <w:smallCaps/>
                <w:noProof/>
              </w:rPr>
              <w:t>10.2.3</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Responsible Persons at the LSG Level</w:t>
            </w:r>
            <w:r w:rsidR="00197FD1">
              <w:rPr>
                <w:noProof/>
                <w:webHidden/>
              </w:rPr>
              <w:tab/>
            </w:r>
            <w:r w:rsidR="00197FD1">
              <w:rPr>
                <w:noProof/>
                <w:webHidden/>
              </w:rPr>
              <w:fldChar w:fldCharType="begin"/>
            </w:r>
            <w:r w:rsidR="00197FD1">
              <w:rPr>
                <w:noProof/>
                <w:webHidden/>
              </w:rPr>
              <w:instrText xml:space="preserve"> PAGEREF _Toc93342328 \h </w:instrText>
            </w:r>
            <w:r w:rsidR="00197FD1">
              <w:rPr>
                <w:noProof/>
                <w:webHidden/>
              </w:rPr>
            </w:r>
            <w:r w:rsidR="00197FD1">
              <w:rPr>
                <w:noProof/>
                <w:webHidden/>
              </w:rPr>
              <w:fldChar w:fldCharType="separate"/>
            </w:r>
            <w:r w:rsidR="00BD5D6E">
              <w:rPr>
                <w:noProof/>
                <w:webHidden/>
              </w:rPr>
              <w:t>90</w:t>
            </w:r>
            <w:r w:rsidR="00197FD1">
              <w:rPr>
                <w:noProof/>
                <w:webHidden/>
              </w:rPr>
              <w:fldChar w:fldCharType="end"/>
            </w:r>
          </w:hyperlink>
        </w:p>
        <w:p w14:paraId="75D5E5ED" w14:textId="77777777" w:rsidR="00197FD1" w:rsidRDefault="003B7A19">
          <w:pPr>
            <w:pStyle w:val="TOC3"/>
            <w:tabs>
              <w:tab w:val="left" w:pos="1320"/>
              <w:tab w:val="right" w:leader="dot" w:pos="9343"/>
            </w:tabs>
            <w:rPr>
              <w:rFonts w:asciiTheme="minorHAnsi" w:hAnsiTheme="minorHAnsi"/>
              <w:bCs w:val="0"/>
              <w:i w:val="0"/>
              <w:iCs w:val="0"/>
              <w:noProof/>
              <w:sz w:val="22"/>
              <w:lang w:val="en-US"/>
            </w:rPr>
          </w:pPr>
          <w:hyperlink w:anchor="_Toc93342329" w:history="1">
            <w:r w:rsidR="00197FD1" w:rsidRPr="00CB35AF">
              <w:rPr>
                <w:rStyle w:val="Hyperlink"/>
                <w:rFonts w:ascii="Times New Roman" w:hAnsi="Times New Roman" w:cs="Times New Roman"/>
                <w:smallCaps/>
                <w:noProof/>
              </w:rPr>
              <w:t>10.2.4</w:t>
            </w:r>
            <w:r w:rsidR="00197FD1">
              <w:rPr>
                <w:rFonts w:asciiTheme="minorHAnsi" w:hAnsiTheme="minorHAnsi"/>
                <w:bCs w:val="0"/>
                <w:i w:val="0"/>
                <w:iCs w:val="0"/>
                <w:noProof/>
                <w:sz w:val="22"/>
                <w:lang w:val="en-US"/>
              </w:rPr>
              <w:tab/>
            </w:r>
            <w:r w:rsidR="00197FD1" w:rsidRPr="00CB35AF">
              <w:rPr>
                <w:rStyle w:val="Hyperlink"/>
                <w:rFonts w:ascii="Times New Roman" w:hAnsi="Times New Roman" w:cs="Times New Roman"/>
                <w:noProof/>
              </w:rPr>
              <w:t>Site visit check</w:t>
            </w:r>
            <w:r w:rsidR="00197FD1">
              <w:rPr>
                <w:noProof/>
                <w:webHidden/>
              </w:rPr>
              <w:tab/>
            </w:r>
            <w:r w:rsidR="00197FD1">
              <w:rPr>
                <w:noProof/>
                <w:webHidden/>
              </w:rPr>
              <w:fldChar w:fldCharType="begin"/>
            </w:r>
            <w:r w:rsidR="00197FD1">
              <w:rPr>
                <w:noProof/>
                <w:webHidden/>
              </w:rPr>
              <w:instrText xml:space="preserve"> PAGEREF _Toc93342329 \h </w:instrText>
            </w:r>
            <w:r w:rsidR="00197FD1">
              <w:rPr>
                <w:noProof/>
                <w:webHidden/>
              </w:rPr>
            </w:r>
            <w:r w:rsidR="00197FD1">
              <w:rPr>
                <w:noProof/>
                <w:webHidden/>
              </w:rPr>
              <w:fldChar w:fldCharType="separate"/>
            </w:r>
            <w:r w:rsidR="00BD5D6E">
              <w:rPr>
                <w:noProof/>
                <w:webHidden/>
              </w:rPr>
              <w:t>90</w:t>
            </w:r>
            <w:r w:rsidR="00197FD1">
              <w:rPr>
                <w:noProof/>
                <w:webHidden/>
              </w:rPr>
              <w:fldChar w:fldCharType="end"/>
            </w:r>
          </w:hyperlink>
        </w:p>
        <w:p w14:paraId="29E2A544"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0" w:history="1">
            <w:r w:rsidR="00197FD1" w:rsidRPr="00CB35AF">
              <w:rPr>
                <w:rStyle w:val="Hyperlink"/>
                <w:rFonts w:ascii="Times New Roman" w:hAnsi="Times New Roman" w:cs="Times New Roman"/>
                <w:noProof/>
              </w:rPr>
              <w:t>Annex 1: PDO Key Indicators</w:t>
            </w:r>
            <w:r w:rsidR="00197FD1">
              <w:rPr>
                <w:noProof/>
                <w:webHidden/>
              </w:rPr>
              <w:tab/>
            </w:r>
            <w:r w:rsidR="00197FD1">
              <w:rPr>
                <w:noProof/>
                <w:webHidden/>
              </w:rPr>
              <w:fldChar w:fldCharType="begin"/>
            </w:r>
            <w:r w:rsidR="00197FD1">
              <w:rPr>
                <w:noProof/>
                <w:webHidden/>
              </w:rPr>
              <w:instrText xml:space="preserve"> PAGEREF _Toc93342330 \h </w:instrText>
            </w:r>
            <w:r w:rsidR="00197FD1">
              <w:rPr>
                <w:noProof/>
                <w:webHidden/>
              </w:rPr>
            </w:r>
            <w:r w:rsidR="00197FD1">
              <w:rPr>
                <w:noProof/>
                <w:webHidden/>
              </w:rPr>
              <w:fldChar w:fldCharType="separate"/>
            </w:r>
            <w:r w:rsidR="00BD5D6E">
              <w:rPr>
                <w:noProof/>
                <w:webHidden/>
              </w:rPr>
              <w:t>94</w:t>
            </w:r>
            <w:r w:rsidR="00197FD1">
              <w:rPr>
                <w:noProof/>
                <w:webHidden/>
              </w:rPr>
              <w:fldChar w:fldCharType="end"/>
            </w:r>
          </w:hyperlink>
        </w:p>
        <w:p w14:paraId="76EAF864"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1" w:history="1">
            <w:r w:rsidR="00197FD1" w:rsidRPr="00CB35AF">
              <w:rPr>
                <w:rStyle w:val="Hyperlink"/>
                <w:rFonts w:ascii="Times New Roman" w:hAnsi="Times New Roman" w:cs="Times New Roman"/>
                <w:noProof/>
              </w:rPr>
              <w:t>Annex 2: Monitoring &amp; Evaluation Plan: PDO Indicators</w:t>
            </w:r>
            <w:r w:rsidR="00197FD1">
              <w:rPr>
                <w:noProof/>
                <w:webHidden/>
              </w:rPr>
              <w:tab/>
            </w:r>
            <w:r w:rsidR="00197FD1">
              <w:rPr>
                <w:noProof/>
                <w:webHidden/>
              </w:rPr>
              <w:fldChar w:fldCharType="begin"/>
            </w:r>
            <w:r w:rsidR="00197FD1">
              <w:rPr>
                <w:noProof/>
                <w:webHidden/>
              </w:rPr>
              <w:instrText xml:space="preserve"> PAGEREF _Toc93342331 \h </w:instrText>
            </w:r>
            <w:r w:rsidR="00197FD1">
              <w:rPr>
                <w:noProof/>
                <w:webHidden/>
              </w:rPr>
            </w:r>
            <w:r w:rsidR="00197FD1">
              <w:rPr>
                <w:noProof/>
                <w:webHidden/>
              </w:rPr>
              <w:fldChar w:fldCharType="separate"/>
            </w:r>
            <w:r w:rsidR="00BD5D6E">
              <w:rPr>
                <w:noProof/>
                <w:webHidden/>
              </w:rPr>
              <w:t>96</w:t>
            </w:r>
            <w:r w:rsidR="00197FD1">
              <w:rPr>
                <w:noProof/>
                <w:webHidden/>
              </w:rPr>
              <w:fldChar w:fldCharType="end"/>
            </w:r>
          </w:hyperlink>
        </w:p>
        <w:p w14:paraId="2F481A9A"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2" w:history="1">
            <w:r w:rsidR="00197FD1" w:rsidRPr="00CB35AF">
              <w:rPr>
                <w:rStyle w:val="Hyperlink"/>
                <w:rFonts w:ascii="Times New Roman" w:hAnsi="Times New Roman" w:cs="Times New Roman"/>
                <w:noProof/>
              </w:rPr>
              <w:t>Annex 3: Template of the Framework Agreement (FA)</w:t>
            </w:r>
            <w:r w:rsidR="00197FD1">
              <w:rPr>
                <w:noProof/>
                <w:webHidden/>
              </w:rPr>
              <w:tab/>
            </w:r>
            <w:r w:rsidR="00197FD1">
              <w:rPr>
                <w:noProof/>
                <w:webHidden/>
              </w:rPr>
              <w:fldChar w:fldCharType="begin"/>
            </w:r>
            <w:r w:rsidR="00197FD1">
              <w:rPr>
                <w:noProof/>
                <w:webHidden/>
              </w:rPr>
              <w:instrText xml:space="preserve"> PAGEREF _Toc93342332 \h </w:instrText>
            </w:r>
            <w:r w:rsidR="00197FD1">
              <w:rPr>
                <w:noProof/>
                <w:webHidden/>
              </w:rPr>
            </w:r>
            <w:r w:rsidR="00197FD1">
              <w:rPr>
                <w:noProof/>
                <w:webHidden/>
              </w:rPr>
              <w:fldChar w:fldCharType="separate"/>
            </w:r>
            <w:r w:rsidR="00BD5D6E">
              <w:rPr>
                <w:noProof/>
                <w:webHidden/>
              </w:rPr>
              <w:t>102</w:t>
            </w:r>
            <w:r w:rsidR="00197FD1">
              <w:rPr>
                <w:noProof/>
                <w:webHidden/>
              </w:rPr>
              <w:fldChar w:fldCharType="end"/>
            </w:r>
          </w:hyperlink>
        </w:p>
        <w:p w14:paraId="7C314C99"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3" w:history="1">
            <w:r w:rsidR="00197FD1" w:rsidRPr="00CB35AF">
              <w:rPr>
                <w:rStyle w:val="Hyperlink"/>
                <w:rFonts w:ascii="Times New Roman" w:hAnsi="Times New Roman" w:cs="Times New Roman"/>
                <w:noProof/>
              </w:rPr>
              <w:t>Annex 4: Template of the Grant Agreement (GA)</w:t>
            </w:r>
            <w:r w:rsidR="00197FD1">
              <w:rPr>
                <w:noProof/>
                <w:webHidden/>
              </w:rPr>
              <w:tab/>
            </w:r>
            <w:r w:rsidR="00197FD1">
              <w:rPr>
                <w:noProof/>
                <w:webHidden/>
              </w:rPr>
              <w:fldChar w:fldCharType="begin"/>
            </w:r>
            <w:r w:rsidR="00197FD1">
              <w:rPr>
                <w:noProof/>
                <w:webHidden/>
              </w:rPr>
              <w:instrText xml:space="preserve"> PAGEREF _Toc93342333 \h </w:instrText>
            </w:r>
            <w:r w:rsidR="00197FD1">
              <w:rPr>
                <w:noProof/>
                <w:webHidden/>
              </w:rPr>
            </w:r>
            <w:r w:rsidR="00197FD1">
              <w:rPr>
                <w:noProof/>
                <w:webHidden/>
              </w:rPr>
              <w:fldChar w:fldCharType="separate"/>
            </w:r>
            <w:r w:rsidR="00BD5D6E">
              <w:rPr>
                <w:noProof/>
                <w:webHidden/>
              </w:rPr>
              <w:t>111</w:t>
            </w:r>
            <w:r w:rsidR="00197FD1">
              <w:rPr>
                <w:noProof/>
                <w:webHidden/>
              </w:rPr>
              <w:fldChar w:fldCharType="end"/>
            </w:r>
          </w:hyperlink>
        </w:p>
        <w:p w14:paraId="0A5494CD"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4" w:history="1">
            <w:r w:rsidR="00197FD1" w:rsidRPr="00CB35AF">
              <w:rPr>
                <w:rStyle w:val="Hyperlink"/>
                <w:rFonts w:ascii="Times New Roman" w:hAnsi="Times New Roman" w:cs="Times New Roman"/>
                <w:noProof/>
              </w:rPr>
              <w:t>Annex 5: Model Bidding Document for Works</w:t>
            </w:r>
            <w:r w:rsidR="00197FD1">
              <w:rPr>
                <w:noProof/>
                <w:webHidden/>
              </w:rPr>
              <w:tab/>
            </w:r>
            <w:r w:rsidR="00197FD1">
              <w:rPr>
                <w:noProof/>
                <w:webHidden/>
              </w:rPr>
              <w:fldChar w:fldCharType="begin"/>
            </w:r>
            <w:r w:rsidR="00197FD1">
              <w:rPr>
                <w:noProof/>
                <w:webHidden/>
              </w:rPr>
              <w:instrText xml:space="preserve"> PAGEREF _Toc93342334 \h </w:instrText>
            </w:r>
            <w:r w:rsidR="00197FD1">
              <w:rPr>
                <w:noProof/>
                <w:webHidden/>
              </w:rPr>
            </w:r>
            <w:r w:rsidR="00197FD1">
              <w:rPr>
                <w:noProof/>
                <w:webHidden/>
              </w:rPr>
              <w:fldChar w:fldCharType="separate"/>
            </w:r>
            <w:r w:rsidR="00BD5D6E">
              <w:rPr>
                <w:noProof/>
                <w:webHidden/>
              </w:rPr>
              <w:t>124</w:t>
            </w:r>
            <w:r w:rsidR="00197FD1">
              <w:rPr>
                <w:noProof/>
                <w:webHidden/>
              </w:rPr>
              <w:fldChar w:fldCharType="end"/>
            </w:r>
          </w:hyperlink>
        </w:p>
        <w:p w14:paraId="69DD42AE"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5" w:history="1">
            <w:r w:rsidR="00197FD1" w:rsidRPr="00CB35AF">
              <w:rPr>
                <w:rStyle w:val="Hyperlink"/>
                <w:rFonts w:ascii="Times New Roman" w:hAnsi="Times New Roman" w:cs="Times New Roman"/>
                <w:noProof/>
              </w:rPr>
              <w:t>Annex 6: Draft Procurement Plan</w:t>
            </w:r>
            <w:r w:rsidR="00197FD1">
              <w:rPr>
                <w:noProof/>
                <w:webHidden/>
              </w:rPr>
              <w:tab/>
            </w:r>
            <w:r w:rsidR="00197FD1">
              <w:rPr>
                <w:noProof/>
                <w:webHidden/>
              </w:rPr>
              <w:fldChar w:fldCharType="begin"/>
            </w:r>
            <w:r w:rsidR="00197FD1">
              <w:rPr>
                <w:noProof/>
                <w:webHidden/>
              </w:rPr>
              <w:instrText xml:space="preserve"> PAGEREF _Toc93342335 \h </w:instrText>
            </w:r>
            <w:r w:rsidR="00197FD1">
              <w:rPr>
                <w:noProof/>
                <w:webHidden/>
              </w:rPr>
            </w:r>
            <w:r w:rsidR="00197FD1">
              <w:rPr>
                <w:noProof/>
                <w:webHidden/>
              </w:rPr>
              <w:fldChar w:fldCharType="separate"/>
            </w:r>
            <w:r w:rsidR="00BD5D6E">
              <w:rPr>
                <w:noProof/>
                <w:webHidden/>
              </w:rPr>
              <w:t>146</w:t>
            </w:r>
            <w:r w:rsidR="00197FD1">
              <w:rPr>
                <w:noProof/>
                <w:webHidden/>
              </w:rPr>
              <w:fldChar w:fldCharType="end"/>
            </w:r>
          </w:hyperlink>
        </w:p>
        <w:p w14:paraId="6853EE9E"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6" w:history="1">
            <w:r w:rsidR="00197FD1" w:rsidRPr="00CB35AF">
              <w:rPr>
                <w:rStyle w:val="Hyperlink"/>
                <w:rFonts w:ascii="Times New Roman" w:hAnsi="Times New Roman" w:cs="Times New Roman"/>
                <w:noProof/>
              </w:rPr>
              <w:t>Annex 7: Template of the Environmental Screening Questionnaire</w:t>
            </w:r>
            <w:r w:rsidR="00197FD1">
              <w:rPr>
                <w:noProof/>
                <w:webHidden/>
              </w:rPr>
              <w:tab/>
            </w:r>
            <w:r w:rsidR="00197FD1">
              <w:rPr>
                <w:noProof/>
                <w:webHidden/>
              </w:rPr>
              <w:fldChar w:fldCharType="begin"/>
            </w:r>
            <w:r w:rsidR="00197FD1">
              <w:rPr>
                <w:noProof/>
                <w:webHidden/>
              </w:rPr>
              <w:instrText xml:space="preserve"> PAGEREF _Toc93342336 \h </w:instrText>
            </w:r>
            <w:r w:rsidR="00197FD1">
              <w:rPr>
                <w:noProof/>
                <w:webHidden/>
              </w:rPr>
            </w:r>
            <w:r w:rsidR="00197FD1">
              <w:rPr>
                <w:noProof/>
                <w:webHidden/>
              </w:rPr>
              <w:fldChar w:fldCharType="separate"/>
            </w:r>
            <w:r w:rsidR="00BD5D6E">
              <w:rPr>
                <w:noProof/>
                <w:webHidden/>
              </w:rPr>
              <w:t>150</w:t>
            </w:r>
            <w:r w:rsidR="00197FD1">
              <w:rPr>
                <w:noProof/>
                <w:webHidden/>
              </w:rPr>
              <w:fldChar w:fldCharType="end"/>
            </w:r>
          </w:hyperlink>
        </w:p>
        <w:p w14:paraId="76F60254"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7" w:history="1">
            <w:r w:rsidR="00197FD1" w:rsidRPr="00CB35AF">
              <w:rPr>
                <w:rStyle w:val="Hyperlink"/>
                <w:rFonts w:ascii="Times New Roman" w:hAnsi="Times New Roman" w:cs="Times New Roman"/>
                <w:noProof/>
              </w:rPr>
              <w:t>Annex 8: Template of the Social Screening Questionnaire</w:t>
            </w:r>
            <w:r w:rsidR="00197FD1">
              <w:rPr>
                <w:noProof/>
                <w:webHidden/>
              </w:rPr>
              <w:tab/>
            </w:r>
            <w:r w:rsidR="00197FD1">
              <w:rPr>
                <w:noProof/>
                <w:webHidden/>
              </w:rPr>
              <w:fldChar w:fldCharType="begin"/>
            </w:r>
            <w:r w:rsidR="00197FD1">
              <w:rPr>
                <w:noProof/>
                <w:webHidden/>
              </w:rPr>
              <w:instrText xml:space="preserve"> PAGEREF _Toc93342337 \h </w:instrText>
            </w:r>
            <w:r w:rsidR="00197FD1">
              <w:rPr>
                <w:noProof/>
                <w:webHidden/>
              </w:rPr>
            </w:r>
            <w:r w:rsidR="00197FD1">
              <w:rPr>
                <w:noProof/>
                <w:webHidden/>
              </w:rPr>
              <w:fldChar w:fldCharType="separate"/>
            </w:r>
            <w:r w:rsidR="00BD5D6E">
              <w:rPr>
                <w:noProof/>
                <w:webHidden/>
              </w:rPr>
              <w:t>152</w:t>
            </w:r>
            <w:r w:rsidR="00197FD1">
              <w:rPr>
                <w:noProof/>
                <w:webHidden/>
              </w:rPr>
              <w:fldChar w:fldCharType="end"/>
            </w:r>
          </w:hyperlink>
        </w:p>
        <w:p w14:paraId="56C45609"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8" w:history="1">
            <w:r w:rsidR="00197FD1" w:rsidRPr="00CB35AF">
              <w:rPr>
                <w:rStyle w:val="Hyperlink"/>
                <w:rFonts w:ascii="Times New Roman" w:hAnsi="Times New Roman" w:cs="Times New Roman"/>
                <w:noProof/>
              </w:rPr>
              <w:t>Annex 9: Terms of Reference for Financial Audit</w:t>
            </w:r>
            <w:r w:rsidR="00197FD1">
              <w:rPr>
                <w:noProof/>
                <w:webHidden/>
              </w:rPr>
              <w:tab/>
            </w:r>
            <w:r w:rsidR="00197FD1">
              <w:rPr>
                <w:noProof/>
                <w:webHidden/>
              </w:rPr>
              <w:fldChar w:fldCharType="begin"/>
            </w:r>
            <w:r w:rsidR="00197FD1">
              <w:rPr>
                <w:noProof/>
                <w:webHidden/>
              </w:rPr>
              <w:instrText xml:space="preserve"> PAGEREF _Toc93342338 \h </w:instrText>
            </w:r>
            <w:r w:rsidR="00197FD1">
              <w:rPr>
                <w:noProof/>
                <w:webHidden/>
              </w:rPr>
            </w:r>
            <w:r w:rsidR="00197FD1">
              <w:rPr>
                <w:noProof/>
                <w:webHidden/>
              </w:rPr>
              <w:fldChar w:fldCharType="separate"/>
            </w:r>
            <w:r w:rsidR="00BD5D6E">
              <w:rPr>
                <w:noProof/>
                <w:webHidden/>
              </w:rPr>
              <w:t>154</w:t>
            </w:r>
            <w:r w:rsidR="00197FD1">
              <w:rPr>
                <w:noProof/>
                <w:webHidden/>
              </w:rPr>
              <w:fldChar w:fldCharType="end"/>
            </w:r>
          </w:hyperlink>
        </w:p>
        <w:p w14:paraId="45258B55"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39" w:history="1">
            <w:r w:rsidR="00197FD1" w:rsidRPr="00CB35AF">
              <w:rPr>
                <w:rStyle w:val="Hyperlink"/>
                <w:rFonts w:ascii="Times New Roman" w:hAnsi="Times New Roman" w:cs="Times New Roman"/>
                <w:noProof/>
              </w:rPr>
              <w:t>Annex 10: Formula- Calculation and Evaluation</w:t>
            </w:r>
            <w:r w:rsidR="00197FD1">
              <w:rPr>
                <w:noProof/>
                <w:webHidden/>
              </w:rPr>
              <w:tab/>
            </w:r>
            <w:r w:rsidR="00197FD1">
              <w:rPr>
                <w:noProof/>
                <w:webHidden/>
              </w:rPr>
              <w:fldChar w:fldCharType="begin"/>
            </w:r>
            <w:r w:rsidR="00197FD1">
              <w:rPr>
                <w:noProof/>
                <w:webHidden/>
              </w:rPr>
              <w:instrText xml:space="preserve"> PAGEREF _Toc93342339 \h </w:instrText>
            </w:r>
            <w:r w:rsidR="00197FD1">
              <w:rPr>
                <w:noProof/>
                <w:webHidden/>
              </w:rPr>
            </w:r>
            <w:r w:rsidR="00197FD1">
              <w:rPr>
                <w:noProof/>
                <w:webHidden/>
              </w:rPr>
              <w:fldChar w:fldCharType="separate"/>
            </w:r>
            <w:r w:rsidR="00BD5D6E">
              <w:rPr>
                <w:noProof/>
                <w:webHidden/>
              </w:rPr>
              <w:t>159</w:t>
            </w:r>
            <w:r w:rsidR="00197FD1">
              <w:rPr>
                <w:noProof/>
                <w:webHidden/>
              </w:rPr>
              <w:fldChar w:fldCharType="end"/>
            </w:r>
          </w:hyperlink>
        </w:p>
        <w:p w14:paraId="4C5F2394" w14:textId="77777777" w:rsidR="00197FD1" w:rsidRDefault="003B7A19">
          <w:pPr>
            <w:pStyle w:val="TOC1"/>
            <w:tabs>
              <w:tab w:val="right" w:leader="dot" w:pos="9343"/>
            </w:tabs>
            <w:rPr>
              <w:rFonts w:asciiTheme="minorHAnsi" w:eastAsiaTheme="minorEastAsia" w:hAnsiTheme="minorHAnsi" w:cstheme="minorBidi"/>
              <w:b w:val="0"/>
              <w:bCs w:val="0"/>
              <w:caps w:val="0"/>
              <w:noProof/>
              <w:sz w:val="22"/>
              <w:szCs w:val="22"/>
              <w:lang w:eastAsia="en-US"/>
            </w:rPr>
          </w:pPr>
          <w:hyperlink w:anchor="_Toc93342340" w:history="1">
            <w:r w:rsidR="00197FD1" w:rsidRPr="00CB35AF">
              <w:rPr>
                <w:rStyle w:val="Hyperlink"/>
                <w:rFonts w:ascii="Times New Roman" w:hAnsi="Times New Roman" w:cs="Times New Roman"/>
                <w:noProof/>
              </w:rPr>
              <w:t>Annex 11: WB Exclusion List</w:t>
            </w:r>
            <w:r w:rsidR="00197FD1">
              <w:rPr>
                <w:noProof/>
                <w:webHidden/>
              </w:rPr>
              <w:tab/>
            </w:r>
            <w:r w:rsidR="00197FD1">
              <w:rPr>
                <w:noProof/>
                <w:webHidden/>
              </w:rPr>
              <w:fldChar w:fldCharType="begin"/>
            </w:r>
            <w:r w:rsidR="00197FD1">
              <w:rPr>
                <w:noProof/>
                <w:webHidden/>
              </w:rPr>
              <w:instrText xml:space="preserve"> PAGEREF _Toc93342340 \h </w:instrText>
            </w:r>
            <w:r w:rsidR="00197FD1">
              <w:rPr>
                <w:noProof/>
                <w:webHidden/>
              </w:rPr>
            </w:r>
            <w:r w:rsidR="00197FD1">
              <w:rPr>
                <w:noProof/>
                <w:webHidden/>
              </w:rPr>
              <w:fldChar w:fldCharType="separate"/>
            </w:r>
            <w:r w:rsidR="00BD5D6E">
              <w:rPr>
                <w:noProof/>
                <w:webHidden/>
              </w:rPr>
              <w:t>174</w:t>
            </w:r>
            <w:r w:rsidR="00197FD1">
              <w:rPr>
                <w:noProof/>
                <w:webHidden/>
              </w:rPr>
              <w:fldChar w:fldCharType="end"/>
            </w:r>
          </w:hyperlink>
        </w:p>
        <w:p w14:paraId="67288D1A" w14:textId="719ED201" w:rsidR="00663DC2" w:rsidRPr="005948DE" w:rsidRDefault="00663DC2" w:rsidP="005948DE">
          <w:pPr>
            <w:spacing w:line="276" w:lineRule="auto"/>
            <w:jc w:val="both"/>
            <w:rPr>
              <w:rFonts w:ascii="Times New Roman" w:hAnsi="Times New Roman" w:cs="Times New Roman"/>
            </w:rPr>
          </w:pPr>
          <w:r w:rsidRPr="005948DE">
            <w:rPr>
              <w:rFonts w:ascii="Times New Roman" w:hAnsi="Times New Roman" w:cs="Times New Roman"/>
              <w:b/>
              <w:bCs/>
              <w:noProof/>
            </w:rPr>
            <w:fldChar w:fldCharType="end"/>
          </w:r>
        </w:p>
      </w:sdtContent>
    </w:sdt>
    <w:p w14:paraId="26913961" w14:textId="77777777" w:rsidR="00295415" w:rsidRPr="005948DE" w:rsidRDefault="00295415" w:rsidP="005948DE">
      <w:pPr>
        <w:tabs>
          <w:tab w:val="left" w:pos="3070"/>
        </w:tabs>
        <w:spacing w:after="0" w:line="276" w:lineRule="auto"/>
        <w:jc w:val="both"/>
        <w:rPr>
          <w:rFonts w:ascii="Times New Roman" w:eastAsiaTheme="majorEastAsia" w:hAnsi="Times New Roman" w:cs="Times New Roman"/>
          <w:b/>
          <w:bCs/>
          <w:smallCaps/>
          <w:color w:val="0070C0"/>
        </w:rPr>
      </w:pPr>
    </w:p>
    <w:p w14:paraId="55D60F3E" w14:textId="77777777" w:rsidR="00467B86" w:rsidRPr="005948DE" w:rsidRDefault="00467B86" w:rsidP="005948DE">
      <w:pPr>
        <w:tabs>
          <w:tab w:val="left" w:pos="3070"/>
        </w:tabs>
        <w:spacing w:after="0" w:line="276" w:lineRule="auto"/>
        <w:jc w:val="both"/>
        <w:rPr>
          <w:rFonts w:ascii="Times New Roman" w:eastAsiaTheme="majorEastAsia" w:hAnsi="Times New Roman" w:cs="Times New Roman"/>
          <w:b/>
          <w:bCs/>
          <w:smallCaps/>
          <w:color w:val="0070C0"/>
        </w:rPr>
        <w:sectPr w:rsidR="00467B86" w:rsidRPr="005948DE" w:rsidSect="00532C9E">
          <w:headerReference w:type="default" r:id="rId15"/>
          <w:footerReference w:type="default" r:id="rId16"/>
          <w:type w:val="continuous"/>
          <w:pgSz w:w="11905" w:h="16837" w:code="9"/>
          <w:pgMar w:top="1134" w:right="1134" w:bottom="1134" w:left="1418" w:header="510" w:footer="340" w:gutter="0"/>
          <w:cols w:space="720"/>
          <w:docGrid w:linePitch="360"/>
        </w:sectPr>
      </w:pPr>
    </w:p>
    <w:p w14:paraId="2C530BF1" w14:textId="4E420567" w:rsidR="00295415" w:rsidRPr="005948DE" w:rsidRDefault="00295415" w:rsidP="005948DE">
      <w:pPr>
        <w:tabs>
          <w:tab w:val="left" w:pos="3070"/>
        </w:tabs>
        <w:spacing w:after="0" w:line="276" w:lineRule="auto"/>
        <w:jc w:val="both"/>
        <w:rPr>
          <w:rFonts w:ascii="Times New Roman" w:eastAsiaTheme="majorEastAsia" w:hAnsi="Times New Roman" w:cs="Times New Roman"/>
          <w:b/>
          <w:bCs/>
          <w:smallCaps/>
          <w:color w:val="0070C0"/>
        </w:rPr>
      </w:pPr>
    </w:p>
    <w:p w14:paraId="543071C9" w14:textId="486C957A" w:rsidR="00DA1A41" w:rsidRPr="005948DE" w:rsidRDefault="00295415" w:rsidP="005948DE">
      <w:pPr>
        <w:spacing w:line="276" w:lineRule="auto"/>
        <w:jc w:val="both"/>
        <w:rPr>
          <w:rFonts w:ascii="Times New Roman" w:hAnsi="Times New Roman" w:cs="Times New Roman"/>
        </w:rPr>
      </w:pPr>
      <w:r w:rsidRPr="005948DE">
        <w:rPr>
          <w:rFonts w:ascii="Times New Roman" w:hAnsi="Times New Roman" w:cs="Times New Roman"/>
          <w:color w:val="0070C0"/>
        </w:rPr>
        <w:br w:type="page"/>
      </w:r>
      <w:r w:rsidR="004A4AB5" w:rsidRPr="005948DE">
        <w:rPr>
          <w:rFonts w:ascii="Times New Roman" w:hAnsi="Times New Roman" w:cs="Times New Roman"/>
        </w:rPr>
        <w:lastRenderedPageBreak/>
        <w:t xml:space="preserve"> </w:t>
      </w:r>
      <w:r w:rsidR="00DA1A41" w:rsidRPr="005948DE">
        <w:rPr>
          <w:rFonts w:ascii="Times New Roman" w:hAnsi="Times New Roman" w:cs="Times New Roman"/>
        </w:rPr>
        <w:t>ABBREVIATIONS AND ACRONYMS</w:t>
      </w:r>
    </w:p>
    <w:p w14:paraId="16AE2216" w14:textId="0609170C" w:rsidR="00961642" w:rsidRPr="005948DE" w:rsidRDefault="00961642" w:rsidP="005948DE">
      <w:pPr>
        <w:tabs>
          <w:tab w:val="left" w:pos="3070"/>
        </w:tabs>
        <w:spacing w:after="0" w:line="276" w:lineRule="auto"/>
        <w:jc w:val="both"/>
        <w:rPr>
          <w:rFonts w:ascii="Times New Roman" w:hAnsi="Times New Roman" w:cs="Times New Roman"/>
        </w:rPr>
      </w:pPr>
    </w:p>
    <w:tbl>
      <w:tblPr>
        <w:tblW w:w="9356" w:type="dxa"/>
        <w:tblCellMar>
          <w:top w:w="28" w:type="dxa"/>
          <w:left w:w="28" w:type="dxa"/>
          <w:bottom w:w="28" w:type="dxa"/>
          <w:right w:w="28" w:type="dxa"/>
        </w:tblCellMar>
        <w:tblLook w:val="04A0" w:firstRow="1" w:lastRow="0" w:firstColumn="1" w:lastColumn="0" w:noHBand="0" w:noVBand="1"/>
      </w:tblPr>
      <w:tblGrid>
        <w:gridCol w:w="1547"/>
        <w:gridCol w:w="7809"/>
      </w:tblGrid>
      <w:tr w:rsidR="00D57628" w:rsidRPr="005948DE" w14:paraId="271D6B42" w14:textId="77777777" w:rsidTr="00DA1A41">
        <w:trPr>
          <w:cantSplit/>
          <w:trHeight w:val="292"/>
        </w:trPr>
        <w:tc>
          <w:tcPr>
            <w:tcW w:w="1547" w:type="dxa"/>
            <w:tcBorders>
              <w:top w:val="single" w:sz="2" w:space="0" w:color="auto"/>
              <w:left w:val="single" w:sz="2" w:space="0" w:color="auto"/>
              <w:bottom w:val="dotted" w:sz="2" w:space="0" w:color="auto"/>
              <w:right w:val="dotted" w:sz="2" w:space="0" w:color="auto"/>
            </w:tcBorders>
            <w:tcMar>
              <w:top w:w="0" w:type="dxa"/>
              <w:left w:w="108" w:type="dxa"/>
              <w:bottom w:w="0" w:type="dxa"/>
              <w:right w:w="108" w:type="dxa"/>
            </w:tcMar>
          </w:tcPr>
          <w:p w14:paraId="1F2EAA9E" w14:textId="1A792B55"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AFD </w:t>
            </w:r>
          </w:p>
        </w:tc>
        <w:tc>
          <w:tcPr>
            <w:tcW w:w="7809" w:type="dxa"/>
            <w:tcBorders>
              <w:top w:val="single" w:sz="2" w:space="0" w:color="auto"/>
              <w:left w:val="dotted" w:sz="2" w:space="0" w:color="auto"/>
              <w:bottom w:val="dotted" w:sz="2" w:space="0" w:color="auto"/>
              <w:right w:val="single" w:sz="2" w:space="0" w:color="auto"/>
            </w:tcBorders>
            <w:tcMar>
              <w:top w:w="0" w:type="dxa"/>
              <w:left w:w="108" w:type="dxa"/>
              <w:bottom w:w="0" w:type="dxa"/>
              <w:right w:w="108" w:type="dxa"/>
            </w:tcMar>
          </w:tcPr>
          <w:p w14:paraId="5C543FB8" w14:textId="117BD230"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Agence Française de Développ</w:t>
            </w:r>
            <w:r w:rsidR="006867C1">
              <w:rPr>
                <w:rFonts w:ascii="Times New Roman" w:hAnsi="Times New Roman" w:cs="Times New Roman"/>
              </w:rPr>
              <w:t>e</w:t>
            </w:r>
            <w:r w:rsidRPr="005948DE">
              <w:rPr>
                <w:rFonts w:ascii="Times New Roman" w:hAnsi="Times New Roman" w:cs="Times New Roman"/>
              </w:rPr>
              <w:t xml:space="preserve">ment </w:t>
            </w:r>
          </w:p>
        </w:tc>
      </w:tr>
      <w:tr w:rsidR="00D57628" w:rsidRPr="005948DE" w14:paraId="3CE15BF5" w14:textId="77777777" w:rsidTr="003607FB">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4C17EAA" w14:textId="77777777" w:rsidR="00306D03" w:rsidRPr="005948DE" w:rsidRDefault="00306D03" w:rsidP="005948DE">
            <w:pPr>
              <w:spacing w:after="0" w:line="276" w:lineRule="auto"/>
              <w:ind w:left="171"/>
              <w:jc w:val="both"/>
              <w:rPr>
                <w:rFonts w:ascii="Times New Roman" w:hAnsi="Times New Roman" w:cs="Times New Roman"/>
              </w:rPr>
            </w:pPr>
            <w:r w:rsidRPr="005948DE">
              <w:rPr>
                <w:rFonts w:ascii="Times New Roman" w:hAnsi="Times New Roman" w:cs="Times New Roman"/>
              </w:rPr>
              <w:t>CFU</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E250299" w14:textId="77777777" w:rsidR="00306D03" w:rsidRPr="005948DE" w:rsidRDefault="00306D03" w:rsidP="005948DE">
            <w:pPr>
              <w:spacing w:after="0" w:line="276" w:lineRule="auto"/>
              <w:ind w:left="171"/>
              <w:jc w:val="both"/>
              <w:rPr>
                <w:rFonts w:ascii="Times New Roman" w:hAnsi="Times New Roman" w:cs="Times New Roman"/>
              </w:rPr>
            </w:pPr>
            <w:r w:rsidRPr="005948DE">
              <w:rPr>
                <w:rFonts w:ascii="Times New Roman" w:hAnsi="Times New Roman" w:cs="Times New Roman"/>
              </w:rPr>
              <w:t>Central Fiduciary Unit</w:t>
            </w:r>
          </w:p>
        </w:tc>
      </w:tr>
      <w:tr w:rsidR="00D57628" w:rsidRPr="005948DE" w14:paraId="3801F0DC" w14:textId="77777777" w:rsidTr="00DA1A41">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409B8905" w14:textId="3ED8B2CC"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COVID-19</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29E4579D" w14:textId="1A500A69"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Coronavirus Disease 2019</w:t>
            </w:r>
          </w:p>
        </w:tc>
      </w:tr>
      <w:tr w:rsidR="00D57628" w:rsidRPr="005948DE" w14:paraId="4833022B" w14:textId="77777777" w:rsidTr="00DA1A41">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5F21860" w14:textId="5B9A5CA1" w:rsidR="004B6B87" w:rsidRPr="005948DE" w:rsidRDefault="004B6B87" w:rsidP="005948DE">
            <w:pPr>
              <w:spacing w:after="0" w:line="276" w:lineRule="auto"/>
              <w:ind w:left="171"/>
              <w:jc w:val="both"/>
              <w:rPr>
                <w:rFonts w:ascii="Times New Roman" w:hAnsi="Times New Roman" w:cs="Times New Roman"/>
              </w:rPr>
            </w:pPr>
            <w:r w:rsidRPr="005948DE">
              <w:rPr>
                <w:rFonts w:ascii="Times New Roman" w:hAnsi="Times New Roman" w:cs="Times New Roman"/>
              </w:rPr>
              <w:t>CoPs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339DCFA0" w14:textId="74B8DDB0" w:rsidR="004B6B87" w:rsidRPr="005948DE" w:rsidRDefault="004B6B87" w:rsidP="005948DE">
            <w:pPr>
              <w:spacing w:after="0" w:line="276" w:lineRule="auto"/>
              <w:ind w:left="171"/>
              <w:jc w:val="both"/>
              <w:rPr>
                <w:rFonts w:ascii="Times New Roman" w:hAnsi="Times New Roman" w:cs="Times New Roman"/>
              </w:rPr>
            </w:pPr>
            <w:r w:rsidRPr="005948DE">
              <w:rPr>
                <w:rFonts w:ascii="Times New Roman" w:hAnsi="Times New Roman" w:cs="Times New Roman"/>
              </w:rPr>
              <w:t>Community of Practice</w:t>
            </w:r>
          </w:p>
        </w:tc>
      </w:tr>
      <w:tr w:rsidR="00D57628" w:rsidRPr="005948DE" w14:paraId="62AFEDA4" w14:textId="77777777" w:rsidTr="00DA1A41">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243D57C4" w14:textId="2B6FC914" w:rsidR="0026773D" w:rsidRPr="005948DE" w:rsidRDefault="0026773D" w:rsidP="005948DE">
            <w:pPr>
              <w:spacing w:after="0" w:line="276" w:lineRule="auto"/>
              <w:ind w:left="171"/>
              <w:jc w:val="both"/>
              <w:rPr>
                <w:rFonts w:ascii="Times New Roman" w:hAnsi="Times New Roman" w:cs="Times New Roman"/>
              </w:rPr>
            </w:pPr>
            <w:r w:rsidRPr="005948DE">
              <w:rPr>
                <w:rFonts w:ascii="Times New Roman" w:hAnsi="Times New Roman" w:cs="Times New Roman"/>
              </w:rPr>
              <w:t>DA</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05CC9A0" w14:textId="731BC046" w:rsidR="0026773D" w:rsidRPr="005948DE" w:rsidRDefault="0026773D" w:rsidP="005948DE">
            <w:pPr>
              <w:spacing w:after="0" w:line="276" w:lineRule="auto"/>
              <w:ind w:left="171"/>
              <w:jc w:val="both"/>
              <w:rPr>
                <w:rFonts w:ascii="Times New Roman" w:hAnsi="Times New Roman" w:cs="Times New Roman"/>
              </w:rPr>
            </w:pPr>
            <w:r w:rsidRPr="005948DE">
              <w:rPr>
                <w:rFonts w:ascii="Times New Roman" w:hAnsi="Times New Roman" w:cs="Times New Roman"/>
              </w:rPr>
              <w:t>Designated Account</w:t>
            </w:r>
          </w:p>
        </w:tc>
      </w:tr>
      <w:tr w:rsidR="00D57628" w:rsidRPr="005948DE" w14:paraId="27560874" w14:textId="77777777" w:rsidTr="00DA1A41">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99987BC" w14:textId="7ACB94A3" w:rsidR="002D3860" w:rsidRPr="005948DE" w:rsidRDefault="002D3860" w:rsidP="005948DE">
            <w:pPr>
              <w:spacing w:after="0" w:line="276" w:lineRule="auto"/>
              <w:ind w:left="171"/>
              <w:jc w:val="both"/>
              <w:rPr>
                <w:rFonts w:ascii="Times New Roman" w:hAnsi="Times New Roman" w:cs="Times New Roman"/>
              </w:rPr>
            </w:pPr>
            <w:r w:rsidRPr="005948DE">
              <w:rPr>
                <w:rFonts w:ascii="Times New Roman" w:hAnsi="Times New Roman" w:cs="Times New Roman"/>
              </w:rPr>
              <w:t>DD</w:t>
            </w:r>
            <w:r w:rsidR="00B76925" w:rsidRPr="005948DE">
              <w:rPr>
                <w:rFonts w:ascii="Times New Roman" w:hAnsi="Times New Roman" w:cs="Times New Roman"/>
              </w:rPr>
              <w:t>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1F8F82F" w14:textId="4C43313B" w:rsidR="002D3860" w:rsidRPr="005948DE" w:rsidRDefault="002D3860" w:rsidP="005948DE">
            <w:pPr>
              <w:spacing w:after="0" w:line="276" w:lineRule="auto"/>
              <w:ind w:left="171"/>
              <w:jc w:val="both"/>
              <w:rPr>
                <w:rFonts w:ascii="Times New Roman" w:hAnsi="Times New Roman" w:cs="Times New Roman"/>
              </w:rPr>
            </w:pPr>
            <w:r w:rsidRPr="005948DE">
              <w:rPr>
                <w:rFonts w:ascii="Times New Roman" w:hAnsi="Times New Roman" w:cs="Times New Roman"/>
              </w:rPr>
              <w:t>Design Documents</w:t>
            </w:r>
          </w:p>
        </w:tc>
      </w:tr>
      <w:tr w:rsidR="00D57628" w:rsidRPr="005948DE" w14:paraId="49854BFE" w14:textId="77777777" w:rsidTr="00DA1A41">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42E1E002" w14:textId="775E8108"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EC</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E5B8EE1" w14:textId="563B3FC5" w:rsidR="00C167CC" w:rsidRPr="005948DE" w:rsidRDefault="00FB740C" w:rsidP="005948DE">
            <w:pPr>
              <w:spacing w:after="0" w:line="276" w:lineRule="auto"/>
              <w:ind w:left="171"/>
              <w:jc w:val="both"/>
              <w:rPr>
                <w:rFonts w:ascii="Times New Roman" w:hAnsi="Times New Roman" w:cs="Times New Roman"/>
              </w:rPr>
            </w:pPr>
            <w:r>
              <w:rPr>
                <w:rFonts w:ascii="Times New Roman" w:hAnsi="Times New Roman" w:cs="Times New Roman"/>
              </w:rPr>
              <w:t>Evaluation Com</w:t>
            </w:r>
            <w:r w:rsidR="006867C1">
              <w:rPr>
                <w:rFonts w:ascii="Times New Roman" w:hAnsi="Times New Roman" w:cs="Times New Roman"/>
              </w:rPr>
              <w:t>m</w:t>
            </w:r>
            <w:r>
              <w:rPr>
                <w:rFonts w:ascii="Times New Roman" w:hAnsi="Times New Roman" w:cs="Times New Roman"/>
              </w:rPr>
              <w:t>it</w:t>
            </w:r>
            <w:r w:rsidR="006867C1">
              <w:rPr>
                <w:rFonts w:ascii="Times New Roman" w:hAnsi="Times New Roman" w:cs="Times New Roman"/>
              </w:rPr>
              <w:t>t</w:t>
            </w:r>
            <w:r>
              <w:rPr>
                <w:rFonts w:ascii="Times New Roman" w:hAnsi="Times New Roman" w:cs="Times New Roman"/>
              </w:rPr>
              <w:t>ee</w:t>
            </w:r>
          </w:p>
        </w:tc>
      </w:tr>
      <w:tr w:rsidR="00D57628" w:rsidRPr="005948DE" w14:paraId="3C8BB53B"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474B6AE6"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ESMF</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3350C469"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Environmental and Social Management Framework </w:t>
            </w:r>
          </w:p>
        </w:tc>
      </w:tr>
      <w:tr w:rsidR="00D57628" w:rsidRPr="005948DE" w14:paraId="73D6455A"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56B45E0A"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ESMP</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0889C05"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Environmental and Social Management Plan</w:t>
            </w:r>
          </w:p>
        </w:tc>
      </w:tr>
      <w:tr w:rsidR="00D57628" w:rsidRPr="005948DE" w14:paraId="769E4A66"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6FBB5A82" w14:textId="4A475A8C" w:rsidR="002516A6" w:rsidRPr="005948DE" w:rsidRDefault="002516A6" w:rsidP="005948DE">
            <w:pPr>
              <w:spacing w:after="0" w:line="276" w:lineRule="auto"/>
              <w:ind w:left="171"/>
              <w:jc w:val="both"/>
              <w:rPr>
                <w:rFonts w:ascii="Times New Roman" w:hAnsi="Times New Roman" w:cs="Times New Roman"/>
              </w:rPr>
            </w:pPr>
            <w:r w:rsidRPr="005948DE">
              <w:rPr>
                <w:rFonts w:ascii="Times New Roman" w:hAnsi="Times New Roman" w:cs="Times New Roman"/>
              </w:rPr>
              <w:t>ESMPCL</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18C18C1" w14:textId="3A29B683" w:rsidR="002516A6" w:rsidRPr="005948DE" w:rsidRDefault="002516A6" w:rsidP="005948DE">
            <w:pPr>
              <w:spacing w:after="0" w:line="276" w:lineRule="auto"/>
              <w:ind w:left="171"/>
              <w:jc w:val="both"/>
              <w:rPr>
                <w:rFonts w:ascii="Times New Roman" w:hAnsi="Times New Roman" w:cs="Times New Roman"/>
              </w:rPr>
            </w:pPr>
            <w:r w:rsidRPr="005948DE">
              <w:rPr>
                <w:rFonts w:ascii="Times New Roman" w:hAnsi="Times New Roman" w:cs="Times New Roman"/>
              </w:rPr>
              <w:t>Environmental and Social Management Plan Check List</w:t>
            </w:r>
          </w:p>
        </w:tc>
      </w:tr>
      <w:tr w:rsidR="00D57628" w:rsidRPr="005948DE" w14:paraId="3C1456E3"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7E2F9038"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ESS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01BC9E5F"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Environmental and Social Standards</w:t>
            </w:r>
          </w:p>
        </w:tc>
      </w:tr>
      <w:tr w:rsidR="00D57628" w:rsidRPr="005948DE" w14:paraId="7D77C6A2" w14:textId="77777777" w:rsidTr="003607FB">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3F97FE6F" w14:textId="77777777" w:rsidR="00306D03" w:rsidRPr="005948DE" w:rsidRDefault="00306D03" w:rsidP="005948DE">
            <w:pPr>
              <w:spacing w:after="0" w:line="276" w:lineRule="auto"/>
              <w:ind w:left="171"/>
              <w:jc w:val="both"/>
              <w:rPr>
                <w:rFonts w:ascii="Times New Roman" w:hAnsi="Times New Roman" w:cs="Times New Roman"/>
              </w:rPr>
            </w:pPr>
            <w:r w:rsidRPr="005948DE">
              <w:rPr>
                <w:rFonts w:ascii="Times New Roman" w:hAnsi="Times New Roman" w:cs="Times New Roman"/>
              </w:rPr>
              <w:t>EU</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4508CB9B" w14:textId="77777777" w:rsidR="00306D03" w:rsidRPr="005948DE" w:rsidRDefault="00306D03" w:rsidP="005948DE">
            <w:pPr>
              <w:spacing w:after="0" w:line="276" w:lineRule="auto"/>
              <w:ind w:left="171"/>
              <w:jc w:val="both"/>
              <w:rPr>
                <w:rFonts w:ascii="Times New Roman" w:hAnsi="Times New Roman" w:cs="Times New Roman"/>
              </w:rPr>
            </w:pPr>
            <w:r w:rsidRPr="005948DE">
              <w:rPr>
                <w:rFonts w:ascii="Times New Roman" w:hAnsi="Times New Roman" w:cs="Times New Roman"/>
              </w:rPr>
              <w:t>European Union</w:t>
            </w:r>
          </w:p>
        </w:tc>
      </w:tr>
      <w:tr w:rsidR="001422F1" w:rsidRPr="005948DE" w14:paraId="7528B901" w14:textId="77777777" w:rsidTr="003607FB">
        <w:trPr>
          <w:trHeight w:val="304"/>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879E10D" w14:textId="1951896E" w:rsidR="001422F1" w:rsidRPr="005948DE" w:rsidRDefault="001422F1" w:rsidP="005948DE">
            <w:pPr>
              <w:spacing w:after="0" w:line="276" w:lineRule="auto"/>
              <w:ind w:left="171"/>
              <w:jc w:val="both"/>
              <w:rPr>
                <w:rFonts w:ascii="Times New Roman" w:hAnsi="Times New Roman" w:cs="Times New Roman"/>
              </w:rPr>
            </w:pPr>
            <w:r w:rsidRPr="005948DE">
              <w:rPr>
                <w:rFonts w:ascii="Times New Roman" w:hAnsi="Times New Roman" w:cs="Times New Roman"/>
              </w:rPr>
              <w:t>FA</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56BB93FA" w14:textId="6811F6FB" w:rsidR="001422F1" w:rsidRPr="005948DE" w:rsidRDefault="001422F1" w:rsidP="005948DE">
            <w:pPr>
              <w:spacing w:after="0" w:line="276" w:lineRule="auto"/>
              <w:ind w:left="171"/>
              <w:jc w:val="both"/>
              <w:rPr>
                <w:rFonts w:ascii="Times New Roman" w:hAnsi="Times New Roman" w:cs="Times New Roman"/>
              </w:rPr>
            </w:pPr>
            <w:r w:rsidRPr="005948DE">
              <w:rPr>
                <w:rFonts w:ascii="Times New Roman" w:hAnsi="Times New Roman" w:cs="Times New Roman"/>
              </w:rPr>
              <w:t>Framework Agreement</w:t>
            </w:r>
          </w:p>
        </w:tc>
      </w:tr>
      <w:tr w:rsidR="00D57628" w:rsidRPr="005948DE" w14:paraId="0FF94617"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5FA2621C"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FM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739AAD5A"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Financial Management</w:t>
            </w:r>
          </w:p>
        </w:tc>
      </w:tr>
      <w:tr w:rsidR="001422F1" w:rsidRPr="005948DE" w14:paraId="480B454E"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4F396570" w14:textId="23D484E9" w:rsidR="001422F1" w:rsidRPr="005948DE" w:rsidRDefault="001422F1" w:rsidP="005948DE">
            <w:pPr>
              <w:spacing w:after="0" w:line="276" w:lineRule="auto"/>
              <w:ind w:left="171"/>
              <w:jc w:val="both"/>
              <w:rPr>
                <w:rFonts w:ascii="Times New Roman" w:hAnsi="Times New Roman" w:cs="Times New Roman"/>
              </w:rPr>
            </w:pPr>
            <w:r w:rsidRPr="005948DE">
              <w:rPr>
                <w:rFonts w:ascii="Times New Roman" w:hAnsi="Times New Roman" w:cs="Times New Roman"/>
              </w:rPr>
              <w:t>GA</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7F54956" w14:textId="2AFBB018" w:rsidR="001422F1" w:rsidRPr="005948DE" w:rsidRDefault="001422F1"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Grant Agreement </w:t>
            </w:r>
          </w:p>
        </w:tc>
      </w:tr>
      <w:tr w:rsidR="00D57628" w:rsidRPr="005948DE" w14:paraId="4C1B794B"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1847FCD3" w14:textId="240F4911"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GHG</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CBAFA27" w14:textId="7972DF79"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Greenhouse Gases</w:t>
            </w:r>
          </w:p>
        </w:tc>
      </w:tr>
      <w:tr w:rsidR="00D57628" w:rsidRPr="005948DE" w14:paraId="5203433C"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FDD92A4" w14:textId="648A381D"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GoS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524F9490" w14:textId="2597A3DA" w:rsidR="00C167CC" w:rsidRPr="005948DE" w:rsidRDefault="00C167CC" w:rsidP="005948DE">
            <w:pPr>
              <w:spacing w:after="0" w:line="276" w:lineRule="auto"/>
              <w:ind w:left="171"/>
              <w:jc w:val="both"/>
              <w:rPr>
                <w:rFonts w:ascii="Times New Roman" w:hAnsi="Times New Roman" w:cs="Times New Roman"/>
              </w:rPr>
            </w:pPr>
            <w:r w:rsidRPr="005948DE">
              <w:rPr>
                <w:rFonts w:ascii="Times New Roman" w:hAnsi="Times New Roman" w:cs="Times New Roman"/>
              </w:rPr>
              <w:t>Government of Serbia</w:t>
            </w:r>
          </w:p>
        </w:tc>
      </w:tr>
      <w:tr w:rsidR="00D57628" w:rsidRPr="005948DE" w14:paraId="475AEB1E"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45A1769D"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GRM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5E503DAC" w14:textId="6164A7BC" w:rsidR="00961642" w:rsidRPr="005948DE" w:rsidRDefault="00A4227B" w:rsidP="00A4227B">
            <w:pPr>
              <w:spacing w:after="0" w:line="276" w:lineRule="auto"/>
              <w:ind w:left="171"/>
              <w:jc w:val="both"/>
              <w:rPr>
                <w:rFonts w:ascii="Times New Roman" w:hAnsi="Times New Roman" w:cs="Times New Roman"/>
              </w:rPr>
            </w:pPr>
            <w:r>
              <w:rPr>
                <w:rFonts w:ascii="Times New Roman" w:hAnsi="Times New Roman" w:cs="Times New Roman"/>
              </w:rPr>
              <w:t xml:space="preserve">Grievance Redress </w:t>
            </w:r>
            <w:r w:rsidR="00961642" w:rsidRPr="005948DE">
              <w:rPr>
                <w:rFonts w:ascii="Times New Roman" w:hAnsi="Times New Roman" w:cs="Times New Roman"/>
              </w:rPr>
              <w:t xml:space="preserve">Mechanisms </w:t>
            </w:r>
          </w:p>
        </w:tc>
      </w:tr>
      <w:tr w:rsidR="00D57628" w:rsidRPr="005948DE" w14:paraId="4B164DAB"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05FAAC81"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IBRD</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7CB872BA"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International Bank for Reconstruction and Development</w:t>
            </w:r>
          </w:p>
        </w:tc>
      </w:tr>
      <w:tr w:rsidR="00D57628" w:rsidRPr="005948DE" w14:paraId="1BBFBBC5"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6A2683D3" w14:textId="27FA0ACC"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ICT</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29C2837" w14:textId="3E7CEF4E"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Information and Communication Technology</w:t>
            </w:r>
          </w:p>
        </w:tc>
      </w:tr>
      <w:tr w:rsidR="00D57628" w:rsidRPr="005948DE" w14:paraId="60F81C42"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DF07914" w14:textId="59F549D8"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IFC</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D61EE19" w14:textId="321EBA63"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International Finance Corporation</w:t>
            </w:r>
          </w:p>
        </w:tc>
      </w:tr>
      <w:tr w:rsidR="00D57628" w:rsidRPr="005948DE" w14:paraId="2D74A296"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46E26E14" w14:textId="5FE1366A"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IPA</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77A5C49D" w14:textId="5DF1612A"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Instrument for Pre-Accession Assistance</w:t>
            </w:r>
          </w:p>
        </w:tc>
      </w:tr>
      <w:tr w:rsidR="00FB740C" w:rsidRPr="005948DE" w14:paraId="2A86BE3A"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72960A48" w14:textId="7EE054BB" w:rsidR="00FB740C" w:rsidRPr="005948DE" w:rsidRDefault="00FB740C" w:rsidP="005948DE">
            <w:pPr>
              <w:spacing w:after="0" w:line="276" w:lineRule="auto"/>
              <w:ind w:left="171"/>
              <w:jc w:val="both"/>
              <w:rPr>
                <w:rFonts w:ascii="Times New Roman" w:hAnsi="Times New Roman" w:cs="Times New Roman"/>
              </w:rPr>
            </w:pPr>
            <w:r>
              <w:rPr>
                <w:rFonts w:ascii="Times New Roman" w:hAnsi="Times New Roman" w:cs="Times New Roman"/>
              </w:rPr>
              <w:t xml:space="preserve">IPC </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11555BC" w14:textId="12FA25CF" w:rsidR="00FB740C" w:rsidRPr="005948DE" w:rsidRDefault="00FB740C" w:rsidP="005948DE">
            <w:pPr>
              <w:spacing w:after="0" w:line="276" w:lineRule="auto"/>
              <w:ind w:left="171"/>
              <w:jc w:val="both"/>
              <w:rPr>
                <w:rFonts w:ascii="Times New Roman" w:hAnsi="Times New Roman" w:cs="Times New Roman"/>
              </w:rPr>
            </w:pPr>
            <w:r>
              <w:rPr>
                <w:rFonts w:ascii="Times New Roman" w:hAnsi="Times New Roman" w:cs="Times New Roman"/>
              </w:rPr>
              <w:t xml:space="preserve">Interim Payment Certificate </w:t>
            </w:r>
          </w:p>
        </w:tc>
      </w:tr>
      <w:tr w:rsidR="00D57628" w:rsidRPr="005948DE" w14:paraId="4370DD43"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DC44A17" w14:textId="10296E3D"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IPF</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3E5AFB8B" w14:textId="2076D5CE"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Investment Project Financing</w:t>
            </w:r>
          </w:p>
        </w:tc>
      </w:tr>
      <w:tr w:rsidR="00D57628" w:rsidRPr="005948DE" w14:paraId="36DC9E86"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760E4655" w14:textId="09F509CB"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LIID</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CAD13C8" w14:textId="18856EF0"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Local Infrastructure and Institutional Development Project</w:t>
            </w:r>
          </w:p>
        </w:tc>
      </w:tr>
      <w:tr w:rsidR="00D57628" w:rsidRPr="005948DE" w14:paraId="7F54175D"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15D6236" w14:textId="58113735"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LSG</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68D8C82" w14:textId="6AEDE340"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Local Self-Government</w:t>
            </w:r>
          </w:p>
        </w:tc>
      </w:tr>
      <w:tr w:rsidR="00D57628" w:rsidRPr="005948DE" w14:paraId="5F4202A2" w14:textId="77777777" w:rsidTr="003607FB">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6C54042A" w14:textId="77777777" w:rsidR="00306D03" w:rsidRPr="005948DE" w:rsidDel="00E52BFC" w:rsidRDefault="00306D03" w:rsidP="005948DE">
            <w:pPr>
              <w:spacing w:after="0" w:line="276" w:lineRule="auto"/>
              <w:ind w:left="204"/>
              <w:jc w:val="both"/>
              <w:rPr>
                <w:rFonts w:ascii="Times New Roman" w:hAnsi="Times New Roman" w:cs="Times New Roman"/>
              </w:rPr>
            </w:pPr>
            <w:r w:rsidRPr="005948DE">
              <w:rPr>
                <w:rFonts w:ascii="Times New Roman" w:hAnsi="Times New Roman" w:cs="Times New Roman"/>
              </w:rPr>
              <w:t>M&amp;E</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E30BFFB" w14:textId="77777777" w:rsidR="00306D03" w:rsidRPr="005948DE" w:rsidRDefault="00306D03" w:rsidP="005948DE">
            <w:pPr>
              <w:spacing w:after="0" w:line="276" w:lineRule="auto"/>
              <w:ind w:left="204"/>
              <w:jc w:val="both"/>
              <w:rPr>
                <w:rFonts w:ascii="Times New Roman" w:hAnsi="Times New Roman" w:cs="Times New Roman"/>
              </w:rPr>
            </w:pPr>
            <w:r w:rsidRPr="005948DE">
              <w:rPr>
                <w:rFonts w:ascii="Times New Roman" w:hAnsi="Times New Roman" w:cs="Times New Roman"/>
              </w:rPr>
              <w:t>Monitoring and Evaluation</w:t>
            </w:r>
          </w:p>
        </w:tc>
      </w:tr>
      <w:tr w:rsidR="00D57628" w:rsidRPr="005948DE" w14:paraId="0E1EB48B"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36CF14AD" w14:textId="7EF50C9B" w:rsidR="00961642" w:rsidRPr="005948DE" w:rsidRDefault="008F1997" w:rsidP="005948DE">
            <w:pPr>
              <w:spacing w:after="0" w:line="276" w:lineRule="auto"/>
              <w:ind w:left="204"/>
              <w:jc w:val="both"/>
              <w:rPr>
                <w:rFonts w:ascii="Times New Roman" w:hAnsi="Times New Roman" w:cs="Times New Roman"/>
              </w:rPr>
            </w:pPr>
            <w:r w:rsidRPr="005948DE">
              <w:rPr>
                <w:rFonts w:ascii="Times New Roman" w:hAnsi="Times New Roman" w:cs="Times New Roman"/>
              </w:rPr>
              <w:t>MCTI</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4158FE40" w14:textId="01061EF1"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Ministry of </w:t>
            </w:r>
            <w:r w:rsidR="008F1997" w:rsidRPr="005948DE">
              <w:rPr>
                <w:rFonts w:ascii="Times New Roman" w:hAnsi="Times New Roman" w:cs="Times New Roman"/>
              </w:rPr>
              <w:t xml:space="preserve">Construction, </w:t>
            </w:r>
            <w:r w:rsidRPr="005948DE">
              <w:rPr>
                <w:rFonts w:ascii="Times New Roman" w:hAnsi="Times New Roman" w:cs="Times New Roman"/>
              </w:rPr>
              <w:t xml:space="preserve">Transport and </w:t>
            </w:r>
            <w:r w:rsidR="008F1997" w:rsidRPr="005948DE">
              <w:rPr>
                <w:rFonts w:ascii="Times New Roman" w:hAnsi="Times New Roman" w:cs="Times New Roman"/>
              </w:rPr>
              <w:t>Infrastructure</w:t>
            </w:r>
          </w:p>
        </w:tc>
      </w:tr>
      <w:tr w:rsidR="00D57628" w:rsidRPr="005948DE" w14:paraId="554FD26C" w14:textId="77777777" w:rsidTr="003607FB">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3A5ACA3" w14:textId="59CC2495" w:rsidR="008F1997" w:rsidRPr="005948DE" w:rsidDel="00E52BFC" w:rsidRDefault="008F1997" w:rsidP="005948DE">
            <w:pPr>
              <w:spacing w:after="0" w:line="276" w:lineRule="auto"/>
              <w:ind w:left="204"/>
              <w:jc w:val="both"/>
              <w:rPr>
                <w:rFonts w:ascii="Times New Roman" w:hAnsi="Times New Roman" w:cs="Times New Roman"/>
              </w:rPr>
            </w:pPr>
            <w:r w:rsidRPr="005948DE">
              <w:rPr>
                <w:rFonts w:ascii="Times New Roman" w:hAnsi="Times New Roman" w:cs="Times New Roman"/>
              </w:rPr>
              <w:t>MoF</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5DCDE7B" w14:textId="07A44BB6" w:rsidR="008F1997" w:rsidRPr="005948DE" w:rsidRDefault="008F1997" w:rsidP="005948DE">
            <w:pPr>
              <w:spacing w:after="0" w:line="276" w:lineRule="auto"/>
              <w:ind w:left="204"/>
              <w:jc w:val="both"/>
              <w:rPr>
                <w:rFonts w:ascii="Times New Roman" w:hAnsi="Times New Roman" w:cs="Times New Roman"/>
              </w:rPr>
            </w:pPr>
            <w:r w:rsidRPr="005948DE">
              <w:rPr>
                <w:rFonts w:ascii="Times New Roman" w:hAnsi="Times New Roman" w:cs="Times New Roman"/>
              </w:rPr>
              <w:t>Ministry of Finance</w:t>
            </w:r>
          </w:p>
        </w:tc>
      </w:tr>
      <w:tr w:rsidR="00AB079F" w:rsidRPr="005948DE" w14:paraId="077C24CD" w14:textId="77777777" w:rsidTr="003607FB">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458BC8E" w14:textId="1D97D3DC" w:rsidR="00AB079F" w:rsidRPr="005948DE" w:rsidRDefault="00AB079F" w:rsidP="005948DE">
            <w:pPr>
              <w:spacing w:after="0" w:line="276" w:lineRule="auto"/>
              <w:ind w:left="204"/>
              <w:jc w:val="both"/>
              <w:rPr>
                <w:rFonts w:ascii="Times New Roman" w:hAnsi="Times New Roman" w:cs="Times New Roman"/>
              </w:rPr>
            </w:pPr>
            <w:r>
              <w:rPr>
                <w:rFonts w:ascii="Times New Roman" w:hAnsi="Times New Roman" w:cs="Times New Roman"/>
              </w:rPr>
              <w:t>MoM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B466ACD" w14:textId="7E034A89" w:rsidR="00AB079F" w:rsidRPr="005948DE" w:rsidRDefault="00AB079F" w:rsidP="005948DE">
            <w:pPr>
              <w:spacing w:after="0" w:line="276" w:lineRule="auto"/>
              <w:ind w:left="204"/>
              <w:jc w:val="both"/>
              <w:rPr>
                <w:rFonts w:ascii="Times New Roman" w:hAnsi="Times New Roman" w:cs="Times New Roman"/>
              </w:rPr>
            </w:pPr>
            <w:r>
              <w:rPr>
                <w:rFonts w:ascii="Times New Roman" w:hAnsi="Times New Roman" w:cs="Times New Roman"/>
              </w:rPr>
              <w:t>Minutes of the meeting</w:t>
            </w:r>
          </w:p>
        </w:tc>
      </w:tr>
      <w:tr w:rsidR="00D57628" w:rsidRPr="005948DE" w14:paraId="19062E03"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1FD7413C" w14:textId="387E66F2"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OECD</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FEE6E32" w14:textId="644025E8"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Organization for Economic Co-operation and Development</w:t>
            </w:r>
          </w:p>
        </w:tc>
      </w:tr>
      <w:tr w:rsidR="00D57628" w:rsidRPr="005948DE" w14:paraId="0957CBA4"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4DDC4941"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PDO</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6F32825"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Project Development Objectives</w:t>
            </w:r>
          </w:p>
        </w:tc>
      </w:tr>
      <w:tr w:rsidR="00D57628" w:rsidRPr="005948DE" w14:paraId="4D36AEED"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0E7B41CE"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PF</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299827AC"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Procurement Framework</w:t>
            </w:r>
          </w:p>
        </w:tc>
      </w:tr>
      <w:tr w:rsidR="00D57628" w:rsidRPr="005948DE" w14:paraId="165E432D"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9CDDDD1" w14:textId="0274509E"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PFM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39C359F1" w14:textId="2DEC147A"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Project Finance Management</w:t>
            </w:r>
          </w:p>
        </w:tc>
      </w:tr>
      <w:tr w:rsidR="00D57628" w:rsidRPr="005948DE" w14:paraId="72B2AC95"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2342D1D0" w14:textId="4B93C910"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PIM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5577DEFE" w14:textId="1D6EC138"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Public Investment Management</w:t>
            </w:r>
          </w:p>
        </w:tc>
      </w:tr>
      <w:tr w:rsidR="00D57628" w:rsidRPr="005948DE" w14:paraId="14A48A33" w14:textId="77777777" w:rsidTr="003607FB">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2053C15B" w14:textId="77777777" w:rsidR="00306D03" w:rsidRPr="005948DE" w:rsidRDefault="00306D03" w:rsidP="005948DE">
            <w:pPr>
              <w:spacing w:after="0" w:line="276" w:lineRule="auto"/>
              <w:ind w:left="171"/>
              <w:jc w:val="both"/>
              <w:rPr>
                <w:rFonts w:ascii="Times New Roman" w:hAnsi="Times New Roman" w:cs="Times New Roman"/>
              </w:rPr>
            </w:pPr>
            <w:r w:rsidRPr="005948DE">
              <w:rPr>
                <w:rFonts w:ascii="Times New Roman" w:hAnsi="Times New Roman" w:cs="Times New Roman"/>
              </w:rPr>
              <w:t>PIMIS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482D806C" w14:textId="77777777" w:rsidR="00306D03" w:rsidRPr="005948DE" w:rsidRDefault="00306D03" w:rsidP="005948DE">
            <w:pPr>
              <w:spacing w:after="0" w:line="276" w:lineRule="auto"/>
              <w:ind w:left="171"/>
              <w:jc w:val="both"/>
              <w:rPr>
                <w:rFonts w:ascii="Times New Roman" w:hAnsi="Times New Roman" w:cs="Times New Roman"/>
              </w:rPr>
            </w:pPr>
            <w:r w:rsidRPr="005948DE">
              <w:rPr>
                <w:rFonts w:ascii="Times New Roman" w:hAnsi="Times New Roman" w:cs="Times New Roman"/>
              </w:rPr>
              <w:t>Public Investment Management Information System</w:t>
            </w:r>
          </w:p>
        </w:tc>
      </w:tr>
      <w:tr w:rsidR="00D57628" w:rsidRPr="005948DE" w14:paraId="3E864F60"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45E191D7"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PIU </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79A4B37A"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Project Implementation Unit</w:t>
            </w:r>
          </w:p>
        </w:tc>
      </w:tr>
      <w:tr w:rsidR="00D57628" w:rsidRPr="005948DE" w14:paraId="380D42B4"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419FD9AF" w14:textId="3ACEDE45"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PO</w:t>
            </w:r>
            <w:r w:rsidR="008F1997" w:rsidRPr="005948DE">
              <w:rPr>
                <w:rFonts w:ascii="Times New Roman" w:hAnsi="Times New Roman" w:cs="Times New Roman"/>
              </w:rPr>
              <w:t>G</w:t>
            </w:r>
            <w:r w:rsidRPr="005948DE">
              <w:rPr>
                <w:rFonts w:ascii="Times New Roman" w:hAnsi="Times New Roman" w:cs="Times New Roman"/>
              </w:rPr>
              <w:t>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2C6EF72D" w14:textId="1FEC830A"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Project Operations </w:t>
            </w:r>
            <w:r w:rsidR="008F1997" w:rsidRPr="005948DE">
              <w:rPr>
                <w:rFonts w:ascii="Times New Roman" w:hAnsi="Times New Roman" w:cs="Times New Roman"/>
              </w:rPr>
              <w:t xml:space="preserve">and Grant </w:t>
            </w:r>
            <w:r w:rsidRPr="005948DE">
              <w:rPr>
                <w:rFonts w:ascii="Times New Roman" w:hAnsi="Times New Roman" w:cs="Times New Roman"/>
              </w:rPr>
              <w:t>Manual</w:t>
            </w:r>
          </w:p>
        </w:tc>
      </w:tr>
      <w:tr w:rsidR="00D57628" w:rsidRPr="005948DE" w14:paraId="52686F01"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6FC4C68F"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PPSD</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6B024D9D"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Project Procurement Strategy for Development</w:t>
            </w:r>
          </w:p>
        </w:tc>
      </w:tr>
      <w:tr w:rsidR="00D57628" w:rsidRPr="005948DE" w14:paraId="3644B012"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9DC8696" w14:textId="1AA54960" w:rsidR="003A7A9D" w:rsidRPr="005948DE" w:rsidRDefault="003A7A9D" w:rsidP="005948DE">
            <w:pPr>
              <w:spacing w:after="0" w:line="276" w:lineRule="auto"/>
              <w:ind w:left="171"/>
              <w:jc w:val="both"/>
              <w:rPr>
                <w:rFonts w:ascii="Times New Roman" w:hAnsi="Times New Roman" w:cs="Times New Roman"/>
              </w:rPr>
            </w:pPr>
            <w:r w:rsidRPr="005948DE">
              <w:rPr>
                <w:rFonts w:ascii="Times New Roman" w:hAnsi="Times New Roman" w:cs="Times New Roman"/>
              </w:rPr>
              <w:t>PSEP</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6C23D8E5" w14:textId="6D56AC22" w:rsidR="003A7A9D" w:rsidRPr="005948DE" w:rsidRDefault="003A7A9D" w:rsidP="005948DE">
            <w:pPr>
              <w:spacing w:after="0" w:line="276" w:lineRule="auto"/>
              <w:ind w:left="171"/>
              <w:jc w:val="both"/>
              <w:rPr>
                <w:rFonts w:ascii="Times New Roman" w:hAnsi="Times New Roman" w:cs="Times New Roman"/>
              </w:rPr>
            </w:pPr>
            <w:r w:rsidRPr="005948DE">
              <w:rPr>
                <w:rFonts w:ascii="Times New Roman" w:hAnsi="Times New Roman" w:cs="Times New Roman"/>
              </w:rPr>
              <w:t>Project Level Stakeholder Engagement Plan</w:t>
            </w:r>
          </w:p>
        </w:tc>
      </w:tr>
      <w:tr w:rsidR="00D57628" w:rsidRPr="005948DE" w14:paraId="7DF22779"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60285CE8"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RAMS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781143D"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Road Asset Management System</w:t>
            </w:r>
          </w:p>
        </w:tc>
      </w:tr>
      <w:tr w:rsidR="00D57628" w:rsidRPr="005948DE" w14:paraId="41B85D10"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578B054" w14:textId="15F17F78" w:rsidR="00295415" w:rsidRPr="005948DE" w:rsidRDefault="00295415" w:rsidP="005948DE">
            <w:pPr>
              <w:spacing w:after="0" w:line="276" w:lineRule="auto"/>
              <w:ind w:left="171"/>
              <w:jc w:val="both"/>
              <w:rPr>
                <w:rFonts w:ascii="Times New Roman" w:hAnsi="Times New Roman" w:cs="Times New Roman"/>
              </w:rPr>
            </w:pPr>
            <w:r w:rsidRPr="005948DE">
              <w:rPr>
                <w:rFonts w:ascii="Times New Roman" w:hAnsi="Times New Roman" w:cs="Times New Roman"/>
              </w:rPr>
              <w:t>RPF</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2116E12" w14:textId="6CB3EE64" w:rsidR="00295415" w:rsidRPr="005948DE" w:rsidRDefault="00295415" w:rsidP="005948DE">
            <w:pPr>
              <w:spacing w:after="0" w:line="276" w:lineRule="auto"/>
              <w:ind w:left="171"/>
              <w:jc w:val="both"/>
              <w:rPr>
                <w:rFonts w:ascii="Times New Roman" w:hAnsi="Times New Roman" w:cs="Times New Roman"/>
              </w:rPr>
            </w:pPr>
            <w:r w:rsidRPr="005948DE">
              <w:rPr>
                <w:rFonts w:ascii="Times New Roman" w:hAnsi="Times New Roman" w:cs="Times New Roman"/>
              </w:rPr>
              <w:t>Resettlement Policy Framework</w:t>
            </w:r>
          </w:p>
        </w:tc>
      </w:tr>
      <w:tr w:rsidR="00D57628" w:rsidRPr="005948DE" w14:paraId="34A525C9"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7A8E99A4" w14:textId="77777777" w:rsidR="00DC34E4" w:rsidRPr="005948DE" w:rsidRDefault="00DC34E4" w:rsidP="005948DE">
            <w:pPr>
              <w:spacing w:after="0" w:line="276" w:lineRule="auto"/>
              <w:ind w:left="171"/>
              <w:jc w:val="both"/>
              <w:rPr>
                <w:rFonts w:ascii="Times New Roman" w:hAnsi="Times New Roman" w:cs="Times New Roman"/>
              </w:rPr>
            </w:pPr>
            <w:r w:rsidRPr="005948DE">
              <w:rPr>
                <w:rFonts w:ascii="Times New Roman" w:hAnsi="Times New Roman" w:cs="Times New Roman"/>
                <w:caps/>
              </w:rPr>
              <w:t>RSD</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4BA9300C" w14:textId="474383D5" w:rsidR="00DC34E4" w:rsidRPr="005948DE" w:rsidRDefault="00DC34E4" w:rsidP="005948DE">
            <w:pPr>
              <w:tabs>
                <w:tab w:val="left" w:pos="2960"/>
              </w:tabs>
              <w:spacing w:after="0" w:line="276" w:lineRule="auto"/>
              <w:ind w:left="171"/>
              <w:jc w:val="both"/>
              <w:rPr>
                <w:rFonts w:ascii="Times New Roman" w:hAnsi="Times New Roman" w:cs="Times New Roman"/>
              </w:rPr>
            </w:pPr>
            <w:r w:rsidRPr="005948DE">
              <w:rPr>
                <w:rFonts w:ascii="Times New Roman" w:hAnsi="Times New Roman" w:cs="Times New Roman"/>
              </w:rPr>
              <w:t>Serbian Dinar</w:t>
            </w:r>
            <w:r w:rsidR="008B4D11" w:rsidRPr="005948DE">
              <w:rPr>
                <w:rFonts w:ascii="Times New Roman" w:hAnsi="Times New Roman" w:cs="Times New Roman"/>
              </w:rPr>
              <w:tab/>
            </w:r>
          </w:p>
        </w:tc>
      </w:tr>
      <w:tr w:rsidR="00D57628" w:rsidRPr="005948DE" w14:paraId="3F7166CF"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645F1779" w14:textId="5CD89C0A"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SCTM</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2F1478F7" w14:textId="7CE722EA"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Standing Conferences of Towns and Municipalities</w:t>
            </w:r>
          </w:p>
        </w:tc>
      </w:tr>
      <w:tr w:rsidR="00D57628" w:rsidRPr="005948DE" w14:paraId="300D702E"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F78832D" w14:textId="42744157" w:rsidR="00295415" w:rsidRPr="005948DE" w:rsidRDefault="00295415" w:rsidP="005948DE">
            <w:pPr>
              <w:spacing w:after="0" w:line="276" w:lineRule="auto"/>
              <w:ind w:left="171"/>
              <w:jc w:val="both"/>
              <w:rPr>
                <w:rFonts w:ascii="Times New Roman" w:hAnsi="Times New Roman" w:cs="Times New Roman"/>
                <w:caps/>
              </w:rPr>
            </w:pPr>
            <w:r w:rsidRPr="005948DE">
              <w:rPr>
                <w:rFonts w:ascii="Times New Roman" w:hAnsi="Times New Roman" w:cs="Times New Roman"/>
              </w:rPr>
              <w:t>SEP</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D4D0D8C" w14:textId="00FB701D" w:rsidR="00295415" w:rsidRPr="005948DE" w:rsidRDefault="00295415" w:rsidP="005948DE">
            <w:pPr>
              <w:spacing w:after="0" w:line="276" w:lineRule="auto"/>
              <w:ind w:left="171"/>
              <w:jc w:val="both"/>
              <w:rPr>
                <w:rFonts w:ascii="Times New Roman" w:hAnsi="Times New Roman" w:cs="Times New Roman"/>
              </w:rPr>
            </w:pPr>
            <w:r w:rsidRPr="005948DE">
              <w:rPr>
                <w:rFonts w:ascii="Times New Roman" w:hAnsi="Times New Roman" w:cs="Times New Roman"/>
              </w:rPr>
              <w:t>Stakeholder Engagement Plan</w:t>
            </w:r>
          </w:p>
        </w:tc>
      </w:tr>
      <w:tr w:rsidR="00D57628" w:rsidRPr="005948DE" w14:paraId="17E0F5CE"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21537AC6"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SOEs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1A99C32B"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Statement of Expenditures</w:t>
            </w:r>
          </w:p>
        </w:tc>
      </w:tr>
      <w:tr w:rsidR="00D57628" w:rsidRPr="005948DE" w14:paraId="0256F9B6"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309B7A8F"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lastRenderedPageBreak/>
              <w:t>STEP</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57B97F56"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Systematic Tracking of Exchanges in Procurement</w:t>
            </w:r>
          </w:p>
        </w:tc>
      </w:tr>
      <w:tr w:rsidR="00D57628" w:rsidRPr="005948DE" w14:paraId="70931AC0"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4535C294" w14:textId="278E9B27"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SUDS</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3A7689D9" w14:textId="24E2FCF6"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Sustainable Urban Development Strategy</w:t>
            </w:r>
          </w:p>
        </w:tc>
      </w:tr>
      <w:tr w:rsidR="00D57628" w:rsidRPr="005948DE" w14:paraId="6A7181A6"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6B38E5B3" w14:textId="330F4262"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SUMP</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0D0EF1B" w14:textId="6B727B59"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Sustainable Urban Mobility Plan</w:t>
            </w:r>
          </w:p>
        </w:tc>
      </w:tr>
      <w:tr w:rsidR="00D57628" w:rsidRPr="005948DE" w14:paraId="58E8E6FB"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01C2274C" w14:textId="42CF10A4"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TA</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106A4BC1" w14:textId="1CBE2A76"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Technical Assistance</w:t>
            </w:r>
          </w:p>
        </w:tc>
      </w:tr>
      <w:tr w:rsidR="00D57628" w:rsidRPr="005948DE" w14:paraId="5632405C"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5DB66B12"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TOR</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3A3674F9"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Terms of Reference</w:t>
            </w:r>
          </w:p>
        </w:tc>
      </w:tr>
      <w:tr w:rsidR="00D57628" w:rsidRPr="005948DE" w14:paraId="234FA4DF"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7B8A5442"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TTFP</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04CF6483"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Trade and Transport Facilitation Project</w:t>
            </w:r>
          </w:p>
        </w:tc>
      </w:tr>
      <w:tr w:rsidR="00D57628" w:rsidRPr="005948DE" w14:paraId="71AA7699"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3AE89FB2" w14:textId="54BBD7E1"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UN</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0943308E" w14:textId="4555C468" w:rsidR="008F1997" w:rsidRPr="005948DE" w:rsidRDefault="008F1997" w:rsidP="005948DE">
            <w:pPr>
              <w:spacing w:after="0" w:line="276" w:lineRule="auto"/>
              <w:ind w:left="171"/>
              <w:jc w:val="both"/>
              <w:rPr>
                <w:rFonts w:ascii="Times New Roman" w:hAnsi="Times New Roman" w:cs="Times New Roman"/>
              </w:rPr>
            </w:pPr>
            <w:r w:rsidRPr="005948DE">
              <w:rPr>
                <w:rFonts w:ascii="Times New Roman" w:hAnsi="Times New Roman" w:cs="Times New Roman"/>
              </w:rPr>
              <w:t>United Nations</w:t>
            </w:r>
          </w:p>
        </w:tc>
      </w:tr>
      <w:tr w:rsidR="00D57628" w:rsidRPr="005948DE" w14:paraId="2F224594" w14:textId="77777777" w:rsidTr="00DA1A41">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hideMark/>
          </w:tcPr>
          <w:p w14:paraId="4174CA17"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UNDB</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hideMark/>
          </w:tcPr>
          <w:p w14:paraId="3879AE58" w14:textId="77777777" w:rsidR="00961642" w:rsidRPr="005948DE" w:rsidRDefault="00961642" w:rsidP="005948DE">
            <w:pPr>
              <w:spacing w:after="0" w:line="276" w:lineRule="auto"/>
              <w:ind w:left="171"/>
              <w:jc w:val="both"/>
              <w:rPr>
                <w:rFonts w:ascii="Times New Roman" w:hAnsi="Times New Roman" w:cs="Times New Roman"/>
              </w:rPr>
            </w:pPr>
            <w:r w:rsidRPr="005948DE">
              <w:rPr>
                <w:rFonts w:ascii="Times New Roman" w:hAnsi="Times New Roman" w:cs="Times New Roman"/>
              </w:rPr>
              <w:t xml:space="preserve">UN Development Business </w:t>
            </w:r>
          </w:p>
        </w:tc>
      </w:tr>
      <w:tr w:rsidR="00D57628" w:rsidRPr="005948DE" w14:paraId="6C59F240" w14:textId="77777777" w:rsidTr="003607FB">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5EB233F" w14:textId="006FE894" w:rsidR="00373859" w:rsidRPr="005948DE" w:rsidRDefault="00373859" w:rsidP="005948DE">
            <w:pPr>
              <w:spacing w:after="0" w:line="276" w:lineRule="auto"/>
              <w:ind w:left="171"/>
              <w:jc w:val="both"/>
              <w:rPr>
                <w:rFonts w:ascii="Times New Roman" w:hAnsi="Times New Roman" w:cs="Times New Roman"/>
              </w:rPr>
            </w:pPr>
            <w:r w:rsidRPr="005948DE">
              <w:rPr>
                <w:rFonts w:ascii="Times New Roman" w:hAnsi="Times New Roman" w:cs="Times New Roman"/>
              </w:rPr>
              <w:t>VPD</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38B3FF67" w14:textId="603A1A07" w:rsidR="00373859" w:rsidRPr="005948DE" w:rsidRDefault="00373859" w:rsidP="005948DE">
            <w:pPr>
              <w:spacing w:after="0" w:line="276" w:lineRule="auto"/>
              <w:ind w:left="171"/>
              <w:jc w:val="both"/>
              <w:rPr>
                <w:rFonts w:ascii="Times New Roman" w:hAnsi="Times New Roman" w:cs="Times New Roman"/>
              </w:rPr>
            </w:pPr>
            <w:r w:rsidRPr="005948DE">
              <w:rPr>
                <w:rFonts w:ascii="Times New Roman" w:hAnsi="Times New Roman" w:cs="Times New Roman"/>
              </w:rPr>
              <w:t>Vehicles per Day</w:t>
            </w:r>
          </w:p>
        </w:tc>
      </w:tr>
      <w:tr w:rsidR="00D57628" w:rsidRPr="005948DE" w14:paraId="0EC1791D" w14:textId="77777777" w:rsidTr="003607FB">
        <w:trPr>
          <w:trHeight w:val="292"/>
        </w:trPr>
        <w:tc>
          <w:tcPr>
            <w:tcW w:w="1547" w:type="dxa"/>
            <w:tcBorders>
              <w:top w:val="dotted" w:sz="2" w:space="0" w:color="auto"/>
              <w:left w:val="single" w:sz="2" w:space="0" w:color="auto"/>
              <w:bottom w:val="dotted" w:sz="2" w:space="0" w:color="auto"/>
              <w:right w:val="dotted" w:sz="2" w:space="0" w:color="auto"/>
            </w:tcBorders>
            <w:tcMar>
              <w:top w:w="0" w:type="dxa"/>
              <w:left w:w="108" w:type="dxa"/>
              <w:bottom w:w="0" w:type="dxa"/>
              <w:right w:w="108" w:type="dxa"/>
            </w:tcMar>
          </w:tcPr>
          <w:p w14:paraId="51AF674D" w14:textId="30057B73" w:rsidR="00373859" w:rsidRPr="005948DE" w:rsidRDefault="00373859" w:rsidP="005948DE">
            <w:pPr>
              <w:spacing w:after="0" w:line="276" w:lineRule="auto"/>
              <w:ind w:left="171"/>
              <w:jc w:val="both"/>
              <w:rPr>
                <w:rFonts w:ascii="Times New Roman" w:hAnsi="Times New Roman" w:cs="Times New Roman"/>
              </w:rPr>
            </w:pPr>
            <w:r w:rsidRPr="005948DE">
              <w:rPr>
                <w:rFonts w:ascii="Times New Roman" w:hAnsi="Times New Roman" w:cs="Times New Roman"/>
              </w:rPr>
              <w:t>WB</w:t>
            </w:r>
          </w:p>
        </w:tc>
        <w:tc>
          <w:tcPr>
            <w:tcW w:w="7809" w:type="dxa"/>
            <w:tcBorders>
              <w:top w:val="dotted" w:sz="2" w:space="0" w:color="auto"/>
              <w:left w:val="dotted" w:sz="2" w:space="0" w:color="auto"/>
              <w:bottom w:val="dotted" w:sz="2" w:space="0" w:color="auto"/>
              <w:right w:val="single" w:sz="2" w:space="0" w:color="auto"/>
            </w:tcBorders>
            <w:tcMar>
              <w:top w:w="0" w:type="dxa"/>
              <w:left w:w="108" w:type="dxa"/>
              <w:bottom w:w="0" w:type="dxa"/>
              <w:right w:w="108" w:type="dxa"/>
            </w:tcMar>
          </w:tcPr>
          <w:p w14:paraId="511ADDF2" w14:textId="5D5DC836" w:rsidR="00373859" w:rsidRPr="005948DE" w:rsidRDefault="00373859" w:rsidP="005948DE">
            <w:pPr>
              <w:spacing w:after="0" w:line="276" w:lineRule="auto"/>
              <w:ind w:left="171"/>
              <w:jc w:val="both"/>
              <w:rPr>
                <w:rFonts w:ascii="Times New Roman" w:hAnsi="Times New Roman" w:cs="Times New Roman"/>
              </w:rPr>
            </w:pPr>
            <w:r w:rsidRPr="005948DE">
              <w:rPr>
                <w:rFonts w:ascii="Times New Roman" w:hAnsi="Times New Roman" w:cs="Times New Roman"/>
              </w:rPr>
              <w:t>World Bank</w:t>
            </w:r>
          </w:p>
        </w:tc>
      </w:tr>
      <w:tr w:rsidR="00D57628" w:rsidRPr="005948DE" w:rsidDel="00DA1A41" w14:paraId="5BB68CBD" w14:textId="77777777" w:rsidTr="00DA1A41">
        <w:trPr>
          <w:trHeight w:val="304"/>
        </w:trPr>
        <w:tc>
          <w:tcPr>
            <w:tcW w:w="1547" w:type="dxa"/>
            <w:tcBorders>
              <w:top w:val="dotted" w:sz="2" w:space="0" w:color="auto"/>
              <w:left w:val="single" w:sz="2" w:space="0" w:color="auto"/>
              <w:bottom w:val="single" w:sz="2" w:space="0" w:color="auto"/>
              <w:right w:val="dotted" w:sz="2" w:space="0" w:color="auto"/>
            </w:tcBorders>
            <w:tcMar>
              <w:top w:w="0" w:type="dxa"/>
              <w:left w:w="108" w:type="dxa"/>
              <w:bottom w:w="0" w:type="dxa"/>
              <w:right w:w="108" w:type="dxa"/>
            </w:tcMar>
          </w:tcPr>
          <w:p w14:paraId="32A2C9A1" w14:textId="022522FF" w:rsidR="00373859" w:rsidRPr="005948DE" w:rsidDel="00DA1A41" w:rsidRDefault="00373859" w:rsidP="005948DE">
            <w:pPr>
              <w:spacing w:after="0" w:line="276" w:lineRule="auto"/>
              <w:ind w:left="171"/>
              <w:jc w:val="both"/>
              <w:rPr>
                <w:rFonts w:ascii="Times New Roman" w:hAnsi="Times New Roman" w:cs="Times New Roman"/>
              </w:rPr>
            </w:pPr>
            <w:r w:rsidRPr="005948DE">
              <w:rPr>
                <w:rFonts w:ascii="Times New Roman" w:hAnsi="Times New Roman" w:cs="Times New Roman"/>
              </w:rPr>
              <w:t>WHO</w:t>
            </w:r>
          </w:p>
        </w:tc>
        <w:tc>
          <w:tcPr>
            <w:tcW w:w="7809" w:type="dxa"/>
            <w:tcBorders>
              <w:top w:val="dotted" w:sz="2" w:space="0" w:color="auto"/>
              <w:left w:val="dotted" w:sz="2" w:space="0" w:color="auto"/>
              <w:bottom w:val="single" w:sz="2" w:space="0" w:color="auto"/>
              <w:right w:val="single" w:sz="2" w:space="0" w:color="auto"/>
            </w:tcBorders>
            <w:tcMar>
              <w:top w:w="0" w:type="dxa"/>
              <w:left w:w="108" w:type="dxa"/>
              <w:bottom w:w="0" w:type="dxa"/>
              <w:right w:w="108" w:type="dxa"/>
            </w:tcMar>
          </w:tcPr>
          <w:p w14:paraId="2A1DFE6E" w14:textId="65BC3533" w:rsidR="00373859" w:rsidRPr="005948DE" w:rsidDel="00DA1A41" w:rsidRDefault="00373859" w:rsidP="005948DE">
            <w:pPr>
              <w:spacing w:after="0" w:line="276" w:lineRule="auto"/>
              <w:ind w:left="171"/>
              <w:jc w:val="both"/>
              <w:rPr>
                <w:rFonts w:ascii="Times New Roman" w:hAnsi="Times New Roman" w:cs="Times New Roman"/>
              </w:rPr>
            </w:pPr>
            <w:r w:rsidRPr="005948DE">
              <w:rPr>
                <w:rFonts w:ascii="Times New Roman" w:hAnsi="Times New Roman" w:cs="Times New Roman"/>
              </w:rPr>
              <w:t>World Health Organization</w:t>
            </w:r>
          </w:p>
        </w:tc>
      </w:tr>
    </w:tbl>
    <w:p w14:paraId="01C90F4E" w14:textId="77777777" w:rsidR="00C167CC" w:rsidRPr="005948DE" w:rsidRDefault="00C167CC" w:rsidP="005948DE">
      <w:pPr>
        <w:spacing w:after="120" w:line="276" w:lineRule="auto"/>
        <w:ind w:left="-907"/>
        <w:jc w:val="both"/>
        <w:rPr>
          <w:rFonts w:ascii="Times New Roman" w:hAnsi="Times New Roman" w:cs="Times New Roman"/>
        </w:rPr>
      </w:pPr>
    </w:p>
    <w:p w14:paraId="429AA176" w14:textId="773C9484" w:rsidR="00A2654C" w:rsidRPr="005948DE" w:rsidRDefault="00A2654C" w:rsidP="005948DE">
      <w:pPr>
        <w:spacing w:after="120" w:line="276" w:lineRule="auto"/>
        <w:ind w:left="115"/>
        <w:jc w:val="both"/>
        <w:rPr>
          <w:rFonts w:ascii="Times New Roman" w:hAnsi="Times New Roman" w:cs="Times New Roman"/>
          <w:b/>
        </w:rPr>
      </w:pPr>
    </w:p>
    <w:p w14:paraId="355A26E7" w14:textId="77777777" w:rsidR="001A00DE" w:rsidRPr="005948DE" w:rsidRDefault="001A00DE" w:rsidP="005948DE">
      <w:pPr>
        <w:spacing w:after="120" w:line="276" w:lineRule="auto"/>
        <w:ind w:left="115"/>
        <w:jc w:val="both"/>
        <w:rPr>
          <w:rFonts w:ascii="Times New Roman" w:hAnsi="Times New Roman" w:cs="Times New Roman"/>
          <w:b/>
        </w:rPr>
        <w:sectPr w:rsidR="001A00DE" w:rsidRPr="005948DE" w:rsidSect="00532C9E">
          <w:type w:val="continuous"/>
          <w:pgSz w:w="11905" w:h="16837" w:code="9"/>
          <w:pgMar w:top="1134" w:right="1134" w:bottom="1134" w:left="1418" w:header="510" w:footer="340" w:gutter="0"/>
          <w:cols w:space="720"/>
          <w:titlePg/>
          <w:docGrid w:linePitch="360"/>
        </w:sectPr>
      </w:pPr>
    </w:p>
    <w:p w14:paraId="6F6A2580" w14:textId="542706CB" w:rsidR="001A00DE" w:rsidRPr="005948DE" w:rsidRDefault="001A00DE" w:rsidP="005948DE">
      <w:pPr>
        <w:spacing w:after="120" w:line="276" w:lineRule="auto"/>
        <w:ind w:left="115"/>
        <w:jc w:val="both"/>
        <w:rPr>
          <w:rFonts w:ascii="Times New Roman" w:hAnsi="Times New Roman" w:cs="Times New Roman"/>
          <w:b/>
        </w:rPr>
      </w:pPr>
      <w:r w:rsidRPr="005948DE">
        <w:rPr>
          <w:rFonts w:ascii="Times New Roman" w:hAnsi="Times New Roman" w:cs="Times New Roman"/>
          <w:b/>
        </w:rPr>
        <w:br w:type="page"/>
      </w:r>
    </w:p>
    <w:p w14:paraId="3F4BFF07" w14:textId="404FEF50" w:rsidR="00DA4888" w:rsidRPr="005948DE" w:rsidRDefault="009E0B28" w:rsidP="005948DE">
      <w:pPr>
        <w:pStyle w:val="Heading1"/>
        <w:numPr>
          <w:ilvl w:val="0"/>
          <w:numId w:val="330"/>
        </w:numPr>
        <w:pBdr>
          <w:bottom w:val="none" w:sz="0" w:space="0" w:color="auto"/>
        </w:pBdr>
        <w:spacing w:line="276" w:lineRule="auto"/>
        <w:ind w:left="431" w:hanging="431"/>
        <w:jc w:val="both"/>
        <w:rPr>
          <w:rFonts w:ascii="Times New Roman" w:hAnsi="Times New Roman" w:cs="Times New Roman"/>
          <w:smallCaps w:val="0"/>
          <w:color w:val="auto"/>
          <w:sz w:val="30"/>
          <w:szCs w:val="30"/>
        </w:rPr>
      </w:pPr>
      <w:bookmarkStart w:id="5" w:name="_Toc324499898"/>
      <w:bookmarkStart w:id="6" w:name="_Toc409617852"/>
      <w:bookmarkStart w:id="7" w:name="_Toc413926281"/>
      <w:bookmarkStart w:id="8" w:name="_Toc447615223"/>
      <w:bookmarkStart w:id="9" w:name="_Toc455741812"/>
      <w:bookmarkStart w:id="10" w:name="_Toc455742125"/>
      <w:bookmarkStart w:id="11" w:name="_Toc93342205"/>
      <w:bookmarkStart w:id="12" w:name="_Toc324499930"/>
      <w:bookmarkStart w:id="13" w:name="_Toc409617883"/>
      <w:r w:rsidRPr="005948DE">
        <w:rPr>
          <w:rFonts w:ascii="Times New Roman" w:hAnsi="Times New Roman" w:cs="Times New Roman"/>
          <w:smallCaps w:val="0"/>
          <w:color w:val="auto"/>
          <w:sz w:val="30"/>
          <w:szCs w:val="30"/>
        </w:rPr>
        <w:lastRenderedPageBreak/>
        <w:t>INTRODUCTION</w:t>
      </w:r>
      <w:bookmarkEnd w:id="5"/>
      <w:bookmarkEnd w:id="6"/>
      <w:bookmarkEnd w:id="7"/>
      <w:bookmarkEnd w:id="8"/>
      <w:bookmarkEnd w:id="9"/>
      <w:bookmarkEnd w:id="10"/>
      <w:bookmarkEnd w:id="11"/>
    </w:p>
    <w:p w14:paraId="61837899" w14:textId="17B0BA7E" w:rsidR="00C71A1A" w:rsidRPr="005948DE" w:rsidRDefault="00DA4888"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14" w:name="_Toc324499899"/>
      <w:bookmarkStart w:id="15" w:name="_Toc409617853"/>
      <w:bookmarkStart w:id="16" w:name="_Toc413926282"/>
      <w:bookmarkStart w:id="17" w:name="_Toc447615224"/>
      <w:bookmarkStart w:id="18" w:name="_Toc455741813"/>
      <w:bookmarkStart w:id="19" w:name="_Toc455742126"/>
      <w:bookmarkStart w:id="20" w:name="_Toc93342206"/>
      <w:r w:rsidRPr="005948DE">
        <w:rPr>
          <w:rFonts w:ascii="Times New Roman" w:hAnsi="Times New Roman" w:cs="Times New Roman"/>
          <w:smallCaps w:val="0"/>
          <w:color w:val="auto"/>
          <w:sz w:val="24"/>
        </w:rPr>
        <w:t xml:space="preserve">Purpose of </w:t>
      </w:r>
      <w:r w:rsidR="008C0E15" w:rsidRPr="005948DE">
        <w:rPr>
          <w:rFonts w:ascii="Times New Roman" w:hAnsi="Times New Roman" w:cs="Times New Roman"/>
          <w:smallCaps w:val="0"/>
          <w:color w:val="auto"/>
          <w:sz w:val="24"/>
        </w:rPr>
        <w:t xml:space="preserve">Project </w:t>
      </w:r>
      <w:r w:rsidRPr="005948DE">
        <w:rPr>
          <w:rFonts w:ascii="Times New Roman" w:hAnsi="Times New Roman" w:cs="Times New Roman"/>
          <w:smallCaps w:val="0"/>
          <w:color w:val="auto"/>
          <w:sz w:val="24"/>
        </w:rPr>
        <w:t xml:space="preserve">Operations </w:t>
      </w:r>
      <w:r w:rsidR="008C0E15" w:rsidRPr="005948DE">
        <w:rPr>
          <w:rFonts w:ascii="Times New Roman" w:hAnsi="Times New Roman" w:cs="Times New Roman"/>
          <w:smallCaps w:val="0"/>
          <w:color w:val="auto"/>
          <w:sz w:val="24"/>
        </w:rPr>
        <w:t xml:space="preserve">and Grant </w:t>
      </w:r>
      <w:r w:rsidRPr="005948DE">
        <w:rPr>
          <w:rFonts w:ascii="Times New Roman" w:hAnsi="Times New Roman" w:cs="Times New Roman"/>
          <w:smallCaps w:val="0"/>
          <w:color w:val="auto"/>
          <w:sz w:val="24"/>
        </w:rPr>
        <w:t>Manual</w:t>
      </w:r>
      <w:bookmarkEnd w:id="14"/>
      <w:bookmarkEnd w:id="15"/>
      <w:bookmarkEnd w:id="16"/>
      <w:bookmarkEnd w:id="17"/>
      <w:bookmarkEnd w:id="18"/>
      <w:bookmarkEnd w:id="19"/>
      <w:bookmarkEnd w:id="20"/>
    </w:p>
    <w:p w14:paraId="5CC27484" w14:textId="6E4C49BA" w:rsidR="0001503E" w:rsidRPr="005948DE" w:rsidRDefault="0001503E" w:rsidP="006F115D">
      <w:pPr>
        <w:pStyle w:val="num"/>
        <w:spacing w:before="0"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rPr>
        <w:t>The Government of Serbia</w:t>
      </w:r>
      <w:r w:rsidR="00FC208B">
        <w:rPr>
          <w:rFonts w:ascii="Times New Roman" w:hAnsi="Times New Roman" w:cs="Times New Roman"/>
          <w:color w:val="000000" w:themeColor="text1"/>
        </w:rPr>
        <w:t xml:space="preserve"> (GoS)</w:t>
      </w:r>
      <w:r w:rsidRPr="005948DE">
        <w:rPr>
          <w:rFonts w:ascii="Times New Roman" w:hAnsi="Times New Roman" w:cs="Times New Roman"/>
          <w:color w:val="000000" w:themeColor="text1"/>
        </w:rPr>
        <w:t xml:space="preserve"> has requested the </w:t>
      </w:r>
      <w:r w:rsidR="00FC208B" w:rsidRPr="005948DE">
        <w:rPr>
          <w:rFonts w:ascii="Times New Roman" w:hAnsi="Times New Roman" w:cs="Times New Roman"/>
        </w:rPr>
        <w:t>International Bank for Reconstruction and Development</w:t>
      </w:r>
      <w:r w:rsidR="0087027D">
        <w:rPr>
          <w:rFonts w:ascii="Times New Roman" w:hAnsi="Times New Roman" w:cs="Times New Roman"/>
          <w:color w:val="000000" w:themeColor="text1"/>
        </w:rPr>
        <w:t xml:space="preserve"> </w:t>
      </w:r>
      <w:r w:rsidR="00FC208B">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World Bank</w:t>
      </w:r>
      <w:r w:rsidR="00FC208B">
        <w:rPr>
          <w:rFonts w:ascii="Times New Roman" w:hAnsi="Times New Roman" w:cs="Times New Roman"/>
          <w:color w:val="000000" w:themeColor="text1"/>
        </w:rPr>
        <w:t xml:space="preserve"> (Bank)</w:t>
      </w:r>
      <w:r w:rsidRPr="005948DE">
        <w:rPr>
          <w:rFonts w:ascii="Times New Roman" w:hAnsi="Times New Roman" w:cs="Times New Roman"/>
          <w:color w:val="000000" w:themeColor="text1"/>
        </w:rPr>
        <w:t xml:space="preserve"> and Agence Française de Développement</w:t>
      </w:r>
      <w:r w:rsidR="00921B17"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(AFD) support to strengthen infrastructure service delivery at the local level with a special focus on improving mobility in a sustainable manner to increase accessibility to economic and social opportunities. Thi</w:t>
      </w:r>
      <w:r w:rsidR="000417CE" w:rsidRPr="005948DE">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operation</w:t>
      </w:r>
      <w:r w:rsidR="006867C1">
        <w:rPr>
          <w:rFonts w:ascii="Times New Roman" w:hAnsi="Times New Roman" w:cs="Times New Roman"/>
          <w:color w:val="000000" w:themeColor="text1"/>
        </w:rPr>
        <w:t>,</w:t>
      </w:r>
      <w:r w:rsidR="000417CE" w:rsidRPr="005948DE">
        <w:rPr>
          <w:rFonts w:ascii="Times New Roman" w:hAnsi="Times New Roman" w:cs="Times New Roman"/>
          <w:color w:val="000000" w:themeColor="text1"/>
        </w:rPr>
        <w:t xml:space="preserve"> </w:t>
      </w:r>
      <w:r w:rsidR="00841B83" w:rsidRPr="005948DE">
        <w:rPr>
          <w:rFonts w:ascii="Times New Roman" w:hAnsi="Times New Roman" w:cs="Times New Roman"/>
          <w:color w:val="000000" w:themeColor="text1"/>
        </w:rPr>
        <w:t>known as the</w:t>
      </w:r>
      <w:r w:rsidR="000417CE" w:rsidRPr="005948DE">
        <w:rPr>
          <w:rFonts w:ascii="Times New Roman" w:hAnsi="Times New Roman" w:cs="Times New Roman"/>
          <w:color w:val="000000" w:themeColor="text1"/>
        </w:rPr>
        <w:t xml:space="preserve"> </w:t>
      </w:r>
      <w:r w:rsidR="00135E75">
        <w:rPr>
          <w:rFonts w:ascii="Times New Roman" w:hAnsi="Times New Roman" w:cs="Times New Roman"/>
          <w:color w:val="000000" w:themeColor="text1"/>
        </w:rPr>
        <w:t xml:space="preserve">Local Institutional and Infrastructure Development Project </w:t>
      </w:r>
      <w:r w:rsidR="00146676">
        <w:rPr>
          <w:rFonts w:ascii="Times New Roman" w:hAnsi="Times New Roman" w:cs="Times New Roman"/>
          <w:color w:val="000000" w:themeColor="text1"/>
        </w:rPr>
        <w:t xml:space="preserve">(translated into </w:t>
      </w:r>
      <w:r w:rsidR="000417CE" w:rsidRPr="005948DE">
        <w:rPr>
          <w:rFonts w:ascii="Times New Roman" w:hAnsi="Times New Roman" w:cs="Times New Roman"/>
          <w:color w:val="000000" w:themeColor="text1"/>
        </w:rPr>
        <w:t>Serbia</w:t>
      </w:r>
      <w:r w:rsidR="00146676">
        <w:rPr>
          <w:rFonts w:ascii="Times New Roman" w:hAnsi="Times New Roman" w:cs="Times New Roman"/>
          <w:color w:val="000000" w:themeColor="text1"/>
        </w:rPr>
        <w:t xml:space="preserve">n as </w:t>
      </w:r>
      <w:r w:rsidR="00135E75" w:rsidRPr="00665F55">
        <w:rPr>
          <w:rFonts w:ascii="Times New Roman" w:hAnsi="Times New Roman" w:cs="Times New Roman"/>
          <w:i/>
          <w:iCs/>
          <w:color w:val="000000" w:themeColor="text1"/>
        </w:rPr>
        <w:t xml:space="preserve">Razvoj Lokalnih Institucija </w:t>
      </w:r>
      <w:r w:rsidR="008E1E36">
        <w:rPr>
          <w:rFonts w:ascii="Times New Roman" w:hAnsi="Times New Roman" w:cs="Times New Roman"/>
          <w:i/>
          <w:iCs/>
          <w:color w:val="000000" w:themeColor="text1"/>
        </w:rPr>
        <w:t>i</w:t>
      </w:r>
      <w:r w:rsidR="00135E75" w:rsidRPr="00665F55">
        <w:rPr>
          <w:rFonts w:ascii="Times New Roman" w:hAnsi="Times New Roman" w:cs="Times New Roman"/>
          <w:i/>
          <w:iCs/>
          <w:color w:val="000000" w:themeColor="text1"/>
        </w:rPr>
        <w:t xml:space="preserve"> Zelen</w:t>
      </w:r>
      <w:r w:rsidR="00835C1A">
        <w:rPr>
          <w:rFonts w:ascii="Times New Roman" w:hAnsi="Times New Roman" w:cs="Times New Roman"/>
          <w:i/>
          <w:iCs/>
          <w:color w:val="000000" w:themeColor="text1"/>
        </w:rPr>
        <w:t>e</w:t>
      </w:r>
      <w:r w:rsidR="00135E75" w:rsidRPr="00665F55">
        <w:rPr>
          <w:rFonts w:ascii="Times New Roman" w:hAnsi="Times New Roman" w:cs="Times New Roman"/>
          <w:i/>
          <w:iCs/>
          <w:color w:val="000000" w:themeColor="text1"/>
        </w:rPr>
        <w:t xml:space="preserve"> Infrastrukture</w:t>
      </w:r>
      <w:r w:rsidR="00146676">
        <w:rPr>
          <w:rFonts w:ascii="Times New Roman" w:hAnsi="Times New Roman" w:cs="Times New Roman"/>
          <w:color w:val="000000" w:themeColor="text1"/>
        </w:rPr>
        <w:t>)</w:t>
      </w:r>
      <w:r w:rsidR="000417CE" w:rsidRPr="005948DE">
        <w:rPr>
          <w:rFonts w:ascii="Times New Roman" w:hAnsi="Times New Roman" w:cs="Times New Roman"/>
          <w:color w:val="000000" w:themeColor="text1"/>
        </w:rPr>
        <w:t xml:space="preserve"> (LIID or “</w:t>
      </w:r>
      <w:r w:rsidR="00626640" w:rsidRPr="005948DE">
        <w:rPr>
          <w:rFonts w:ascii="Times New Roman" w:hAnsi="Times New Roman" w:cs="Times New Roman"/>
          <w:color w:val="000000" w:themeColor="text1"/>
        </w:rPr>
        <w:t>T</w:t>
      </w:r>
      <w:r w:rsidR="000417CE" w:rsidRPr="005948DE">
        <w:rPr>
          <w:rFonts w:ascii="Times New Roman" w:hAnsi="Times New Roman" w:cs="Times New Roman"/>
          <w:color w:val="000000" w:themeColor="text1"/>
        </w:rPr>
        <w:t>he Project”)</w:t>
      </w:r>
      <w:r w:rsidR="006867C1">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will support the scale-up of inclusive, </w:t>
      </w:r>
      <w:r w:rsidR="00135E75">
        <w:rPr>
          <w:rFonts w:ascii="Times New Roman" w:hAnsi="Times New Roman" w:cs="Times New Roman"/>
          <w:color w:val="000000" w:themeColor="text1"/>
        </w:rPr>
        <w:t>g</w:t>
      </w:r>
      <w:r w:rsidR="006867C1" w:rsidRPr="005948DE">
        <w:rPr>
          <w:rFonts w:ascii="Times New Roman" w:hAnsi="Times New Roman" w:cs="Times New Roman"/>
          <w:color w:val="000000" w:themeColor="text1"/>
        </w:rPr>
        <w:t>reen</w:t>
      </w:r>
      <w:r w:rsidRPr="005948DE">
        <w:rPr>
          <w:rFonts w:ascii="Times New Roman" w:hAnsi="Times New Roman" w:cs="Times New Roman"/>
          <w:color w:val="000000" w:themeColor="text1"/>
        </w:rPr>
        <w:t>, and sustainable  infrastructure as a mean</w:t>
      </w:r>
      <w:r w:rsidR="000C4AB9">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of ensuring </w:t>
      </w:r>
      <w:r w:rsidR="006867C1">
        <w:rPr>
          <w:rFonts w:ascii="Times New Roman" w:hAnsi="Times New Roman" w:cs="Times New Roman"/>
          <w:color w:val="000000" w:themeColor="text1"/>
        </w:rPr>
        <w:t>G</w:t>
      </w:r>
      <w:r w:rsidR="006867C1" w:rsidRPr="005948DE">
        <w:rPr>
          <w:rFonts w:ascii="Times New Roman" w:hAnsi="Times New Roman" w:cs="Times New Roman"/>
          <w:color w:val="000000" w:themeColor="text1"/>
        </w:rPr>
        <w:t xml:space="preserve">reen </w:t>
      </w:r>
      <w:r w:rsidRPr="005948DE">
        <w:rPr>
          <w:rFonts w:ascii="Times New Roman" w:hAnsi="Times New Roman" w:cs="Times New Roman"/>
          <w:color w:val="000000" w:themeColor="text1"/>
        </w:rPr>
        <w:t xml:space="preserve">growth and equal wealth distribution across the country. </w:t>
      </w:r>
      <w:r w:rsidR="00933527" w:rsidRPr="005948DE">
        <w:rPr>
          <w:rFonts w:ascii="Times New Roman" w:hAnsi="Times New Roman" w:cs="Times New Roman"/>
          <w:color w:val="000000" w:themeColor="text1"/>
          <w:lang w:val="en-US"/>
        </w:rPr>
        <w:t xml:space="preserve">The Project’s financing arrangements are specified in the (i) Loan Agreement between the AFD and the </w:t>
      </w:r>
      <w:r w:rsidR="00427640" w:rsidRPr="005948DE">
        <w:rPr>
          <w:rFonts w:ascii="Times New Roman" w:hAnsi="Times New Roman" w:cs="Times New Roman"/>
          <w:color w:val="000000" w:themeColor="text1"/>
          <w:lang w:val="en-US"/>
        </w:rPr>
        <w:t>Republic of Serbia</w:t>
      </w:r>
      <w:r w:rsidR="00933527" w:rsidRPr="005948DE">
        <w:rPr>
          <w:rFonts w:ascii="Times New Roman" w:hAnsi="Times New Roman" w:cs="Times New Roman"/>
          <w:color w:val="000000" w:themeColor="text1"/>
          <w:lang w:val="en-US"/>
        </w:rPr>
        <w:t xml:space="preserve"> (“AFD’s Credit Facility Agreement”), (ii) the Co-Financing Agreement between the Bank and </w:t>
      </w:r>
      <w:r w:rsidR="006867C1">
        <w:rPr>
          <w:rFonts w:ascii="Times New Roman" w:hAnsi="Times New Roman" w:cs="Times New Roman"/>
          <w:color w:val="000000" w:themeColor="text1"/>
          <w:lang w:val="en-US"/>
        </w:rPr>
        <w:t xml:space="preserve">the </w:t>
      </w:r>
      <w:r w:rsidR="00933527" w:rsidRPr="005948DE">
        <w:rPr>
          <w:rFonts w:ascii="Times New Roman" w:hAnsi="Times New Roman" w:cs="Times New Roman"/>
          <w:color w:val="000000" w:themeColor="text1"/>
          <w:lang w:val="en-US"/>
        </w:rPr>
        <w:t xml:space="preserve">AFD, and (iii) Loan Agreement between the Bank and the </w:t>
      </w:r>
      <w:r w:rsidR="006867C1" w:rsidRPr="005948DE">
        <w:rPr>
          <w:rFonts w:ascii="Times New Roman" w:hAnsi="Times New Roman" w:cs="Times New Roman"/>
          <w:color w:val="000000" w:themeColor="text1"/>
          <w:lang w:val="en-US"/>
        </w:rPr>
        <w:t>Republic of Serbia</w:t>
      </w:r>
      <w:r w:rsidR="0016735C">
        <w:rPr>
          <w:rFonts w:ascii="Times New Roman" w:hAnsi="Times New Roman" w:cs="Times New Roman"/>
          <w:color w:val="000000" w:themeColor="text1"/>
          <w:lang w:val="en-US"/>
        </w:rPr>
        <w:t xml:space="preserve"> (LA)</w:t>
      </w:r>
      <w:r w:rsidR="00933527" w:rsidRPr="005948DE">
        <w:rPr>
          <w:rFonts w:ascii="Times New Roman" w:hAnsi="Times New Roman" w:cs="Times New Roman"/>
          <w:color w:val="000000" w:themeColor="text1"/>
          <w:lang w:val="en-US"/>
        </w:rPr>
        <w:t>.</w:t>
      </w:r>
    </w:p>
    <w:p w14:paraId="0107D8FD" w14:textId="062FD15B" w:rsidR="000417CE" w:rsidRPr="005948DE" w:rsidRDefault="00D17057" w:rsidP="005948DE">
      <w:pPr>
        <w:pStyle w:val="num"/>
        <w:spacing w:before="0"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Th</w:t>
      </w:r>
      <w:r w:rsidR="00DA4888" w:rsidRPr="005948DE">
        <w:rPr>
          <w:rFonts w:ascii="Times New Roman" w:hAnsi="Times New Roman" w:cs="Times New Roman"/>
          <w:color w:val="000000" w:themeColor="text1"/>
        </w:rPr>
        <w:t xml:space="preserve">is </w:t>
      </w:r>
      <w:r w:rsidR="008F1997" w:rsidRPr="005948DE">
        <w:rPr>
          <w:rFonts w:ascii="Times New Roman" w:hAnsi="Times New Roman" w:cs="Times New Roman"/>
          <w:color w:val="000000" w:themeColor="text1"/>
        </w:rPr>
        <w:t>Project Operations and Grant Manual</w:t>
      </w:r>
      <w:r w:rsidR="00DA4888" w:rsidRPr="005948DE">
        <w:rPr>
          <w:rFonts w:ascii="Times New Roman" w:hAnsi="Times New Roman" w:cs="Times New Roman"/>
          <w:color w:val="000000" w:themeColor="text1"/>
        </w:rPr>
        <w:t xml:space="preserve"> (</w:t>
      </w:r>
      <w:r w:rsidR="008F1997" w:rsidRPr="005948DE">
        <w:rPr>
          <w:rFonts w:ascii="Times New Roman" w:hAnsi="Times New Roman" w:cs="Times New Roman"/>
          <w:color w:val="000000" w:themeColor="text1"/>
        </w:rPr>
        <w:t>POGM</w:t>
      </w:r>
      <w:r w:rsidR="006867C1">
        <w:rPr>
          <w:rFonts w:ascii="Times New Roman" w:hAnsi="Times New Roman" w:cs="Times New Roman"/>
          <w:color w:val="000000" w:themeColor="text1"/>
        </w:rPr>
        <w:t xml:space="preserve"> </w:t>
      </w:r>
      <w:r w:rsidR="000417CE" w:rsidRPr="005948DE">
        <w:rPr>
          <w:rFonts w:ascii="Times New Roman" w:hAnsi="Times New Roman" w:cs="Times New Roman"/>
          <w:color w:val="000000" w:themeColor="text1"/>
        </w:rPr>
        <w:t>- hereinafter referred to as the Manual)</w:t>
      </w:r>
      <w:r w:rsidR="00DA4888" w:rsidRPr="005948DE">
        <w:rPr>
          <w:rFonts w:ascii="Times New Roman" w:hAnsi="Times New Roman" w:cs="Times New Roman"/>
          <w:color w:val="000000" w:themeColor="text1"/>
        </w:rPr>
        <w:t xml:space="preserve"> outlines operational guidelines and procedures to be followed </w:t>
      </w:r>
      <w:r w:rsidR="00103AD6" w:rsidRPr="005948DE">
        <w:rPr>
          <w:rFonts w:ascii="Times New Roman" w:hAnsi="Times New Roman" w:cs="Times New Roman"/>
          <w:color w:val="000000" w:themeColor="text1"/>
        </w:rPr>
        <w:t xml:space="preserve">in </w:t>
      </w:r>
      <w:r w:rsidR="006867C1">
        <w:rPr>
          <w:rFonts w:ascii="Times New Roman" w:hAnsi="Times New Roman" w:cs="Times New Roman"/>
          <w:color w:val="000000" w:themeColor="text1"/>
        </w:rPr>
        <w:t xml:space="preserve">the </w:t>
      </w:r>
      <w:r w:rsidR="00103AD6" w:rsidRPr="005948DE">
        <w:rPr>
          <w:rFonts w:ascii="Times New Roman" w:hAnsi="Times New Roman" w:cs="Times New Roman"/>
          <w:color w:val="000000" w:themeColor="text1"/>
        </w:rPr>
        <w:t xml:space="preserve">implementation </w:t>
      </w:r>
      <w:r w:rsidR="000417CE" w:rsidRPr="005948DE">
        <w:rPr>
          <w:rFonts w:ascii="Times New Roman" w:hAnsi="Times New Roman" w:cs="Times New Roman"/>
          <w:color w:val="000000" w:themeColor="text1"/>
        </w:rPr>
        <w:t>of the Project</w:t>
      </w:r>
      <w:r w:rsidR="00E720B8" w:rsidRPr="005948DE">
        <w:rPr>
          <w:rFonts w:ascii="Times New Roman" w:hAnsi="Times New Roman" w:cs="Times New Roman"/>
          <w:color w:val="000000" w:themeColor="text1"/>
        </w:rPr>
        <w:t xml:space="preserve">. The Project will </w:t>
      </w:r>
      <w:r w:rsidR="000C4AB9">
        <w:rPr>
          <w:rFonts w:ascii="Times New Roman" w:hAnsi="Times New Roman" w:cs="Times New Roman"/>
          <w:color w:val="000000" w:themeColor="text1"/>
        </w:rPr>
        <w:t xml:space="preserve">finance </w:t>
      </w:r>
      <w:r w:rsidR="00E720B8" w:rsidRPr="005948DE">
        <w:rPr>
          <w:rFonts w:ascii="Times New Roman" w:hAnsi="Times New Roman" w:cs="Times New Roman"/>
          <w:color w:val="000000" w:themeColor="text1"/>
        </w:rPr>
        <w:t>a mixture of investment</w:t>
      </w:r>
      <w:r w:rsidR="000C4AB9">
        <w:rPr>
          <w:rFonts w:ascii="Times New Roman" w:hAnsi="Times New Roman" w:cs="Times New Roman"/>
          <w:color w:val="000000" w:themeColor="text1"/>
        </w:rPr>
        <w:t>s</w:t>
      </w:r>
      <w:r w:rsidR="00E720B8" w:rsidRPr="005948DE">
        <w:rPr>
          <w:rFonts w:ascii="Times New Roman" w:hAnsi="Times New Roman" w:cs="Times New Roman"/>
          <w:color w:val="000000" w:themeColor="text1"/>
        </w:rPr>
        <w:t xml:space="preserve"> and technical assistance </w:t>
      </w:r>
      <w:r w:rsidR="000C4AB9" w:rsidRPr="45DA105F">
        <w:rPr>
          <w:rFonts w:ascii="Times New Roman" w:hAnsi="Times New Roman" w:cs="Times New Roman"/>
          <w:color w:val="000000" w:themeColor="text1"/>
        </w:rPr>
        <w:t>in support of</w:t>
      </w:r>
      <w:r w:rsidR="0087027D">
        <w:rPr>
          <w:rFonts w:ascii="Times New Roman" w:hAnsi="Times New Roman" w:cs="Times New Roman"/>
          <w:color w:val="000000" w:themeColor="text1"/>
        </w:rPr>
        <w:t xml:space="preserve"> </w:t>
      </w:r>
      <w:r w:rsidR="000C4AB9" w:rsidRPr="45DA105F">
        <w:rPr>
          <w:rFonts w:ascii="Times New Roman" w:hAnsi="Times New Roman" w:cs="Times New Roman"/>
          <w:color w:val="000000" w:themeColor="text1"/>
        </w:rPr>
        <w:t xml:space="preserve">improved </w:t>
      </w:r>
      <w:r w:rsidR="006867C1">
        <w:rPr>
          <w:rFonts w:ascii="Times New Roman" w:hAnsi="Times New Roman" w:cs="Times New Roman"/>
          <w:color w:val="000000" w:themeColor="text1"/>
        </w:rPr>
        <w:t>G</w:t>
      </w:r>
      <w:r w:rsidR="006867C1" w:rsidRPr="005948DE">
        <w:rPr>
          <w:rFonts w:ascii="Times New Roman" w:hAnsi="Times New Roman" w:cs="Times New Roman"/>
          <w:color w:val="000000" w:themeColor="text1"/>
        </w:rPr>
        <w:t xml:space="preserve">reen </w:t>
      </w:r>
      <w:r w:rsidR="00E720B8" w:rsidRPr="005948DE">
        <w:rPr>
          <w:rFonts w:ascii="Times New Roman" w:hAnsi="Times New Roman" w:cs="Times New Roman"/>
          <w:color w:val="000000" w:themeColor="text1"/>
        </w:rPr>
        <w:t>and inclusive infrastructure service delivery at the local level</w:t>
      </w:r>
      <w:r w:rsidR="000C4AB9">
        <w:rPr>
          <w:rFonts w:ascii="Times New Roman" w:hAnsi="Times New Roman" w:cs="Times New Roman"/>
          <w:color w:val="000000" w:themeColor="text1"/>
        </w:rPr>
        <w:t>.</w:t>
      </w:r>
      <w:r w:rsidR="00E720B8" w:rsidRPr="005948DE">
        <w:rPr>
          <w:rFonts w:ascii="Times New Roman" w:hAnsi="Times New Roman" w:cs="Times New Roman"/>
          <w:color w:val="000000" w:themeColor="text1"/>
        </w:rPr>
        <w:t xml:space="preserve"> </w:t>
      </w:r>
    </w:p>
    <w:p w14:paraId="44389A0D" w14:textId="0776A3E2" w:rsidR="002040E4" w:rsidRPr="005948DE" w:rsidRDefault="00DA4888" w:rsidP="005948DE">
      <w:pPr>
        <w:pStyle w:val="num"/>
        <w:spacing w:before="0" w:after="120" w:line="276" w:lineRule="auto"/>
        <w:jc w:val="both"/>
        <w:rPr>
          <w:rFonts w:ascii="Times New Roman" w:hAnsi="Times New Roman" w:cs="Times New Roman"/>
          <w:i/>
          <w:iCs/>
          <w:color w:val="000000" w:themeColor="text1"/>
        </w:rPr>
      </w:pPr>
      <w:r w:rsidRPr="005948DE">
        <w:rPr>
          <w:rFonts w:ascii="Times New Roman" w:hAnsi="Times New Roman" w:cs="Times New Roman"/>
          <w:color w:val="000000" w:themeColor="text1"/>
        </w:rPr>
        <w:t>Th</w:t>
      </w:r>
      <w:r w:rsidR="000417CE" w:rsidRPr="005948DE">
        <w:rPr>
          <w:rFonts w:ascii="Times New Roman" w:hAnsi="Times New Roman" w:cs="Times New Roman"/>
          <w:color w:val="000000" w:themeColor="text1"/>
        </w:rPr>
        <w:t>is</w:t>
      </w:r>
      <w:r w:rsidRPr="005948DE">
        <w:rPr>
          <w:rFonts w:ascii="Times New Roman" w:hAnsi="Times New Roman" w:cs="Times New Roman"/>
          <w:color w:val="000000" w:themeColor="text1"/>
        </w:rPr>
        <w:t xml:space="preserve"> Manual </w:t>
      </w:r>
      <w:r w:rsidR="00C227E9" w:rsidRPr="005948DE">
        <w:rPr>
          <w:rFonts w:ascii="Times New Roman" w:hAnsi="Times New Roman" w:cs="Times New Roman"/>
          <w:color w:val="000000" w:themeColor="text1"/>
        </w:rPr>
        <w:t xml:space="preserve">is intended to </w:t>
      </w:r>
      <w:r w:rsidRPr="005948DE">
        <w:rPr>
          <w:rFonts w:ascii="Times New Roman" w:hAnsi="Times New Roman" w:cs="Times New Roman"/>
          <w:color w:val="000000" w:themeColor="text1"/>
        </w:rPr>
        <w:t xml:space="preserve">be used by </w:t>
      </w:r>
      <w:r w:rsidR="00CD2E3D" w:rsidRPr="005948DE">
        <w:rPr>
          <w:rFonts w:ascii="Times New Roman" w:hAnsi="Times New Roman" w:cs="Times New Roman"/>
          <w:color w:val="000000" w:themeColor="text1"/>
        </w:rPr>
        <w:t>t</w:t>
      </w:r>
      <w:r w:rsidR="00103AD6" w:rsidRPr="005948DE">
        <w:rPr>
          <w:rFonts w:ascii="Times New Roman" w:hAnsi="Times New Roman" w:cs="Times New Roman"/>
          <w:color w:val="000000" w:themeColor="text1"/>
        </w:rPr>
        <w:t xml:space="preserve">he Ministry of </w:t>
      </w:r>
      <w:r w:rsidR="00CE0335" w:rsidRPr="005948DE">
        <w:rPr>
          <w:rFonts w:ascii="Times New Roman" w:hAnsi="Times New Roman" w:cs="Times New Roman"/>
          <w:color w:val="000000" w:themeColor="text1"/>
        </w:rPr>
        <w:t>Construction, Transport and Infrastructure (MCTI)</w:t>
      </w:r>
      <w:r w:rsidR="0075182F" w:rsidRPr="005948DE">
        <w:rPr>
          <w:rFonts w:ascii="Times New Roman" w:hAnsi="Times New Roman" w:cs="Times New Roman"/>
          <w:color w:val="000000" w:themeColor="text1"/>
        </w:rPr>
        <w:t xml:space="preserve"> as the main implementing authority </w:t>
      </w:r>
      <w:r w:rsidR="00CD2E3D" w:rsidRPr="005948DE">
        <w:rPr>
          <w:rFonts w:ascii="Times New Roman" w:hAnsi="Times New Roman" w:cs="Times New Roman"/>
          <w:color w:val="000000" w:themeColor="text1"/>
        </w:rPr>
        <w:t xml:space="preserve">and </w:t>
      </w:r>
      <w:r w:rsidR="00CE0335" w:rsidRPr="005948DE">
        <w:rPr>
          <w:rFonts w:ascii="Times New Roman" w:hAnsi="Times New Roman" w:cs="Times New Roman"/>
          <w:color w:val="000000" w:themeColor="text1"/>
        </w:rPr>
        <w:t xml:space="preserve">it’s </w:t>
      </w:r>
      <w:r w:rsidR="00463055">
        <w:rPr>
          <w:rFonts w:ascii="Times New Roman" w:hAnsi="Times New Roman" w:cs="Times New Roman"/>
          <w:color w:val="000000" w:themeColor="text1"/>
        </w:rPr>
        <w:t xml:space="preserve">LIID </w:t>
      </w:r>
      <w:r w:rsidRPr="005948DE">
        <w:rPr>
          <w:rFonts w:ascii="Times New Roman" w:hAnsi="Times New Roman" w:cs="Times New Roman"/>
          <w:color w:val="000000" w:themeColor="text1"/>
        </w:rPr>
        <w:t xml:space="preserve">Project </w:t>
      </w:r>
      <w:r w:rsidR="0037352B" w:rsidRPr="005948DE">
        <w:rPr>
          <w:rFonts w:ascii="Times New Roman" w:hAnsi="Times New Roman" w:cs="Times New Roman"/>
          <w:color w:val="000000" w:themeColor="text1"/>
        </w:rPr>
        <w:t xml:space="preserve">Implementation </w:t>
      </w:r>
      <w:r w:rsidRPr="005948DE">
        <w:rPr>
          <w:rFonts w:ascii="Times New Roman" w:hAnsi="Times New Roman" w:cs="Times New Roman"/>
          <w:color w:val="000000" w:themeColor="text1"/>
        </w:rPr>
        <w:t>Unit (P</w:t>
      </w:r>
      <w:r w:rsidR="00C71A1A" w:rsidRPr="005948DE">
        <w:rPr>
          <w:rFonts w:ascii="Times New Roman" w:hAnsi="Times New Roman" w:cs="Times New Roman"/>
          <w:color w:val="000000" w:themeColor="text1"/>
        </w:rPr>
        <w:t>I</w:t>
      </w:r>
      <w:r w:rsidRPr="005948DE">
        <w:rPr>
          <w:rFonts w:ascii="Times New Roman" w:hAnsi="Times New Roman" w:cs="Times New Roman"/>
          <w:color w:val="000000" w:themeColor="text1"/>
        </w:rPr>
        <w:t>U)</w:t>
      </w:r>
      <w:r w:rsidR="00CE0335" w:rsidRPr="005948DE">
        <w:rPr>
          <w:rFonts w:ascii="Times New Roman" w:hAnsi="Times New Roman" w:cs="Times New Roman"/>
          <w:color w:val="000000" w:themeColor="text1"/>
        </w:rPr>
        <w:t xml:space="preserve"> </w:t>
      </w:r>
      <w:r w:rsidR="00CD2E3D" w:rsidRPr="005948DE">
        <w:rPr>
          <w:rFonts w:ascii="Times New Roman" w:hAnsi="Times New Roman" w:cs="Times New Roman"/>
          <w:color w:val="000000" w:themeColor="text1"/>
        </w:rPr>
        <w:t xml:space="preserve">respectively. The Manual </w:t>
      </w:r>
      <w:r w:rsidR="004C1F17" w:rsidRPr="005948DE">
        <w:rPr>
          <w:rFonts w:ascii="Times New Roman" w:hAnsi="Times New Roman" w:cs="Times New Roman"/>
          <w:color w:val="000000" w:themeColor="text1"/>
        </w:rPr>
        <w:t>also targets Local Self Government</w:t>
      </w:r>
      <w:r w:rsidR="00463055">
        <w:rPr>
          <w:rFonts w:ascii="Times New Roman" w:hAnsi="Times New Roman" w:cs="Times New Roman"/>
          <w:color w:val="000000" w:themeColor="text1"/>
        </w:rPr>
        <w:t>s</w:t>
      </w:r>
      <w:r w:rsidR="004C1F17" w:rsidRPr="005948DE">
        <w:rPr>
          <w:rFonts w:ascii="Times New Roman" w:hAnsi="Times New Roman" w:cs="Times New Roman"/>
          <w:color w:val="000000" w:themeColor="text1"/>
        </w:rPr>
        <w:t xml:space="preserve"> – Municipalities </w:t>
      </w:r>
      <w:r w:rsidR="00463055">
        <w:rPr>
          <w:rFonts w:ascii="Times New Roman" w:hAnsi="Times New Roman" w:cs="Times New Roman"/>
          <w:color w:val="000000" w:themeColor="text1"/>
        </w:rPr>
        <w:t>and</w:t>
      </w:r>
      <w:r w:rsidR="00463055" w:rsidRPr="005948DE">
        <w:rPr>
          <w:rFonts w:ascii="Times New Roman" w:hAnsi="Times New Roman" w:cs="Times New Roman"/>
          <w:color w:val="000000" w:themeColor="text1"/>
        </w:rPr>
        <w:t xml:space="preserve"> </w:t>
      </w:r>
      <w:r w:rsidR="004C1F17" w:rsidRPr="005948DE">
        <w:rPr>
          <w:rFonts w:ascii="Times New Roman" w:hAnsi="Times New Roman" w:cs="Times New Roman"/>
          <w:color w:val="000000" w:themeColor="text1"/>
        </w:rPr>
        <w:t>Cities (</w:t>
      </w:r>
      <w:r w:rsidR="00463055">
        <w:rPr>
          <w:rFonts w:ascii="Times New Roman" w:hAnsi="Times New Roman" w:cs="Times New Roman"/>
          <w:color w:val="000000" w:themeColor="text1"/>
        </w:rPr>
        <w:t>c</w:t>
      </w:r>
      <w:r w:rsidR="00463055" w:rsidRPr="005948DE">
        <w:rPr>
          <w:rFonts w:ascii="Times New Roman" w:hAnsi="Times New Roman" w:cs="Times New Roman"/>
          <w:color w:val="000000" w:themeColor="text1"/>
        </w:rPr>
        <w:t xml:space="preserve">ollectively </w:t>
      </w:r>
      <w:r w:rsidR="004C1F17" w:rsidRPr="005948DE">
        <w:rPr>
          <w:rFonts w:ascii="Times New Roman" w:hAnsi="Times New Roman" w:cs="Times New Roman"/>
          <w:color w:val="000000" w:themeColor="text1"/>
        </w:rPr>
        <w:t xml:space="preserve">referred to as </w:t>
      </w:r>
      <w:r w:rsidR="001F4367" w:rsidRPr="005948DE">
        <w:rPr>
          <w:rFonts w:ascii="Times New Roman" w:hAnsi="Times New Roman" w:cs="Times New Roman"/>
          <w:color w:val="000000" w:themeColor="text1"/>
        </w:rPr>
        <w:t>LSG</w:t>
      </w:r>
      <w:r w:rsidR="004C1F17" w:rsidRPr="005948DE">
        <w:rPr>
          <w:rFonts w:ascii="Times New Roman" w:hAnsi="Times New Roman" w:cs="Times New Roman"/>
          <w:color w:val="000000" w:themeColor="text1"/>
        </w:rPr>
        <w:t>s</w:t>
      </w:r>
      <w:r w:rsidR="00CE0335" w:rsidRPr="005948DE">
        <w:rPr>
          <w:rFonts w:ascii="Times New Roman" w:hAnsi="Times New Roman" w:cs="Times New Roman"/>
          <w:color w:val="000000" w:themeColor="text1"/>
        </w:rPr>
        <w:t xml:space="preserve">) during </w:t>
      </w:r>
      <w:r w:rsidR="00463055">
        <w:rPr>
          <w:rFonts w:ascii="Times New Roman" w:hAnsi="Times New Roman" w:cs="Times New Roman"/>
          <w:color w:val="000000" w:themeColor="text1"/>
        </w:rPr>
        <w:t xml:space="preserve">the </w:t>
      </w:r>
      <w:r w:rsidR="00CE0335" w:rsidRPr="005948DE">
        <w:rPr>
          <w:rFonts w:ascii="Times New Roman" w:hAnsi="Times New Roman" w:cs="Times New Roman"/>
          <w:color w:val="000000" w:themeColor="text1"/>
        </w:rPr>
        <w:t>Project implementation</w:t>
      </w:r>
      <w:r w:rsidR="00C71A1A" w:rsidRPr="005948DE">
        <w:rPr>
          <w:rFonts w:ascii="Times New Roman" w:hAnsi="Times New Roman" w:cs="Times New Roman"/>
          <w:color w:val="000000" w:themeColor="text1"/>
        </w:rPr>
        <w:t>.</w:t>
      </w:r>
      <w:r w:rsidR="00103AD6" w:rsidRPr="005948DE">
        <w:rPr>
          <w:rFonts w:ascii="Times New Roman" w:hAnsi="Times New Roman" w:cs="Times New Roman"/>
          <w:color w:val="000000" w:themeColor="text1"/>
        </w:rPr>
        <w:t xml:space="preserve"> </w:t>
      </w:r>
      <w:r w:rsidR="00463055">
        <w:rPr>
          <w:rFonts w:ascii="Times New Roman" w:hAnsi="Times New Roman" w:cs="Times New Roman"/>
          <w:color w:val="000000" w:themeColor="text1"/>
        </w:rPr>
        <w:t>I</w:t>
      </w:r>
      <w:r w:rsidR="007C6E51" w:rsidRPr="005948DE">
        <w:rPr>
          <w:rFonts w:ascii="Times New Roman" w:hAnsi="Times New Roman" w:cs="Times New Roman"/>
          <w:color w:val="000000" w:themeColor="text1"/>
        </w:rPr>
        <w:t>n the context of this Manual</w:t>
      </w:r>
      <w:r w:rsidR="00463055">
        <w:rPr>
          <w:rFonts w:ascii="Times New Roman" w:hAnsi="Times New Roman" w:cs="Times New Roman"/>
          <w:color w:val="000000" w:themeColor="text1"/>
        </w:rPr>
        <w:t>,</w:t>
      </w:r>
      <w:r w:rsidR="007C6E51" w:rsidRPr="005948DE">
        <w:rPr>
          <w:rFonts w:ascii="Times New Roman" w:hAnsi="Times New Roman" w:cs="Times New Roman"/>
          <w:color w:val="000000" w:themeColor="text1"/>
        </w:rPr>
        <w:t xml:space="preserve"> </w:t>
      </w:r>
      <w:r w:rsidR="00463055" w:rsidRPr="005948DE">
        <w:rPr>
          <w:rFonts w:ascii="Times New Roman" w:hAnsi="Times New Roman" w:cs="Times New Roman"/>
          <w:color w:val="000000" w:themeColor="text1"/>
        </w:rPr>
        <w:t xml:space="preserve">LSGs </w:t>
      </w:r>
      <w:r w:rsidR="007C6E51" w:rsidRPr="005948DE">
        <w:rPr>
          <w:rFonts w:ascii="Times New Roman" w:hAnsi="Times New Roman" w:cs="Times New Roman"/>
          <w:color w:val="000000" w:themeColor="text1"/>
        </w:rPr>
        <w:t xml:space="preserve">shall have the meaning as assigned in the </w:t>
      </w:r>
      <w:r w:rsidR="0016735C">
        <w:rPr>
          <w:rFonts w:ascii="Times New Roman" w:hAnsi="Times New Roman" w:cs="Times New Roman"/>
          <w:color w:val="000000" w:themeColor="text1"/>
        </w:rPr>
        <w:t>LA</w:t>
      </w:r>
      <w:r w:rsidR="007C6E51" w:rsidRPr="005948DE">
        <w:rPr>
          <w:rFonts w:ascii="Times New Roman" w:hAnsi="Times New Roman" w:cs="Times New Roman"/>
          <w:color w:val="000000" w:themeColor="text1"/>
        </w:rPr>
        <w:t xml:space="preserve"> </w:t>
      </w:r>
      <w:r w:rsidR="005A6567" w:rsidRPr="005948DE">
        <w:rPr>
          <w:rFonts w:ascii="Times New Roman" w:hAnsi="Times New Roman" w:cs="Times New Roman"/>
          <w:i/>
          <w:iCs/>
        </w:rPr>
        <w:t>(</w:t>
      </w:r>
      <w:r w:rsidR="00463055">
        <w:rPr>
          <w:rFonts w:ascii="Times New Roman" w:hAnsi="Times New Roman" w:cs="Times New Roman"/>
          <w:i/>
          <w:iCs/>
        </w:rPr>
        <w:t>“</w:t>
      </w:r>
      <w:r w:rsidR="005A6567" w:rsidRPr="005948DE">
        <w:rPr>
          <w:rFonts w:ascii="Times New Roman" w:hAnsi="Times New Roman" w:cs="Times New Roman"/>
          <w:i/>
          <w:iCs/>
          <w:color w:val="000000" w:themeColor="text1"/>
        </w:rPr>
        <w:t>Participating LSG” means any LSG to benefit from investments under any part of the Project, in accordance with the criteria set forth in the POGM; and “Participating LSGs” means more than one Participating LSG)</w:t>
      </w:r>
      <w:r w:rsidR="007C6E51" w:rsidRPr="005948DE">
        <w:rPr>
          <w:rStyle w:val="normaltextrun"/>
          <w:rFonts w:ascii="Times New Roman" w:hAnsi="Times New Roman" w:cs="Times New Roman"/>
          <w:i/>
          <w:iCs/>
        </w:rPr>
        <w:t>.</w:t>
      </w:r>
      <w:r w:rsidR="00BB1E0B" w:rsidRPr="005948DE">
        <w:rPr>
          <w:rStyle w:val="normaltextrun"/>
          <w:rFonts w:ascii="Times New Roman" w:hAnsi="Times New Roman" w:cs="Times New Roman"/>
          <w:i/>
          <w:iCs/>
        </w:rPr>
        <w:t xml:space="preserve"> </w:t>
      </w:r>
      <w:r w:rsidR="00BB1E0B" w:rsidRPr="00665F55">
        <w:rPr>
          <w:rStyle w:val="normaltextrun"/>
          <w:rFonts w:ascii="Times New Roman" w:hAnsi="Times New Roman" w:cs="Times New Roman"/>
          <w:iCs/>
        </w:rPr>
        <w:t>Infrastructure investments are equivalent to Sub-Project under Component 1</w:t>
      </w:r>
      <w:r w:rsidR="00463055">
        <w:rPr>
          <w:rStyle w:val="normaltextrun"/>
          <w:rFonts w:ascii="Times New Roman" w:hAnsi="Times New Roman" w:cs="Times New Roman"/>
          <w:iCs/>
        </w:rPr>
        <w:t>,</w:t>
      </w:r>
      <w:r w:rsidR="00BB1E0B" w:rsidRPr="00665F55">
        <w:rPr>
          <w:rStyle w:val="normaltextrun"/>
          <w:rFonts w:ascii="Times New Roman" w:hAnsi="Times New Roman" w:cs="Times New Roman"/>
          <w:iCs/>
        </w:rPr>
        <w:t xml:space="preserve"> with the meaning assigned in the </w:t>
      </w:r>
      <w:r w:rsidR="0016735C">
        <w:rPr>
          <w:rStyle w:val="normaltextrun"/>
          <w:rFonts w:ascii="Times New Roman" w:hAnsi="Times New Roman" w:cs="Times New Roman"/>
          <w:iCs/>
        </w:rPr>
        <w:t>LA</w:t>
      </w:r>
      <w:r w:rsidR="00BB1E0B" w:rsidRPr="00665F55">
        <w:rPr>
          <w:rStyle w:val="normaltextrun"/>
          <w:rFonts w:ascii="Times New Roman" w:hAnsi="Times New Roman" w:cs="Times New Roman"/>
          <w:iCs/>
        </w:rPr>
        <w:t>.</w:t>
      </w:r>
    </w:p>
    <w:p w14:paraId="0BB6633F" w14:textId="33D6474D" w:rsidR="00DA4888" w:rsidRPr="005948DE" w:rsidRDefault="00DA4888" w:rsidP="005948DE">
      <w:pPr>
        <w:pStyle w:val="num"/>
        <w:spacing w:before="0"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All supporting documents, forms, and templates required for the implementation of the components and management activities are included in annex </w:t>
      </w:r>
      <w:r w:rsidR="000C4AB9">
        <w:rPr>
          <w:rFonts w:ascii="Times New Roman" w:hAnsi="Times New Roman" w:cs="Times New Roman"/>
          <w:color w:val="000000" w:themeColor="text1"/>
        </w:rPr>
        <w:t>of</w:t>
      </w:r>
      <w:r w:rsidRPr="005948DE">
        <w:rPr>
          <w:rFonts w:ascii="Times New Roman" w:hAnsi="Times New Roman" w:cs="Times New Roman"/>
          <w:color w:val="000000" w:themeColor="text1"/>
        </w:rPr>
        <w:t xml:space="preserve"> this </w:t>
      </w:r>
      <w:r w:rsidR="00841B83" w:rsidRPr="005948DE">
        <w:rPr>
          <w:rFonts w:ascii="Times New Roman" w:hAnsi="Times New Roman" w:cs="Times New Roman"/>
          <w:color w:val="000000" w:themeColor="text1"/>
        </w:rPr>
        <w:t>Manual</w:t>
      </w:r>
      <w:r w:rsidR="00B67D23">
        <w:rPr>
          <w:rFonts w:ascii="Times New Roman" w:hAnsi="Times New Roman" w:cs="Times New Roman"/>
          <w:color w:val="000000" w:themeColor="text1"/>
        </w:rPr>
        <w:t xml:space="preserve">, and </w:t>
      </w:r>
      <w:r w:rsidR="000C4AB9">
        <w:rPr>
          <w:rFonts w:ascii="Times New Roman" w:hAnsi="Times New Roman" w:cs="Times New Roman"/>
          <w:color w:val="000000" w:themeColor="text1"/>
        </w:rPr>
        <w:t xml:space="preserve">provided </w:t>
      </w:r>
      <w:r w:rsidRPr="005948DE">
        <w:rPr>
          <w:rFonts w:ascii="Times New Roman" w:hAnsi="Times New Roman" w:cs="Times New Roman"/>
          <w:color w:val="000000" w:themeColor="text1"/>
        </w:rPr>
        <w:t>guidelines for</w:t>
      </w:r>
      <w:r w:rsidR="000C4AB9">
        <w:rPr>
          <w:rFonts w:ascii="Times New Roman" w:hAnsi="Times New Roman" w:cs="Times New Roman"/>
          <w:color w:val="000000" w:themeColor="text1"/>
        </w:rPr>
        <w:t xml:space="preserve"> the</w:t>
      </w:r>
      <w:r w:rsidRPr="005948DE">
        <w:rPr>
          <w:rFonts w:ascii="Times New Roman" w:hAnsi="Times New Roman" w:cs="Times New Roman"/>
          <w:color w:val="000000" w:themeColor="text1"/>
        </w:rPr>
        <w:t xml:space="preserve">: </w:t>
      </w:r>
    </w:p>
    <w:p w14:paraId="0DF2C07C" w14:textId="6D2D6FA4" w:rsidR="0075182F" w:rsidRPr="005948DE" w:rsidRDefault="0075182F"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sidRPr="005948DE">
        <w:rPr>
          <w:rFonts w:ascii="Times New Roman" w:hAnsi="Times New Roman" w:cs="Times New Roman"/>
          <w:szCs w:val="22"/>
        </w:rPr>
        <w:t xml:space="preserve">Institutional and implementation arrangements including communication, </w:t>
      </w:r>
    </w:p>
    <w:p w14:paraId="03565E32" w14:textId="193D4043" w:rsidR="00EC1B37" w:rsidRPr="005948DE" w:rsidRDefault="00EC1B37"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sidRPr="005948DE">
        <w:rPr>
          <w:rFonts w:ascii="Times New Roman" w:hAnsi="Times New Roman" w:cs="Times New Roman"/>
          <w:szCs w:val="22"/>
        </w:rPr>
        <w:t>Project procedures and infrastructure investment cycle including assessment of eligibility,</w:t>
      </w:r>
      <w:r w:rsidR="00921B17" w:rsidRPr="005948DE">
        <w:rPr>
          <w:rFonts w:ascii="Times New Roman" w:hAnsi="Times New Roman" w:cs="Times New Roman"/>
          <w:szCs w:val="22"/>
        </w:rPr>
        <w:t xml:space="preserve"> </w:t>
      </w:r>
    </w:p>
    <w:p w14:paraId="6F0A1D4F" w14:textId="3E7A13D7" w:rsidR="00DA4888" w:rsidRPr="005948DE" w:rsidRDefault="000C4AB9"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Pr>
          <w:rFonts w:ascii="Times New Roman" w:hAnsi="Times New Roman" w:cs="Times New Roman"/>
          <w:szCs w:val="22"/>
        </w:rPr>
        <w:t>F</w:t>
      </w:r>
      <w:r w:rsidR="00DA4888" w:rsidRPr="005948DE">
        <w:rPr>
          <w:rFonts w:ascii="Times New Roman" w:hAnsi="Times New Roman" w:cs="Times New Roman"/>
          <w:szCs w:val="22"/>
        </w:rPr>
        <w:t>inancial management of allocated resources</w:t>
      </w:r>
      <w:r w:rsidR="00EC1B37" w:rsidRPr="005948DE">
        <w:rPr>
          <w:rFonts w:ascii="Times New Roman" w:hAnsi="Times New Roman" w:cs="Times New Roman"/>
          <w:szCs w:val="22"/>
        </w:rPr>
        <w:t>,</w:t>
      </w:r>
    </w:p>
    <w:p w14:paraId="72134D17" w14:textId="027DF58D" w:rsidR="00DA4888" w:rsidRPr="005948DE" w:rsidRDefault="000C4AB9"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Pr>
          <w:rFonts w:ascii="Times New Roman" w:hAnsi="Times New Roman" w:cs="Times New Roman"/>
          <w:szCs w:val="22"/>
        </w:rPr>
        <w:t>T</w:t>
      </w:r>
      <w:r w:rsidR="00DA4888" w:rsidRPr="005948DE">
        <w:rPr>
          <w:rFonts w:ascii="Times New Roman" w:hAnsi="Times New Roman" w:cs="Times New Roman"/>
          <w:szCs w:val="22"/>
        </w:rPr>
        <w:t xml:space="preserve">echnical management, monitoring and evaluation of the </w:t>
      </w:r>
      <w:r w:rsidR="00D17057" w:rsidRPr="005948DE">
        <w:rPr>
          <w:rFonts w:ascii="Times New Roman" w:hAnsi="Times New Roman" w:cs="Times New Roman"/>
          <w:szCs w:val="22"/>
        </w:rPr>
        <w:t>component</w:t>
      </w:r>
      <w:r w:rsidR="00463055">
        <w:rPr>
          <w:rFonts w:ascii="Times New Roman" w:hAnsi="Times New Roman" w:cs="Times New Roman"/>
          <w:szCs w:val="22"/>
        </w:rPr>
        <w:t>s’</w:t>
      </w:r>
      <w:r w:rsidR="00DA4888" w:rsidRPr="005948DE">
        <w:rPr>
          <w:rFonts w:ascii="Times New Roman" w:hAnsi="Times New Roman" w:cs="Times New Roman"/>
          <w:szCs w:val="22"/>
        </w:rPr>
        <w:t xml:space="preserve"> activities</w:t>
      </w:r>
      <w:r w:rsidR="00EC1B37" w:rsidRPr="005948DE">
        <w:rPr>
          <w:rFonts w:ascii="Times New Roman" w:hAnsi="Times New Roman" w:cs="Times New Roman"/>
          <w:szCs w:val="22"/>
        </w:rPr>
        <w:t>,</w:t>
      </w:r>
    </w:p>
    <w:p w14:paraId="6981730C" w14:textId="3541DCBE" w:rsidR="00DA4888" w:rsidRPr="005948DE" w:rsidRDefault="000C4AB9"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Pr>
          <w:rFonts w:ascii="Times New Roman" w:hAnsi="Times New Roman" w:cs="Times New Roman"/>
          <w:szCs w:val="22"/>
        </w:rPr>
        <w:t>P</w:t>
      </w:r>
      <w:r w:rsidR="00DA4888" w:rsidRPr="005948DE">
        <w:rPr>
          <w:rFonts w:ascii="Times New Roman" w:hAnsi="Times New Roman" w:cs="Times New Roman"/>
          <w:szCs w:val="22"/>
        </w:rPr>
        <w:t>rocurement and contracting of required goods, works and services</w:t>
      </w:r>
      <w:r w:rsidR="00EC1B37" w:rsidRPr="005948DE">
        <w:rPr>
          <w:rFonts w:ascii="Times New Roman" w:hAnsi="Times New Roman" w:cs="Times New Roman"/>
          <w:szCs w:val="22"/>
        </w:rPr>
        <w:t>,</w:t>
      </w:r>
    </w:p>
    <w:p w14:paraId="2084C4C4" w14:textId="0CB8174F" w:rsidR="0075182F" w:rsidRPr="005948DE" w:rsidRDefault="000C4AB9"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Pr>
          <w:rFonts w:ascii="Times New Roman" w:hAnsi="Times New Roman" w:cs="Times New Roman"/>
          <w:szCs w:val="22"/>
        </w:rPr>
        <w:t>M</w:t>
      </w:r>
      <w:r w:rsidR="008E1E36" w:rsidRPr="005948DE">
        <w:rPr>
          <w:rFonts w:ascii="Times New Roman" w:hAnsi="Times New Roman" w:cs="Times New Roman"/>
          <w:szCs w:val="22"/>
        </w:rPr>
        <w:t>anage</w:t>
      </w:r>
      <w:r>
        <w:rPr>
          <w:rFonts w:ascii="Times New Roman" w:hAnsi="Times New Roman" w:cs="Times New Roman"/>
          <w:szCs w:val="22"/>
        </w:rPr>
        <w:t>ment of E</w:t>
      </w:r>
      <w:r w:rsidR="00463055" w:rsidRPr="005948DE">
        <w:rPr>
          <w:rFonts w:ascii="Times New Roman" w:hAnsi="Times New Roman" w:cs="Times New Roman"/>
          <w:szCs w:val="22"/>
        </w:rPr>
        <w:t xml:space="preserve">nvironmental </w:t>
      </w:r>
      <w:r>
        <w:rPr>
          <w:rFonts w:ascii="Times New Roman" w:hAnsi="Times New Roman" w:cs="Times New Roman"/>
          <w:szCs w:val="22"/>
        </w:rPr>
        <w:t>&amp;</w:t>
      </w:r>
      <w:r w:rsidR="00463055">
        <w:rPr>
          <w:rFonts w:ascii="Times New Roman" w:hAnsi="Times New Roman" w:cs="Times New Roman"/>
          <w:szCs w:val="22"/>
        </w:rPr>
        <w:t xml:space="preserve"> </w:t>
      </w:r>
      <w:r>
        <w:rPr>
          <w:rFonts w:ascii="Times New Roman" w:hAnsi="Times New Roman" w:cs="Times New Roman"/>
          <w:szCs w:val="22"/>
        </w:rPr>
        <w:t>S</w:t>
      </w:r>
      <w:r w:rsidR="00463055" w:rsidRPr="005948DE">
        <w:rPr>
          <w:rFonts w:ascii="Times New Roman" w:hAnsi="Times New Roman" w:cs="Times New Roman"/>
          <w:szCs w:val="22"/>
        </w:rPr>
        <w:t xml:space="preserve">ocial </w:t>
      </w:r>
      <w:r w:rsidR="00463055">
        <w:rPr>
          <w:rFonts w:ascii="Times New Roman" w:hAnsi="Times New Roman" w:cs="Times New Roman"/>
          <w:szCs w:val="22"/>
        </w:rPr>
        <w:t>r</w:t>
      </w:r>
      <w:r w:rsidR="00463055" w:rsidRPr="005948DE">
        <w:rPr>
          <w:rFonts w:ascii="Times New Roman" w:hAnsi="Times New Roman" w:cs="Times New Roman"/>
          <w:szCs w:val="22"/>
        </w:rPr>
        <w:t xml:space="preserve">isks </w:t>
      </w:r>
      <w:r w:rsidR="00103AD6" w:rsidRPr="005948DE">
        <w:rPr>
          <w:rFonts w:ascii="Times New Roman" w:hAnsi="Times New Roman" w:cs="Times New Roman"/>
          <w:szCs w:val="22"/>
        </w:rPr>
        <w:t>and impacts attributable to the Project</w:t>
      </w:r>
      <w:r w:rsidR="00EC1B37" w:rsidRPr="005948DE">
        <w:rPr>
          <w:rFonts w:ascii="Times New Roman" w:hAnsi="Times New Roman" w:cs="Times New Roman"/>
          <w:szCs w:val="22"/>
        </w:rPr>
        <w:t xml:space="preserve">, and </w:t>
      </w:r>
    </w:p>
    <w:p w14:paraId="19AFB8CC" w14:textId="0D62DE23" w:rsidR="00EC1B37" w:rsidRPr="005948DE" w:rsidRDefault="000C4AB9"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szCs w:val="22"/>
        </w:rPr>
      </w:pPr>
      <w:r>
        <w:rPr>
          <w:rFonts w:ascii="Times New Roman" w:hAnsi="Times New Roman" w:cs="Times New Roman"/>
          <w:szCs w:val="22"/>
        </w:rPr>
        <w:t>M</w:t>
      </w:r>
      <w:r w:rsidR="00EC1B37" w:rsidRPr="005948DE">
        <w:rPr>
          <w:rFonts w:ascii="Times New Roman" w:hAnsi="Times New Roman" w:cs="Times New Roman"/>
          <w:szCs w:val="22"/>
        </w:rPr>
        <w:t>anage</w:t>
      </w:r>
      <w:r>
        <w:rPr>
          <w:rFonts w:ascii="Times New Roman" w:hAnsi="Times New Roman" w:cs="Times New Roman"/>
          <w:szCs w:val="22"/>
        </w:rPr>
        <w:t>ment of</w:t>
      </w:r>
      <w:r w:rsidR="00EC1B37" w:rsidRPr="005948DE">
        <w:rPr>
          <w:rFonts w:ascii="Times New Roman" w:hAnsi="Times New Roman" w:cs="Times New Roman"/>
          <w:szCs w:val="22"/>
        </w:rPr>
        <w:t xml:space="preserve"> stakeholder a</w:t>
      </w:r>
      <w:r w:rsidR="00463055">
        <w:rPr>
          <w:rFonts w:ascii="Times New Roman" w:hAnsi="Times New Roman" w:cs="Times New Roman"/>
          <w:szCs w:val="22"/>
        </w:rPr>
        <w:t>n</w:t>
      </w:r>
      <w:r w:rsidR="00EC1B37" w:rsidRPr="005948DE">
        <w:rPr>
          <w:rFonts w:ascii="Times New Roman" w:hAnsi="Times New Roman" w:cs="Times New Roman"/>
          <w:szCs w:val="22"/>
        </w:rPr>
        <w:t>d citizen engagement including the Project Grievance mechanism.</w:t>
      </w:r>
    </w:p>
    <w:p w14:paraId="794725AA" w14:textId="77777777" w:rsidR="002040E4" w:rsidRPr="005948DE" w:rsidRDefault="002040E4"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21" w:name="_Toc61610068"/>
      <w:bookmarkStart w:id="22" w:name="_Toc93342207"/>
      <w:bookmarkStart w:id="23" w:name="_Toc324499900"/>
      <w:bookmarkStart w:id="24" w:name="_Toc409617854"/>
      <w:bookmarkStart w:id="25" w:name="_Toc413926283"/>
      <w:bookmarkStart w:id="26" w:name="_Toc447615225"/>
      <w:bookmarkStart w:id="27" w:name="_Toc455741814"/>
      <w:bookmarkStart w:id="28" w:name="_Toc455742127"/>
      <w:r w:rsidRPr="005948DE">
        <w:rPr>
          <w:rFonts w:ascii="Times New Roman" w:hAnsi="Times New Roman" w:cs="Times New Roman"/>
          <w:smallCaps w:val="0"/>
          <w:color w:val="auto"/>
          <w:sz w:val="24"/>
        </w:rPr>
        <w:t>Key Project Documents</w:t>
      </w:r>
      <w:bookmarkEnd w:id="21"/>
      <w:bookmarkEnd w:id="22"/>
    </w:p>
    <w:p w14:paraId="397CE99D" w14:textId="7E409A75" w:rsidR="002040E4" w:rsidRPr="005948DE" w:rsidRDefault="00824BCF" w:rsidP="005948DE">
      <w:pPr>
        <w:pStyle w:val="BodyText"/>
        <w:spacing w:after="120" w:line="276" w:lineRule="auto"/>
        <w:jc w:val="both"/>
        <w:rPr>
          <w:rFonts w:ascii="Times New Roman" w:hAnsi="Times New Roman"/>
          <w:lang w:val="en-GB"/>
        </w:rPr>
      </w:pPr>
      <w:r w:rsidRPr="005948DE">
        <w:rPr>
          <w:rFonts w:ascii="Times New Roman" w:hAnsi="Times New Roman"/>
          <w:lang w:val="en-GB"/>
        </w:rPr>
        <w:t xml:space="preserve">During </w:t>
      </w:r>
      <w:r w:rsidR="00463055">
        <w:rPr>
          <w:rFonts w:ascii="Times New Roman" w:hAnsi="Times New Roman"/>
          <w:lang w:val="en-GB"/>
        </w:rPr>
        <w:t xml:space="preserve">the </w:t>
      </w:r>
      <w:r w:rsidRPr="005948DE">
        <w:rPr>
          <w:rFonts w:ascii="Times New Roman" w:hAnsi="Times New Roman"/>
          <w:lang w:val="en-GB"/>
        </w:rPr>
        <w:t>preparation of the Project the following key</w:t>
      </w:r>
      <w:r w:rsidR="002040E4" w:rsidRPr="005948DE">
        <w:rPr>
          <w:rFonts w:ascii="Times New Roman" w:hAnsi="Times New Roman"/>
          <w:lang w:val="en-GB"/>
        </w:rPr>
        <w:t xml:space="preserve"> documents </w:t>
      </w:r>
      <w:r w:rsidRPr="005948DE">
        <w:rPr>
          <w:rFonts w:ascii="Times New Roman" w:hAnsi="Times New Roman"/>
          <w:lang w:val="en-GB"/>
        </w:rPr>
        <w:t xml:space="preserve">have been </w:t>
      </w:r>
      <w:r w:rsidR="00463055">
        <w:rPr>
          <w:rFonts w:ascii="Times New Roman" w:hAnsi="Times New Roman"/>
          <w:lang w:val="en-GB"/>
        </w:rPr>
        <w:t xml:space="preserve">prepared and </w:t>
      </w:r>
      <w:r w:rsidRPr="005948DE">
        <w:rPr>
          <w:rFonts w:ascii="Times New Roman" w:hAnsi="Times New Roman"/>
          <w:lang w:val="en-GB"/>
        </w:rPr>
        <w:t>adopted</w:t>
      </w:r>
      <w:r w:rsidR="00463055">
        <w:rPr>
          <w:rFonts w:ascii="Times New Roman" w:hAnsi="Times New Roman"/>
          <w:lang w:val="en-GB"/>
        </w:rPr>
        <w:t>/signed</w:t>
      </w:r>
      <w:r w:rsidRPr="005948DE">
        <w:rPr>
          <w:rFonts w:ascii="Times New Roman" w:hAnsi="Times New Roman"/>
          <w:lang w:val="en-GB"/>
        </w:rPr>
        <w:t xml:space="preserve">, </w:t>
      </w:r>
      <w:r w:rsidR="000C4AB9">
        <w:rPr>
          <w:rFonts w:ascii="Times New Roman" w:hAnsi="Times New Roman"/>
          <w:lang w:val="en-GB"/>
        </w:rPr>
        <w:t>which sets out</w:t>
      </w:r>
      <w:r w:rsidR="000C4AB9" w:rsidRPr="005948DE">
        <w:rPr>
          <w:rFonts w:ascii="Times New Roman" w:hAnsi="Times New Roman"/>
          <w:lang w:val="en-GB"/>
        </w:rPr>
        <w:t xml:space="preserve"> </w:t>
      </w:r>
      <w:r w:rsidRPr="005948DE">
        <w:rPr>
          <w:rFonts w:ascii="Times New Roman" w:hAnsi="Times New Roman"/>
          <w:lang w:val="en-GB"/>
        </w:rPr>
        <w:t>the policy and regulatory framework for</w:t>
      </w:r>
      <w:r w:rsidR="000C4AB9">
        <w:rPr>
          <w:rFonts w:ascii="Times New Roman" w:hAnsi="Times New Roman"/>
          <w:lang w:val="en-GB"/>
        </w:rPr>
        <w:t xml:space="preserve"> the implementat</w:t>
      </w:r>
      <w:r w:rsidRPr="005948DE">
        <w:rPr>
          <w:rFonts w:ascii="Times New Roman" w:hAnsi="Times New Roman"/>
          <w:lang w:val="en-GB"/>
        </w:rPr>
        <w:t>ion, monitoring and evaluation of the Project:</w:t>
      </w:r>
    </w:p>
    <w:p w14:paraId="081AF372" w14:textId="47AE6CC2"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Loan Agreement (LA) to be signed between the IBRD and the Republic of Serbia</w:t>
      </w:r>
      <w:r w:rsidR="00715639">
        <w:rPr>
          <w:rFonts w:ascii="Times New Roman" w:hAnsi="Times New Roman" w:cs="Times New Roman"/>
          <w:szCs w:val="22"/>
        </w:rPr>
        <w:t>.</w:t>
      </w:r>
    </w:p>
    <w:p w14:paraId="0CFA13DD" w14:textId="0F726B20"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 xml:space="preserve">Credit Facility Agreement (CFA) to be signed between the </w:t>
      </w:r>
      <w:r w:rsidR="00764494" w:rsidRPr="005948DE">
        <w:rPr>
          <w:rFonts w:ascii="Times New Roman" w:hAnsi="Times New Roman" w:cs="Times New Roman"/>
          <w:szCs w:val="22"/>
        </w:rPr>
        <w:t>Government</w:t>
      </w:r>
      <w:r w:rsidRPr="005948DE">
        <w:rPr>
          <w:rFonts w:ascii="Times New Roman" w:hAnsi="Times New Roman" w:cs="Times New Roman"/>
          <w:szCs w:val="22"/>
        </w:rPr>
        <w:t xml:space="preserve"> of France and </w:t>
      </w:r>
      <w:r w:rsidR="00463055">
        <w:rPr>
          <w:rFonts w:ascii="Times New Roman" w:hAnsi="Times New Roman" w:cs="Times New Roman"/>
          <w:szCs w:val="22"/>
        </w:rPr>
        <w:t>the Go</w:t>
      </w:r>
      <w:r w:rsidRPr="005948DE">
        <w:rPr>
          <w:rFonts w:ascii="Times New Roman" w:hAnsi="Times New Roman" w:cs="Times New Roman"/>
          <w:szCs w:val="22"/>
        </w:rPr>
        <w:t>S</w:t>
      </w:r>
      <w:r w:rsidR="00715639">
        <w:rPr>
          <w:rFonts w:ascii="Times New Roman" w:hAnsi="Times New Roman" w:cs="Times New Roman"/>
          <w:szCs w:val="22"/>
        </w:rPr>
        <w:t>.</w:t>
      </w:r>
    </w:p>
    <w:p w14:paraId="70D8C8A5" w14:textId="71BF1F00"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Project Appraisal Document (PAD), December 202</w:t>
      </w:r>
      <w:r w:rsidR="00764494" w:rsidRPr="005948DE">
        <w:rPr>
          <w:rFonts w:ascii="Times New Roman" w:hAnsi="Times New Roman" w:cs="Times New Roman"/>
          <w:szCs w:val="22"/>
        </w:rPr>
        <w:t>1</w:t>
      </w:r>
      <w:r w:rsidR="00715639">
        <w:rPr>
          <w:rFonts w:ascii="Times New Roman" w:hAnsi="Times New Roman" w:cs="Times New Roman"/>
          <w:szCs w:val="22"/>
        </w:rPr>
        <w:t>.</w:t>
      </w:r>
    </w:p>
    <w:p w14:paraId="47964718" w14:textId="03A0C3EC"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Project Procurement Strategy for Development (PPSD), December 2021</w:t>
      </w:r>
      <w:r w:rsidR="00715639">
        <w:rPr>
          <w:rFonts w:ascii="Times New Roman" w:hAnsi="Times New Roman" w:cs="Times New Roman"/>
          <w:szCs w:val="22"/>
        </w:rPr>
        <w:t>.</w:t>
      </w:r>
    </w:p>
    <w:p w14:paraId="6B3245F3" w14:textId="5D98ABF3" w:rsidR="002040E4" w:rsidRPr="005948DE" w:rsidRDefault="00824BCF"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 xml:space="preserve">Draft </w:t>
      </w:r>
      <w:r w:rsidR="002040E4" w:rsidRPr="005948DE">
        <w:rPr>
          <w:rFonts w:ascii="Times New Roman" w:hAnsi="Times New Roman" w:cs="Times New Roman"/>
          <w:szCs w:val="22"/>
        </w:rPr>
        <w:t>Procurement Plan (PP</w:t>
      </w:r>
      <w:r w:rsidR="0016735C" w:rsidRPr="005948DE">
        <w:rPr>
          <w:rFonts w:ascii="Times New Roman" w:hAnsi="Times New Roman" w:cs="Times New Roman"/>
          <w:szCs w:val="22"/>
        </w:rPr>
        <w:t>)</w:t>
      </w:r>
      <w:r w:rsidR="00FC7E54">
        <w:rPr>
          <w:rFonts w:ascii="Times New Roman" w:hAnsi="Times New Roman" w:cs="Times New Roman"/>
          <w:szCs w:val="22"/>
        </w:rPr>
        <w:t xml:space="preserve"> </w:t>
      </w:r>
      <w:r w:rsidR="00E21181">
        <w:rPr>
          <w:rFonts w:ascii="Times New Roman" w:hAnsi="Times New Roman" w:cs="Times New Roman"/>
          <w:szCs w:val="22"/>
        </w:rPr>
        <w:t>January 14,</w:t>
      </w:r>
      <w:r w:rsidR="00FC7E54">
        <w:rPr>
          <w:rFonts w:ascii="Times New Roman" w:hAnsi="Times New Roman" w:cs="Times New Roman"/>
          <w:szCs w:val="22"/>
        </w:rPr>
        <w:t xml:space="preserve"> 202</w:t>
      </w:r>
      <w:r w:rsidR="00E21181">
        <w:rPr>
          <w:rFonts w:ascii="Times New Roman" w:hAnsi="Times New Roman" w:cs="Times New Roman"/>
          <w:szCs w:val="22"/>
        </w:rPr>
        <w:t>2.</w:t>
      </w:r>
      <w:r w:rsidR="0016735C">
        <w:rPr>
          <w:rFonts w:ascii="Times New Roman" w:hAnsi="Times New Roman" w:cs="Times New Roman"/>
          <w:szCs w:val="22"/>
        </w:rPr>
        <w:t xml:space="preserve"> </w:t>
      </w:r>
    </w:p>
    <w:p w14:paraId="02B25A24" w14:textId="2C4A9513"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Labor Management Procedures (LMP), December 2021</w:t>
      </w:r>
      <w:r w:rsidR="00715639">
        <w:rPr>
          <w:rFonts w:ascii="Times New Roman" w:hAnsi="Times New Roman" w:cs="Times New Roman"/>
          <w:szCs w:val="22"/>
        </w:rPr>
        <w:t>.</w:t>
      </w:r>
    </w:p>
    <w:p w14:paraId="0F38C90F" w14:textId="75E560D5"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Environmental and Social Management Framework (ESMF), December 2021</w:t>
      </w:r>
      <w:r w:rsidR="00715639">
        <w:rPr>
          <w:rFonts w:ascii="Times New Roman" w:hAnsi="Times New Roman" w:cs="Times New Roman"/>
          <w:szCs w:val="22"/>
        </w:rPr>
        <w:t>.</w:t>
      </w:r>
    </w:p>
    <w:p w14:paraId="1085FDDA" w14:textId="504443D3"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Environmental and Social Commitment Plan (ESCP), December 2021</w:t>
      </w:r>
      <w:r w:rsidR="00715639">
        <w:rPr>
          <w:rFonts w:ascii="Times New Roman" w:hAnsi="Times New Roman" w:cs="Times New Roman"/>
          <w:szCs w:val="22"/>
        </w:rPr>
        <w:t>.</w:t>
      </w:r>
    </w:p>
    <w:p w14:paraId="7F683D8D" w14:textId="03B85BA4"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lastRenderedPageBreak/>
        <w:t>Resettlement Policy Framework (RPF), December 2021</w:t>
      </w:r>
      <w:r w:rsidR="00715639">
        <w:rPr>
          <w:rFonts w:ascii="Times New Roman" w:hAnsi="Times New Roman" w:cs="Times New Roman"/>
          <w:szCs w:val="22"/>
        </w:rPr>
        <w:t>.</w:t>
      </w:r>
    </w:p>
    <w:p w14:paraId="5D0E549D" w14:textId="6EE5A717" w:rsidR="002040E4"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sidRPr="005948DE">
        <w:rPr>
          <w:rFonts w:ascii="Times New Roman" w:hAnsi="Times New Roman" w:cs="Times New Roman"/>
          <w:szCs w:val="22"/>
        </w:rPr>
        <w:t>Project Level Stakeholder Engagement Plan (SEP), December 2021</w:t>
      </w:r>
      <w:r w:rsidR="00715639">
        <w:rPr>
          <w:rFonts w:ascii="Times New Roman" w:hAnsi="Times New Roman" w:cs="Times New Roman"/>
          <w:szCs w:val="22"/>
        </w:rPr>
        <w:t>.</w:t>
      </w:r>
    </w:p>
    <w:p w14:paraId="50925045" w14:textId="72BB48D9" w:rsidR="00824BCF" w:rsidRPr="005948DE" w:rsidRDefault="00463055"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Pr>
          <w:rFonts w:ascii="Times New Roman" w:hAnsi="Times New Roman" w:cs="Times New Roman"/>
          <w:szCs w:val="22"/>
        </w:rPr>
        <w:t>Draft F</w:t>
      </w:r>
      <w:r w:rsidRPr="005948DE">
        <w:rPr>
          <w:rFonts w:ascii="Times New Roman" w:hAnsi="Times New Roman" w:cs="Times New Roman"/>
          <w:szCs w:val="22"/>
        </w:rPr>
        <w:t xml:space="preserve">ramework </w:t>
      </w:r>
      <w:r w:rsidR="00DA08FD" w:rsidRPr="005948DE">
        <w:rPr>
          <w:rFonts w:ascii="Times New Roman" w:hAnsi="Times New Roman" w:cs="Times New Roman"/>
          <w:szCs w:val="22"/>
        </w:rPr>
        <w:t>Agreement</w:t>
      </w:r>
      <w:r w:rsidR="002040E4" w:rsidRPr="005948DE">
        <w:rPr>
          <w:rFonts w:ascii="Times New Roman" w:hAnsi="Times New Roman" w:cs="Times New Roman"/>
          <w:szCs w:val="22"/>
        </w:rPr>
        <w:t xml:space="preserve"> </w:t>
      </w:r>
      <w:r w:rsidR="00121A33" w:rsidRPr="005948DE">
        <w:rPr>
          <w:rFonts w:ascii="Times New Roman" w:hAnsi="Times New Roman" w:cs="Times New Roman"/>
          <w:szCs w:val="22"/>
        </w:rPr>
        <w:t>(</w:t>
      </w:r>
      <w:r w:rsidR="00DA08FD" w:rsidRPr="005948DE">
        <w:rPr>
          <w:rFonts w:ascii="Times New Roman" w:hAnsi="Times New Roman" w:cs="Times New Roman"/>
          <w:szCs w:val="22"/>
        </w:rPr>
        <w:t>FA</w:t>
      </w:r>
      <w:r w:rsidR="00121A33" w:rsidRPr="005948DE">
        <w:rPr>
          <w:rFonts w:ascii="Times New Roman" w:hAnsi="Times New Roman" w:cs="Times New Roman"/>
          <w:szCs w:val="22"/>
        </w:rPr>
        <w:t xml:space="preserve">) </w:t>
      </w:r>
      <w:r w:rsidR="00824BCF" w:rsidRPr="005948DE">
        <w:rPr>
          <w:rFonts w:ascii="Times New Roman" w:hAnsi="Times New Roman" w:cs="Times New Roman"/>
          <w:szCs w:val="22"/>
        </w:rPr>
        <w:t xml:space="preserve">to be signed between </w:t>
      </w:r>
      <w:r>
        <w:rPr>
          <w:rFonts w:ascii="Times New Roman" w:hAnsi="Times New Roman" w:cs="Times New Roman"/>
          <w:szCs w:val="22"/>
        </w:rPr>
        <w:t xml:space="preserve">the </w:t>
      </w:r>
      <w:r w:rsidR="00824BCF" w:rsidRPr="005948DE">
        <w:rPr>
          <w:rFonts w:ascii="Times New Roman" w:hAnsi="Times New Roman" w:cs="Times New Roman"/>
          <w:szCs w:val="22"/>
        </w:rPr>
        <w:t>MCTI and each and any</w:t>
      </w:r>
      <w:r w:rsidR="0016735C">
        <w:rPr>
          <w:rFonts w:ascii="Times New Roman" w:hAnsi="Times New Roman" w:cs="Times New Roman"/>
          <w:szCs w:val="22"/>
        </w:rPr>
        <w:t xml:space="preserve"> participating</w:t>
      </w:r>
      <w:r w:rsidR="00824BCF" w:rsidRPr="005948DE">
        <w:rPr>
          <w:rFonts w:ascii="Times New Roman" w:hAnsi="Times New Roman" w:cs="Times New Roman"/>
          <w:szCs w:val="22"/>
        </w:rPr>
        <w:t xml:space="preserve"> </w:t>
      </w:r>
      <w:r w:rsidR="001F4367" w:rsidRPr="005948DE">
        <w:rPr>
          <w:rFonts w:ascii="Times New Roman" w:hAnsi="Times New Roman" w:cs="Times New Roman"/>
          <w:szCs w:val="22"/>
        </w:rPr>
        <w:t>LSG</w:t>
      </w:r>
      <w:r w:rsidR="00695481" w:rsidRPr="005948DE">
        <w:rPr>
          <w:rFonts w:ascii="Times New Roman" w:hAnsi="Times New Roman" w:cs="Times New Roman"/>
          <w:szCs w:val="22"/>
        </w:rPr>
        <w:t xml:space="preserve"> (Annex 3)</w:t>
      </w:r>
      <w:r w:rsidR="00715639">
        <w:rPr>
          <w:rFonts w:ascii="Times New Roman" w:hAnsi="Times New Roman" w:cs="Times New Roman"/>
          <w:szCs w:val="22"/>
        </w:rPr>
        <w:t>.</w:t>
      </w:r>
    </w:p>
    <w:p w14:paraId="09D0F7C2" w14:textId="4C07D558" w:rsidR="002040E4" w:rsidRPr="005948DE" w:rsidRDefault="00463055" w:rsidP="005948DE">
      <w:pPr>
        <w:pStyle w:val="Bullet1"/>
        <w:numPr>
          <w:ilvl w:val="0"/>
          <w:numId w:val="55"/>
        </w:numPr>
        <w:tabs>
          <w:tab w:val="left" w:pos="426"/>
        </w:tabs>
        <w:spacing w:before="0" w:after="0" w:line="276" w:lineRule="auto"/>
        <w:ind w:left="425" w:hanging="357"/>
        <w:contextualSpacing/>
        <w:rPr>
          <w:rFonts w:ascii="Times New Roman" w:hAnsi="Times New Roman" w:cs="Times New Roman"/>
        </w:rPr>
      </w:pPr>
      <w:r>
        <w:rPr>
          <w:rFonts w:ascii="Times New Roman" w:hAnsi="Times New Roman" w:cs="Times New Roman"/>
          <w:szCs w:val="22"/>
        </w:rPr>
        <w:t xml:space="preserve">Draft </w:t>
      </w:r>
      <w:r w:rsidR="0016735C">
        <w:rPr>
          <w:rFonts w:ascii="Times New Roman" w:hAnsi="Times New Roman" w:cs="Times New Roman"/>
          <w:szCs w:val="22"/>
        </w:rPr>
        <w:t>G</w:t>
      </w:r>
      <w:r w:rsidRPr="005948DE">
        <w:rPr>
          <w:rFonts w:ascii="Times New Roman" w:hAnsi="Times New Roman" w:cs="Times New Roman"/>
          <w:szCs w:val="22"/>
        </w:rPr>
        <w:t xml:space="preserve">rant </w:t>
      </w:r>
      <w:r w:rsidR="00DA08FD" w:rsidRPr="005948DE">
        <w:rPr>
          <w:rFonts w:ascii="Times New Roman" w:hAnsi="Times New Roman" w:cs="Times New Roman"/>
          <w:szCs w:val="22"/>
        </w:rPr>
        <w:t>Agreement</w:t>
      </w:r>
      <w:r w:rsidR="002040E4" w:rsidRPr="005948DE">
        <w:rPr>
          <w:rFonts w:ascii="Times New Roman" w:hAnsi="Times New Roman" w:cs="Times New Roman"/>
          <w:szCs w:val="22"/>
        </w:rPr>
        <w:t xml:space="preserve"> </w:t>
      </w:r>
      <w:r w:rsidR="00121A33" w:rsidRPr="005948DE">
        <w:rPr>
          <w:rFonts w:ascii="Times New Roman" w:hAnsi="Times New Roman" w:cs="Times New Roman"/>
          <w:szCs w:val="22"/>
        </w:rPr>
        <w:t>(</w:t>
      </w:r>
      <w:r w:rsidR="006913CC" w:rsidRPr="005948DE">
        <w:rPr>
          <w:rFonts w:ascii="Times New Roman" w:hAnsi="Times New Roman" w:cs="Times New Roman"/>
          <w:szCs w:val="22"/>
        </w:rPr>
        <w:t>GA</w:t>
      </w:r>
      <w:r w:rsidR="00121A33" w:rsidRPr="005948DE">
        <w:rPr>
          <w:rFonts w:ascii="Times New Roman" w:hAnsi="Times New Roman" w:cs="Times New Roman"/>
          <w:szCs w:val="22"/>
        </w:rPr>
        <w:t xml:space="preserve">) </w:t>
      </w:r>
      <w:r w:rsidR="002040E4" w:rsidRPr="005948DE">
        <w:rPr>
          <w:rFonts w:ascii="Times New Roman" w:hAnsi="Times New Roman" w:cs="Times New Roman"/>
          <w:szCs w:val="22"/>
        </w:rPr>
        <w:t xml:space="preserve">to be signed between </w:t>
      </w:r>
      <w:r>
        <w:rPr>
          <w:rFonts w:ascii="Times New Roman" w:hAnsi="Times New Roman" w:cs="Times New Roman"/>
          <w:szCs w:val="22"/>
        </w:rPr>
        <w:t xml:space="preserve">the </w:t>
      </w:r>
      <w:r w:rsidR="002040E4" w:rsidRPr="005948DE">
        <w:rPr>
          <w:rFonts w:ascii="Times New Roman" w:hAnsi="Times New Roman" w:cs="Times New Roman"/>
          <w:szCs w:val="22"/>
        </w:rPr>
        <w:t xml:space="preserve">MCTI and each </w:t>
      </w:r>
      <w:r w:rsidR="001F4367" w:rsidRPr="005948DE">
        <w:rPr>
          <w:rFonts w:ascii="Times New Roman" w:hAnsi="Times New Roman" w:cs="Times New Roman"/>
          <w:szCs w:val="22"/>
        </w:rPr>
        <w:t>LSG</w:t>
      </w:r>
      <w:r w:rsidR="0016735C">
        <w:rPr>
          <w:rFonts w:ascii="Times New Roman" w:hAnsi="Times New Roman" w:cs="Times New Roman"/>
          <w:szCs w:val="22"/>
        </w:rPr>
        <w:t xml:space="preserve"> for the approved infrastructure subproject</w:t>
      </w:r>
      <w:r w:rsidR="002040E4" w:rsidRPr="005948DE">
        <w:rPr>
          <w:rFonts w:ascii="Times New Roman" w:hAnsi="Times New Roman" w:cs="Times New Roman"/>
          <w:szCs w:val="22"/>
        </w:rPr>
        <w:t xml:space="preserve"> (Annex 4)</w:t>
      </w:r>
      <w:r w:rsidR="00824BCF" w:rsidRPr="005948DE">
        <w:rPr>
          <w:rFonts w:ascii="Times New Roman" w:hAnsi="Times New Roman" w:cs="Times New Roman"/>
          <w:szCs w:val="22"/>
        </w:rPr>
        <w:t>,</w:t>
      </w:r>
      <w:r w:rsidR="002040E4" w:rsidRPr="005948DE">
        <w:rPr>
          <w:rFonts w:ascii="Times New Roman" w:hAnsi="Times New Roman" w:cs="Times New Roman"/>
          <w:szCs w:val="22"/>
        </w:rPr>
        <w:t xml:space="preserve"> and</w:t>
      </w:r>
    </w:p>
    <w:p w14:paraId="78BE20AC" w14:textId="103A776C" w:rsidR="00241A83" w:rsidRPr="005948DE" w:rsidRDefault="002040E4" w:rsidP="005948DE">
      <w:pPr>
        <w:pStyle w:val="Bullet1"/>
        <w:numPr>
          <w:ilvl w:val="0"/>
          <w:numId w:val="55"/>
        </w:numPr>
        <w:tabs>
          <w:tab w:val="left" w:pos="426"/>
        </w:tabs>
        <w:spacing w:before="0" w:after="0" w:line="276" w:lineRule="auto"/>
        <w:ind w:left="425" w:hanging="357"/>
        <w:contextualSpacing/>
        <w:rPr>
          <w:rFonts w:ascii="Times New Roman" w:eastAsiaTheme="majorEastAsia" w:hAnsi="Times New Roman" w:cs="Times New Roman"/>
          <w:b/>
          <w:color w:val="0066FF"/>
          <w:szCs w:val="22"/>
        </w:rPr>
      </w:pPr>
      <w:r w:rsidRPr="005948DE">
        <w:rPr>
          <w:rFonts w:ascii="Times New Roman" w:hAnsi="Times New Roman" w:cs="Times New Roman"/>
          <w:szCs w:val="22"/>
        </w:rPr>
        <w:t>This Manual.</w:t>
      </w:r>
      <w:bookmarkStart w:id="29" w:name="_Toc324499902"/>
      <w:bookmarkStart w:id="30" w:name="_Toc409617856"/>
      <w:bookmarkStart w:id="31" w:name="_Toc413926285"/>
      <w:bookmarkStart w:id="32" w:name="_Toc447615227"/>
      <w:bookmarkStart w:id="33" w:name="_Toc455741816"/>
      <w:bookmarkStart w:id="34" w:name="_Toc455742129"/>
      <w:bookmarkEnd w:id="23"/>
      <w:bookmarkEnd w:id="24"/>
      <w:bookmarkEnd w:id="25"/>
      <w:bookmarkEnd w:id="26"/>
      <w:bookmarkEnd w:id="27"/>
      <w:bookmarkEnd w:id="28"/>
      <w:r w:rsidR="00241A83" w:rsidRPr="005948DE">
        <w:rPr>
          <w:rFonts w:ascii="Times New Roman" w:hAnsi="Times New Roman" w:cs="Times New Roman"/>
          <w:smallCaps/>
          <w:color w:val="0066FF"/>
          <w:szCs w:val="22"/>
        </w:rPr>
        <w:br w:type="page"/>
      </w:r>
    </w:p>
    <w:p w14:paraId="4DEE8667" w14:textId="039B3A16" w:rsidR="00DA4888" w:rsidRPr="005948DE" w:rsidRDefault="00DA4888" w:rsidP="005948DE">
      <w:pPr>
        <w:pStyle w:val="Heading1"/>
        <w:numPr>
          <w:ilvl w:val="0"/>
          <w:numId w:val="330"/>
        </w:numPr>
        <w:pBdr>
          <w:bottom w:val="none" w:sz="0" w:space="0" w:color="auto"/>
        </w:pBdr>
        <w:spacing w:line="276" w:lineRule="auto"/>
        <w:ind w:left="431" w:hanging="431"/>
        <w:jc w:val="both"/>
        <w:rPr>
          <w:rFonts w:ascii="Times New Roman" w:hAnsi="Times New Roman" w:cs="Times New Roman"/>
          <w:smallCaps w:val="0"/>
          <w:color w:val="auto"/>
          <w:sz w:val="30"/>
          <w:szCs w:val="30"/>
        </w:rPr>
      </w:pPr>
      <w:bookmarkStart w:id="35" w:name="_Toc93342208"/>
      <w:r w:rsidRPr="005948DE">
        <w:rPr>
          <w:rFonts w:ascii="Times New Roman" w:hAnsi="Times New Roman" w:cs="Times New Roman"/>
          <w:smallCaps w:val="0"/>
          <w:color w:val="auto"/>
          <w:sz w:val="30"/>
          <w:szCs w:val="30"/>
        </w:rPr>
        <w:lastRenderedPageBreak/>
        <w:t>P</w:t>
      </w:r>
      <w:r w:rsidR="009E0B28" w:rsidRPr="005948DE">
        <w:rPr>
          <w:rFonts w:ascii="Times New Roman" w:hAnsi="Times New Roman" w:cs="Times New Roman"/>
          <w:smallCaps w:val="0"/>
          <w:color w:val="auto"/>
          <w:sz w:val="30"/>
          <w:szCs w:val="30"/>
        </w:rPr>
        <w:t>ROJECT</w:t>
      </w:r>
      <w:bookmarkEnd w:id="29"/>
      <w:bookmarkEnd w:id="30"/>
      <w:bookmarkEnd w:id="31"/>
      <w:bookmarkEnd w:id="32"/>
      <w:bookmarkEnd w:id="33"/>
      <w:bookmarkEnd w:id="34"/>
      <w:r w:rsidR="006346FE" w:rsidRPr="005948DE">
        <w:rPr>
          <w:rFonts w:ascii="Times New Roman" w:hAnsi="Times New Roman" w:cs="Times New Roman"/>
          <w:smallCaps w:val="0"/>
          <w:color w:val="auto"/>
          <w:sz w:val="30"/>
          <w:szCs w:val="30"/>
        </w:rPr>
        <w:t xml:space="preserve"> </w:t>
      </w:r>
      <w:r w:rsidR="00B85359" w:rsidRPr="005948DE">
        <w:rPr>
          <w:rFonts w:ascii="Times New Roman" w:hAnsi="Times New Roman" w:cs="Times New Roman"/>
          <w:smallCaps w:val="0"/>
          <w:color w:val="auto"/>
          <w:sz w:val="30"/>
          <w:szCs w:val="30"/>
        </w:rPr>
        <w:t>DESCRIPTION</w:t>
      </w:r>
      <w:r w:rsidR="006346FE" w:rsidRPr="005948DE">
        <w:rPr>
          <w:rFonts w:ascii="Times New Roman" w:hAnsi="Times New Roman" w:cs="Times New Roman"/>
          <w:smallCaps w:val="0"/>
          <w:color w:val="auto"/>
          <w:sz w:val="30"/>
          <w:szCs w:val="30"/>
        </w:rPr>
        <w:t>, OBJECTIVES AND INDICATORS</w:t>
      </w:r>
      <w:bookmarkEnd w:id="35"/>
      <w:r w:rsidR="006346FE" w:rsidRPr="005948DE">
        <w:rPr>
          <w:rFonts w:ascii="Times New Roman" w:hAnsi="Times New Roman" w:cs="Times New Roman"/>
          <w:smallCaps w:val="0"/>
          <w:color w:val="auto"/>
          <w:sz w:val="30"/>
          <w:szCs w:val="30"/>
        </w:rPr>
        <w:t xml:space="preserve"> </w:t>
      </w:r>
    </w:p>
    <w:p w14:paraId="6D736D99" w14:textId="751003FA" w:rsidR="00311213" w:rsidRPr="005948DE" w:rsidRDefault="00311213"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36" w:name="_Toc93342209"/>
      <w:bookmarkStart w:id="37" w:name="_Toc324499903"/>
      <w:bookmarkStart w:id="38" w:name="_Toc409617857"/>
      <w:bookmarkStart w:id="39" w:name="_Toc413926286"/>
      <w:bookmarkStart w:id="40" w:name="_Toc447615228"/>
      <w:bookmarkStart w:id="41" w:name="_Toc455741817"/>
      <w:bookmarkStart w:id="42" w:name="_Toc455742130"/>
      <w:r w:rsidRPr="005948DE">
        <w:rPr>
          <w:rFonts w:ascii="Times New Roman" w:hAnsi="Times New Roman" w:cs="Times New Roman"/>
          <w:smallCaps w:val="0"/>
          <w:color w:val="auto"/>
          <w:sz w:val="24"/>
        </w:rPr>
        <w:t>Project De</w:t>
      </w:r>
      <w:r w:rsidR="00B85359" w:rsidRPr="005948DE">
        <w:rPr>
          <w:rFonts w:ascii="Times New Roman" w:hAnsi="Times New Roman" w:cs="Times New Roman"/>
          <w:smallCaps w:val="0"/>
          <w:color w:val="auto"/>
          <w:sz w:val="24"/>
        </w:rPr>
        <w:t>scription</w:t>
      </w:r>
      <w:bookmarkEnd w:id="36"/>
    </w:p>
    <w:p w14:paraId="3855A02A" w14:textId="2927EC56" w:rsidR="005F0E0D" w:rsidRPr="005948DE" w:rsidRDefault="005F0E0D" w:rsidP="005948DE">
      <w:pPr>
        <w:tabs>
          <w:tab w:val="left" w:pos="3402"/>
        </w:tabs>
        <w:spacing w:after="120" w:line="276" w:lineRule="auto"/>
        <w:jc w:val="both"/>
        <w:rPr>
          <w:rFonts w:ascii="Times New Roman" w:eastAsia="Calibri" w:hAnsi="Times New Roman" w:cs="Times New Roman"/>
          <w:color w:val="000000" w:themeColor="text1"/>
        </w:rPr>
      </w:pPr>
      <w:r w:rsidRPr="005948DE">
        <w:rPr>
          <w:rFonts w:ascii="Times New Roman" w:eastAsia="Calibri" w:hAnsi="Times New Roman" w:cs="Times New Roman"/>
          <w:bCs/>
          <w:color w:val="000000" w:themeColor="text1"/>
        </w:rPr>
        <w:t xml:space="preserve">The objective of the </w:t>
      </w:r>
      <w:r w:rsidR="00841B83" w:rsidRPr="005948DE">
        <w:rPr>
          <w:rFonts w:ascii="Times New Roman" w:eastAsia="Calibri" w:hAnsi="Times New Roman" w:cs="Times New Roman"/>
          <w:bCs/>
          <w:color w:val="000000" w:themeColor="text1"/>
        </w:rPr>
        <w:t>P</w:t>
      </w:r>
      <w:r w:rsidRPr="005948DE">
        <w:rPr>
          <w:rFonts w:ascii="Times New Roman" w:eastAsia="Calibri" w:hAnsi="Times New Roman" w:cs="Times New Roman"/>
          <w:bCs/>
          <w:color w:val="000000" w:themeColor="text1"/>
        </w:rPr>
        <w:t xml:space="preserve">roject is to improve </w:t>
      </w:r>
      <w:r w:rsidR="0016735C">
        <w:rPr>
          <w:rFonts w:ascii="Times New Roman" w:eastAsia="Calibri" w:hAnsi="Times New Roman" w:cs="Times New Roman"/>
          <w:bCs/>
          <w:color w:val="000000" w:themeColor="text1"/>
        </w:rPr>
        <w:t xml:space="preserve">the </w:t>
      </w:r>
      <w:r w:rsidR="001F4367" w:rsidRPr="005948DE">
        <w:rPr>
          <w:rFonts w:ascii="Times New Roman" w:hAnsi="Times New Roman" w:cs="Times New Roman"/>
          <w:color w:val="000000" w:themeColor="text1"/>
        </w:rPr>
        <w:t>LSG</w:t>
      </w:r>
      <w:r w:rsidR="00DC14D9" w:rsidRPr="005948DE">
        <w:rPr>
          <w:rFonts w:ascii="Times New Roman" w:hAnsi="Times New Roman" w:cs="Times New Roman"/>
          <w:color w:val="000000" w:themeColor="text1"/>
        </w:rPr>
        <w:t>s</w:t>
      </w:r>
      <w:r w:rsidRPr="005948DE">
        <w:rPr>
          <w:rFonts w:ascii="Times New Roman" w:eastAsia="Calibri" w:hAnsi="Times New Roman" w:cs="Times New Roman"/>
          <w:bCs/>
          <w:color w:val="000000" w:themeColor="text1"/>
        </w:rPr>
        <w:t xml:space="preserve"> capacity to </w:t>
      </w:r>
      <w:r w:rsidRPr="005948DE">
        <w:rPr>
          <w:rFonts w:ascii="Times New Roman" w:hAnsi="Times New Roman" w:cs="Times New Roman"/>
          <w:bCs/>
          <w:color w:val="000000" w:themeColor="text1"/>
        </w:rPr>
        <w:t xml:space="preserve">manage sustainable infrastructure </w:t>
      </w:r>
      <w:r w:rsidRPr="005948DE">
        <w:rPr>
          <w:rFonts w:ascii="Times New Roman" w:hAnsi="Times New Roman" w:cs="Times New Roman"/>
          <w:bCs/>
          <w:noProof/>
          <w:color w:val="000000" w:themeColor="text1"/>
        </w:rPr>
        <w:t xml:space="preserve">and improve access to economic and social opportunities in </w:t>
      </w:r>
      <w:r w:rsidR="00463055">
        <w:rPr>
          <w:rFonts w:ascii="Times New Roman" w:hAnsi="Times New Roman" w:cs="Times New Roman"/>
          <w:bCs/>
          <w:noProof/>
          <w:color w:val="000000" w:themeColor="text1"/>
        </w:rPr>
        <w:t xml:space="preserve">a </w:t>
      </w:r>
      <w:r w:rsidRPr="005948DE">
        <w:rPr>
          <w:rFonts w:ascii="Times New Roman" w:hAnsi="Times New Roman" w:cs="Times New Roman"/>
          <w:bCs/>
          <w:noProof/>
          <w:color w:val="000000" w:themeColor="text1"/>
        </w:rPr>
        <w:t>climate aware manner</w:t>
      </w:r>
      <w:r w:rsidRPr="005948DE">
        <w:rPr>
          <w:rFonts w:ascii="Times New Roman" w:eastAsia="Calibri" w:hAnsi="Times New Roman" w:cs="Times New Roman"/>
          <w:bCs/>
          <w:color w:val="000000" w:themeColor="text1"/>
        </w:rPr>
        <w:t xml:space="preserve">. </w:t>
      </w:r>
      <w:r w:rsidR="000B14F6" w:rsidRPr="005948DE">
        <w:rPr>
          <w:rFonts w:ascii="Times New Roman" w:eastAsia="Calibri" w:hAnsi="Times New Roman" w:cs="Times New Roman"/>
          <w:bCs/>
          <w:color w:val="000000" w:themeColor="text1"/>
        </w:rPr>
        <w:t xml:space="preserve">Much of the burden for delivering on the </w:t>
      </w:r>
      <w:r w:rsidR="00463055">
        <w:rPr>
          <w:rFonts w:ascii="Times New Roman" w:eastAsia="Calibri" w:hAnsi="Times New Roman" w:cs="Times New Roman"/>
          <w:bCs/>
          <w:color w:val="000000" w:themeColor="text1"/>
        </w:rPr>
        <w:t>G</w:t>
      </w:r>
      <w:r w:rsidR="00463055" w:rsidRPr="005948DE">
        <w:rPr>
          <w:rFonts w:ascii="Times New Roman" w:eastAsia="Calibri" w:hAnsi="Times New Roman" w:cs="Times New Roman"/>
          <w:bCs/>
          <w:color w:val="000000" w:themeColor="text1"/>
        </w:rPr>
        <w:t xml:space="preserve">reen </w:t>
      </w:r>
      <w:r w:rsidR="000B14F6" w:rsidRPr="005948DE">
        <w:rPr>
          <w:rFonts w:ascii="Times New Roman" w:eastAsia="Calibri" w:hAnsi="Times New Roman" w:cs="Times New Roman"/>
          <w:bCs/>
          <w:color w:val="000000" w:themeColor="text1"/>
        </w:rPr>
        <w:t>commitments of the Sofia Declaration</w:t>
      </w:r>
      <w:r w:rsidR="0016735C">
        <w:rPr>
          <w:rFonts w:ascii="Times New Roman" w:eastAsia="Calibri" w:hAnsi="Times New Roman" w:cs="Times New Roman"/>
          <w:bCs/>
          <w:color w:val="000000" w:themeColor="text1"/>
        </w:rPr>
        <w:t xml:space="preserve"> signed by the GoS</w:t>
      </w:r>
      <w:r w:rsidR="000B14F6" w:rsidRPr="005948DE">
        <w:rPr>
          <w:rFonts w:ascii="Times New Roman" w:eastAsia="Calibri" w:hAnsi="Times New Roman" w:cs="Times New Roman"/>
          <w:bCs/>
          <w:color w:val="000000" w:themeColor="text1"/>
        </w:rPr>
        <w:t xml:space="preserve"> will fall to </w:t>
      </w:r>
      <w:r w:rsidR="0016735C">
        <w:rPr>
          <w:rFonts w:ascii="Times New Roman" w:eastAsia="Calibri" w:hAnsi="Times New Roman" w:cs="Times New Roman"/>
          <w:bCs/>
          <w:color w:val="000000" w:themeColor="text1"/>
        </w:rPr>
        <w:t xml:space="preserve">the </w:t>
      </w:r>
      <w:r w:rsidR="000B14F6" w:rsidRPr="005948DE">
        <w:rPr>
          <w:rFonts w:ascii="Times New Roman" w:eastAsia="Calibri" w:hAnsi="Times New Roman" w:cs="Times New Roman"/>
          <w:bCs/>
          <w:color w:val="000000" w:themeColor="text1"/>
        </w:rPr>
        <w:t xml:space="preserve">LSGs who already struggle with infrastructure in need of renewal and increasing environmental pollution. </w:t>
      </w:r>
      <w:r w:rsidRPr="005948DE">
        <w:rPr>
          <w:rFonts w:ascii="Times New Roman" w:eastAsia="Calibri" w:hAnsi="Times New Roman" w:cs="Times New Roman"/>
          <w:color w:val="000000" w:themeColor="text1"/>
        </w:rPr>
        <w:t>The Project will be a mixture of investment and technical assistance</w:t>
      </w:r>
      <w:r w:rsidR="00E27FDF">
        <w:rPr>
          <w:rFonts w:ascii="Times New Roman" w:eastAsia="Calibri" w:hAnsi="Times New Roman" w:cs="Times New Roman"/>
          <w:color w:val="000000" w:themeColor="text1"/>
        </w:rPr>
        <w:t xml:space="preserve"> (TA)</w:t>
      </w:r>
      <w:r w:rsidRPr="005948DE">
        <w:rPr>
          <w:rFonts w:ascii="Times New Roman" w:eastAsia="Calibri" w:hAnsi="Times New Roman" w:cs="Times New Roman"/>
          <w:color w:val="000000" w:themeColor="text1"/>
        </w:rPr>
        <w:t xml:space="preserve"> to boost </w:t>
      </w:r>
      <w:r w:rsidR="00463055">
        <w:rPr>
          <w:rFonts w:ascii="Times New Roman" w:eastAsia="Calibri" w:hAnsi="Times New Roman" w:cs="Times New Roman"/>
          <w:color w:val="000000" w:themeColor="text1"/>
        </w:rPr>
        <w:t>G</w:t>
      </w:r>
      <w:r w:rsidR="00463055" w:rsidRPr="005948DE">
        <w:rPr>
          <w:rFonts w:ascii="Times New Roman" w:eastAsia="Calibri" w:hAnsi="Times New Roman" w:cs="Times New Roman"/>
          <w:color w:val="000000" w:themeColor="text1"/>
        </w:rPr>
        <w:t xml:space="preserve">reen </w:t>
      </w:r>
      <w:r w:rsidRPr="005948DE">
        <w:rPr>
          <w:rFonts w:ascii="Times New Roman" w:eastAsia="Calibri" w:hAnsi="Times New Roman" w:cs="Times New Roman"/>
          <w:color w:val="000000" w:themeColor="text1"/>
        </w:rPr>
        <w:t xml:space="preserve">and inclusive infrastructure service delivery at the local level, including the implementation of the relevant </w:t>
      </w:r>
      <w:r w:rsidR="0028266E">
        <w:rPr>
          <w:rFonts w:ascii="Times New Roman" w:eastAsia="Calibri" w:hAnsi="Times New Roman" w:cs="Times New Roman"/>
          <w:color w:val="000000" w:themeColor="text1"/>
        </w:rPr>
        <w:t>measures</w:t>
      </w:r>
      <w:r w:rsidR="0028266E" w:rsidRPr="005948DE">
        <w:rPr>
          <w:rFonts w:ascii="Times New Roman" w:eastAsia="Calibri" w:hAnsi="Times New Roman" w:cs="Times New Roman"/>
          <w:color w:val="000000" w:themeColor="text1"/>
        </w:rPr>
        <w:t xml:space="preserve"> </w:t>
      </w:r>
      <w:r w:rsidRPr="005948DE">
        <w:rPr>
          <w:rFonts w:ascii="Times New Roman" w:eastAsia="Calibri" w:hAnsi="Times New Roman" w:cs="Times New Roman"/>
          <w:color w:val="000000" w:themeColor="text1"/>
        </w:rPr>
        <w:t>of S</w:t>
      </w:r>
      <w:r w:rsidR="007B58AF" w:rsidRPr="005948DE">
        <w:rPr>
          <w:rFonts w:ascii="Times New Roman" w:eastAsia="Calibri" w:hAnsi="Times New Roman" w:cs="Times New Roman"/>
          <w:color w:val="000000" w:themeColor="text1"/>
        </w:rPr>
        <w:t xml:space="preserve">ustainable </w:t>
      </w:r>
      <w:r w:rsidRPr="005948DE">
        <w:rPr>
          <w:rFonts w:ascii="Times New Roman" w:eastAsia="Calibri" w:hAnsi="Times New Roman" w:cs="Times New Roman"/>
          <w:color w:val="000000" w:themeColor="text1"/>
        </w:rPr>
        <w:t>U</w:t>
      </w:r>
      <w:r w:rsidR="007B58AF" w:rsidRPr="005948DE">
        <w:rPr>
          <w:rFonts w:ascii="Times New Roman" w:eastAsia="Calibri" w:hAnsi="Times New Roman" w:cs="Times New Roman"/>
          <w:color w:val="000000" w:themeColor="text1"/>
        </w:rPr>
        <w:t xml:space="preserve">rban </w:t>
      </w:r>
      <w:r w:rsidRPr="005948DE">
        <w:rPr>
          <w:rFonts w:ascii="Times New Roman" w:eastAsia="Calibri" w:hAnsi="Times New Roman" w:cs="Times New Roman"/>
          <w:color w:val="000000" w:themeColor="text1"/>
        </w:rPr>
        <w:t>D</w:t>
      </w:r>
      <w:r w:rsidR="007B58AF" w:rsidRPr="005948DE">
        <w:rPr>
          <w:rFonts w:ascii="Times New Roman" w:eastAsia="Calibri" w:hAnsi="Times New Roman" w:cs="Times New Roman"/>
          <w:color w:val="000000" w:themeColor="text1"/>
        </w:rPr>
        <w:t>evelopment Strategy (SUDS)</w:t>
      </w:r>
      <w:r w:rsidRPr="005948DE">
        <w:rPr>
          <w:rFonts w:ascii="Times New Roman" w:eastAsia="Calibri" w:hAnsi="Times New Roman" w:cs="Times New Roman"/>
          <w:color w:val="000000" w:themeColor="text1"/>
        </w:rPr>
        <w:t>. The Project will focus on strengthening capacities and technical approaches to implement existing regulatory, planning, and legal frameworks.</w:t>
      </w:r>
      <w:r w:rsidRPr="005948DE">
        <w:rPr>
          <w:rFonts w:ascii="Times New Roman" w:eastAsia="Calibri" w:hAnsi="Times New Roman" w:cs="Times New Roman"/>
          <w:bCs/>
          <w:color w:val="000000" w:themeColor="text1"/>
        </w:rPr>
        <w:t xml:space="preserve"> </w:t>
      </w:r>
      <w:r w:rsidRPr="005948DE">
        <w:rPr>
          <w:rFonts w:ascii="Times New Roman" w:eastAsia="Calibri" w:hAnsi="Times New Roman" w:cs="Times New Roman"/>
          <w:color w:val="000000" w:themeColor="text1"/>
        </w:rPr>
        <w:t xml:space="preserve">Investments will focus on improving integrated mobility infrastructure and overall resilience of </w:t>
      </w:r>
      <w:r w:rsidR="001F4367" w:rsidRPr="005948DE">
        <w:rPr>
          <w:rFonts w:ascii="Times New Roman" w:hAnsi="Times New Roman" w:cs="Times New Roman"/>
          <w:color w:val="000000" w:themeColor="text1"/>
        </w:rPr>
        <w:t>LSG</w:t>
      </w:r>
      <w:r w:rsidR="00DC14D9" w:rsidRPr="005948DE">
        <w:rPr>
          <w:rFonts w:ascii="Times New Roman" w:hAnsi="Times New Roman" w:cs="Times New Roman"/>
          <w:color w:val="000000" w:themeColor="text1"/>
        </w:rPr>
        <w:t>s</w:t>
      </w:r>
      <w:r w:rsidRPr="005948DE">
        <w:rPr>
          <w:rFonts w:ascii="Times New Roman" w:eastAsia="Calibri" w:hAnsi="Times New Roman" w:cs="Times New Roman"/>
          <w:color w:val="000000" w:themeColor="text1"/>
        </w:rPr>
        <w:t>.</w:t>
      </w:r>
      <w:r w:rsidR="00710F8B" w:rsidRPr="005948DE">
        <w:rPr>
          <w:rFonts w:ascii="Times New Roman" w:eastAsia="Calibri" w:hAnsi="Times New Roman" w:cs="Times New Roman"/>
          <w:color w:val="000000" w:themeColor="text1"/>
        </w:rPr>
        <w:t xml:space="preserve"> </w:t>
      </w:r>
    </w:p>
    <w:p w14:paraId="538CCC11" w14:textId="7BA26299" w:rsidR="00DC14D9" w:rsidRPr="005948DE" w:rsidRDefault="005F0E0D" w:rsidP="005948DE">
      <w:pPr>
        <w:spacing w:after="120" w:line="276" w:lineRule="auto"/>
        <w:jc w:val="both"/>
        <w:rPr>
          <w:rFonts w:ascii="Times New Roman" w:eastAsia="Arial" w:hAnsi="Times New Roman" w:cs="Times New Roman"/>
          <w:bCs/>
          <w:color w:val="FF9900"/>
          <w:szCs w:val="24"/>
          <w:lang w:eastAsia="ar-SA"/>
        </w:rPr>
      </w:pPr>
      <w:r w:rsidRPr="005948DE">
        <w:rPr>
          <w:rFonts w:ascii="Times New Roman" w:hAnsi="Times New Roman" w:cs="Times New Roman"/>
          <w:bCs/>
          <w:color w:val="000000" w:themeColor="text1"/>
        </w:rPr>
        <w:t xml:space="preserve">The </w:t>
      </w:r>
      <w:r w:rsidR="00DC14D9" w:rsidRPr="005948DE">
        <w:rPr>
          <w:rFonts w:ascii="Times New Roman" w:hAnsi="Times New Roman" w:cs="Times New Roman"/>
          <w:bCs/>
          <w:color w:val="000000" w:themeColor="text1"/>
        </w:rPr>
        <w:t>Project will</w:t>
      </w:r>
      <w:r w:rsidR="00DC14D9" w:rsidRPr="005948DE">
        <w:rPr>
          <w:rFonts w:ascii="Times New Roman" w:eastAsia="Arial" w:hAnsi="Times New Roman" w:cs="Times New Roman"/>
          <w:color w:val="000000" w:themeColor="text1"/>
          <w:lang w:eastAsia="ar-SA"/>
        </w:rPr>
        <w:t xml:space="preserve"> o</w:t>
      </w:r>
      <w:r w:rsidRPr="005948DE">
        <w:rPr>
          <w:rFonts w:ascii="Times New Roman" w:eastAsia="Arial" w:hAnsi="Times New Roman" w:cs="Times New Roman"/>
          <w:color w:val="000000" w:themeColor="text1"/>
          <w:lang w:eastAsia="ar-SA"/>
        </w:rPr>
        <w:t>pen a path for a long-term engagement in support of LSGs in Serbia. It will inform the development of a policy and investment framework that can be strengthened over time, allow the Bank and other development partners to contribute</w:t>
      </w:r>
      <w:r w:rsidR="00463055">
        <w:rPr>
          <w:rFonts w:ascii="Times New Roman" w:eastAsia="Arial" w:hAnsi="Times New Roman" w:cs="Times New Roman"/>
          <w:color w:val="000000" w:themeColor="text1"/>
          <w:lang w:eastAsia="ar-SA"/>
        </w:rPr>
        <w:t>,</w:t>
      </w:r>
      <w:r w:rsidRPr="005948DE">
        <w:rPr>
          <w:rFonts w:ascii="Times New Roman" w:eastAsia="Arial" w:hAnsi="Times New Roman" w:cs="Times New Roman"/>
          <w:color w:val="000000" w:themeColor="text1"/>
          <w:lang w:eastAsia="ar-SA"/>
        </w:rPr>
        <w:t xml:space="preserve"> and ultimately support</w:t>
      </w:r>
      <w:r w:rsidR="00463055">
        <w:rPr>
          <w:rFonts w:ascii="Times New Roman" w:eastAsia="Arial" w:hAnsi="Times New Roman" w:cs="Times New Roman"/>
          <w:color w:val="000000" w:themeColor="text1"/>
          <w:lang w:eastAsia="ar-SA"/>
        </w:rPr>
        <w:t xml:space="preserve">, </w:t>
      </w:r>
      <w:r w:rsidR="0016735C">
        <w:rPr>
          <w:rFonts w:ascii="Times New Roman" w:eastAsia="Arial" w:hAnsi="Times New Roman" w:cs="Times New Roman"/>
          <w:color w:val="000000" w:themeColor="text1"/>
          <w:lang w:eastAsia="ar-SA"/>
        </w:rPr>
        <w:t xml:space="preserve">Serbia’s </w:t>
      </w:r>
      <w:r w:rsidRPr="005948DE">
        <w:rPr>
          <w:rFonts w:ascii="Times New Roman" w:eastAsia="Arial" w:hAnsi="Times New Roman" w:cs="Times New Roman"/>
          <w:color w:val="000000" w:themeColor="text1"/>
          <w:lang w:eastAsia="ar-SA"/>
        </w:rPr>
        <w:t>E</w:t>
      </w:r>
      <w:r w:rsidR="0016735C">
        <w:rPr>
          <w:rFonts w:ascii="Times New Roman" w:eastAsia="Arial" w:hAnsi="Times New Roman" w:cs="Times New Roman"/>
          <w:color w:val="000000" w:themeColor="text1"/>
          <w:lang w:eastAsia="ar-SA"/>
        </w:rPr>
        <w:t xml:space="preserve">uropean </w:t>
      </w:r>
      <w:r w:rsidRPr="005948DE">
        <w:rPr>
          <w:rFonts w:ascii="Times New Roman" w:eastAsia="Arial" w:hAnsi="Times New Roman" w:cs="Times New Roman"/>
          <w:color w:val="000000" w:themeColor="text1"/>
          <w:lang w:eastAsia="ar-SA"/>
        </w:rPr>
        <w:t>U</w:t>
      </w:r>
      <w:r w:rsidR="0016735C">
        <w:rPr>
          <w:rFonts w:ascii="Times New Roman" w:eastAsia="Arial" w:hAnsi="Times New Roman" w:cs="Times New Roman"/>
          <w:color w:val="000000" w:themeColor="text1"/>
          <w:lang w:eastAsia="ar-SA"/>
        </w:rPr>
        <w:t>nion (EU)</w:t>
      </w:r>
      <w:r w:rsidRPr="005948DE">
        <w:rPr>
          <w:rFonts w:ascii="Times New Roman" w:eastAsia="Arial" w:hAnsi="Times New Roman" w:cs="Times New Roman"/>
          <w:color w:val="000000" w:themeColor="text1"/>
          <w:lang w:eastAsia="ar-SA"/>
        </w:rPr>
        <w:t xml:space="preserve"> accession and improved absorption of funds. It is designed in a manner that could absorb resources from other donors and also extend the sectorial coverage above and beyond local roads and mobility. </w:t>
      </w:r>
    </w:p>
    <w:p w14:paraId="79B626AF" w14:textId="4509697C" w:rsidR="00E41045" w:rsidRPr="005948DE" w:rsidRDefault="00DC14D9"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bCs/>
          <w:color w:val="000000" w:themeColor="text1"/>
        </w:rPr>
        <w:t>The Project will p</w:t>
      </w:r>
      <w:r w:rsidR="005F0E0D" w:rsidRPr="005948DE">
        <w:rPr>
          <w:rFonts w:ascii="Times New Roman" w:hAnsi="Times New Roman" w:cs="Times New Roman"/>
          <w:bCs/>
          <w:color w:val="000000" w:themeColor="text1"/>
        </w:rPr>
        <w:t xml:space="preserve">rovide investments and technical support for sustainable improvement of local roads and mobility and overall resilience of </w:t>
      </w:r>
      <w:r w:rsidR="0016735C">
        <w:rPr>
          <w:rFonts w:ascii="Times New Roman" w:hAnsi="Times New Roman" w:cs="Times New Roman"/>
          <w:bCs/>
          <w:color w:val="000000" w:themeColor="text1"/>
        </w:rPr>
        <w:t xml:space="preserve">the </w:t>
      </w:r>
      <w:r w:rsidR="001F4367" w:rsidRPr="005948DE">
        <w:rPr>
          <w:rFonts w:ascii="Times New Roman" w:hAnsi="Times New Roman" w:cs="Times New Roman"/>
          <w:bCs/>
          <w:color w:val="000000" w:themeColor="text1"/>
        </w:rPr>
        <w:t>LSG</w:t>
      </w:r>
      <w:r w:rsidRPr="005948DE">
        <w:rPr>
          <w:rFonts w:ascii="Times New Roman" w:hAnsi="Times New Roman" w:cs="Times New Roman"/>
          <w:bCs/>
          <w:color w:val="000000" w:themeColor="text1"/>
        </w:rPr>
        <w:t>s</w:t>
      </w:r>
      <w:r w:rsidR="003860C1" w:rsidRPr="005948DE">
        <w:rPr>
          <w:rFonts w:ascii="Times New Roman" w:hAnsi="Times New Roman" w:cs="Times New Roman"/>
          <w:bCs/>
          <w:color w:val="000000" w:themeColor="text1"/>
        </w:rPr>
        <w:t xml:space="preserve"> since the responsibility for implementation of the central Component to this Project</w:t>
      </w:r>
      <w:r w:rsidR="00033F93">
        <w:rPr>
          <w:rFonts w:ascii="Times New Roman" w:hAnsi="Times New Roman" w:cs="Times New Roman"/>
          <w:bCs/>
          <w:color w:val="000000" w:themeColor="text1"/>
        </w:rPr>
        <w:t>, namely</w:t>
      </w:r>
      <w:r w:rsidR="003860C1" w:rsidRPr="005948DE">
        <w:rPr>
          <w:rFonts w:ascii="Times New Roman" w:hAnsi="Times New Roman" w:cs="Times New Roman"/>
          <w:bCs/>
          <w:color w:val="000000" w:themeColor="text1"/>
        </w:rPr>
        <w:t xml:space="preserve"> Component 1 (Climate Smart </w:t>
      </w:r>
      <w:r w:rsidR="0016735C">
        <w:rPr>
          <w:rFonts w:ascii="Times New Roman" w:hAnsi="Times New Roman" w:cs="Times New Roman"/>
          <w:bCs/>
          <w:color w:val="000000" w:themeColor="text1"/>
        </w:rPr>
        <w:t>M</w:t>
      </w:r>
      <w:r w:rsidR="0016735C" w:rsidRPr="005948DE">
        <w:rPr>
          <w:rFonts w:ascii="Times New Roman" w:hAnsi="Times New Roman" w:cs="Times New Roman"/>
          <w:bCs/>
          <w:color w:val="000000" w:themeColor="text1"/>
        </w:rPr>
        <w:t>obility</w:t>
      </w:r>
      <w:r w:rsidR="003860C1" w:rsidRPr="005948DE">
        <w:rPr>
          <w:rFonts w:ascii="Times New Roman" w:hAnsi="Times New Roman" w:cs="Times New Roman"/>
          <w:bCs/>
          <w:color w:val="000000" w:themeColor="text1"/>
        </w:rPr>
        <w:t xml:space="preserve">), will be the responsibility of the LSGs </w:t>
      </w:r>
      <w:r w:rsidR="00033F93">
        <w:rPr>
          <w:rFonts w:ascii="Times New Roman" w:hAnsi="Times New Roman" w:cs="Times New Roman"/>
          <w:bCs/>
          <w:color w:val="000000" w:themeColor="text1"/>
        </w:rPr>
        <w:t xml:space="preserve">- </w:t>
      </w:r>
      <w:r w:rsidR="003860C1" w:rsidRPr="005948DE">
        <w:rPr>
          <w:rFonts w:ascii="Times New Roman" w:hAnsi="Times New Roman" w:cs="Times New Roman"/>
          <w:bCs/>
          <w:color w:val="000000" w:themeColor="text1"/>
        </w:rPr>
        <w:t>from planning, through procurement, implementation</w:t>
      </w:r>
      <w:r w:rsidR="00033F93">
        <w:rPr>
          <w:rFonts w:ascii="Times New Roman" w:hAnsi="Times New Roman" w:cs="Times New Roman"/>
          <w:bCs/>
          <w:color w:val="000000" w:themeColor="text1"/>
        </w:rPr>
        <w:t>,</w:t>
      </w:r>
      <w:r w:rsidR="003860C1" w:rsidRPr="005948DE">
        <w:rPr>
          <w:rFonts w:ascii="Times New Roman" w:hAnsi="Times New Roman" w:cs="Times New Roman"/>
          <w:bCs/>
          <w:color w:val="000000" w:themeColor="text1"/>
        </w:rPr>
        <w:t xml:space="preserve"> monitoring and evaluation. The LSG</w:t>
      </w:r>
      <w:r w:rsidR="00033F93">
        <w:rPr>
          <w:rFonts w:ascii="Times New Roman" w:hAnsi="Times New Roman" w:cs="Times New Roman"/>
          <w:bCs/>
          <w:color w:val="000000" w:themeColor="text1"/>
        </w:rPr>
        <w:t>s</w:t>
      </w:r>
      <w:r w:rsidR="003860C1" w:rsidRPr="005948DE">
        <w:rPr>
          <w:rFonts w:ascii="Times New Roman" w:hAnsi="Times New Roman" w:cs="Times New Roman"/>
          <w:bCs/>
          <w:color w:val="000000" w:themeColor="text1"/>
        </w:rPr>
        <w:t xml:space="preserve"> will receive advice from the CFU and hands-on training, support and guidance from the PIU. This </w:t>
      </w:r>
      <w:r w:rsidR="00033F93">
        <w:rPr>
          <w:rFonts w:ascii="Times New Roman" w:hAnsi="Times New Roman" w:cs="Times New Roman"/>
          <w:bCs/>
          <w:color w:val="000000" w:themeColor="text1"/>
        </w:rPr>
        <w:t>Green I</w:t>
      </w:r>
      <w:r w:rsidR="00033F93" w:rsidRPr="005948DE">
        <w:rPr>
          <w:rFonts w:ascii="Times New Roman" w:hAnsi="Times New Roman" w:cs="Times New Roman"/>
          <w:bCs/>
          <w:color w:val="000000" w:themeColor="text1"/>
        </w:rPr>
        <w:t xml:space="preserve">nfrastructure </w:t>
      </w:r>
      <w:r w:rsidR="005F0E0D" w:rsidRPr="005948DE">
        <w:rPr>
          <w:rFonts w:ascii="Times New Roman" w:hAnsi="Times New Roman" w:cs="Times New Roman"/>
          <w:bCs/>
          <w:color w:val="000000" w:themeColor="text1"/>
        </w:rPr>
        <w:t xml:space="preserve">investment will be supported by improved transport asset management and concepts of </w:t>
      </w:r>
      <w:r w:rsidR="00033F93">
        <w:rPr>
          <w:rFonts w:ascii="Times New Roman" w:hAnsi="Times New Roman" w:cs="Times New Roman"/>
          <w:bCs/>
          <w:color w:val="000000" w:themeColor="text1"/>
        </w:rPr>
        <w:t>B</w:t>
      </w:r>
      <w:r w:rsidR="00033F93" w:rsidRPr="005948DE">
        <w:rPr>
          <w:rFonts w:ascii="Times New Roman" w:hAnsi="Times New Roman" w:cs="Times New Roman"/>
          <w:bCs/>
          <w:color w:val="000000" w:themeColor="text1"/>
        </w:rPr>
        <w:t xml:space="preserve">uilding </w:t>
      </w:r>
      <w:r w:rsidR="00033F93">
        <w:rPr>
          <w:rFonts w:ascii="Times New Roman" w:hAnsi="Times New Roman" w:cs="Times New Roman"/>
          <w:bCs/>
          <w:color w:val="000000" w:themeColor="text1"/>
        </w:rPr>
        <w:t>B</w:t>
      </w:r>
      <w:r w:rsidR="00033F93" w:rsidRPr="005948DE">
        <w:rPr>
          <w:rFonts w:ascii="Times New Roman" w:hAnsi="Times New Roman" w:cs="Times New Roman"/>
          <w:bCs/>
          <w:color w:val="000000" w:themeColor="text1"/>
        </w:rPr>
        <w:t xml:space="preserve">ack </w:t>
      </w:r>
      <w:r w:rsidR="00033F93">
        <w:rPr>
          <w:rFonts w:ascii="Times New Roman" w:hAnsi="Times New Roman" w:cs="Times New Roman"/>
          <w:bCs/>
          <w:color w:val="000000" w:themeColor="text1"/>
        </w:rPr>
        <w:t>B</w:t>
      </w:r>
      <w:r w:rsidR="00033F93" w:rsidRPr="005948DE">
        <w:rPr>
          <w:rFonts w:ascii="Times New Roman" w:hAnsi="Times New Roman" w:cs="Times New Roman"/>
          <w:bCs/>
          <w:color w:val="000000" w:themeColor="text1"/>
        </w:rPr>
        <w:t>etter</w:t>
      </w:r>
      <w:r w:rsidR="005F0E0D" w:rsidRPr="005948DE">
        <w:rPr>
          <w:rFonts w:ascii="Times New Roman" w:hAnsi="Times New Roman" w:cs="Times New Roman"/>
          <w:bCs/>
          <w:color w:val="000000" w:themeColor="text1"/>
        </w:rPr>
        <w:t xml:space="preserve">, </w:t>
      </w:r>
      <w:r w:rsidR="00D23E88" w:rsidRPr="005948DE">
        <w:rPr>
          <w:rFonts w:ascii="Times New Roman" w:hAnsi="Times New Roman" w:cs="Times New Roman"/>
          <w:bCs/>
          <w:color w:val="000000" w:themeColor="text1"/>
        </w:rPr>
        <w:t>and,</w:t>
      </w:r>
      <w:r w:rsidR="005F0E0D" w:rsidRPr="005948DE">
        <w:rPr>
          <w:rFonts w:ascii="Times New Roman" w:hAnsi="Times New Roman" w:cs="Times New Roman"/>
          <w:bCs/>
          <w:color w:val="000000" w:themeColor="text1"/>
        </w:rPr>
        <w:t xml:space="preserve"> inclusion, </w:t>
      </w:r>
      <w:r w:rsidR="0016735C">
        <w:rPr>
          <w:rFonts w:ascii="Times New Roman" w:hAnsi="Times New Roman" w:cs="Times New Roman"/>
          <w:bCs/>
          <w:color w:val="000000" w:themeColor="text1"/>
        </w:rPr>
        <w:t xml:space="preserve">natural </w:t>
      </w:r>
      <w:r w:rsidR="005F0E0D" w:rsidRPr="005948DE">
        <w:rPr>
          <w:rFonts w:ascii="Times New Roman" w:hAnsi="Times New Roman" w:cs="Times New Roman"/>
          <w:bCs/>
          <w:color w:val="000000" w:themeColor="text1"/>
        </w:rPr>
        <w:t xml:space="preserve">based design, decarbonization of the economy and creating a cleaner living environment. The Project will support </w:t>
      </w:r>
      <w:r w:rsidR="00033F93">
        <w:rPr>
          <w:rFonts w:ascii="Times New Roman" w:hAnsi="Times New Roman" w:cs="Times New Roman"/>
          <w:bCs/>
          <w:color w:val="000000" w:themeColor="text1"/>
        </w:rPr>
        <w:t xml:space="preserve">the </w:t>
      </w:r>
      <w:r w:rsidR="005F0E0D" w:rsidRPr="005948DE">
        <w:rPr>
          <w:rFonts w:ascii="Times New Roman" w:hAnsi="Times New Roman" w:cs="Times New Roman"/>
          <w:bCs/>
          <w:color w:val="000000" w:themeColor="text1"/>
        </w:rPr>
        <w:t xml:space="preserve">LSGs to improve mobility, accessibility, resilience, and safety and lower emissions, and therefore bring along incremental benefits vs. the business as usual without </w:t>
      </w:r>
      <w:r w:rsidR="0016735C">
        <w:rPr>
          <w:rFonts w:ascii="Times New Roman" w:hAnsi="Times New Roman" w:cs="Times New Roman"/>
          <w:bCs/>
          <w:color w:val="000000" w:themeColor="text1"/>
        </w:rPr>
        <w:t xml:space="preserve">the </w:t>
      </w:r>
      <w:r w:rsidR="005F0E0D" w:rsidRPr="005948DE">
        <w:rPr>
          <w:rFonts w:ascii="Times New Roman" w:hAnsi="Times New Roman" w:cs="Times New Roman"/>
          <w:bCs/>
          <w:color w:val="000000" w:themeColor="text1"/>
        </w:rPr>
        <w:t xml:space="preserve">Project. </w:t>
      </w:r>
    </w:p>
    <w:p w14:paraId="41A4A17B" w14:textId="536D20FF" w:rsidR="005F0E0D" w:rsidRPr="005948DE" w:rsidRDefault="00E41045" w:rsidP="005948DE">
      <w:pPr>
        <w:spacing w:after="120" w:line="276" w:lineRule="auto"/>
        <w:jc w:val="both"/>
        <w:rPr>
          <w:rFonts w:ascii="Times New Roman" w:hAnsi="Times New Roman" w:cs="Times New Roman"/>
          <w:bCs/>
          <w:color w:val="000000" w:themeColor="text1"/>
        </w:rPr>
      </w:pPr>
      <w:r w:rsidRPr="005948DE">
        <w:rPr>
          <w:rFonts w:ascii="Times New Roman" w:hAnsi="Times New Roman" w:cs="Times New Roman"/>
          <w:bCs/>
          <w:color w:val="000000" w:themeColor="text1"/>
        </w:rPr>
        <w:t>Through d</w:t>
      </w:r>
      <w:r w:rsidR="005F0E0D" w:rsidRPr="005948DE">
        <w:rPr>
          <w:rFonts w:ascii="Times New Roman" w:hAnsi="Times New Roman" w:cs="Times New Roman"/>
          <w:bCs/>
          <w:color w:val="000000" w:themeColor="text1"/>
        </w:rPr>
        <w:t>ecentralize</w:t>
      </w:r>
      <w:r w:rsidRPr="005948DE">
        <w:rPr>
          <w:rFonts w:ascii="Times New Roman" w:hAnsi="Times New Roman" w:cs="Times New Roman"/>
          <w:bCs/>
          <w:color w:val="000000" w:themeColor="text1"/>
        </w:rPr>
        <w:t>d</w:t>
      </w:r>
      <w:r w:rsidR="005F0E0D" w:rsidRPr="005948DE">
        <w:rPr>
          <w:rFonts w:ascii="Times New Roman" w:hAnsi="Times New Roman" w:cs="Times New Roman"/>
          <w:bCs/>
          <w:color w:val="000000" w:themeColor="text1"/>
        </w:rPr>
        <w:t xml:space="preserve"> implementation local capacities </w:t>
      </w:r>
      <w:r w:rsidRPr="005948DE">
        <w:rPr>
          <w:rFonts w:ascii="Times New Roman" w:hAnsi="Times New Roman" w:cs="Times New Roman"/>
          <w:bCs/>
          <w:color w:val="000000" w:themeColor="text1"/>
        </w:rPr>
        <w:t xml:space="preserve">shall be increased </w:t>
      </w:r>
      <w:r w:rsidR="005F0E0D" w:rsidRPr="005948DE">
        <w:rPr>
          <w:rFonts w:ascii="Times New Roman" w:hAnsi="Times New Roman" w:cs="Times New Roman"/>
          <w:bCs/>
          <w:color w:val="000000" w:themeColor="text1"/>
        </w:rPr>
        <w:t xml:space="preserve">in a sustainable manner, induce </w:t>
      </w:r>
      <w:r w:rsidR="00D57628" w:rsidRPr="005948DE">
        <w:rPr>
          <w:rFonts w:ascii="Times New Roman" w:hAnsi="Times New Roman" w:cs="Times New Roman"/>
          <w:bCs/>
          <w:color w:val="000000" w:themeColor="text1"/>
        </w:rPr>
        <w:t>spill over</w:t>
      </w:r>
      <w:r w:rsidR="005F0E0D" w:rsidRPr="005948DE">
        <w:rPr>
          <w:rFonts w:ascii="Times New Roman" w:hAnsi="Times New Roman" w:cs="Times New Roman"/>
          <w:bCs/>
          <w:color w:val="000000" w:themeColor="text1"/>
        </w:rPr>
        <w:t xml:space="preserve"> effect, and allow for high absorption of resources. </w:t>
      </w:r>
    </w:p>
    <w:p w14:paraId="63D3B869" w14:textId="4F08206F" w:rsidR="005F0E0D" w:rsidRPr="005948DE" w:rsidRDefault="005F0E0D" w:rsidP="005948DE">
      <w:pPr>
        <w:spacing w:after="120" w:line="276" w:lineRule="auto"/>
        <w:jc w:val="both"/>
        <w:rPr>
          <w:rFonts w:ascii="Times New Roman" w:hAnsi="Times New Roman" w:cs="Times New Roman"/>
          <w:bCs/>
          <w:color w:val="000000" w:themeColor="text1"/>
        </w:rPr>
      </w:pPr>
      <w:r w:rsidRPr="005948DE">
        <w:rPr>
          <w:rFonts w:ascii="Times New Roman" w:hAnsi="Times New Roman" w:cs="Times New Roman"/>
          <w:bCs/>
          <w:color w:val="000000" w:themeColor="text1"/>
        </w:rPr>
        <w:t xml:space="preserve">All works will be below the </w:t>
      </w:r>
      <w:r w:rsidR="00D064A8">
        <w:rPr>
          <w:rFonts w:ascii="Times New Roman" w:hAnsi="Times New Roman" w:cs="Times New Roman"/>
          <w:bCs/>
          <w:color w:val="000000" w:themeColor="text1"/>
        </w:rPr>
        <w:t xml:space="preserve">Bank’s </w:t>
      </w:r>
      <w:r w:rsidRPr="005948DE">
        <w:rPr>
          <w:rFonts w:ascii="Times New Roman" w:hAnsi="Times New Roman" w:cs="Times New Roman"/>
          <w:bCs/>
          <w:color w:val="000000" w:themeColor="text1"/>
        </w:rPr>
        <w:t xml:space="preserve">threshold for </w:t>
      </w:r>
      <w:r w:rsidR="000F40A7" w:rsidRPr="005948DE">
        <w:rPr>
          <w:rFonts w:ascii="Times New Roman" w:hAnsi="Times New Roman" w:cs="Times New Roman"/>
          <w:bCs/>
          <w:color w:val="000000" w:themeColor="text1"/>
        </w:rPr>
        <w:t xml:space="preserve">large </w:t>
      </w:r>
      <w:r w:rsidRPr="005948DE">
        <w:rPr>
          <w:rFonts w:ascii="Times New Roman" w:hAnsi="Times New Roman" w:cs="Times New Roman"/>
          <w:bCs/>
          <w:color w:val="000000" w:themeColor="text1"/>
        </w:rPr>
        <w:t xml:space="preserve">works, allowing for usage of national work </w:t>
      </w:r>
      <w:r w:rsidR="00FA7D98" w:rsidRPr="005948DE">
        <w:rPr>
          <w:rFonts w:ascii="Times New Roman" w:hAnsi="Times New Roman" w:cs="Times New Roman"/>
          <w:bCs/>
          <w:color w:val="000000" w:themeColor="text1"/>
        </w:rPr>
        <w:t>contracts.</w:t>
      </w:r>
      <w:r w:rsidRPr="005948DE">
        <w:rPr>
          <w:rFonts w:ascii="Times New Roman" w:hAnsi="Times New Roman" w:cs="Times New Roman"/>
          <w:bCs/>
          <w:color w:val="000000" w:themeColor="text1"/>
        </w:rPr>
        <w:t xml:space="preserve"> Size of the contracts and type of works will not be limited but will be such that construction works (excluding project preparation, consultation, bidding, etc.) can be finished within one construction season, reducing a risk of not absorbing the resources. Given that the LSGs annual expenditures on infrastructure are </w:t>
      </w:r>
      <w:r w:rsidR="00D064A8">
        <w:rPr>
          <w:rFonts w:ascii="Times New Roman" w:hAnsi="Times New Roman" w:cs="Times New Roman"/>
          <w:bCs/>
          <w:color w:val="000000" w:themeColor="text1"/>
        </w:rPr>
        <w:t>app</w:t>
      </w:r>
      <w:r w:rsidR="0016735C">
        <w:rPr>
          <w:rFonts w:ascii="Times New Roman" w:hAnsi="Times New Roman" w:cs="Times New Roman"/>
          <w:bCs/>
          <w:color w:val="000000" w:themeColor="text1"/>
        </w:rPr>
        <w:t>roximately</w:t>
      </w:r>
      <w:r w:rsidR="00D064A8">
        <w:rPr>
          <w:rFonts w:ascii="Times New Roman" w:hAnsi="Times New Roman" w:cs="Times New Roman"/>
          <w:bCs/>
          <w:color w:val="000000" w:themeColor="text1"/>
        </w:rPr>
        <w:t xml:space="preserve"> </w:t>
      </w:r>
      <w:r w:rsidRPr="005948DE">
        <w:rPr>
          <w:rFonts w:ascii="Times New Roman" w:hAnsi="Times New Roman" w:cs="Times New Roman"/>
          <w:bCs/>
          <w:color w:val="000000" w:themeColor="text1"/>
        </w:rPr>
        <w:t xml:space="preserve">EUR 450 million, the amount envisaged under the </w:t>
      </w:r>
      <w:r w:rsidR="00D064A8">
        <w:rPr>
          <w:rFonts w:ascii="Times New Roman" w:hAnsi="Times New Roman" w:cs="Times New Roman"/>
          <w:bCs/>
          <w:color w:val="000000" w:themeColor="text1"/>
        </w:rPr>
        <w:t>C</w:t>
      </w:r>
      <w:r w:rsidR="00D064A8" w:rsidRPr="005948DE">
        <w:rPr>
          <w:rFonts w:ascii="Times New Roman" w:hAnsi="Times New Roman" w:cs="Times New Roman"/>
          <w:bCs/>
          <w:color w:val="000000" w:themeColor="text1"/>
        </w:rPr>
        <w:t xml:space="preserve">omponent </w:t>
      </w:r>
      <w:r w:rsidRPr="005948DE">
        <w:rPr>
          <w:rFonts w:ascii="Times New Roman" w:hAnsi="Times New Roman" w:cs="Times New Roman"/>
          <w:bCs/>
          <w:color w:val="000000" w:themeColor="text1"/>
        </w:rPr>
        <w:t xml:space="preserve">will raise infrastructure investments by </w:t>
      </w:r>
      <w:r w:rsidR="004F16B2">
        <w:rPr>
          <w:rFonts w:ascii="Times New Roman" w:hAnsi="Times New Roman" w:cs="Times New Roman"/>
          <w:bCs/>
          <w:color w:val="000000" w:themeColor="text1"/>
        </w:rPr>
        <w:t xml:space="preserve">the </w:t>
      </w:r>
      <w:r w:rsidRPr="005948DE">
        <w:rPr>
          <w:rFonts w:ascii="Times New Roman" w:hAnsi="Times New Roman" w:cs="Times New Roman"/>
          <w:bCs/>
          <w:color w:val="000000" w:themeColor="text1"/>
        </w:rPr>
        <w:t>LSGs by around 8</w:t>
      </w:r>
      <w:r w:rsidR="004F16B2">
        <w:rPr>
          <w:rFonts w:ascii="Times New Roman" w:hAnsi="Times New Roman" w:cs="Times New Roman"/>
          <w:bCs/>
          <w:color w:val="000000" w:themeColor="text1"/>
        </w:rPr>
        <w:t xml:space="preserve"> (eight)</w:t>
      </w:r>
      <w:r w:rsidRPr="005948DE">
        <w:rPr>
          <w:rFonts w:ascii="Times New Roman" w:hAnsi="Times New Roman" w:cs="Times New Roman"/>
          <w:bCs/>
          <w:color w:val="000000" w:themeColor="text1"/>
        </w:rPr>
        <w:t xml:space="preserve"> percent during a 5-year period. An increase will ensure that the LSGs</w:t>
      </w:r>
      <w:r w:rsidR="00D064A8">
        <w:rPr>
          <w:rFonts w:ascii="Times New Roman" w:hAnsi="Times New Roman" w:cs="Times New Roman"/>
          <w:bCs/>
          <w:color w:val="000000" w:themeColor="text1"/>
        </w:rPr>
        <w:t>’</w:t>
      </w:r>
      <w:r w:rsidRPr="005948DE">
        <w:rPr>
          <w:rFonts w:ascii="Times New Roman" w:hAnsi="Times New Roman" w:cs="Times New Roman"/>
          <w:bCs/>
          <w:color w:val="000000" w:themeColor="text1"/>
        </w:rPr>
        <w:t xml:space="preserve"> absorption capacity is not overwhelmed. Capacity support will be provided to all LSGs, but </w:t>
      </w:r>
      <w:r w:rsidR="00D064A8">
        <w:rPr>
          <w:rFonts w:ascii="Times New Roman" w:hAnsi="Times New Roman" w:cs="Times New Roman"/>
          <w:bCs/>
          <w:color w:val="000000" w:themeColor="text1"/>
        </w:rPr>
        <w:t>a</w:t>
      </w:r>
      <w:r w:rsidR="00D064A8" w:rsidRPr="005948DE">
        <w:rPr>
          <w:rFonts w:ascii="Times New Roman" w:hAnsi="Times New Roman" w:cs="Times New Roman"/>
          <w:bCs/>
          <w:color w:val="000000" w:themeColor="text1"/>
        </w:rPr>
        <w:t xml:space="preserve"> </w:t>
      </w:r>
      <w:r w:rsidRPr="005948DE">
        <w:rPr>
          <w:rFonts w:ascii="Times New Roman" w:hAnsi="Times New Roman" w:cs="Times New Roman"/>
          <w:bCs/>
          <w:color w:val="000000" w:themeColor="text1"/>
        </w:rPr>
        <w:t>special focus and efforts will be on LSGs</w:t>
      </w:r>
      <w:r w:rsidR="00D064A8">
        <w:rPr>
          <w:rFonts w:ascii="Times New Roman" w:hAnsi="Times New Roman" w:cs="Times New Roman"/>
          <w:bCs/>
          <w:color w:val="000000" w:themeColor="text1"/>
        </w:rPr>
        <w:t xml:space="preserve"> </w:t>
      </w:r>
      <w:r w:rsidR="004F16B2">
        <w:rPr>
          <w:rFonts w:ascii="Times New Roman" w:hAnsi="Times New Roman" w:cs="Times New Roman"/>
          <w:bCs/>
          <w:color w:val="000000" w:themeColor="text1"/>
        </w:rPr>
        <w:t xml:space="preserve">that are the </w:t>
      </w:r>
      <w:r w:rsidR="004F16B2" w:rsidRPr="005948DE">
        <w:rPr>
          <w:rFonts w:ascii="Times New Roman" w:hAnsi="Times New Roman" w:cs="Times New Roman"/>
          <w:bCs/>
          <w:color w:val="000000" w:themeColor="text1"/>
        </w:rPr>
        <w:t xml:space="preserve">weakest </w:t>
      </w:r>
      <w:r w:rsidR="00D064A8">
        <w:rPr>
          <w:rFonts w:ascii="Times New Roman" w:hAnsi="Times New Roman" w:cs="Times New Roman"/>
          <w:bCs/>
          <w:color w:val="000000" w:themeColor="text1"/>
        </w:rPr>
        <w:t>in terms of investment funding absorption capacity</w:t>
      </w:r>
      <w:r w:rsidRPr="005948DE">
        <w:rPr>
          <w:rFonts w:ascii="Times New Roman" w:hAnsi="Times New Roman" w:cs="Times New Roman"/>
          <w:bCs/>
          <w:color w:val="000000" w:themeColor="text1"/>
        </w:rPr>
        <w:t>.</w:t>
      </w:r>
    </w:p>
    <w:p w14:paraId="4C566DFC" w14:textId="4EAC1E80" w:rsidR="005F0E0D" w:rsidRPr="005948DE" w:rsidRDefault="005F0E0D" w:rsidP="005948DE">
      <w:pPr>
        <w:spacing w:after="120" w:line="276" w:lineRule="auto"/>
        <w:jc w:val="both"/>
        <w:rPr>
          <w:rFonts w:ascii="Times New Roman" w:hAnsi="Times New Roman" w:cs="Times New Roman"/>
          <w:bCs/>
          <w:color w:val="000000" w:themeColor="text1"/>
        </w:rPr>
      </w:pPr>
      <w:r w:rsidRPr="005948DE">
        <w:rPr>
          <w:rFonts w:ascii="Times New Roman" w:hAnsi="Times New Roman" w:cs="Times New Roman"/>
          <w:bCs/>
          <w:color w:val="000000" w:themeColor="text1"/>
        </w:rPr>
        <w:t xml:space="preserve">Maximum grant amounts will be set in accordance with an agreed formula (based on population, area, development gap, and environmental index). The formula will ensure fair distribution of resources with focus on poorer and more vulnerable LSGs. Equally important, it will determine the known amounts of available resources, allowing for </w:t>
      </w:r>
      <w:r w:rsidR="004F16B2">
        <w:rPr>
          <w:rFonts w:ascii="Times New Roman" w:hAnsi="Times New Roman" w:cs="Times New Roman"/>
          <w:bCs/>
          <w:color w:val="000000" w:themeColor="text1"/>
        </w:rPr>
        <w:t xml:space="preserve">the </w:t>
      </w:r>
      <w:r w:rsidRPr="005948DE">
        <w:rPr>
          <w:rFonts w:ascii="Times New Roman" w:hAnsi="Times New Roman" w:cs="Times New Roman"/>
          <w:bCs/>
          <w:color w:val="000000" w:themeColor="text1"/>
        </w:rPr>
        <w:t xml:space="preserve">LSGs to properly plan and scope proposed investments. Detail description of the formula and </w:t>
      </w:r>
      <w:r w:rsidR="00D064A8">
        <w:rPr>
          <w:rFonts w:ascii="Times New Roman" w:hAnsi="Times New Roman" w:cs="Times New Roman"/>
          <w:bCs/>
          <w:color w:val="000000" w:themeColor="text1"/>
        </w:rPr>
        <w:t xml:space="preserve">its </w:t>
      </w:r>
      <w:r w:rsidRPr="005948DE">
        <w:rPr>
          <w:rFonts w:ascii="Times New Roman" w:hAnsi="Times New Roman" w:cs="Times New Roman"/>
          <w:bCs/>
          <w:color w:val="000000" w:themeColor="text1"/>
        </w:rPr>
        <w:t xml:space="preserve">parameters </w:t>
      </w:r>
      <w:r w:rsidR="009054F3" w:rsidRPr="005948DE">
        <w:rPr>
          <w:rFonts w:ascii="Times New Roman" w:hAnsi="Times New Roman" w:cs="Times New Roman"/>
          <w:bCs/>
          <w:color w:val="000000" w:themeColor="text1"/>
        </w:rPr>
        <w:t xml:space="preserve">are </w:t>
      </w:r>
      <w:r w:rsidRPr="005948DE">
        <w:rPr>
          <w:rFonts w:ascii="Times New Roman" w:hAnsi="Times New Roman" w:cs="Times New Roman"/>
          <w:bCs/>
          <w:color w:val="000000" w:themeColor="text1"/>
        </w:rPr>
        <w:t>included in th</w:t>
      </w:r>
      <w:r w:rsidR="009054F3" w:rsidRPr="005948DE">
        <w:rPr>
          <w:rFonts w:ascii="Times New Roman" w:hAnsi="Times New Roman" w:cs="Times New Roman"/>
          <w:bCs/>
          <w:color w:val="000000" w:themeColor="text1"/>
        </w:rPr>
        <w:t>is</w:t>
      </w:r>
      <w:r w:rsidRPr="005948DE">
        <w:rPr>
          <w:rFonts w:ascii="Times New Roman" w:hAnsi="Times New Roman" w:cs="Times New Roman"/>
          <w:bCs/>
          <w:color w:val="000000" w:themeColor="text1"/>
        </w:rPr>
        <w:t xml:space="preserve"> </w:t>
      </w:r>
      <w:r w:rsidR="002830E8" w:rsidRPr="005948DE">
        <w:rPr>
          <w:rFonts w:ascii="Times New Roman" w:hAnsi="Times New Roman" w:cs="Times New Roman"/>
          <w:bCs/>
          <w:color w:val="000000" w:themeColor="text1"/>
        </w:rPr>
        <w:t>Manual</w:t>
      </w:r>
      <w:r w:rsidRPr="005948DE">
        <w:rPr>
          <w:rFonts w:ascii="Times New Roman" w:hAnsi="Times New Roman" w:cs="Times New Roman"/>
          <w:bCs/>
          <w:color w:val="000000" w:themeColor="text1"/>
        </w:rPr>
        <w:t xml:space="preserve">. </w:t>
      </w:r>
    </w:p>
    <w:p w14:paraId="507E4185" w14:textId="05D11D97" w:rsidR="005F0E0D" w:rsidRPr="005948DE" w:rsidRDefault="005F0E0D" w:rsidP="005948DE">
      <w:pPr>
        <w:spacing w:after="120" w:line="276" w:lineRule="auto"/>
        <w:jc w:val="both"/>
        <w:rPr>
          <w:rFonts w:ascii="Times New Roman" w:eastAsia="Calibri" w:hAnsi="Times New Roman" w:cs="Times New Roman"/>
          <w:color w:val="000000" w:themeColor="text1"/>
        </w:rPr>
      </w:pPr>
      <w:r w:rsidRPr="005948DE">
        <w:rPr>
          <w:rFonts w:ascii="Times New Roman" w:eastAsia="Calibri" w:hAnsi="Times New Roman" w:cs="Times New Roman"/>
          <w:bCs/>
          <w:color w:val="000000" w:themeColor="text1"/>
        </w:rPr>
        <w:t xml:space="preserve">To incentivize change, the </w:t>
      </w:r>
      <w:r w:rsidR="001F4367" w:rsidRPr="005948DE">
        <w:rPr>
          <w:rFonts w:ascii="Times New Roman" w:hAnsi="Times New Roman" w:cs="Times New Roman"/>
          <w:color w:val="000000" w:themeColor="text1"/>
        </w:rPr>
        <w:t>LSG</w:t>
      </w:r>
      <w:r w:rsidR="00E41045" w:rsidRPr="005948DE">
        <w:rPr>
          <w:rFonts w:ascii="Times New Roman" w:hAnsi="Times New Roman" w:cs="Times New Roman"/>
          <w:color w:val="000000" w:themeColor="text1"/>
        </w:rPr>
        <w:t>s</w:t>
      </w:r>
      <w:r w:rsidRPr="005948DE">
        <w:rPr>
          <w:rFonts w:ascii="Times New Roman" w:eastAsia="Calibri" w:hAnsi="Times New Roman" w:cs="Times New Roman"/>
          <w:bCs/>
          <w:color w:val="000000" w:themeColor="text1"/>
        </w:rPr>
        <w:t xml:space="preserve"> will receive grant transfers from the central level for infrastructure investments, and will sign </w:t>
      </w:r>
      <w:r w:rsidR="00DA08FD" w:rsidRPr="005948DE">
        <w:rPr>
          <w:rFonts w:ascii="Times New Roman" w:eastAsia="Calibri" w:hAnsi="Times New Roman" w:cs="Times New Roman"/>
          <w:bCs/>
          <w:color w:val="000000" w:themeColor="text1"/>
        </w:rPr>
        <w:t>Framework Agreement</w:t>
      </w:r>
      <w:r w:rsidR="00E41045" w:rsidRPr="005948DE">
        <w:rPr>
          <w:rFonts w:ascii="Times New Roman" w:eastAsia="Calibri" w:hAnsi="Times New Roman" w:cs="Times New Roman"/>
          <w:bCs/>
          <w:color w:val="000000" w:themeColor="text1"/>
        </w:rPr>
        <w:t>s</w:t>
      </w:r>
      <w:r w:rsidR="00D064A8">
        <w:rPr>
          <w:rFonts w:ascii="Times New Roman" w:eastAsia="Calibri" w:hAnsi="Times New Roman" w:cs="Times New Roman"/>
          <w:bCs/>
          <w:color w:val="000000" w:themeColor="text1"/>
        </w:rPr>
        <w:t xml:space="preserve"> (FA)</w:t>
      </w:r>
      <w:r w:rsidR="00277AE6" w:rsidRPr="005948DE">
        <w:rPr>
          <w:rFonts w:ascii="Times New Roman" w:eastAsia="Calibri" w:hAnsi="Times New Roman" w:cs="Times New Roman"/>
          <w:bCs/>
          <w:color w:val="000000" w:themeColor="text1"/>
        </w:rPr>
        <w:t xml:space="preserve"> </w:t>
      </w:r>
      <w:r w:rsidRPr="005948DE">
        <w:rPr>
          <w:rFonts w:ascii="Times New Roman" w:eastAsia="Calibri" w:hAnsi="Times New Roman" w:cs="Times New Roman"/>
          <w:bCs/>
          <w:color w:val="000000" w:themeColor="text1"/>
        </w:rPr>
        <w:t xml:space="preserve">with </w:t>
      </w:r>
      <w:r w:rsidR="00D064A8">
        <w:rPr>
          <w:rFonts w:ascii="Times New Roman" w:eastAsia="Calibri" w:hAnsi="Times New Roman" w:cs="Times New Roman"/>
          <w:bCs/>
          <w:color w:val="000000" w:themeColor="text1"/>
        </w:rPr>
        <w:t xml:space="preserve">the </w:t>
      </w:r>
      <w:r w:rsidR="00E41045" w:rsidRPr="005948DE">
        <w:rPr>
          <w:rFonts w:ascii="Times New Roman" w:eastAsia="Calibri" w:hAnsi="Times New Roman" w:cs="Times New Roman"/>
          <w:bCs/>
          <w:color w:val="000000" w:themeColor="text1"/>
        </w:rPr>
        <w:t>MCTI</w:t>
      </w:r>
      <w:r w:rsidRPr="005948DE">
        <w:rPr>
          <w:rFonts w:ascii="Times New Roman" w:eastAsia="Calibri" w:hAnsi="Times New Roman" w:cs="Times New Roman"/>
          <w:bCs/>
          <w:color w:val="000000" w:themeColor="text1"/>
        </w:rPr>
        <w:t xml:space="preserve">, which will include a set of commitments to improve public financial and transport infrastructure management at the local level. </w:t>
      </w:r>
      <w:r w:rsidRPr="005948DE">
        <w:rPr>
          <w:rFonts w:ascii="Times New Roman" w:eastAsia="Calibri" w:hAnsi="Times New Roman" w:cs="Times New Roman"/>
          <w:color w:val="000000" w:themeColor="text1"/>
        </w:rPr>
        <w:t xml:space="preserve">The financing for infrastructure to be provided by the </w:t>
      </w:r>
      <w:r w:rsidR="00D064A8">
        <w:rPr>
          <w:rFonts w:ascii="Times New Roman" w:eastAsia="Calibri" w:hAnsi="Times New Roman" w:cs="Times New Roman"/>
          <w:color w:val="000000" w:themeColor="text1"/>
        </w:rPr>
        <w:t>P</w:t>
      </w:r>
      <w:r w:rsidRPr="005948DE">
        <w:rPr>
          <w:rFonts w:ascii="Times New Roman" w:eastAsia="Calibri" w:hAnsi="Times New Roman" w:cs="Times New Roman"/>
          <w:color w:val="000000" w:themeColor="text1"/>
        </w:rPr>
        <w:t xml:space="preserve">roject will be additional, and not substitute for existing </w:t>
      </w:r>
      <w:r w:rsidRPr="005948DE">
        <w:rPr>
          <w:rFonts w:ascii="Times New Roman" w:eastAsia="Calibri" w:hAnsi="Times New Roman" w:cs="Times New Roman"/>
          <w:color w:val="000000" w:themeColor="text1"/>
        </w:rPr>
        <w:lastRenderedPageBreak/>
        <w:t xml:space="preserve">infrastructure spending by </w:t>
      </w:r>
      <w:r w:rsidR="004F16B2">
        <w:rPr>
          <w:rFonts w:ascii="Times New Roman" w:eastAsia="Calibri" w:hAnsi="Times New Roman" w:cs="Times New Roman"/>
          <w:color w:val="000000" w:themeColor="text1"/>
        </w:rPr>
        <w:t xml:space="preserve">the </w:t>
      </w:r>
      <w:r w:rsidRPr="005948DE">
        <w:rPr>
          <w:rFonts w:ascii="Times New Roman" w:eastAsia="Calibri" w:hAnsi="Times New Roman" w:cs="Times New Roman"/>
          <w:color w:val="000000" w:themeColor="text1"/>
        </w:rPr>
        <w:t xml:space="preserve">LSGs. To this end, the </w:t>
      </w:r>
      <w:r w:rsidR="00DA08FD" w:rsidRPr="005948DE">
        <w:rPr>
          <w:rFonts w:ascii="Times New Roman" w:eastAsia="Calibri" w:hAnsi="Times New Roman" w:cs="Times New Roman"/>
          <w:color w:val="000000" w:themeColor="text1"/>
        </w:rPr>
        <w:t>FA</w:t>
      </w:r>
      <w:r w:rsidRPr="005948DE">
        <w:rPr>
          <w:rFonts w:ascii="Times New Roman" w:eastAsia="Calibri" w:hAnsi="Times New Roman" w:cs="Times New Roman"/>
          <w:color w:val="000000" w:themeColor="text1"/>
        </w:rPr>
        <w:t xml:space="preserve"> will include provision that average annual capital spending from own resources during the project life cannot be lower than the average of the past three years (exempting 2020) plus inflation. </w:t>
      </w:r>
      <w:r w:rsidR="00D064A8">
        <w:rPr>
          <w:rFonts w:ascii="Times New Roman" w:eastAsia="Calibri" w:hAnsi="Times New Roman" w:cs="Times New Roman"/>
          <w:color w:val="000000" w:themeColor="text1"/>
        </w:rPr>
        <w:t xml:space="preserve">The </w:t>
      </w:r>
      <w:r w:rsidR="001F4367" w:rsidRPr="005948DE">
        <w:rPr>
          <w:rFonts w:ascii="Times New Roman" w:hAnsi="Times New Roman" w:cs="Times New Roman"/>
          <w:color w:val="000000" w:themeColor="text1"/>
        </w:rPr>
        <w:t>LSG</w:t>
      </w:r>
      <w:r w:rsidR="002D6C52" w:rsidRPr="005948DE">
        <w:rPr>
          <w:rFonts w:ascii="Times New Roman" w:hAnsi="Times New Roman" w:cs="Times New Roman"/>
          <w:color w:val="000000" w:themeColor="text1"/>
        </w:rPr>
        <w:t xml:space="preserve">s will enter into a </w:t>
      </w:r>
      <w:r w:rsidR="006913CC" w:rsidRPr="005948DE">
        <w:rPr>
          <w:rFonts w:ascii="Times New Roman" w:hAnsi="Times New Roman" w:cs="Times New Roman"/>
          <w:color w:val="000000" w:themeColor="text1"/>
        </w:rPr>
        <w:t>Grant Agreement</w:t>
      </w:r>
      <w:r w:rsidR="00D064A8">
        <w:rPr>
          <w:rFonts w:ascii="Times New Roman" w:hAnsi="Times New Roman" w:cs="Times New Roman"/>
          <w:color w:val="000000" w:themeColor="text1"/>
        </w:rPr>
        <w:t xml:space="preserve"> (GA)</w:t>
      </w:r>
      <w:r w:rsidR="002D6C52" w:rsidRPr="005948DE">
        <w:rPr>
          <w:rFonts w:ascii="Times New Roman" w:hAnsi="Times New Roman" w:cs="Times New Roman"/>
          <w:color w:val="000000" w:themeColor="text1"/>
        </w:rPr>
        <w:t xml:space="preserve"> with </w:t>
      </w:r>
      <w:r w:rsidR="00D064A8">
        <w:rPr>
          <w:rFonts w:ascii="Times New Roman" w:hAnsi="Times New Roman" w:cs="Times New Roman"/>
          <w:color w:val="000000" w:themeColor="text1"/>
        </w:rPr>
        <w:t xml:space="preserve">the </w:t>
      </w:r>
      <w:r w:rsidR="002D6C52" w:rsidRPr="005948DE">
        <w:rPr>
          <w:rFonts w:ascii="Times New Roman" w:hAnsi="Times New Roman" w:cs="Times New Roman"/>
          <w:color w:val="000000" w:themeColor="text1"/>
        </w:rPr>
        <w:t>MCTI</w:t>
      </w:r>
      <w:r w:rsidR="00FD3963" w:rsidRPr="005948DE">
        <w:rPr>
          <w:rFonts w:ascii="Times New Roman" w:hAnsi="Times New Roman" w:cs="Times New Roman"/>
          <w:color w:val="000000" w:themeColor="text1"/>
        </w:rPr>
        <w:t xml:space="preserve"> defining the </w:t>
      </w:r>
      <w:r w:rsidR="00D064A8">
        <w:rPr>
          <w:rFonts w:ascii="Times New Roman" w:hAnsi="Times New Roman" w:cs="Times New Roman"/>
          <w:color w:val="000000" w:themeColor="text1"/>
        </w:rPr>
        <w:t xml:space="preserve">sub-project to be funded from the Project in a particular LSG, </w:t>
      </w:r>
      <w:r w:rsidR="00FD3963" w:rsidRPr="005948DE">
        <w:rPr>
          <w:rFonts w:ascii="Times New Roman" w:hAnsi="Times New Roman" w:cs="Times New Roman"/>
          <w:color w:val="000000" w:themeColor="text1"/>
        </w:rPr>
        <w:t>financial arrangements and utilization of transferred funds restricted to eligible expenditures.</w:t>
      </w:r>
      <w:r w:rsidR="00E41045" w:rsidRPr="005948DE">
        <w:rPr>
          <w:rFonts w:ascii="Times New Roman" w:eastAsia="Calibri" w:hAnsi="Times New Roman" w:cs="Times New Roman"/>
          <w:color w:val="000000" w:themeColor="text1"/>
        </w:rPr>
        <w:t xml:space="preserve"> </w:t>
      </w:r>
    </w:p>
    <w:p w14:paraId="163DDEDD" w14:textId="3E8B8C46" w:rsidR="000F40A7" w:rsidRPr="005948DE" w:rsidRDefault="000F40A7" w:rsidP="005948DE">
      <w:pPr>
        <w:spacing w:after="120" w:line="276" w:lineRule="auto"/>
        <w:jc w:val="both"/>
        <w:rPr>
          <w:rFonts w:ascii="Times New Roman" w:eastAsia="Calibri" w:hAnsi="Times New Roman" w:cs="Times New Roman"/>
        </w:rPr>
      </w:pPr>
      <w:r w:rsidRPr="005948DE">
        <w:rPr>
          <w:rFonts w:ascii="Times New Roman" w:hAnsi="Times New Roman" w:cs="Times New Roman"/>
        </w:rPr>
        <w:t xml:space="preserve">The Project activities will bring substantial </w:t>
      </w:r>
      <w:r w:rsidR="00D064A8">
        <w:rPr>
          <w:rFonts w:ascii="Times New Roman" w:hAnsi="Times New Roman" w:cs="Times New Roman"/>
        </w:rPr>
        <w:t>C</w:t>
      </w:r>
      <w:r w:rsidR="00D064A8" w:rsidRPr="005948DE">
        <w:rPr>
          <w:rFonts w:ascii="Times New Roman" w:hAnsi="Times New Roman" w:cs="Times New Roman"/>
        </w:rPr>
        <w:t xml:space="preserve">limate </w:t>
      </w:r>
      <w:r w:rsidR="00D064A8">
        <w:rPr>
          <w:rFonts w:ascii="Times New Roman" w:hAnsi="Times New Roman" w:cs="Times New Roman"/>
        </w:rPr>
        <w:t>C</w:t>
      </w:r>
      <w:r w:rsidR="00D064A8" w:rsidRPr="005948DE">
        <w:rPr>
          <w:rFonts w:ascii="Times New Roman" w:hAnsi="Times New Roman" w:cs="Times New Roman"/>
        </w:rPr>
        <w:t xml:space="preserve">hange </w:t>
      </w:r>
      <w:r w:rsidR="00D064A8">
        <w:rPr>
          <w:rFonts w:ascii="Times New Roman" w:hAnsi="Times New Roman" w:cs="Times New Roman"/>
        </w:rPr>
        <w:t xml:space="preserve">(CC) </w:t>
      </w:r>
      <w:r w:rsidRPr="005948DE">
        <w:rPr>
          <w:rFonts w:ascii="Times New Roman" w:hAnsi="Times New Roman" w:cs="Times New Roman"/>
        </w:rPr>
        <w:t xml:space="preserve">co-benefits through improved transport infrastructure resilience and maintenance, investments in active mobility infrastructure, development of sustainable urban mobility plans promoting modal shift and </w:t>
      </w:r>
      <w:r w:rsidR="00D064A8">
        <w:rPr>
          <w:rFonts w:ascii="Times New Roman" w:hAnsi="Times New Roman" w:cs="Times New Roman"/>
        </w:rPr>
        <w:t>the G</w:t>
      </w:r>
      <w:r w:rsidR="00D064A8" w:rsidRPr="005948DE">
        <w:rPr>
          <w:rFonts w:ascii="Times New Roman" w:hAnsi="Times New Roman" w:cs="Times New Roman"/>
        </w:rPr>
        <w:t xml:space="preserve">reening </w:t>
      </w:r>
      <w:r w:rsidRPr="005948DE">
        <w:rPr>
          <w:rFonts w:ascii="Times New Roman" w:hAnsi="Times New Roman" w:cs="Times New Roman"/>
        </w:rPr>
        <w:t>of transport, and utilization of modern technologies and recycle materials in civil works when appropriate</w:t>
      </w:r>
      <w:r w:rsidR="00D92D30" w:rsidRPr="005948DE">
        <w:rPr>
          <w:rFonts w:ascii="Times New Roman" w:hAnsi="Times New Roman" w:cs="Times New Roman"/>
        </w:rPr>
        <w:t>.</w:t>
      </w:r>
    </w:p>
    <w:p w14:paraId="76D4AC2A" w14:textId="15209C95" w:rsidR="00D85782" w:rsidRPr="005948DE" w:rsidRDefault="00D85782" w:rsidP="005948DE">
      <w:pPr>
        <w:spacing w:after="120" w:line="276" w:lineRule="auto"/>
        <w:jc w:val="both"/>
        <w:rPr>
          <w:rFonts w:ascii="Times New Roman" w:eastAsia="Calibri" w:hAnsi="Times New Roman" w:cs="Times New Roman"/>
          <w:bCs/>
          <w:color w:val="000000" w:themeColor="text1"/>
        </w:rPr>
      </w:pPr>
      <w:r w:rsidRPr="005948DE">
        <w:rPr>
          <w:rFonts w:ascii="Times New Roman" w:eastAsia="Calibri" w:hAnsi="Times New Roman" w:cs="Times New Roman"/>
          <w:color w:val="000000" w:themeColor="text1"/>
        </w:rPr>
        <w:t>The current</w:t>
      </w:r>
      <w:r w:rsidR="00D064A8">
        <w:rPr>
          <w:rFonts w:ascii="Times New Roman" w:eastAsia="Calibri" w:hAnsi="Times New Roman" w:cs="Times New Roman"/>
          <w:color w:val="000000" w:themeColor="text1"/>
        </w:rPr>
        <w:t>ly anticipated</w:t>
      </w:r>
      <w:r w:rsidRPr="005948DE">
        <w:rPr>
          <w:rFonts w:ascii="Times New Roman" w:eastAsia="Calibri" w:hAnsi="Times New Roman" w:cs="Times New Roman"/>
          <w:color w:val="000000" w:themeColor="text1"/>
        </w:rPr>
        <w:t xml:space="preserve"> closing date of the Project is</w:t>
      </w:r>
      <w:r w:rsidR="008D5066">
        <w:rPr>
          <w:rFonts w:ascii="Times New Roman" w:eastAsia="Calibri" w:hAnsi="Times New Roman" w:cs="Times New Roman"/>
          <w:color w:val="000000" w:themeColor="text1"/>
        </w:rPr>
        <w:t xml:space="preserve"> </w:t>
      </w:r>
      <w:r w:rsidR="00FC7E54">
        <w:rPr>
          <w:rFonts w:ascii="Times New Roman" w:eastAsia="Calibri" w:hAnsi="Times New Roman" w:cs="Times New Roman"/>
          <w:color w:val="000000" w:themeColor="text1"/>
        </w:rPr>
        <w:t>November</w:t>
      </w:r>
      <w:r w:rsidR="00FC7E54" w:rsidRPr="005948DE">
        <w:rPr>
          <w:rFonts w:ascii="Times New Roman" w:eastAsia="Calibri" w:hAnsi="Times New Roman" w:cs="Times New Roman"/>
          <w:color w:val="000000" w:themeColor="text1"/>
        </w:rPr>
        <w:t xml:space="preserve"> 3</w:t>
      </w:r>
      <w:r w:rsidR="00FC7E54">
        <w:rPr>
          <w:rFonts w:ascii="Times New Roman" w:eastAsia="Calibri" w:hAnsi="Times New Roman" w:cs="Times New Roman"/>
          <w:color w:val="000000" w:themeColor="text1"/>
        </w:rPr>
        <w:t>0</w:t>
      </w:r>
      <w:r w:rsidRPr="005948DE">
        <w:rPr>
          <w:rFonts w:ascii="Times New Roman" w:eastAsia="Calibri" w:hAnsi="Times New Roman" w:cs="Times New Roman"/>
          <w:color w:val="000000" w:themeColor="text1"/>
        </w:rPr>
        <w:t>, 202</w:t>
      </w:r>
      <w:r w:rsidR="00EA1278">
        <w:rPr>
          <w:rFonts w:ascii="Times New Roman" w:eastAsia="Calibri" w:hAnsi="Times New Roman" w:cs="Times New Roman"/>
          <w:color w:val="000000" w:themeColor="text1"/>
        </w:rPr>
        <w:t>8</w:t>
      </w:r>
      <w:r w:rsidR="008A5C67" w:rsidRPr="005948DE">
        <w:rPr>
          <w:rFonts w:ascii="Times New Roman" w:eastAsia="Calibri" w:hAnsi="Times New Roman" w:cs="Times New Roman"/>
          <w:color w:val="000000" w:themeColor="text1"/>
        </w:rPr>
        <w:t>.</w:t>
      </w:r>
    </w:p>
    <w:p w14:paraId="3C883B20" w14:textId="77777777" w:rsidR="005F0E0D" w:rsidRPr="005948DE" w:rsidRDefault="005F0E0D"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43" w:name="_Toc93342210"/>
      <w:r w:rsidRPr="005948DE">
        <w:rPr>
          <w:rFonts w:ascii="Times New Roman" w:hAnsi="Times New Roman" w:cs="Times New Roman"/>
          <w:smallCaps w:val="0"/>
          <w:color w:val="auto"/>
          <w:sz w:val="24"/>
        </w:rPr>
        <w:t>Project Components</w:t>
      </w:r>
      <w:bookmarkEnd w:id="43"/>
    </w:p>
    <w:p w14:paraId="51511C68" w14:textId="04A9677D" w:rsidR="005F0E0D" w:rsidRPr="005948DE" w:rsidRDefault="005F0E0D" w:rsidP="005948DE">
      <w:pPr>
        <w:pStyle w:val="ColorfulList-Accent11"/>
        <w:autoSpaceDE w:val="0"/>
        <w:autoSpaceDN w:val="0"/>
        <w:adjustRightInd w:val="0"/>
        <w:spacing w:before="0" w:after="120" w:line="276" w:lineRule="auto"/>
        <w:ind w:left="0"/>
        <w:jc w:val="both"/>
        <w:rPr>
          <w:rFonts w:cs="Times New Roman"/>
          <w:color w:val="000000" w:themeColor="text1"/>
          <w:sz w:val="22"/>
          <w:szCs w:val="22"/>
        </w:rPr>
      </w:pPr>
      <w:r w:rsidRPr="005948DE">
        <w:rPr>
          <w:rFonts w:cs="Times New Roman"/>
          <w:color w:val="000000" w:themeColor="text1"/>
          <w:sz w:val="22"/>
          <w:szCs w:val="22"/>
        </w:rPr>
        <w:t xml:space="preserve">The Project </w:t>
      </w:r>
      <w:r w:rsidR="00BD3A99" w:rsidRPr="005948DE">
        <w:rPr>
          <w:rFonts w:cs="Times New Roman"/>
          <w:color w:val="000000" w:themeColor="text1"/>
          <w:sz w:val="22"/>
          <w:szCs w:val="22"/>
        </w:rPr>
        <w:t>objective</w:t>
      </w:r>
      <w:r w:rsidRPr="005948DE">
        <w:rPr>
          <w:rFonts w:cs="Times New Roman"/>
          <w:color w:val="000000" w:themeColor="text1"/>
          <w:sz w:val="22"/>
          <w:szCs w:val="22"/>
        </w:rPr>
        <w:t xml:space="preserve"> will be achieved through implementation of the following three</w:t>
      </w:r>
      <w:r w:rsidR="00BD3A99" w:rsidRPr="005948DE">
        <w:rPr>
          <w:rFonts w:cs="Times New Roman"/>
          <w:color w:val="000000" w:themeColor="text1"/>
          <w:sz w:val="22"/>
          <w:szCs w:val="22"/>
        </w:rPr>
        <w:t xml:space="preserve"> (3)</w:t>
      </w:r>
      <w:r w:rsidRPr="005948DE">
        <w:rPr>
          <w:rFonts w:cs="Times New Roman"/>
          <w:color w:val="000000" w:themeColor="text1"/>
          <w:sz w:val="22"/>
          <w:szCs w:val="22"/>
        </w:rPr>
        <w:t xml:space="preserve"> components:</w:t>
      </w:r>
    </w:p>
    <w:p w14:paraId="2FBB9D32" w14:textId="3D8068EF" w:rsidR="005F0E0D" w:rsidRPr="005948DE" w:rsidRDefault="005F0E0D" w:rsidP="005948DE">
      <w:pPr>
        <w:pStyle w:val="ColorfulList-Accent11"/>
        <w:numPr>
          <w:ilvl w:val="0"/>
          <w:numId w:val="164"/>
        </w:numPr>
        <w:autoSpaceDE w:val="0"/>
        <w:autoSpaceDN w:val="0"/>
        <w:adjustRightInd w:val="0"/>
        <w:spacing w:before="0" w:after="0" w:line="276" w:lineRule="auto"/>
        <w:ind w:left="714" w:hanging="357"/>
        <w:jc w:val="both"/>
        <w:rPr>
          <w:rFonts w:cs="Times New Roman"/>
          <w:color w:val="000000" w:themeColor="text1"/>
          <w:sz w:val="22"/>
          <w:szCs w:val="22"/>
        </w:rPr>
      </w:pPr>
      <w:r w:rsidRPr="005948DE">
        <w:rPr>
          <w:rFonts w:cs="Times New Roman"/>
          <w:color w:val="000000" w:themeColor="text1"/>
          <w:sz w:val="22"/>
          <w:szCs w:val="22"/>
        </w:rPr>
        <w:t>Climate Smart Mobility;</w:t>
      </w:r>
    </w:p>
    <w:p w14:paraId="4B8A51B8" w14:textId="0D428406" w:rsidR="005F0E0D" w:rsidRPr="005948DE" w:rsidRDefault="005F0E0D" w:rsidP="005948DE">
      <w:pPr>
        <w:pStyle w:val="ColorfulList-Accent11"/>
        <w:numPr>
          <w:ilvl w:val="0"/>
          <w:numId w:val="164"/>
        </w:numPr>
        <w:autoSpaceDE w:val="0"/>
        <w:autoSpaceDN w:val="0"/>
        <w:adjustRightInd w:val="0"/>
        <w:spacing w:before="0" w:after="0" w:line="276" w:lineRule="auto"/>
        <w:ind w:left="714" w:hanging="357"/>
        <w:jc w:val="both"/>
        <w:rPr>
          <w:rFonts w:cs="Times New Roman"/>
          <w:color w:val="000000" w:themeColor="text1"/>
          <w:sz w:val="22"/>
          <w:szCs w:val="22"/>
        </w:rPr>
      </w:pPr>
      <w:r w:rsidRPr="005948DE">
        <w:rPr>
          <w:rFonts w:cs="Times New Roman"/>
          <w:color w:val="000000" w:themeColor="text1"/>
          <w:sz w:val="22"/>
          <w:szCs w:val="22"/>
        </w:rPr>
        <w:t xml:space="preserve">Strengthening </w:t>
      </w:r>
      <w:r w:rsidR="00D064A8">
        <w:rPr>
          <w:rFonts w:cs="Times New Roman"/>
          <w:color w:val="000000" w:themeColor="text1"/>
          <w:sz w:val="22"/>
          <w:szCs w:val="22"/>
        </w:rPr>
        <w:t>C</w:t>
      </w:r>
      <w:r w:rsidR="00D064A8" w:rsidRPr="005948DE">
        <w:rPr>
          <w:rFonts w:cs="Times New Roman"/>
          <w:color w:val="000000" w:themeColor="text1"/>
          <w:sz w:val="22"/>
          <w:szCs w:val="22"/>
        </w:rPr>
        <w:t xml:space="preserve">apacity </w:t>
      </w:r>
      <w:r w:rsidRPr="005948DE">
        <w:rPr>
          <w:rFonts w:cs="Times New Roman"/>
          <w:color w:val="000000" w:themeColor="text1"/>
          <w:sz w:val="22"/>
          <w:szCs w:val="22"/>
        </w:rPr>
        <w:t xml:space="preserve">for </w:t>
      </w:r>
      <w:r w:rsidR="00D064A8">
        <w:rPr>
          <w:rFonts w:cs="Times New Roman"/>
          <w:color w:val="000000" w:themeColor="text1"/>
          <w:sz w:val="22"/>
          <w:szCs w:val="22"/>
        </w:rPr>
        <w:t>I</w:t>
      </w:r>
      <w:r w:rsidR="00D064A8" w:rsidRPr="005948DE">
        <w:rPr>
          <w:rFonts w:cs="Times New Roman"/>
          <w:color w:val="000000" w:themeColor="text1"/>
          <w:sz w:val="22"/>
          <w:szCs w:val="22"/>
        </w:rPr>
        <w:t xml:space="preserve">nfrastructure </w:t>
      </w:r>
      <w:r w:rsidR="00D064A8">
        <w:rPr>
          <w:rFonts w:cs="Times New Roman"/>
          <w:color w:val="000000" w:themeColor="text1"/>
          <w:sz w:val="22"/>
          <w:szCs w:val="22"/>
        </w:rPr>
        <w:t>S</w:t>
      </w:r>
      <w:r w:rsidR="00D064A8" w:rsidRPr="005948DE">
        <w:rPr>
          <w:rFonts w:cs="Times New Roman"/>
          <w:color w:val="000000" w:themeColor="text1"/>
          <w:sz w:val="22"/>
          <w:szCs w:val="22"/>
        </w:rPr>
        <w:t xml:space="preserve">ervice </w:t>
      </w:r>
      <w:r w:rsidR="00D064A8">
        <w:rPr>
          <w:rFonts w:cs="Times New Roman"/>
          <w:color w:val="000000" w:themeColor="text1"/>
          <w:sz w:val="22"/>
          <w:szCs w:val="22"/>
        </w:rPr>
        <w:t>D</w:t>
      </w:r>
      <w:r w:rsidR="00D064A8" w:rsidRPr="005948DE">
        <w:rPr>
          <w:rFonts w:cs="Times New Roman"/>
          <w:color w:val="000000" w:themeColor="text1"/>
          <w:sz w:val="22"/>
          <w:szCs w:val="22"/>
        </w:rPr>
        <w:t>elivery</w:t>
      </w:r>
      <w:r w:rsidRPr="005948DE">
        <w:rPr>
          <w:rFonts w:cs="Times New Roman"/>
          <w:color w:val="000000" w:themeColor="text1"/>
          <w:sz w:val="22"/>
          <w:szCs w:val="22"/>
        </w:rPr>
        <w:t xml:space="preserve">; and </w:t>
      </w:r>
    </w:p>
    <w:p w14:paraId="146DCF6C" w14:textId="2DFBE965" w:rsidR="005F0E0D" w:rsidRPr="005948DE" w:rsidRDefault="005F0E0D" w:rsidP="005948DE">
      <w:pPr>
        <w:pStyle w:val="ColorfulList-Accent11"/>
        <w:numPr>
          <w:ilvl w:val="0"/>
          <w:numId w:val="164"/>
        </w:numPr>
        <w:autoSpaceDE w:val="0"/>
        <w:autoSpaceDN w:val="0"/>
        <w:adjustRightInd w:val="0"/>
        <w:spacing w:before="0" w:after="120" w:line="276" w:lineRule="auto"/>
        <w:jc w:val="both"/>
        <w:rPr>
          <w:rFonts w:cs="Times New Roman"/>
          <w:color w:val="000000" w:themeColor="text1"/>
          <w:sz w:val="22"/>
          <w:szCs w:val="22"/>
        </w:rPr>
      </w:pPr>
      <w:r w:rsidRPr="005948DE">
        <w:rPr>
          <w:rFonts w:cs="Times New Roman"/>
          <w:color w:val="000000" w:themeColor="text1"/>
          <w:sz w:val="22"/>
          <w:szCs w:val="22"/>
        </w:rPr>
        <w:t>Project Management and Awareness Raising</w:t>
      </w:r>
      <w:r w:rsidR="004D07AF" w:rsidRPr="005948DE">
        <w:rPr>
          <w:rFonts w:cs="Times New Roman"/>
          <w:color w:val="000000" w:themeColor="text1"/>
          <w:sz w:val="22"/>
          <w:szCs w:val="22"/>
        </w:rPr>
        <w:t>.</w:t>
      </w:r>
      <w:r w:rsidRPr="005948DE">
        <w:rPr>
          <w:rFonts w:cs="Times New Roman"/>
          <w:color w:val="000000" w:themeColor="text1"/>
          <w:sz w:val="22"/>
          <w:szCs w:val="22"/>
        </w:rPr>
        <w:t xml:space="preserve"> </w:t>
      </w:r>
    </w:p>
    <w:p w14:paraId="4AACFF41" w14:textId="71F3E738" w:rsidR="005F0E0D" w:rsidRPr="005948DE" w:rsidRDefault="005F0E0D" w:rsidP="005948DE">
      <w:pPr>
        <w:pStyle w:val="Heading3"/>
        <w:spacing w:before="120" w:after="120" w:line="276" w:lineRule="auto"/>
        <w:jc w:val="both"/>
        <w:rPr>
          <w:rFonts w:ascii="Times New Roman" w:hAnsi="Times New Roman" w:cs="Times New Roman"/>
          <w:smallCaps/>
          <w:color w:val="auto"/>
        </w:rPr>
      </w:pPr>
      <w:bookmarkStart w:id="44" w:name="_Toc93342211"/>
      <w:r w:rsidRPr="005948DE">
        <w:rPr>
          <w:rFonts w:ascii="Times New Roman" w:hAnsi="Times New Roman" w:cs="Times New Roman"/>
          <w:color w:val="auto"/>
        </w:rPr>
        <w:t>Component 1: Climate Smart Mobility</w:t>
      </w:r>
      <w:bookmarkEnd w:id="44"/>
      <w:r w:rsidRPr="005948DE">
        <w:rPr>
          <w:rFonts w:ascii="Times New Roman" w:hAnsi="Times New Roman" w:cs="Times New Roman"/>
          <w:color w:val="auto"/>
        </w:rPr>
        <w:t xml:space="preserve"> </w:t>
      </w:r>
    </w:p>
    <w:p w14:paraId="69C9483D" w14:textId="03B2E3DE" w:rsidR="005F0E0D" w:rsidRPr="00F46C25" w:rsidRDefault="005F0E0D" w:rsidP="00F46C25">
      <w:pPr>
        <w:spacing w:after="120" w:line="276" w:lineRule="auto"/>
        <w:jc w:val="both"/>
        <w:rPr>
          <w:rFonts w:ascii="Times New Roman" w:hAnsi="Times New Roman" w:cs="Times New Roman"/>
        </w:rPr>
      </w:pPr>
      <w:r w:rsidRPr="00F46C25">
        <w:rPr>
          <w:rFonts w:ascii="Times New Roman" w:hAnsi="Times New Roman" w:cs="Times New Roman"/>
        </w:rPr>
        <w:t xml:space="preserve">The objective of this component is to improve mobility within the LSGs through strengthening </w:t>
      </w:r>
      <w:r w:rsidR="004F16B2">
        <w:rPr>
          <w:rFonts w:ascii="Times New Roman" w:hAnsi="Times New Roman" w:cs="Times New Roman"/>
        </w:rPr>
        <w:t xml:space="preserve">the </w:t>
      </w:r>
      <w:r w:rsidRPr="00F46C25">
        <w:rPr>
          <w:rFonts w:ascii="Times New Roman" w:hAnsi="Times New Roman" w:cs="Times New Roman"/>
        </w:rPr>
        <w:t xml:space="preserve">system for transport infrastructure service delivery and by supporting transport infrastructure renewal that will increase resilience to natural disaster while reducing </w:t>
      </w:r>
      <w:r w:rsidR="005C4919">
        <w:rPr>
          <w:rFonts w:ascii="Times New Roman" w:hAnsi="Times New Roman" w:cs="Times New Roman"/>
        </w:rPr>
        <w:t xml:space="preserve">the </w:t>
      </w:r>
      <w:r w:rsidRPr="00F46C25">
        <w:rPr>
          <w:rFonts w:ascii="Times New Roman" w:hAnsi="Times New Roman" w:cs="Times New Roman"/>
        </w:rPr>
        <w:t xml:space="preserve">emissions of GHGs and local pollutants including PM2.5 and NoX. </w:t>
      </w:r>
      <w:r w:rsidR="005C4919" w:rsidRPr="00F46C25">
        <w:rPr>
          <w:rFonts w:ascii="Times New Roman" w:hAnsi="Times New Roman" w:cs="Times New Roman"/>
        </w:rPr>
        <w:t>Th</w:t>
      </w:r>
      <w:r w:rsidR="005C4919">
        <w:rPr>
          <w:rFonts w:ascii="Times New Roman" w:hAnsi="Times New Roman" w:cs="Times New Roman"/>
        </w:rPr>
        <w:t>is</w:t>
      </w:r>
      <w:r w:rsidR="005C4919" w:rsidRPr="00F46C25">
        <w:rPr>
          <w:rFonts w:ascii="Times New Roman" w:hAnsi="Times New Roman" w:cs="Times New Roman"/>
        </w:rPr>
        <w:t xml:space="preserve"> </w:t>
      </w:r>
      <w:r w:rsidRPr="00F46C25">
        <w:rPr>
          <w:rFonts w:ascii="Times New Roman" w:hAnsi="Times New Roman" w:cs="Times New Roman"/>
        </w:rPr>
        <w:t xml:space="preserve">component will finance targeted investments, analytics, technical assistance, and tools. Support to improved planning and management will ensure that these investments are inclusive, </w:t>
      </w:r>
      <w:r w:rsidR="005C4919">
        <w:rPr>
          <w:rFonts w:ascii="Times New Roman" w:hAnsi="Times New Roman" w:cs="Times New Roman"/>
        </w:rPr>
        <w:t>G</w:t>
      </w:r>
      <w:r w:rsidR="005C4919" w:rsidRPr="00F46C25">
        <w:rPr>
          <w:rFonts w:ascii="Times New Roman" w:hAnsi="Times New Roman" w:cs="Times New Roman"/>
        </w:rPr>
        <w:t>ender</w:t>
      </w:r>
      <w:r w:rsidR="004F16B2">
        <w:rPr>
          <w:rFonts w:ascii="Times New Roman" w:hAnsi="Times New Roman" w:cs="Times New Roman"/>
        </w:rPr>
        <w:t xml:space="preserve"> Equality</w:t>
      </w:r>
      <w:r w:rsidR="005C4919" w:rsidRPr="00F46C25">
        <w:rPr>
          <w:rFonts w:ascii="Times New Roman" w:hAnsi="Times New Roman" w:cs="Times New Roman"/>
        </w:rPr>
        <w:t xml:space="preserve"> </w:t>
      </w:r>
      <w:r w:rsidR="004F16B2">
        <w:rPr>
          <w:rFonts w:ascii="Times New Roman" w:hAnsi="Times New Roman" w:cs="Times New Roman"/>
        </w:rPr>
        <w:t>sensitive</w:t>
      </w:r>
      <w:r w:rsidRPr="00F46C25">
        <w:rPr>
          <w:rFonts w:ascii="Times New Roman" w:hAnsi="Times New Roman" w:cs="Times New Roman"/>
        </w:rPr>
        <w:t>, and that infrastructure is managed in a sustainable way over the long term. Each LSG will be eligible for grants for infrastructure investments up to a value determined per predefined formula, but the award of a grant will be subject to compliance with agreed eligibility and compliance criteria. The component will be implemented through (i) Infrastructure renewal; and (ii) Sustainable mobility.</w:t>
      </w:r>
    </w:p>
    <w:p w14:paraId="182331D6" w14:textId="34FA541E" w:rsidR="005F0E0D" w:rsidRPr="005948DE" w:rsidRDefault="005F0E0D" w:rsidP="005948DE">
      <w:pPr>
        <w:pStyle w:val="Heading4"/>
        <w:spacing w:before="120" w:after="120" w:line="276" w:lineRule="auto"/>
        <w:jc w:val="both"/>
        <w:rPr>
          <w:rFonts w:ascii="Times New Roman" w:hAnsi="Times New Roman" w:cs="Times New Roman"/>
          <w:b w:val="0"/>
          <w:color w:val="auto"/>
          <w:u w:val="single"/>
        </w:rPr>
      </w:pPr>
      <w:r w:rsidRPr="005948DE">
        <w:rPr>
          <w:rFonts w:ascii="Times New Roman" w:hAnsi="Times New Roman" w:cs="Times New Roman"/>
          <w:b w:val="0"/>
          <w:i w:val="0"/>
          <w:color w:val="auto"/>
          <w:u w:val="single"/>
        </w:rPr>
        <w:t xml:space="preserve">Subcomponent 1.1. Investments in Climate Smart Mobility </w:t>
      </w:r>
    </w:p>
    <w:p w14:paraId="33E4A108" w14:textId="0BDB34F7" w:rsidR="00985E3A" w:rsidRPr="005948DE" w:rsidRDefault="00985E3A" w:rsidP="00F46C25">
      <w:pPr>
        <w:pStyle w:val="ListParagraph"/>
        <w:spacing w:after="120" w:line="276" w:lineRule="auto"/>
        <w:ind w:left="0"/>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objective of this subcomponent is to improve existing transport and associated infrastructure to support </w:t>
      </w:r>
      <w:r w:rsidR="005C4919">
        <w:rPr>
          <w:rFonts w:ascii="Times New Roman" w:hAnsi="Times New Roman" w:cs="Times New Roman"/>
          <w:color w:val="000000" w:themeColor="text1"/>
        </w:rPr>
        <w:t>C</w:t>
      </w:r>
      <w:r w:rsidR="005C4919" w:rsidRPr="005948DE">
        <w:rPr>
          <w:rFonts w:ascii="Times New Roman" w:hAnsi="Times New Roman" w:cs="Times New Roman"/>
          <w:color w:val="000000" w:themeColor="text1"/>
        </w:rPr>
        <w:t xml:space="preserve">limate </w:t>
      </w:r>
      <w:r w:rsidR="005C4919">
        <w:rPr>
          <w:rFonts w:ascii="Times New Roman" w:hAnsi="Times New Roman" w:cs="Times New Roman"/>
          <w:color w:val="000000" w:themeColor="text1"/>
        </w:rPr>
        <w:t>S</w:t>
      </w:r>
      <w:r w:rsidR="005C4919" w:rsidRPr="005948DE">
        <w:rPr>
          <w:rFonts w:ascii="Times New Roman" w:hAnsi="Times New Roman" w:cs="Times New Roman"/>
          <w:color w:val="000000" w:themeColor="text1"/>
        </w:rPr>
        <w:t xml:space="preserve">mart </w:t>
      </w:r>
      <w:r w:rsidR="005C4919">
        <w:rPr>
          <w:rFonts w:ascii="Times New Roman" w:hAnsi="Times New Roman" w:cs="Times New Roman"/>
          <w:color w:val="000000" w:themeColor="text1"/>
        </w:rPr>
        <w:t>m</w:t>
      </w:r>
      <w:r w:rsidR="005C4919" w:rsidRPr="005948DE">
        <w:rPr>
          <w:rFonts w:ascii="Times New Roman" w:hAnsi="Times New Roman" w:cs="Times New Roman"/>
          <w:color w:val="000000" w:themeColor="text1"/>
        </w:rPr>
        <w:t xml:space="preserve">obility </w:t>
      </w:r>
      <w:r w:rsidRPr="005948DE">
        <w:rPr>
          <w:rFonts w:ascii="Times New Roman" w:hAnsi="Times New Roman" w:cs="Times New Roman"/>
          <w:color w:val="000000" w:themeColor="text1"/>
        </w:rPr>
        <w:t xml:space="preserve">and a move toward safe, </w:t>
      </w:r>
      <w:r w:rsidR="001442C6">
        <w:rPr>
          <w:rFonts w:ascii="Times New Roman" w:hAnsi="Times New Roman" w:cs="Times New Roman"/>
          <w:color w:val="000000" w:themeColor="text1"/>
        </w:rPr>
        <w:t>green and clean</w:t>
      </w:r>
      <w:r w:rsidRPr="005948DE">
        <w:rPr>
          <w:rFonts w:ascii="Times New Roman" w:hAnsi="Times New Roman" w:cs="Times New Roman"/>
          <w:color w:val="000000" w:themeColor="text1"/>
        </w:rPr>
        <w:t xml:space="preserve"> transportations systems. The infrastructure financing will be provided through existing mechanisms for strictly targeted grant transfers from the central government to </w:t>
      </w:r>
      <w:r w:rsidR="005C491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The investments will aim at accelerating the shift to sustainable and </w:t>
      </w:r>
      <w:r w:rsidR="005C4919">
        <w:rPr>
          <w:rFonts w:ascii="Times New Roman" w:hAnsi="Times New Roman" w:cs="Times New Roman"/>
          <w:color w:val="000000" w:themeColor="text1"/>
        </w:rPr>
        <w:t>C</w:t>
      </w:r>
      <w:r w:rsidR="005C4919" w:rsidRPr="005948DE">
        <w:rPr>
          <w:rFonts w:ascii="Times New Roman" w:hAnsi="Times New Roman" w:cs="Times New Roman"/>
          <w:color w:val="000000" w:themeColor="text1"/>
        </w:rPr>
        <w:t>limate</w:t>
      </w:r>
      <w:r w:rsidR="005C4919" w:rsidRPr="005948DE" w:rsidDel="005C4919">
        <w:rPr>
          <w:rFonts w:ascii="Times New Roman" w:hAnsi="Times New Roman" w:cs="Times New Roman"/>
          <w:color w:val="000000" w:themeColor="text1"/>
        </w:rPr>
        <w:t xml:space="preserve"> </w:t>
      </w:r>
      <w:r w:rsidR="005C4919">
        <w:rPr>
          <w:rFonts w:ascii="Times New Roman" w:hAnsi="Times New Roman" w:cs="Times New Roman"/>
          <w:color w:val="000000" w:themeColor="text1"/>
        </w:rPr>
        <w:t>S</w:t>
      </w:r>
      <w:r w:rsidR="005C4919" w:rsidRPr="005948DE">
        <w:rPr>
          <w:rFonts w:ascii="Times New Roman" w:hAnsi="Times New Roman" w:cs="Times New Roman"/>
          <w:color w:val="000000" w:themeColor="text1"/>
        </w:rPr>
        <w:t xml:space="preserve">mart </w:t>
      </w:r>
      <w:r w:rsidRPr="005948DE">
        <w:rPr>
          <w:rFonts w:ascii="Times New Roman" w:hAnsi="Times New Roman" w:cs="Times New Roman"/>
          <w:color w:val="000000" w:themeColor="text1"/>
        </w:rPr>
        <w:t xml:space="preserve">mobility and establishing </w:t>
      </w:r>
      <w:r w:rsidR="001442C6">
        <w:rPr>
          <w:rFonts w:ascii="Times New Roman" w:hAnsi="Times New Roman" w:cs="Times New Roman"/>
          <w:color w:val="000000" w:themeColor="text1"/>
        </w:rPr>
        <w:t>green and clean</w:t>
      </w:r>
      <w:r w:rsidRPr="005948DE">
        <w:rPr>
          <w:rFonts w:ascii="Times New Roman" w:hAnsi="Times New Roman" w:cs="Times New Roman"/>
          <w:color w:val="000000" w:themeColor="text1"/>
        </w:rPr>
        <w:t xml:space="preserve"> transportations system. The investments will contribute to reducing the environmental footprint of delivering transport services and improving overall LSGs’ resilience to natural hazards. The majority of investments will be in transport infrastructure reconstruction and rehabilitation, within the existing infrastructure perimeters. Minor greenfield investments will be considered, for example the construction of side-walks, bicycle lanes and dedicated public transport infrastructure</w:t>
      </w:r>
      <w:r w:rsidR="005C4919">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where required. The promotion of resilient and inclusive approach and of active mobility and priority for public transport will be central to the </w:t>
      </w:r>
      <w:r w:rsidR="005C4919">
        <w:rPr>
          <w:rFonts w:ascii="Times New Roman" w:hAnsi="Times New Roman" w:cs="Times New Roman"/>
          <w:color w:val="000000" w:themeColor="text1"/>
        </w:rPr>
        <w:t xml:space="preserve">Project and </w:t>
      </w:r>
      <w:r w:rsidR="004F16B2">
        <w:rPr>
          <w:rFonts w:ascii="Times New Roman" w:hAnsi="Times New Roman" w:cs="Times New Roman"/>
          <w:color w:val="000000" w:themeColor="text1"/>
        </w:rPr>
        <w:t xml:space="preserve">LSGs’ </w:t>
      </w:r>
      <w:r w:rsidR="005C4919">
        <w:rPr>
          <w:rFonts w:ascii="Times New Roman" w:hAnsi="Times New Roman" w:cs="Times New Roman"/>
          <w:color w:val="000000" w:themeColor="text1"/>
        </w:rPr>
        <w:t>subp</w:t>
      </w:r>
      <w:r w:rsidRPr="005948DE">
        <w:rPr>
          <w:rFonts w:ascii="Times New Roman" w:hAnsi="Times New Roman" w:cs="Times New Roman"/>
          <w:color w:val="000000" w:themeColor="text1"/>
        </w:rPr>
        <w:t>roject</w:t>
      </w:r>
      <w:r w:rsidR="005C4919">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design. </w:t>
      </w:r>
    </w:p>
    <w:p w14:paraId="2E11EE8F" w14:textId="28357CA7" w:rsidR="00985E3A" w:rsidRPr="005948DE" w:rsidRDefault="00985E3A" w:rsidP="00F46C25">
      <w:pPr>
        <w:pStyle w:val="ListParagraph"/>
        <w:spacing w:after="120" w:line="276" w:lineRule="auto"/>
        <w:ind w:left="0"/>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w:t>
      </w:r>
      <w:r w:rsidR="005C4919">
        <w:rPr>
          <w:rFonts w:ascii="Times New Roman" w:hAnsi="Times New Roman" w:cs="Times New Roman"/>
          <w:color w:val="000000" w:themeColor="text1"/>
        </w:rPr>
        <w:t>P</w:t>
      </w:r>
      <w:r w:rsidRPr="005948DE">
        <w:rPr>
          <w:rFonts w:ascii="Times New Roman" w:hAnsi="Times New Roman" w:cs="Times New Roman"/>
          <w:color w:val="000000" w:themeColor="text1"/>
        </w:rPr>
        <w:t xml:space="preserve">roject will finance a range of investments to build climate resilience of the transport network including slope and bank protection, and drainage facilities. Some complementary activities will be considered where necessary to promote </w:t>
      </w:r>
      <w:r w:rsidR="001442C6">
        <w:rPr>
          <w:rFonts w:ascii="Times New Roman" w:hAnsi="Times New Roman" w:cs="Times New Roman"/>
          <w:color w:val="000000" w:themeColor="text1"/>
        </w:rPr>
        <w:t>g</w:t>
      </w:r>
      <w:r w:rsidR="005C4919" w:rsidRPr="005948DE">
        <w:rPr>
          <w:rFonts w:ascii="Times New Roman" w:hAnsi="Times New Roman" w:cs="Times New Roman"/>
          <w:color w:val="000000" w:themeColor="text1"/>
        </w:rPr>
        <w:t xml:space="preserve">reener </w:t>
      </w:r>
      <w:r w:rsidRPr="005948DE">
        <w:rPr>
          <w:rFonts w:ascii="Times New Roman" w:hAnsi="Times New Roman" w:cs="Times New Roman"/>
          <w:color w:val="000000" w:themeColor="text1"/>
        </w:rPr>
        <w:t xml:space="preserve">transport modes such as the </w:t>
      </w:r>
      <w:r w:rsidR="001442C6">
        <w:rPr>
          <w:rFonts w:ascii="Times New Roman" w:hAnsi="Times New Roman" w:cs="Times New Roman"/>
          <w:color w:val="000000" w:themeColor="text1"/>
        </w:rPr>
        <w:t>g</w:t>
      </w:r>
      <w:r w:rsidR="005C4919" w:rsidRPr="005948DE">
        <w:rPr>
          <w:rFonts w:ascii="Times New Roman" w:hAnsi="Times New Roman" w:cs="Times New Roman"/>
          <w:color w:val="000000" w:themeColor="text1"/>
        </w:rPr>
        <w:t xml:space="preserve">reening </w:t>
      </w:r>
      <w:r w:rsidRPr="005948DE">
        <w:rPr>
          <w:rFonts w:ascii="Times New Roman" w:hAnsi="Times New Roman" w:cs="Times New Roman"/>
          <w:color w:val="000000" w:themeColor="text1"/>
        </w:rPr>
        <w:t>of public spaces and addressing legacy pollution. Installation of digital infrastructure where applicable will be included and the project will promote the utilization of modern technologies for the recycling of materials in civil works, as per the guidelines that will be defined under ongoing EU IPA program. This subcomponent will also finance technical assistance required for the execution of the works including services for design, supervision, technical audit, and road safety audit. Table 1 provides an indicative list of eligible investments.</w:t>
      </w:r>
    </w:p>
    <w:p w14:paraId="068E5018" w14:textId="6A9521DD" w:rsidR="00985E3A" w:rsidRPr="005948DE" w:rsidRDefault="00985E3A" w:rsidP="00F46C25">
      <w:pPr>
        <w:pStyle w:val="ListParagraph"/>
        <w:spacing w:after="120" w:line="276" w:lineRule="auto"/>
        <w:ind w:left="0"/>
        <w:contextualSpacing w:val="0"/>
        <w:jc w:val="both"/>
        <w:rPr>
          <w:rFonts w:ascii="Times New Roman" w:hAnsi="Times New Roman" w:cs="Times New Roman"/>
          <w:color w:val="000000" w:themeColor="text1"/>
        </w:rPr>
      </w:pPr>
      <w:bookmarkStart w:id="45" w:name="_Ref85056594"/>
      <w:r w:rsidRPr="005948DE">
        <w:rPr>
          <w:rFonts w:ascii="Times New Roman" w:hAnsi="Times New Roman" w:cs="Times New Roman"/>
          <w:color w:val="000000" w:themeColor="text1"/>
        </w:rPr>
        <w:t xml:space="preserve">Table </w:t>
      </w:r>
      <w:r w:rsidR="001560C0" w:rsidRPr="005948DE">
        <w:rPr>
          <w:rFonts w:ascii="Times New Roman" w:hAnsi="Times New Roman" w:cs="Times New Roman"/>
          <w:color w:val="000000" w:themeColor="text1"/>
        </w:rPr>
        <w:fldChar w:fldCharType="begin"/>
      </w:r>
      <w:r w:rsidR="001560C0" w:rsidRPr="005948DE">
        <w:rPr>
          <w:rFonts w:ascii="Times New Roman" w:hAnsi="Times New Roman" w:cs="Times New Roman"/>
          <w:color w:val="000000" w:themeColor="text1"/>
        </w:rPr>
        <w:instrText xml:space="preserve"> SEQ Table \* ARABIC </w:instrText>
      </w:r>
      <w:r w:rsidR="001560C0" w:rsidRPr="005948DE">
        <w:rPr>
          <w:rFonts w:ascii="Times New Roman" w:hAnsi="Times New Roman" w:cs="Times New Roman"/>
          <w:color w:val="000000" w:themeColor="text1"/>
        </w:rPr>
        <w:fldChar w:fldCharType="separate"/>
      </w:r>
      <w:r w:rsidR="00A07DB4" w:rsidRPr="005948DE">
        <w:rPr>
          <w:rFonts w:ascii="Times New Roman" w:hAnsi="Times New Roman" w:cs="Times New Roman"/>
          <w:noProof/>
          <w:color w:val="000000" w:themeColor="text1"/>
        </w:rPr>
        <w:t>1</w:t>
      </w:r>
      <w:r w:rsidR="001560C0" w:rsidRPr="005948DE">
        <w:rPr>
          <w:rFonts w:ascii="Times New Roman" w:hAnsi="Times New Roman" w:cs="Times New Roman"/>
          <w:color w:val="000000" w:themeColor="text1"/>
        </w:rPr>
        <w:fldChar w:fldCharType="end"/>
      </w:r>
      <w:bookmarkEnd w:id="45"/>
      <w:r w:rsidRPr="005948DE">
        <w:rPr>
          <w:rFonts w:ascii="Times New Roman" w:hAnsi="Times New Roman" w:cs="Times New Roman"/>
          <w:color w:val="000000" w:themeColor="text1"/>
        </w:rPr>
        <w:t>: Examples of types of investments that will be supported through the operation</w:t>
      </w:r>
    </w:p>
    <w:tbl>
      <w:tblPr>
        <w:tblW w:w="9356" w:type="dxa"/>
        <w:tblInd w:w="8" w:type="dxa"/>
        <w:tblBorders>
          <w:top w:val="outset" w:sz="6" w:space="0" w:color="auto"/>
          <w:left w:val="outset" w:sz="6" w:space="0" w:color="auto"/>
          <w:bottom w:val="outset" w:sz="6" w:space="0" w:color="auto"/>
          <w:right w:val="outset" w:sz="6" w:space="0" w:color="auto"/>
        </w:tblBorders>
        <w:tblCellMar>
          <w:top w:w="28" w:type="dxa"/>
          <w:left w:w="28" w:type="dxa"/>
          <w:bottom w:w="28" w:type="dxa"/>
          <w:right w:w="28" w:type="dxa"/>
        </w:tblCellMar>
        <w:tblLook w:val="04A0" w:firstRow="1" w:lastRow="0" w:firstColumn="1" w:lastColumn="0" w:noHBand="0" w:noVBand="1"/>
      </w:tblPr>
      <w:tblGrid>
        <w:gridCol w:w="4754"/>
        <w:gridCol w:w="270"/>
        <w:gridCol w:w="4332"/>
      </w:tblGrid>
      <w:tr w:rsidR="005C01AB" w:rsidRPr="005948DE" w14:paraId="0FD41183" w14:textId="77777777" w:rsidTr="004A4AB5">
        <w:trPr>
          <w:trHeight w:val="383"/>
        </w:trPr>
        <w:tc>
          <w:tcPr>
            <w:tcW w:w="4754" w:type="dxa"/>
            <w:tcBorders>
              <w:top w:val="single" w:sz="6" w:space="0" w:color="000000" w:themeColor="text1"/>
              <w:left w:val="single" w:sz="6" w:space="0" w:color="000000" w:themeColor="text1"/>
              <w:bottom w:val="single" w:sz="6" w:space="0" w:color="000000" w:themeColor="text1"/>
              <w:right w:val="nil"/>
            </w:tcBorders>
            <w:shd w:val="clear" w:color="auto" w:fill="E7E7E7"/>
          </w:tcPr>
          <w:p w14:paraId="1CA36809" w14:textId="77777777" w:rsidR="00985E3A" w:rsidRPr="005948DE" w:rsidRDefault="00985E3A" w:rsidP="00665F55">
            <w:pPr>
              <w:numPr>
                <w:ilvl w:val="0"/>
                <w:numId w:val="268"/>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 xml:space="preserve">Rehabilitation of roads, bridges and streets </w:t>
            </w:r>
          </w:p>
          <w:p w14:paraId="43DAF2E7" w14:textId="77777777" w:rsidR="00985E3A" w:rsidRPr="005948DE" w:rsidRDefault="00985E3A" w:rsidP="00665F55">
            <w:pPr>
              <w:numPr>
                <w:ilvl w:val="0"/>
                <w:numId w:val="268"/>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Traffic management schemes (traffic calming measures, parking management, pedestrian access, safety, congestion management, street lighting, etc.) </w:t>
            </w:r>
          </w:p>
          <w:p w14:paraId="41A57101" w14:textId="77777777" w:rsidR="00985E3A" w:rsidRPr="005948DE" w:rsidRDefault="00985E3A" w:rsidP="00665F55">
            <w:pPr>
              <w:numPr>
                <w:ilvl w:val="0"/>
                <w:numId w:val="268"/>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Infrastructure for public transport (bus stops, bus lanes) </w:t>
            </w:r>
          </w:p>
          <w:p w14:paraId="02ED16DF" w14:textId="77777777" w:rsidR="00985E3A" w:rsidRPr="005948DE" w:rsidRDefault="00985E3A" w:rsidP="00665F55">
            <w:pPr>
              <w:numPr>
                <w:ilvl w:val="0"/>
                <w:numId w:val="268"/>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E-Mobility (charging stations, e-bikes/scooters) </w:t>
            </w:r>
          </w:p>
        </w:tc>
        <w:tc>
          <w:tcPr>
            <w:tcW w:w="270" w:type="dxa"/>
            <w:tcBorders>
              <w:top w:val="single" w:sz="6" w:space="0" w:color="000000" w:themeColor="text1"/>
              <w:left w:val="nil"/>
              <w:bottom w:val="single" w:sz="6" w:space="0" w:color="000000" w:themeColor="text1"/>
              <w:right w:val="nil"/>
            </w:tcBorders>
            <w:shd w:val="clear" w:color="auto" w:fill="E7E7E7"/>
          </w:tcPr>
          <w:p w14:paraId="5C9324E1" w14:textId="77777777" w:rsidR="00985E3A" w:rsidRPr="005948DE" w:rsidRDefault="00985E3A" w:rsidP="005948DE">
            <w:pPr>
              <w:spacing w:line="276" w:lineRule="auto"/>
              <w:jc w:val="both"/>
              <w:textAlignment w:val="baseline"/>
              <w:rPr>
                <w:rFonts w:ascii="Times New Roman" w:eastAsia="Times New Roman" w:hAnsi="Times New Roman" w:cs="Times New Roman"/>
                <w:color w:val="000000" w:themeColor="text1"/>
              </w:rPr>
            </w:pPr>
          </w:p>
        </w:tc>
        <w:tc>
          <w:tcPr>
            <w:tcW w:w="4332" w:type="dxa"/>
            <w:tcBorders>
              <w:top w:val="single" w:sz="6" w:space="0" w:color="000000" w:themeColor="text1"/>
              <w:left w:val="nil"/>
              <w:bottom w:val="single" w:sz="6" w:space="0" w:color="000000" w:themeColor="text1"/>
              <w:right w:val="single" w:sz="6" w:space="0" w:color="000000" w:themeColor="text1"/>
            </w:tcBorders>
            <w:shd w:val="clear" w:color="auto" w:fill="E7E7E7"/>
            <w:hideMark/>
          </w:tcPr>
          <w:p w14:paraId="13FAAA9A" w14:textId="77777777" w:rsidR="00985E3A" w:rsidRPr="005948DE" w:rsidRDefault="00985E3A" w:rsidP="00665F55">
            <w:pPr>
              <w:numPr>
                <w:ilvl w:val="0"/>
                <w:numId w:val="226"/>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 xml:space="preserve">Dedicated non-motorized transport infrastructure (walking and bicycling) including public green spaces and lighting </w:t>
            </w:r>
          </w:p>
          <w:p w14:paraId="126F9EC7" w14:textId="77777777" w:rsidR="00985E3A" w:rsidRPr="005948DE" w:rsidRDefault="00985E3A" w:rsidP="00665F55">
            <w:pPr>
              <w:numPr>
                <w:ilvl w:val="0"/>
                <w:numId w:val="226"/>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Measures to improve climate adaptation including slope stabilization, river-bank protection, drainage works </w:t>
            </w:r>
          </w:p>
          <w:p w14:paraId="5F2B010C" w14:textId="3818F8A2" w:rsidR="00985E3A" w:rsidRPr="005948DE" w:rsidRDefault="00985E3A" w:rsidP="00665F55">
            <w:pPr>
              <w:numPr>
                <w:ilvl w:val="0"/>
                <w:numId w:val="226"/>
              </w:numPr>
              <w:spacing w:after="0" w:line="276" w:lineRule="auto"/>
              <w:textAlignment w:val="baseline"/>
              <w:rPr>
                <w:rFonts w:ascii="Times New Roman" w:eastAsia="Times New Roman" w:hAnsi="Times New Roman" w:cs="Times New Roman"/>
                <w:color w:val="000000" w:themeColor="text1"/>
              </w:rPr>
            </w:pPr>
            <w:r w:rsidRPr="005948DE">
              <w:rPr>
                <w:rFonts w:ascii="Times New Roman" w:eastAsia="Times New Roman" w:hAnsi="Times New Roman" w:cs="Times New Roman"/>
                <w:color w:val="000000" w:themeColor="text1"/>
              </w:rPr>
              <w:t xml:space="preserve">Measures to improve environment including but not limited to provision of green space (forestation), legacy pollution </w:t>
            </w:r>
            <w:r w:rsidR="004D07AF" w:rsidRPr="005948DE">
              <w:rPr>
                <w:rFonts w:ascii="Times New Roman" w:eastAsia="Times New Roman" w:hAnsi="Times New Roman" w:cs="Times New Roman"/>
                <w:color w:val="000000" w:themeColor="text1"/>
              </w:rPr>
              <w:t>clean-up</w:t>
            </w:r>
            <w:r w:rsidRPr="005948DE">
              <w:rPr>
                <w:rFonts w:ascii="Times New Roman" w:eastAsia="Times New Roman" w:hAnsi="Times New Roman" w:cs="Times New Roman"/>
                <w:color w:val="000000" w:themeColor="text1"/>
              </w:rPr>
              <w:t xml:space="preserve"> </w:t>
            </w:r>
          </w:p>
        </w:tc>
      </w:tr>
    </w:tbl>
    <w:p w14:paraId="0BA70913" w14:textId="5159D21F" w:rsidR="005F0E0D" w:rsidRDefault="005F0E0D" w:rsidP="005948DE">
      <w:pPr>
        <w:pStyle w:val="Heading4"/>
        <w:spacing w:before="120" w:after="120" w:line="276" w:lineRule="auto"/>
        <w:jc w:val="both"/>
        <w:rPr>
          <w:rFonts w:ascii="Times New Roman" w:hAnsi="Times New Roman" w:cs="Times New Roman"/>
          <w:b w:val="0"/>
          <w:i w:val="0"/>
          <w:color w:val="auto"/>
          <w:u w:val="single"/>
        </w:rPr>
      </w:pPr>
      <w:r w:rsidRPr="005948DE">
        <w:rPr>
          <w:rFonts w:ascii="Times New Roman" w:hAnsi="Times New Roman" w:cs="Times New Roman"/>
          <w:b w:val="0"/>
          <w:i w:val="0"/>
          <w:color w:val="auto"/>
          <w:u w:val="single"/>
        </w:rPr>
        <w:t>Subcomponent 1.2 Sustainable Mobility</w:t>
      </w:r>
    </w:p>
    <w:p w14:paraId="355AFD6F" w14:textId="77777777" w:rsidR="008B119D" w:rsidRPr="005C332D" w:rsidRDefault="008B119D" w:rsidP="008B119D">
      <w:pPr>
        <w:widowControl w:val="0"/>
        <w:autoSpaceDE w:val="0"/>
        <w:autoSpaceDN w:val="0"/>
        <w:adjustRightInd w:val="0"/>
        <w:spacing w:after="0" w:line="240" w:lineRule="auto"/>
        <w:jc w:val="both"/>
        <w:rPr>
          <w:rFonts w:ascii="Times New Roman" w:hAnsi="Times New Roman" w:cs="Times New Roman"/>
          <w:color w:val="000000" w:themeColor="text1"/>
        </w:rPr>
      </w:pPr>
      <w:r w:rsidRPr="001442C6">
        <w:rPr>
          <w:rFonts w:ascii="Times New Roman" w:hAnsi="Times New Roman" w:cs="Times New Roman"/>
          <w:color w:val="000000" w:themeColor="text1"/>
        </w:rPr>
        <w:t xml:space="preserve">The objective here is to strengthen LSGs systems to plan, manage, implement, and operate resilient transport networks that promote patterns of climate smart mobility in a sustainable manner. </w:t>
      </w:r>
      <w:r w:rsidRPr="005C332D">
        <w:rPr>
          <w:rFonts w:ascii="Times New Roman" w:hAnsi="Times New Roman" w:cs="Times New Roman"/>
          <w:color w:val="000000" w:themeColor="text1"/>
        </w:rPr>
        <w:t xml:space="preserve">This subcomponent will finance technical assistance, capacity building and demonstration pilots in three main areas:  </w:t>
      </w:r>
    </w:p>
    <w:p w14:paraId="7EB95C3E" w14:textId="77777777" w:rsidR="008B119D" w:rsidRPr="005C332D" w:rsidRDefault="008B119D" w:rsidP="008B119D">
      <w:pPr>
        <w:numPr>
          <w:ilvl w:val="0"/>
          <w:numId w:val="722"/>
        </w:numPr>
        <w:spacing w:after="0" w:line="240" w:lineRule="auto"/>
        <w:jc w:val="both"/>
        <w:textAlignment w:val="baseline"/>
        <w:rPr>
          <w:rFonts w:ascii="Times New Roman" w:hAnsi="Times New Roman" w:cs="Times New Roman"/>
          <w:color w:val="000000" w:themeColor="text1"/>
        </w:rPr>
      </w:pPr>
      <w:r w:rsidRPr="005C332D">
        <w:rPr>
          <w:rFonts w:ascii="Times New Roman" w:hAnsi="Times New Roman" w:cs="Times New Roman"/>
          <w:color w:val="000000" w:themeColor="text1"/>
        </w:rPr>
        <w:t>Improve local road network management and resilience. Outputs will include a framework for local roads management including guidance on institutional arrangements, policy, standards, maintenance contracting, asset management, resilience, and road safety with special focus on safety of children. An easy-to-use Road Asset Management System (RAMS) will be developed and introduced in participating LSGs.</w:t>
      </w:r>
    </w:p>
    <w:p w14:paraId="7DDEC9FF" w14:textId="3C6F868D" w:rsidR="008B119D" w:rsidRPr="00A900A4" w:rsidRDefault="008B119D" w:rsidP="00A900A4">
      <w:pPr>
        <w:numPr>
          <w:ilvl w:val="0"/>
          <w:numId w:val="722"/>
        </w:numPr>
        <w:spacing w:after="0" w:line="240" w:lineRule="auto"/>
        <w:jc w:val="both"/>
        <w:textAlignment w:val="baseline"/>
        <w:rPr>
          <w:rFonts w:ascii="Times New Roman" w:hAnsi="Times New Roman" w:cs="Times New Roman"/>
          <w:b/>
          <w:i/>
          <w:color w:val="000000" w:themeColor="text1"/>
        </w:rPr>
      </w:pPr>
      <w:r w:rsidRPr="005C332D">
        <w:rPr>
          <w:rFonts w:ascii="Times New Roman" w:hAnsi="Times New Roman" w:cs="Times New Roman"/>
          <w:color w:val="000000" w:themeColor="text1"/>
        </w:rPr>
        <w:t>Mainstream sustainable and integrated mobility planning. Outputs will include some 40-gender sensitive Sustainable Urban Mobility Plans (SUMPs) with transport management plans for medium and small size LSGs.  The activity will streamline a gender sensitive approach in urban planning, design of mobility solutions and public space enhancement as well as in development of recommendations and identification of priority investments. Development of interactive guidelines and training of LSGs staff throughout the project life and knowledge exchange will be integral part under the SUMPs.</w:t>
      </w:r>
      <w:r w:rsidRPr="00A900A4">
        <w:rPr>
          <w:rFonts w:ascii="Times New Roman" w:hAnsi="Times New Roman" w:cs="Times New Roman"/>
          <w:color w:val="000000" w:themeColor="text1"/>
        </w:rPr>
        <w:t>Smart mobility research center and solutions through digital technologies. Outputs will include concept and preliminary design for research and testing center for smart mobility, proposals for smart mobility contractual modalities, and up to 5 smart mobility pilots in areas such as optimizing public transport services, intelligent transportation systems, real-time information, and infrastructure or service sharing schemes. The pilots will be implemented through calls for proposals that will prioritize solutions that could be scaled up across the country.  Smart mobility research center and solutions pilots will be used to assess the potential for scaling up transport management approaches through utilization of modern technologies. The subcomponent will support development of the concept and preliminary design for research and testing center for smart mobility. In addition, it will finance up to 5 smart mobility pilots such as optimizing public transport services, intelligent transportation systems, dynamic infrastructure management systems, real-time information, infrastructure or service sharing schemes, etc. The pilots will be implemented through call for proposals. Advantage would be given to the proposals that are scalable and that will promote non-motorized transport and/or will result in reduction of emissions from transport. All pilots will commit to publish gathered data in the GoS’s open data portal. The smart mobility pilots also will explore proposals for different contractual modalities.</w:t>
      </w:r>
    </w:p>
    <w:p w14:paraId="65D7B444" w14:textId="376E1EDB" w:rsidR="005F0E0D" w:rsidRPr="002D62FD" w:rsidRDefault="005F0E0D" w:rsidP="005948DE">
      <w:pPr>
        <w:pStyle w:val="Heading3"/>
        <w:spacing w:before="120" w:after="120" w:line="276" w:lineRule="auto"/>
        <w:jc w:val="both"/>
        <w:rPr>
          <w:rFonts w:ascii="Times New Roman" w:hAnsi="Times New Roman" w:cs="Times New Roman"/>
          <w:color w:val="auto"/>
        </w:rPr>
      </w:pPr>
      <w:bookmarkStart w:id="46" w:name="_Toc93342212"/>
      <w:r w:rsidRPr="005948DE">
        <w:rPr>
          <w:rFonts w:ascii="Times New Roman" w:hAnsi="Times New Roman" w:cs="Times New Roman"/>
          <w:color w:val="auto"/>
        </w:rPr>
        <w:t>Component 2</w:t>
      </w:r>
      <w:r w:rsidR="00835C1A">
        <w:rPr>
          <w:rFonts w:ascii="Times New Roman" w:hAnsi="Times New Roman" w:cs="Times New Roman"/>
          <w:color w:val="auto"/>
        </w:rPr>
        <w:t>:</w:t>
      </w:r>
      <w:r w:rsidRPr="005948DE">
        <w:rPr>
          <w:rFonts w:ascii="Times New Roman" w:hAnsi="Times New Roman" w:cs="Times New Roman"/>
          <w:color w:val="auto"/>
        </w:rPr>
        <w:t xml:space="preserve"> Strengthening </w:t>
      </w:r>
      <w:r w:rsidR="005C4919">
        <w:rPr>
          <w:rFonts w:ascii="Times New Roman" w:hAnsi="Times New Roman" w:cs="Times New Roman"/>
          <w:color w:val="auto"/>
        </w:rPr>
        <w:t>C</w:t>
      </w:r>
      <w:r w:rsidR="005C4919" w:rsidRPr="005948DE">
        <w:rPr>
          <w:rFonts w:ascii="Times New Roman" w:hAnsi="Times New Roman" w:cs="Times New Roman"/>
          <w:color w:val="auto"/>
        </w:rPr>
        <w:t xml:space="preserve">apacity </w:t>
      </w:r>
      <w:r w:rsidRPr="005948DE">
        <w:rPr>
          <w:rFonts w:ascii="Times New Roman" w:hAnsi="Times New Roman" w:cs="Times New Roman"/>
          <w:color w:val="auto"/>
        </w:rPr>
        <w:t xml:space="preserve">for </w:t>
      </w:r>
      <w:r w:rsidR="005C4919">
        <w:rPr>
          <w:rFonts w:ascii="Times New Roman" w:hAnsi="Times New Roman" w:cs="Times New Roman"/>
          <w:color w:val="auto"/>
        </w:rPr>
        <w:t>I</w:t>
      </w:r>
      <w:r w:rsidRPr="005948DE">
        <w:rPr>
          <w:rFonts w:ascii="Times New Roman" w:hAnsi="Times New Roman" w:cs="Times New Roman"/>
          <w:color w:val="auto"/>
        </w:rPr>
        <w:t xml:space="preserve">nfrastructure </w:t>
      </w:r>
      <w:r w:rsidR="005C4919">
        <w:rPr>
          <w:rFonts w:ascii="Times New Roman" w:hAnsi="Times New Roman" w:cs="Times New Roman"/>
          <w:color w:val="auto"/>
        </w:rPr>
        <w:t>S</w:t>
      </w:r>
      <w:r w:rsidR="005C4919" w:rsidRPr="005948DE">
        <w:rPr>
          <w:rFonts w:ascii="Times New Roman" w:hAnsi="Times New Roman" w:cs="Times New Roman"/>
          <w:color w:val="auto"/>
        </w:rPr>
        <w:t xml:space="preserve">ervice </w:t>
      </w:r>
      <w:r w:rsidR="005C4919">
        <w:rPr>
          <w:rFonts w:ascii="Times New Roman" w:hAnsi="Times New Roman" w:cs="Times New Roman"/>
          <w:color w:val="auto"/>
        </w:rPr>
        <w:t>D</w:t>
      </w:r>
      <w:r w:rsidR="005C4919" w:rsidRPr="005948DE">
        <w:rPr>
          <w:rFonts w:ascii="Times New Roman" w:hAnsi="Times New Roman" w:cs="Times New Roman"/>
          <w:color w:val="auto"/>
        </w:rPr>
        <w:t>elivery</w:t>
      </w:r>
      <w:bookmarkEnd w:id="46"/>
      <w:r w:rsidR="005C4919" w:rsidRPr="005948DE">
        <w:rPr>
          <w:rFonts w:ascii="Times New Roman" w:hAnsi="Times New Roman" w:cs="Times New Roman"/>
          <w:color w:val="auto"/>
        </w:rPr>
        <w:t xml:space="preserve"> </w:t>
      </w:r>
    </w:p>
    <w:p w14:paraId="475ACB11" w14:textId="35B5F589" w:rsidR="00985E3A" w:rsidRPr="005948DE" w:rsidRDefault="00985E3A" w:rsidP="005948DE">
      <w:pPr>
        <w:pStyle w:val="ListParagraph"/>
        <w:spacing w:after="120" w:line="276" w:lineRule="auto"/>
        <w:ind w:left="0"/>
        <w:contextualSpacing w:val="0"/>
        <w:jc w:val="both"/>
        <w:rPr>
          <w:rFonts w:ascii="Times New Roman" w:eastAsia="Times New Roman" w:hAnsi="Times New Roman" w:cs="Times New Roman"/>
          <w:color w:val="000000" w:themeColor="text1"/>
        </w:rPr>
      </w:pPr>
      <w:r w:rsidRPr="005948DE">
        <w:rPr>
          <w:rFonts w:ascii="Times New Roman" w:hAnsi="Times New Roman" w:cs="Times New Roman"/>
          <w:color w:val="000000" w:themeColor="text1"/>
        </w:rPr>
        <w:t xml:space="preserve">The objective of this component is to improve the effectiveness and sustainability of infrastructure service delivery at the local level through strengthening </w:t>
      </w:r>
      <w:r w:rsidR="004F16B2">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capacity to implement improved local planning and </w:t>
      </w:r>
      <w:r w:rsidR="005C491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PFM processes. The component will finance a mixture of </w:t>
      </w:r>
      <w:r w:rsidR="00E27FDF">
        <w:rPr>
          <w:rFonts w:ascii="Times New Roman" w:hAnsi="Times New Roman" w:cs="Times New Roman"/>
          <w:color w:val="000000" w:themeColor="text1"/>
        </w:rPr>
        <w:t>TA</w:t>
      </w:r>
      <w:r w:rsidRPr="005948DE">
        <w:rPr>
          <w:rFonts w:ascii="Times New Roman" w:hAnsi="Times New Roman" w:cs="Times New Roman"/>
          <w:color w:val="000000" w:themeColor="text1"/>
        </w:rPr>
        <w:t xml:space="preserve"> and capacity building activities focused on: (i) enhanced strategic participatory planning and identification of pipeline projects; and (ii) strengthened institutions, PFM, and access to financing. </w:t>
      </w:r>
      <w:r w:rsidR="00BF5B56" w:rsidRPr="005948DE">
        <w:rPr>
          <w:rFonts w:ascii="Times New Roman" w:eastAsia="Times New Roman" w:hAnsi="Times New Roman" w:cs="Times New Roman"/>
          <w:color w:val="000000" w:themeColor="text1"/>
        </w:rPr>
        <w:tab/>
      </w:r>
    </w:p>
    <w:p w14:paraId="5A3968EF" w14:textId="1C1A595D" w:rsidR="005F0E0D" w:rsidRPr="005948DE" w:rsidRDefault="005F0E0D" w:rsidP="005948DE">
      <w:pPr>
        <w:pStyle w:val="Heading4"/>
        <w:spacing w:before="120" w:after="120" w:line="276" w:lineRule="auto"/>
        <w:jc w:val="both"/>
        <w:rPr>
          <w:rFonts w:ascii="Times New Roman" w:hAnsi="Times New Roman" w:cs="Times New Roman"/>
          <w:b w:val="0"/>
          <w:color w:val="auto"/>
          <w:u w:val="single"/>
        </w:rPr>
      </w:pPr>
      <w:r w:rsidRPr="005948DE">
        <w:rPr>
          <w:rFonts w:ascii="Times New Roman" w:hAnsi="Times New Roman" w:cs="Times New Roman"/>
          <w:b w:val="0"/>
          <w:i w:val="0"/>
          <w:color w:val="auto"/>
          <w:u w:val="single"/>
        </w:rPr>
        <w:t xml:space="preserve">Subcomponent 2.1. Enhanced Participatory Planning and Preparation of Pipeline Projects </w:t>
      </w:r>
    </w:p>
    <w:p w14:paraId="530E8863" w14:textId="277D6D92" w:rsidR="00985E3A" w:rsidRPr="005948DE" w:rsidRDefault="00985E3A" w:rsidP="005948DE">
      <w:pPr>
        <w:pStyle w:val="ListParagraph"/>
        <w:spacing w:after="120" w:line="276" w:lineRule="auto"/>
        <w:ind w:left="0"/>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objective of this subcomponent is to enhance participatory approaches in local development planning, improve coordination among different development planning documents and sectorial strategies, include climate and resilience considerations into the planning approaches and better integrate them into the capital investment and budget planning process. In addition, the subcomponent aims to identify and support the early preparation of urban development and municipal infrastructure projects that go beyond the roads and mobility sector. Specifically, the subcomponent will finance </w:t>
      </w:r>
      <w:r w:rsidR="00E27FDF">
        <w:rPr>
          <w:rFonts w:ascii="Times New Roman" w:hAnsi="Times New Roman" w:cs="Times New Roman"/>
          <w:color w:val="000000" w:themeColor="text1"/>
        </w:rPr>
        <w:t>TA</w:t>
      </w:r>
      <w:r w:rsidRPr="005948DE">
        <w:rPr>
          <w:rFonts w:ascii="Times New Roman" w:hAnsi="Times New Roman" w:cs="Times New Roman"/>
          <w:color w:val="000000" w:themeColor="text1"/>
        </w:rPr>
        <w:t xml:space="preserve"> and capacity building in three main areas: </w:t>
      </w:r>
    </w:p>
    <w:p w14:paraId="24F5B7B3" w14:textId="77777777" w:rsidR="005C4919" w:rsidRDefault="00985E3A" w:rsidP="002D62FD">
      <w:pPr>
        <w:pStyle w:val="Bullet1"/>
        <w:numPr>
          <w:ilvl w:val="0"/>
          <w:numId w:val="55"/>
        </w:numPr>
        <w:tabs>
          <w:tab w:val="left" w:pos="426"/>
        </w:tabs>
        <w:spacing w:before="0" w:after="120" w:line="240" w:lineRule="auto"/>
        <w:ind w:left="425" w:hanging="357"/>
        <w:rPr>
          <w:rFonts w:ascii="Times New Roman" w:hAnsi="Times New Roman" w:cs="Times New Roman"/>
          <w:color w:val="000000" w:themeColor="text1"/>
          <w:szCs w:val="22"/>
        </w:rPr>
      </w:pPr>
      <w:r w:rsidRPr="005948DE">
        <w:rPr>
          <w:rFonts w:ascii="Times New Roman" w:hAnsi="Times New Roman" w:cs="Times New Roman"/>
          <w:color w:val="000000" w:themeColor="text1"/>
          <w:szCs w:val="22"/>
        </w:rPr>
        <w:t xml:space="preserve">Improve Participatory Local Development Planning in Pilot LSGs. </w:t>
      </w:r>
    </w:p>
    <w:p w14:paraId="6F932F8E" w14:textId="11E13456" w:rsidR="00985E3A" w:rsidRPr="005948DE" w:rsidRDefault="00985E3A" w:rsidP="002D62FD">
      <w:pPr>
        <w:pStyle w:val="Bullet1"/>
        <w:numPr>
          <w:ilvl w:val="0"/>
          <w:numId w:val="0"/>
        </w:numPr>
        <w:tabs>
          <w:tab w:val="left" w:pos="426"/>
        </w:tabs>
        <w:spacing w:before="0" w:after="120" w:line="240" w:lineRule="auto"/>
        <w:ind w:left="425"/>
        <w:rPr>
          <w:rFonts w:ascii="Times New Roman" w:hAnsi="Times New Roman" w:cs="Times New Roman"/>
          <w:color w:val="000000" w:themeColor="text1"/>
          <w:szCs w:val="22"/>
        </w:rPr>
      </w:pPr>
      <w:r w:rsidRPr="005948DE">
        <w:rPr>
          <w:rFonts w:ascii="Times New Roman" w:hAnsi="Times New Roman" w:cs="Times New Roman"/>
          <w:color w:val="000000" w:themeColor="text1"/>
          <w:szCs w:val="22"/>
        </w:rPr>
        <w:t>The activities will support the development of critical planning documents and linking them to corresponding capital investment and budget planning processes. The focus will be on reducing defragmentation of multiple plans and incorporating climate and resilience considerations into the planning documents. The specific planning documents to be supported will be based on an initial assessment of the planning status and capacity in selected pilot LSGs. The improved planning will strengthen linkage between broad development plans and asset management systems and annual and multiannual budgets and will also enhance the budgeting of individual infrastructure project</w:t>
      </w:r>
      <w:r w:rsidR="005C4919">
        <w:rPr>
          <w:rFonts w:ascii="Times New Roman" w:hAnsi="Times New Roman" w:cs="Times New Roman"/>
          <w:color w:val="000000" w:themeColor="text1"/>
          <w:szCs w:val="22"/>
        </w:rPr>
        <w:t>s</w:t>
      </w:r>
      <w:r w:rsidRPr="005948DE">
        <w:rPr>
          <w:rFonts w:ascii="Times New Roman" w:hAnsi="Times New Roman" w:cs="Times New Roman"/>
          <w:color w:val="000000" w:themeColor="text1"/>
          <w:szCs w:val="22"/>
        </w:rPr>
        <w:t>. Supporting the quality of infrastructure budgeting will strengthen programmatic budgeting practices. Specific emphasis will be given to ensuring improved citizen engagement, including from women and vulnerable groups to mainstream participatory approaches. The development of manuals and templates would also be supported so that lessons learned can be applied beyond the pilot LSGs. The activity will include extension of E-Government portal with the feature of informing the users on the planned infrastructure investments and planned consultations as well as to annually collect citizen opinion on main infrastructure priorities in their LSG.</w:t>
      </w:r>
    </w:p>
    <w:p w14:paraId="66880729" w14:textId="77777777" w:rsidR="005C4919" w:rsidRPr="005C4919" w:rsidRDefault="00985E3A" w:rsidP="002D62FD">
      <w:pPr>
        <w:pStyle w:val="Bullet1"/>
        <w:numPr>
          <w:ilvl w:val="0"/>
          <w:numId w:val="55"/>
        </w:numPr>
        <w:tabs>
          <w:tab w:val="left" w:pos="426"/>
        </w:tabs>
        <w:spacing w:before="0" w:after="120" w:line="240" w:lineRule="auto"/>
        <w:ind w:left="425" w:hanging="357"/>
        <w:rPr>
          <w:rFonts w:ascii="Times New Roman" w:hAnsi="Times New Roman" w:cs="Times New Roman"/>
          <w:color w:val="000000" w:themeColor="text1"/>
        </w:rPr>
      </w:pPr>
      <w:r w:rsidRPr="005948DE">
        <w:rPr>
          <w:rFonts w:ascii="Times New Roman" w:hAnsi="Times New Roman" w:cs="Times New Roman"/>
          <w:color w:val="000000" w:themeColor="text1"/>
          <w:szCs w:val="22"/>
        </w:rPr>
        <w:t xml:space="preserve">Identification and Preparation of Pipeline Projects in Pilot LSGs. </w:t>
      </w:r>
    </w:p>
    <w:p w14:paraId="1309F661" w14:textId="0B87AC94" w:rsidR="00985E3A" w:rsidRPr="005948DE" w:rsidRDefault="00985E3A" w:rsidP="00665F55">
      <w:pPr>
        <w:pStyle w:val="Bullet1"/>
        <w:numPr>
          <w:ilvl w:val="0"/>
          <w:numId w:val="0"/>
        </w:numPr>
        <w:tabs>
          <w:tab w:val="left" w:pos="426"/>
        </w:tabs>
        <w:spacing w:before="0" w:after="120" w:line="276" w:lineRule="auto"/>
        <w:ind w:left="425"/>
        <w:rPr>
          <w:rFonts w:ascii="Times New Roman" w:hAnsi="Times New Roman" w:cs="Times New Roman"/>
          <w:color w:val="000000" w:themeColor="text1"/>
        </w:rPr>
      </w:pPr>
      <w:r w:rsidRPr="005948DE">
        <w:rPr>
          <w:rFonts w:ascii="Times New Roman" w:hAnsi="Times New Roman" w:cs="Times New Roman"/>
          <w:color w:val="000000" w:themeColor="text1"/>
          <w:szCs w:val="22"/>
        </w:rPr>
        <w:t xml:space="preserve">The activities will focus on the identification and early project preparation activities for the future urban development and municipal infrastructure investment projects that that go beyond the roads and mobility sector. The activities will be based on the improved participatory planning approaches piloted under activity 2.1(i). Specific technical assistance would be provided for preparation (pre-feasibility, feasibility etc.) to ensure readiness of investments. </w:t>
      </w:r>
    </w:p>
    <w:p w14:paraId="0726B140" w14:textId="0027220C" w:rsidR="005F0E0D" w:rsidRPr="005948DE" w:rsidRDefault="005F0E0D" w:rsidP="005948DE">
      <w:pPr>
        <w:pStyle w:val="Heading4"/>
        <w:spacing w:before="120" w:after="120" w:line="276" w:lineRule="auto"/>
        <w:jc w:val="both"/>
        <w:rPr>
          <w:rFonts w:ascii="Times New Roman" w:hAnsi="Times New Roman" w:cs="Times New Roman"/>
          <w:b w:val="0"/>
          <w:color w:val="auto"/>
          <w:u w:val="single"/>
        </w:rPr>
      </w:pPr>
      <w:r w:rsidRPr="005948DE">
        <w:rPr>
          <w:rFonts w:ascii="Times New Roman" w:hAnsi="Times New Roman" w:cs="Times New Roman"/>
          <w:b w:val="0"/>
          <w:i w:val="0"/>
          <w:color w:val="auto"/>
          <w:u w:val="single"/>
        </w:rPr>
        <w:t xml:space="preserve">Subcomponent 2.2. Strengthened </w:t>
      </w:r>
      <w:r w:rsidR="005C4919">
        <w:rPr>
          <w:rFonts w:ascii="Times New Roman" w:hAnsi="Times New Roman" w:cs="Times New Roman"/>
          <w:b w:val="0"/>
          <w:i w:val="0"/>
          <w:color w:val="auto"/>
          <w:u w:val="single"/>
        </w:rPr>
        <w:t>I</w:t>
      </w:r>
      <w:r w:rsidR="005C4919" w:rsidRPr="005948DE">
        <w:rPr>
          <w:rFonts w:ascii="Times New Roman" w:hAnsi="Times New Roman" w:cs="Times New Roman"/>
          <w:b w:val="0"/>
          <w:i w:val="0"/>
          <w:color w:val="auto"/>
          <w:u w:val="single"/>
        </w:rPr>
        <w:t xml:space="preserve">nfrastructure </w:t>
      </w:r>
      <w:r w:rsidR="005C4919">
        <w:rPr>
          <w:rFonts w:ascii="Times New Roman" w:hAnsi="Times New Roman" w:cs="Times New Roman"/>
          <w:b w:val="0"/>
          <w:i w:val="0"/>
          <w:color w:val="auto"/>
          <w:u w:val="single"/>
        </w:rPr>
        <w:t>S</w:t>
      </w:r>
      <w:r w:rsidR="005C4919" w:rsidRPr="005948DE">
        <w:rPr>
          <w:rFonts w:ascii="Times New Roman" w:hAnsi="Times New Roman" w:cs="Times New Roman"/>
          <w:b w:val="0"/>
          <w:i w:val="0"/>
          <w:color w:val="auto"/>
          <w:u w:val="single"/>
        </w:rPr>
        <w:t xml:space="preserve">ervice </w:t>
      </w:r>
      <w:r w:rsidR="005C4919">
        <w:rPr>
          <w:rFonts w:ascii="Times New Roman" w:hAnsi="Times New Roman" w:cs="Times New Roman"/>
          <w:b w:val="0"/>
          <w:i w:val="0"/>
          <w:color w:val="auto"/>
          <w:u w:val="single"/>
        </w:rPr>
        <w:t>D</w:t>
      </w:r>
      <w:r w:rsidR="005C4919" w:rsidRPr="005948DE">
        <w:rPr>
          <w:rFonts w:ascii="Times New Roman" w:hAnsi="Times New Roman" w:cs="Times New Roman"/>
          <w:b w:val="0"/>
          <w:i w:val="0"/>
          <w:color w:val="auto"/>
          <w:u w:val="single"/>
        </w:rPr>
        <w:t xml:space="preserve">elivery </w:t>
      </w:r>
      <w:r w:rsidR="005C4919">
        <w:rPr>
          <w:rFonts w:ascii="Times New Roman" w:hAnsi="Times New Roman" w:cs="Times New Roman"/>
          <w:b w:val="0"/>
          <w:i w:val="0"/>
          <w:color w:val="auto"/>
          <w:u w:val="single"/>
        </w:rPr>
        <w:t>E</w:t>
      </w:r>
      <w:r w:rsidRPr="005948DE">
        <w:rPr>
          <w:rFonts w:ascii="Times New Roman" w:hAnsi="Times New Roman" w:cs="Times New Roman"/>
          <w:b w:val="0"/>
          <w:i w:val="0"/>
          <w:color w:val="auto"/>
          <w:u w:val="single"/>
        </w:rPr>
        <w:t xml:space="preserve">nablers </w:t>
      </w:r>
    </w:p>
    <w:p w14:paraId="1D9180F1" w14:textId="2BB9FBB2" w:rsidR="00A520EE" w:rsidRPr="005948DE" w:rsidRDefault="00A520EE" w:rsidP="005948DE">
      <w:pPr>
        <w:pStyle w:val="ListParagraph"/>
        <w:spacing w:after="120" w:line="276" w:lineRule="auto"/>
        <w:ind w:left="0"/>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objective of this subcomponent is to promote sustainability and long-run improvements of the infrastructure service delivery by improving technical capacities and tools for infrastructure service delivery and PFM and by proposing set of recommendations for enhancement of institutional arrangements and access to financing. It will equip the LSGs with capacities and tools to perform their infrastructure related functions in a sustainable and climate aware manner and will propose set of recommendations for further policy and institutional enhancements. The support being provided under this subcomponent will be especially critical for smaller and poorer LSGs where funding and experience with managing public investments has been lower, while it will seek to address capacity constraints and the need for institutional strengthening across </w:t>
      </w:r>
      <w:r w:rsidR="004F16B2">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The subcomponent will be implemented through set of analytical work, </w:t>
      </w:r>
      <w:r w:rsidR="00E27FDF">
        <w:rPr>
          <w:rFonts w:ascii="Times New Roman" w:hAnsi="Times New Roman" w:cs="Times New Roman"/>
          <w:color w:val="000000" w:themeColor="text1"/>
        </w:rPr>
        <w:t>TA</w:t>
      </w:r>
      <w:r w:rsidRPr="005948DE">
        <w:rPr>
          <w:rFonts w:ascii="Times New Roman" w:hAnsi="Times New Roman" w:cs="Times New Roman"/>
          <w:color w:val="000000" w:themeColor="text1"/>
        </w:rPr>
        <w:t xml:space="preserve">, and development of tools, in particular: </w:t>
      </w:r>
    </w:p>
    <w:p w14:paraId="49AFCBC3" w14:textId="3A22FC2C" w:rsidR="00F2293C" w:rsidRPr="00F2293C" w:rsidRDefault="00A520EE" w:rsidP="005948DE">
      <w:pPr>
        <w:pStyle w:val="Bullet1"/>
        <w:numPr>
          <w:ilvl w:val="0"/>
          <w:numId w:val="55"/>
        </w:numPr>
        <w:tabs>
          <w:tab w:val="left" w:pos="426"/>
        </w:tabs>
        <w:spacing w:before="0" w:after="120" w:line="276" w:lineRule="auto"/>
        <w:ind w:left="425" w:hanging="357"/>
        <w:rPr>
          <w:rFonts w:ascii="Times New Roman" w:hAnsi="Times New Roman" w:cs="Times New Roman"/>
          <w:color w:val="000000" w:themeColor="text1"/>
        </w:rPr>
      </w:pPr>
      <w:r w:rsidRPr="005948DE">
        <w:rPr>
          <w:rFonts w:ascii="Times New Roman" w:hAnsi="Times New Roman" w:cs="Times New Roman"/>
          <w:color w:val="000000" w:themeColor="text1"/>
          <w:szCs w:val="22"/>
        </w:rPr>
        <w:t xml:space="preserve">Improving </w:t>
      </w:r>
      <w:r w:rsidR="00F2293C">
        <w:rPr>
          <w:rFonts w:ascii="Times New Roman" w:hAnsi="Times New Roman" w:cs="Times New Roman"/>
          <w:color w:val="000000" w:themeColor="text1"/>
          <w:szCs w:val="22"/>
        </w:rPr>
        <w:t>A</w:t>
      </w:r>
      <w:r w:rsidR="00F2293C" w:rsidRPr="005948DE">
        <w:rPr>
          <w:rFonts w:ascii="Times New Roman" w:hAnsi="Times New Roman" w:cs="Times New Roman"/>
          <w:color w:val="000000" w:themeColor="text1"/>
          <w:szCs w:val="22"/>
        </w:rPr>
        <w:t xml:space="preserve">ccess </w:t>
      </w:r>
      <w:r w:rsidRPr="005948DE">
        <w:rPr>
          <w:rFonts w:ascii="Times New Roman" w:hAnsi="Times New Roman" w:cs="Times New Roman"/>
          <w:color w:val="000000" w:themeColor="text1"/>
          <w:szCs w:val="22"/>
        </w:rPr>
        <w:t xml:space="preserve">to </w:t>
      </w:r>
      <w:r w:rsidR="00F2293C">
        <w:rPr>
          <w:rFonts w:ascii="Times New Roman" w:hAnsi="Times New Roman" w:cs="Times New Roman"/>
          <w:color w:val="000000" w:themeColor="text1"/>
          <w:szCs w:val="22"/>
        </w:rPr>
        <w:t>F</w:t>
      </w:r>
      <w:r w:rsidR="00F2293C" w:rsidRPr="005948DE">
        <w:rPr>
          <w:rFonts w:ascii="Times New Roman" w:hAnsi="Times New Roman" w:cs="Times New Roman"/>
          <w:color w:val="000000" w:themeColor="text1"/>
          <w:szCs w:val="22"/>
        </w:rPr>
        <w:t>inancing</w:t>
      </w:r>
      <w:r w:rsidRPr="005948DE">
        <w:rPr>
          <w:rFonts w:ascii="Times New Roman" w:hAnsi="Times New Roman" w:cs="Times New Roman"/>
          <w:color w:val="000000" w:themeColor="text1"/>
          <w:szCs w:val="22"/>
        </w:rPr>
        <w:t xml:space="preserve">. </w:t>
      </w:r>
    </w:p>
    <w:p w14:paraId="720C5A2A" w14:textId="7828C995" w:rsidR="00A520EE" w:rsidRPr="005948DE" w:rsidRDefault="00A520EE" w:rsidP="00665F55">
      <w:pPr>
        <w:pStyle w:val="Bullet1"/>
        <w:numPr>
          <w:ilvl w:val="0"/>
          <w:numId w:val="0"/>
        </w:numPr>
        <w:tabs>
          <w:tab w:val="left" w:pos="426"/>
        </w:tabs>
        <w:spacing w:before="0" w:after="120" w:line="276" w:lineRule="auto"/>
        <w:ind w:left="425"/>
        <w:rPr>
          <w:rFonts w:ascii="Times New Roman" w:hAnsi="Times New Roman" w:cs="Times New Roman"/>
          <w:color w:val="000000" w:themeColor="text1"/>
        </w:rPr>
      </w:pPr>
      <w:r w:rsidRPr="005948DE">
        <w:rPr>
          <w:rFonts w:ascii="Times New Roman" w:hAnsi="Times New Roman" w:cs="Times New Roman"/>
          <w:color w:val="000000" w:themeColor="text1"/>
          <w:szCs w:val="22"/>
        </w:rPr>
        <w:t xml:space="preserve">The output will be assessment the current local infrastructure financing framework and recommendations to improve the LSGs’ ability to raise private capital for infrastructure investments, potentials of green funds, and perspective of the municipal fund scheme; </w:t>
      </w:r>
    </w:p>
    <w:p w14:paraId="0FF2BAFC" w14:textId="7B21FCE8" w:rsidR="00F2293C" w:rsidRPr="00F2293C" w:rsidRDefault="00A520EE" w:rsidP="005948DE">
      <w:pPr>
        <w:pStyle w:val="Bullet1"/>
        <w:numPr>
          <w:ilvl w:val="0"/>
          <w:numId w:val="55"/>
        </w:numPr>
        <w:tabs>
          <w:tab w:val="left" w:pos="426"/>
        </w:tabs>
        <w:spacing w:before="0" w:after="120" w:line="276" w:lineRule="auto"/>
        <w:ind w:left="425" w:hanging="357"/>
        <w:rPr>
          <w:rFonts w:ascii="Times New Roman" w:hAnsi="Times New Roman" w:cs="Times New Roman"/>
          <w:color w:val="000000" w:themeColor="text1"/>
        </w:rPr>
      </w:pPr>
      <w:r w:rsidRPr="005948DE">
        <w:rPr>
          <w:rFonts w:ascii="Times New Roman" w:hAnsi="Times New Roman" w:cs="Times New Roman"/>
          <w:color w:val="000000" w:themeColor="text1"/>
          <w:szCs w:val="22"/>
        </w:rPr>
        <w:t>Strengthening </w:t>
      </w:r>
      <w:r w:rsidR="00F2293C">
        <w:rPr>
          <w:rFonts w:ascii="Times New Roman" w:hAnsi="Times New Roman" w:cs="Times New Roman"/>
          <w:color w:val="000000" w:themeColor="text1"/>
          <w:szCs w:val="22"/>
        </w:rPr>
        <w:t>I</w:t>
      </w:r>
      <w:r w:rsidR="00F2293C" w:rsidRPr="005948DE">
        <w:rPr>
          <w:rFonts w:ascii="Times New Roman" w:hAnsi="Times New Roman" w:cs="Times New Roman"/>
          <w:color w:val="000000" w:themeColor="text1"/>
          <w:szCs w:val="22"/>
        </w:rPr>
        <w:t>nstitutions </w:t>
      </w:r>
      <w:r w:rsidRPr="005948DE">
        <w:rPr>
          <w:rFonts w:ascii="Times New Roman" w:hAnsi="Times New Roman" w:cs="Times New Roman"/>
          <w:color w:val="000000" w:themeColor="text1"/>
          <w:szCs w:val="22"/>
        </w:rPr>
        <w:t xml:space="preserve">and </w:t>
      </w:r>
      <w:r w:rsidR="00F2293C">
        <w:rPr>
          <w:rFonts w:ascii="Times New Roman" w:hAnsi="Times New Roman" w:cs="Times New Roman"/>
          <w:color w:val="000000" w:themeColor="text1"/>
          <w:szCs w:val="22"/>
        </w:rPr>
        <w:t>H</w:t>
      </w:r>
      <w:r w:rsidR="00F2293C" w:rsidRPr="005948DE">
        <w:rPr>
          <w:rFonts w:ascii="Times New Roman" w:hAnsi="Times New Roman" w:cs="Times New Roman"/>
          <w:color w:val="000000" w:themeColor="text1"/>
          <w:szCs w:val="22"/>
        </w:rPr>
        <w:t xml:space="preserve">uman </w:t>
      </w:r>
      <w:r w:rsidR="00F2293C">
        <w:rPr>
          <w:rFonts w:ascii="Times New Roman" w:hAnsi="Times New Roman" w:cs="Times New Roman"/>
          <w:color w:val="000000" w:themeColor="text1"/>
          <w:szCs w:val="22"/>
        </w:rPr>
        <w:t>C</w:t>
      </w:r>
      <w:r w:rsidR="00F2293C" w:rsidRPr="005948DE">
        <w:rPr>
          <w:rFonts w:ascii="Times New Roman" w:hAnsi="Times New Roman" w:cs="Times New Roman"/>
          <w:color w:val="000000" w:themeColor="text1"/>
          <w:szCs w:val="22"/>
        </w:rPr>
        <w:t>apacities</w:t>
      </w:r>
      <w:r w:rsidRPr="005948DE">
        <w:rPr>
          <w:rFonts w:ascii="Times New Roman" w:hAnsi="Times New Roman" w:cs="Times New Roman"/>
          <w:color w:val="000000" w:themeColor="text1"/>
          <w:szCs w:val="22"/>
        </w:rPr>
        <w:t xml:space="preserve">. </w:t>
      </w:r>
    </w:p>
    <w:p w14:paraId="5EEBFB6F" w14:textId="58034234" w:rsidR="00A520EE" w:rsidRPr="005948DE" w:rsidRDefault="00A520EE" w:rsidP="006F115D">
      <w:pPr>
        <w:pStyle w:val="Bullet1"/>
        <w:numPr>
          <w:ilvl w:val="0"/>
          <w:numId w:val="0"/>
        </w:numPr>
        <w:tabs>
          <w:tab w:val="left" w:pos="426"/>
        </w:tabs>
        <w:spacing w:before="0" w:after="120" w:line="240" w:lineRule="auto"/>
        <w:ind w:left="425"/>
        <w:rPr>
          <w:rFonts w:ascii="Times New Roman" w:hAnsi="Times New Roman" w:cs="Times New Roman"/>
          <w:color w:val="000000" w:themeColor="text1"/>
        </w:rPr>
      </w:pPr>
      <w:r w:rsidRPr="005948DE">
        <w:rPr>
          <w:rFonts w:ascii="Times New Roman" w:hAnsi="Times New Roman" w:cs="Times New Roman"/>
          <w:color w:val="000000" w:themeColor="text1"/>
          <w:szCs w:val="22"/>
        </w:rPr>
        <w:t>The outputs will be a review of the currently fragmented institutions an</w:t>
      </w:r>
      <w:r w:rsidR="00F2293C">
        <w:rPr>
          <w:rFonts w:ascii="Times New Roman" w:hAnsi="Times New Roman" w:cs="Times New Roman"/>
          <w:color w:val="000000" w:themeColor="text1"/>
          <w:szCs w:val="22"/>
        </w:rPr>
        <w:t>d</w:t>
      </w:r>
      <w:r w:rsidR="00E27FDF">
        <w:rPr>
          <w:rFonts w:ascii="Times New Roman" w:hAnsi="Times New Roman" w:cs="Times New Roman"/>
          <w:color w:val="000000" w:themeColor="text1"/>
          <w:szCs w:val="22"/>
        </w:rPr>
        <w:t xml:space="preserve"> </w:t>
      </w:r>
      <w:r w:rsidRPr="005948DE">
        <w:rPr>
          <w:rFonts w:ascii="Times New Roman" w:hAnsi="Times New Roman" w:cs="Times New Roman"/>
          <w:color w:val="000000" w:themeColor="text1"/>
          <w:szCs w:val="22"/>
        </w:rPr>
        <w:t>human capital and recommendations for consolidated approaches and process simplification – including ‘fit for purpose’ digitization - to enable existing staff to work efficiently and meet national and local requirements, as well as to develop prioritized approaches to staff expansion and training. Introduction of young workforce to the sector will be supported through 40</w:t>
      </w:r>
      <w:r w:rsidR="0054357E">
        <w:rPr>
          <w:rFonts w:ascii="Times New Roman" w:hAnsi="Times New Roman" w:cs="Times New Roman"/>
          <w:color w:val="000000" w:themeColor="text1"/>
          <w:szCs w:val="22"/>
        </w:rPr>
        <w:t xml:space="preserve"> (forty)</w:t>
      </w:r>
      <w:r w:rsidRPr="005948DE">
        <w:rPr>
          <w:rFonts w:ascii="Times New Roman" w:hAnsi="Times New Roman" w:cs="Times New Roman"/>
          <w:color w:val="000000" w:themeColor="text1"/>
          <w:szCs w:val="22"/>
        </w:rPr>
        <w:t xml:space="preserve"> paid three to six months internships placed at </w:t>
      </w:r>
      <w:r w:rsidR="00F2293C">
        <w:rPr>
          <w:rFonts w:ascii="Times New Roman" w:hAnsi="Times New Roman" w:cs="Times New Roman"/>
          <w:color w:val="000000" w:themeColor="text1"/>
          <w:szCs w:val="22"/>
        </w:rPr>
        <w:t xml:space="preserve">the </w:t>
      </w:r>
      <w:r w:rsidRPr="005948DE">
        <w:rPr>
          <w:rFonts w:ascii="Times New Roman" w:hAnsi="Times New Roman" w:cs="Times New Roman"/>
          <w:color w:val="000000" w:themeColor="text1"/>
          <w:szCs w:val="22"/>
        </w:rPr>
        <w:t>PIU,</w:t>
      </w:r>
      <w:r w:rsidR="00F2293C">
        <w:rPr>
          <w:rFonts w:ascii="Times New Roman" w:hAnsi="Times New Roman" w:cs="Times New Roman"/>
          <w:color w:val="000000" w:themeColor="text1"/>
          <w:szCs w:val="22"/>
        </w:rPr>
        <w:t xml:space="preserve"> the</w:t>
      </w:r>
      <w:r w:rsidRPr="005948DE">
        <w:rPr>
          <w:rFonts w:ascii="Times New Roman" w:hAnsi="Times New Roman" w:cs="Times New Roman"/>
          <w:color w:val="000000" w:themeColor="text1"/>
          <w:szCs w:val="22"/>
        </w:rPr>
        <w:t xml:space="preserve"> MCTI and</w:t>
      </w:r>
      <w:r w:rsidR="00F2293C">
        <w:rPr>
          <w:rFonts w:ascii="Times New Roman" w:hAnsi="Times New Roman" w:cs="Times New Roman"/>
          <w:color w:val="000000" w:themeColor="text1"/>
          <w:szCs w:val="22"/>
        </w:rPr>
        <w:t xml:space="preserve"> the</w:t>
      </w:r>
      <w:r w:rsidRPr="005948DE">
        <w:rPr>
          <w:rFonts w:ascii="Times New Roman" w:hAnsi="Times New Roman" w:cs="Times New Roman"/>
          <w:color w:val="000000" w:themeColor="text1"/>
          <w:szCs w:val="22"/>
        </w:rPr>
        <w:t xml:space="preserve"> LSGs. Out of these at least 28</w:t>
      </w:r>
      <w:r w:rsidR="00E27FDF">
        <w:rPr>
          <w:rFonts w:ascii="Times New Roman" w:hAnsi="Times New Roman" w:cs="Times New Roman"/>
          <w:color w:val="000000" w:themeColor="text1"/>
          <w:szCs w:val="22"/>
        </w:rPr>
        <w:t xml:space="preserve"> (tw</w:t>
      </w:r>
      <w:r w:rsidR="0054357E">
        <w:rPr>
          <w:rFonts w:ascii="Times New Roman" w:hAnsi="Times New Roman" w:cs="Times New Roman"/>
          <w:color w:val="000000" w:themeColor="text1"/>
          <w:szCs w:val="22"/>
        </w:rPr>
        <w:t>enty-eight)</w:t>
      </w:r>
      <w:r w:rsidRPr="005948DE">
        <w:rPr>
          <w:rFonts w:ascii="Times New Roman" w:hAnsi="Times New Roman" w:cs="Times New Roman"/>
          <w:color w:val="000000" w:themeColor="text1"/>
          <w:szCs w:val="22"/>
        </w:rPr>
        <w:t xml:space="preserve"> will be for women</w:t>
      </w:r>
      <w:r w:rsidR="0054357E">
        <w:rPr>
          <w:rFonts w:ascii="Times New Roman" w:hAnsi="Times New Roman" w:cs="Times New Roman"/>
          <w:color w:val="000000" w:themeColor="text1"/>
          <w:szCs w:val="22"/>
        </w:rPr>
        <w:t xml:space="preserve"> </w:t>
      </w:r>
      <w:r w:rsidR="0054357E" w:rsidRPr="005948DE">
        <w:rPr>
          <w:rFonts w:ascii="Times New Roman" w:hAnsi="Times New Roman" w:cs="Times New Roman"/>
          <w:color w:val="000000" w:themeColor="text1"/>
          <w:szCs w:val="22"/>
        </w:rPr>
        <w:t>(70 percent)</w:t>
      </w:r>
      <w:r w:rsidRPr="005948DE">
        <w:rPr>
          <w:rFonts w:ascii="Times New Roman" w:hAnsi="Times New Roman" w:cs="Times New Roman"/>
          <w:color w:val="000000" w:themeColor="text1"/>
          <w:szCs w:val="22"/>
        </w:rPr>
        <w:t>. P</w:t>
      </w:r>
      <w:r w:rsidR="00F2293C">
        <w:rPr>
          <w:rFonts w:ascii="Times New Roman" w:hAnsi="Times New Roman" w:cs="Times New Roman"/>
          <w:color w:val="000000" w:themeColor="text1"/>
          <w:szCs w:val="22"/>
        </w:rPr>
        <w:t xml:space="preserve">ublic </w:t>
      </w:r>
      <w:r w:rsidRPr="005948DE">
        <w:rPr>
          <w:rFonts w:ascii="Times New Roman" w:hAnsi="Times New Roman" w:cs="Times New Roman"/>
          <w:color w:val="000000" w:themeColor="text1"/>
          <w:szCs w:val="22"/>
        </w:rPr>
        <w:t>I</w:t>
      </w:r>
      <w:r w:rsidR="00F2293C">
        <w:rPr>
          <w:rFonts w:ascii="Times New Roman" w:hAnsi="Times New Roman" w:cs="Times New Roman"/>
          <w:color w:val="000000" w:themeColor="text1"/>
          <w:szCs w:val="22"/>
        </w:rPr>
        <w:t xml:space="preserve">nvestment </w:t>
      </w:r>
      <w:r w:rsidRPr="005948DE">
        <w:rPr>
          <w:rFonts w:ascii="Times New Roman" w:hAnsi="Times New Roman" w:cs="Times New Roman"/>
          <w:color w:val="000000" w:themeColor="text1"/>
          <w:szCs w:val="22"/>
        </w:rPr>
        <w:t>M</w:t>
      </w:r>
      <w:r w:rsidR="00F2293C">
        <w:rPr>
          <w:rFonts w:ascii="Times New Roman" w:hAnsi="Times New Roman" w:cs="Times New Roman"/>
          <w:color w:val="000000" w:themeColor="text1"/>
          <w:szCs w:val="22"/>
        </w:rPr>
        <w:t xml:space="preserve">anagement Information </w:t>
      </w:r>
      <w:r w:rsidRPr="005948DE">
        <w:rPr>
          <w:rFonts w:ascii="Times New Roman" w:hAnsi="Times New Roman" w:cs="Times New Roman"/>
          <w:color w:val="000000" w:themeColor="text1"/>
          <w:szCs w:val="22"/>
        </w:rPr>
        <w:t>S</w:t>
      </w:r>
      <w:r w:rsidR="00F2293C">
        <w:rPr>
          <w:rFonts w:ascii="Times New Roman" w:hAnsi="Times New Roman" w:cs="Times New Roman"/>
          <w:color w:val="000000" w:themeColor="text1"/>
          <w:szCs w:val="22"/>
        </w:rPr>
        <w:t>ystem (PIMIS)</w:t>
      </w:r>
      <w:r w:rsidRPr="005948DE">
        <w:rPr>
          <w:rFonts w:ascii="Times New Roman" w:hAnsi="Times New Roman" w:cs="Times New Roman"/>
          <w:color w:val="000000" w:themeColor="text1"/>
          <w:szCs w:val="22"/>
        </w:rPr>
        <w:t xml:space="preserve"> </w:t>
      </w:r>
      <w:r w:rsidR="00F2293C">
        <w:rPr>
          <w:rFonts w:ascii="Times New Roman" w:hAnsi="Times New Roman" w:cs="Times New Roman"/>
          <w:color w:val="000000" w:themeColor="text1"/>
          <w:szCs w:val="22"/>
        </w:rPr>
        <w:t xml:space="preserve">database </w:t>
      </w:r>
      <w:r w:rsidRPr="005948DE">
        <w:rPr>
          <w:rFonts w:ascii="Times New Roman" w:hAnsi="Times New Roman" w:cs="Times New Roman"/>
          <w:color w:val="000000" w:themeColor="text1"/>
          <w:szCs w:val="22"/>
        </w:rPr>
        <w:t xml:space="preserve">and Project Management tool will be delivered </w:t>
      </w:r>
      <w:r w:rsidR="0054357E">
        <w:rPr>
          <w:rFonts w:ascii="Times New Roman" w:hAnsi="Times New Roman" w:cs="Times New Roman"/>
          <w:color w:val="000000" w:themeColor="text1"/>
          <w:szCs w:val="22"/>
        </w:rPr>
        <w:t xml:space="preserve">so </w:t>
      </w:r>
      <w:r w:rsidRPr="005948DE">
        <w:rPr>
          <w:rFonts w:ascii="Times New Roman" w:hAnsi="Times New Roman" w:cs="Times New Roman"/>
          <w:color w:val="000000" w:themeColor="text1"/>
          <w:szCs w:val="22"/>
        </w:rPr>
        <w:t>that each LSG will be able to use</w:t>
      </w:r>
      <w:r w:rsidR="0054357E">
        <w:rPr>
          <w:rFonts w:ascii="Times New Roman" w:hAnsi="Times New Roman" w:cs="Times New Roman"/>
          <w:color w:val="000000" w:themeColor="text1"/>
          <w:szCs w:val="22"/>
        </w:rPr>
        <w:t xml:space="preserve"> it</w:t>
      </w:r>
      <w:r w:rsidRPr="005948DE">
        <w:rPr>
          <w:rFonts w:ascii="Times New Roman" w:hAnsi="Times New Roman" w:cs="Times New Roman"/>
          <w:color w:val="000000" w:themeColor="text1"/>
          <w:szCs w:val="22"/>
        </w:rPr>
        <w:t xml:space="preserve"> to plan and manage </w:t>
      </w:r>
      <w:r w:rsidR="0054357E">
        <w:rPr>
          <w:rFonts w:ascii="Times New Roman" w:hAnsi="Times New Roman" w:cs="Times New Roman"/>
          <w:color w:val="000000" w:themeColor="text1"/>
          <w:szCs w:val="22"/>
        </w:rPr>
        <w:t xml:space="preserve">their </w:t>
      </w:r>
      <w:r w:rsidRPr="005948DE">
        <w:rPr>
          <w:rFonts w:ascii="Times New Roman" w:hAnsi="Times New Roman" w:cs="Times New Roman"/>
          <w:color w:val="000000" w:themeColor="text1"/>
          <w:szCs w:val="22"/>
        </w:rPr>
        <w:t>infrastructure contracts.</w:t>
      </w:r>
    </w:p>
    <w:p w14:paraId="29F408F3" w14:textId="4C4AA0FA" w:rsidR="00F2293C" w:rsidRPr="00F2293C" w:rsidRDefault="00A520EE" w:rsidP="006F115D">
      <w:pPr>
        <w:pStyle w:val="Bullet1"/>
        <w:numPr>
          <w:ilvl w:val="0"/>
          <w:numId w:val="55"/>
        </w:numPr>
        <w:tabs>
          <w:tab w:val="left" w:pos="426"/>
        </w:tabs>
        <w:spacing w:before="0" w:after="120" w:line="240" w:lineRule="auto"/>
        <w:ind w:left="425" w:hanging="357"/>
        <w:rPr>
          <w:rFonts w:ascii="Times New Roman" w:hAnsi="Times New Roman" w:cs="Times New Roman"/>
          <w:color w:val="000000" w:themeColor="text1"/>
        </w:rPr>
      </w:pPr>
      <w:r w:rsidRPr="005948DE">
        <w:rPr>
          <w:rFonts w:ascii="Times New Roman" w:hAnsi="Times New Roman" w:cs="Times New Roman"/>
          <w:bCs w:val="0"/>
          <w:color w:val="000000" w:themeColor="text1"/>
        </w:rPr>
        <w:t xml:space="preserve">Enhancing </w:t>
      </w:r>
      <w:r w:rsidR="00F2293C">
        <w:rPr>
          <w:rFonts w:ascii="Times New Roman" w:hAnsi="Times New Roman" w:cs="Times New Roman"/>
          <w:bCs w:val="0"/>
          <w:color w:val="000000" w:themeColor="text1"/>
        </w:rPr>
        <w:t>C</w:t>
      </w:r>
      <w:r w:rsidR="00F2293C" w:rsidRPr="005948DE">
        <w:rPr>
          <w:rFonts w:ascii="Times New Roman" w:hAnsi="Times New Roman" w:cs="Times New Roman"/>
          <w:bCs w:val="0"/>
          <w:color w:val="000000" w:themeColor="text1"/>
        </w:rPr>
        <w:t xml:space="preserve">apacities </w:t>
      </w:r>
      <w:r w:rsidRPr="005948DE">
        <w:rPr>
          <w:rFonts w:ascii="Times New Roman" w:hAnsi="Times New Roman" w:cs="Times New Roman"/>
          <w:bCs w:val="0"/>
          <w:color w:val="000000" w:themeColor="text1"/>
        </w:rPr>
        <w:t xml:space="preserve">for </w:t>
      </w:r>
      <w:r w:rsidR="00F2293C">
        <w:rPr>
          <w:rFonts w:ascii="Times New Roman" w:hAnsi="Times New Roman" w:cs="Times New Roman"/>
          <w:bCs w:val="0"/>
          <w:color w:val="000000" w:themeColor="text1"/>
        </w:rPr>
        <w:t>C</w:t>
      </w:r>
      <w:r w:rsidR="00F2293C" w:rsidRPr="005948DE">
        <w:rPr>
          <w:rFonts w:ascii="Times New Roman" w:hAnsi="Times New Roman" w:cs="Times New Roman"/>
          <w:bCs w:val="0"/>
          <w:color w:val="000000" w:themeColor="text1"/>
        </w:rPr>
        <w:t xml:space="preserve">limate </w:t>
      </w:r>
      <w:r w:rsidR="00F2293C">
        <w:rPr>
          <w:rFonts w:ascii="Times New Roman" w:hAnsi="Times New Roman" w:cs="Times New Roman"/>
          <w:bCs w:val="0"/>
          <w:color w:val="000000" w:themeColor="text1"/>
        </w:rPr>
        <w:t>A</w:t>
      </w:r>
      <w:r w:rsidR="00F2293C" w:rsidRPr="005948DE">
        <w:rPr>
          <w:rFonts w:ascii="Times New Roman" w:hAnsi="Times New Roman" w:cs="Times New Roman"/>
          <w:bCs w:val="0"/>
          <w:color w:val="000000" w:themeColor="text1"/>
        </w:rPr>
        <w:t xml:space="preserve">ware </w:t>
      </w:r>
      <w:r w:rsidR="00F2293C">
        <w:rPr>
          <w:rFonts w:ascii="Times New Roman" w:hAnsi="Times New Roman" w:cs="Times New Roman"/>
          <w:bCs w:val="0"/>
          <w:color w:val="000000" w:themeColor="text1"/>
        </w:rPr>
        <w:t>I</w:t>
      </w:r>
      <w:r w:rsidR="00F2293C" w:rsidRPr="005948DE">
        <w:rPr>
          <w:rFonts w:ascii="Times New Roman" w:hAnsi="Times New Roman" w:cs="Times New Roman"/>
          <w:bCs w:val="0"/>
          <w:color w:val="000000" w:themeColor="text1"/>
        </w:rPr>
        <w:t xml:space="preserve">nfrastructure </w:t>
      </w:r>
      <w:r w:rsidR="00F2293C">
        <w:rPr>
          <w:rFonts w:ascii="Times New Roman" w:hAnsi="Times New Roman" w:cs="Times New Roman"/>
          <w:bCs w:val="0"/>
          <w:color w:val="000000" w:themeColor="text1"/>
        </w:rPr>
        <w:t>S</w:t>
      </w:r>
      <w:r w:rsidR="00F2293C" w:rsidRPr="005948DE">
        <w:rPr>
          <w:rFonts w:ascii="Times New Roman" w:hAnsi="Times New Roman" w:cs="Times New Roman"/>
          <w:bCs w:val="0"/>
          <w:color w:val="000000" w:themeColor="text1"/>
        </w:rPr>
        <w:t xml:space="preserve">ervice </w:t>
      </w:r>
      <w:r w:rsidR="00F2293C">
        <w:rPr>
          <w:rFonts w:ascii="Times New Roman" w:hAnsi="Times New Roman" w:cs="Times New Roman"/>
          <w:bCs w:val="0"/>
          <w:color w:val="000000" w:themeColor="text1"/>
        </w:rPr>
        <w:t>D</w:t>
      </w:r>
      <w:r w:rsidR="00F2293C" w:rsidRPr="005948DE">
        <w:rPr>
          <w:rFonts w:ascii="Times New Roman" w:hAnsi="Times New Roman" w:cs="Times New Roman"/>
          <w:bCs w:val="0"/>
          <w:color w:val="000000" w:themeColor="text1"/>
        </w:rPr>
        <w:t>elivery</w:t>
      </w:r>
      <w:r w:rsidRPr="005948DE">
        <w:rPr>
          <w:rFonts w:ascii="Times New Roman" w:hAnsi="Times New Roman" w:cs="Times New Roman"/>
          <w:bCs w:val="0"/>
          <w:color w:val="000000" w:themeColor="text1"/>
        </w:rPr>
        <w:t xml:space="preserve">. </w:t>
      </w:r>
    </w:p>
    <w:p w14:paraId="7FB1A6A6" w14:textId="6DA96782" w:rsidR="00A520EE" w:rsidRPr="005948DE" w:rsidRDefault="00A520EE" w:rsidP="006F115D">
      <w:pPr>
        <w:pStyle w:val="Bullet1"/>
        <w:numPr>
          <w:ilvl w:val="0"/>
          <w:numId w:val="0"/>
        </w:numPr>
        <w:tabs>
          <w:tab w:val="left" w:pos="426"/>
        </w:tabs>
        <w:spacing w:before="0" w:after="120" w:line="240" w:lineRule="auto"/>
        <w:ind w:left="425"/>
        <w:rPr>
          <w:rFonts w:ascii="Times New Roman" w:hAnsi="Times New Roman" w:cs="Times New Roman"/>
          <w:color w:val="000000" w:themeColor="text1"/>
        </w:rPr>
      </w:pPr>
      <w:r w:rsidRPr="005948DE">
        <w:rPr>
          <w:rFonts w:ascii="Times New Roman" w:hAnsi="Times New Roman" w:cs="Times New Roman"/>
          <w:bCs w:val="0"/>
          <w:color w:val="000000" w:themeColor="text1"/>
        </w:rPr>
        <w:t xml:space="preserve">The output will </w:t>
      </w:r>
      <w:r w:rsidR="00F2293C">
        <w:rPr>
          <w:rFonts w:ascii="Times New Roman" w:hAnsi="Times New Roman" w:cs="Times New Roman"/>
          <w:bCs w:val="0"/>
          <w:color w:val="000000" w:themeColor="text1"/>
        </w:rPr>
        <w:t xml:space="preserve">be </w:t>
      </w:r>
      <w:r w:rsidRPr="005948DE">
        <w:rPr>
          <w:rFonts w:ascii="Times New Roman" w:hAnsi="Times New Roman" w:cs="Times New Roman"/>
          <w:bCs w:val="0"/>
          <w:color w:val="000000" w:themeColor="text1"/>
        </w:rPr>
        <w:t xml:space="preserve">capacity building and implementation support in a number of areas with special focus on efficiency, transparency and </w:t>
      </w:r>
      <w:r w:rsidR="00F2293C">
        <w:rPr>
          <w:rFonts w:ascii="Times New Roman" w:hAnsi="Times New Roman" w:cs="Times New Roman"/>
          <w:bCs w:val="0"/>
          <w:color w:val="000000" w:themeColor="text1"/>
        </w:rPr>
        <w:t>G</w:t>
      </w:r>
      <w:r w:rsidR="00F2293C" w:rsidRPr="005948DE">
        <w:rPr>
          <w:rFonts w:ascii="Times New Roman" w:hAnsi="Times New Roman" w:cs="Times New Roman"/>
          <w:bCs w:val="0"/>
          <w:color w:val="000000" w:themeColor="text1"/>
        </w:rPr>
        <w:t xml:space="preserve">reen </w:t>
      </w:r>
      <w:r w:rsidR="00F2293C">
        <w:rPr>
          <w:rFonts w:ascii="Times New Roman" w:hAnsi="Times New Roman" w:cs="Times New Roman"/>
          <w:bCs w:val="0"/>
          <w:color w:val="000000" w:themeColor="text1"/>
        </w:rPr>
        <w:t>P</w:t>
      </w:r>
      <w:r w:rsidRPr="005948DE">
        <w:rPr>
          <w:rFonts w:ascii="Times New Roman" w:hAnsi="Times New Roman" w:cs="Times New Roman"/>
          <w:bCs w:val="0"/>
          <w:color w:val="000000" w:themeColor="text1"/>
        </w:rPr>
        <w:t>rocurement; PFM/</w:t>
      </w:r>
      <w:r w:rsidR="00FA59EB">
        <w:rPr>
          <w:rFonts w:ascii="Times New Roman" w:hAnsi="Times New Roman" w:cs="Times New Roman"/>
          <w:bCs w:val="0"/>
          <w:color w:val="000000" w:themeColor="text1"/>
        </w:rPr>
        <w:t>Public Investment Management (</w:t>
      </w:r>
      <w:r w:rsidRPr="005948DE">
        <w:rPr>
          <w:rFonts w:ascii="Times New Roman" w:hAnsi="Times New Roman" w:cs="Times New Roman"/>
          <w:bCs w:val="0"/>
          <w:color w:val="000000" w:themeColor="text1"/>
        </w:rPr>
        <w:t>PIM</w:t>
      </w:r>
      <w:r w:rsidR="00C60C14">
        <w:rPr>
          <w:rFonts w:ascii="Times New Roman" w:hAnsi="Times New Roman" w:cs="Times New Roman"/>
          <w:bCs w:val="0"/>
          <w:color w:val="000000" w:themeColor="text1"/>
        </w:rPr>
        <w:t>)</w:t>
      </w:r>
      <w:r w:rsidRPr="005948DE">
        <w:rPr>
          <w:rFonts w:ascii="Times New Roman" w:hAnsi="Times New Roman" w:cs="Times New Roman"/>
          <w:bCs w:val="0"/>
          <w:color w:val="000000" w:themeColor="text1"/>
        </w:rPr>
        <w:t xml:space="preserve"> with a special focus on monitoring and reporting on </w:t>
      </w:r>
      <w:r w:rsidR="00F2293C">
        <w:rPr>
          <w:rFonts w:ascii="Times New Roman" w:hAnsi="Times New Roman" w:cs="Times New Roman"/>
          <w:bCs w:val="0"/>
          <w:color w:val="000000" w:themeColor="text1"/>
        </w:rPr>
        <w:t>G</w:t>
      </w:r>
      <w:r w:rsidR="00F2293C" w:rsidRPr="005948DE">
        <w:rPr>
          <w:rFonts w:ascii="Times New Roman" w:hAnsi="Times New Roman" w:cs="Times New Roman"/>
          <w:bCs w:val="0"/>
          <w:color w:val="000000" w:themeColor="text1"/>
        </w:rPr>
        <w:t xml:space="preserve">reen </w:t>
      </w:r>
      <w:r w:rsidRPr="005948DE">
        <w:rPr>
          <w:rFonts w:ascii="Times New Roman" w:hAnsi="Times New Roman" w:cs="Times New Roman"/>
          <w:bCs w:val="0"/>
          <w:color w:val="000000" w:themeColor="text1"/>
        </w:rPr>
        <w:t xml:space="preserve">impacts and </w:t>
      </w:r>
      <w:r w:rsidR="00F2293C">
        <w:rPr>
          <w:rFonts w:ascii="Times New Roman" w:hAnsi="Times New Roman" w:cs="Times New Roman"/>
          <w:bCs w:val="0"/>
          <w:color w:val="000000" w:themeColor="text1"/>
        </w:rPr>
        <w:t>LSGs Owned Enterprises’</w:t>
      </w:r>
      <w:r w:rsidRPr="005948DE">
        <w:rPr>
          <w:rFonts w:ascii="Times New Roman" w:hAnsi="Times New Roman" w:cs="Times New Roman"/>
          <w:bCs w:val="0"/>
          <w:color w:val="000000" w:themeColor="text1"/>
        </w:rPr>
        <w:t xml:space="preserve"> performance and transparency and inclusion of citizen feedback; contract management; and social and environmental management. It will also support inter municipal cooperation and knowledge exchange on sustainable LSG development. </w:t>
      </w:r>
    </w:p>
    <w:p w14:paraId="2EC4FC30" w14:textId="48872655" w:rsidR="005F0E0D" w:rsidRPr="005948DE" w:rsidRDefault="005F0E0D" w:rsidP="006F115D">
      <w:pPr>
        <w:pStyle w:val="Heading3"/>
        <w:spacing w:before="0" w:after="120" w:line="240" w:lineRule="auto"/>
        <w:jc w:val="both"/>
        <w:rPr>
          <w:rFonts w:ascii="Times New Roman" w:hAnsi="Times New Roman" w:cs="Times New Roman"/>
          <w:smallCaps/>
          <w:color w:val="auto"/>
        </w:rPr>
      </w:pPr>
      <w:bookmarkStart w:id="47" w:name="_Toc93342213"/>
      <w:r w:rsidRPr="005948DE">
        <w:rPr>
          <w:rFonts w:ascii="Times New Roman" w:hAnsi="Times New Roman" w:cs="Times New Roman"/>
          <w:color w:val="auto"/>
        </w:rPr>
        <w:t>Component 3:</w:t>
      </w:r>
      <w:r w:rsidR="00921B17" w:rsidRPr="005948DE">
        <w:rPr>
          <w:rFonts w:ascii="Times New Roman" w:hAnsi="Times New Roman" w:cs="Times New Roman"/>
          <w:color w:val="auto"/>
        </w:rPr>
        <w:t xml:space="preserve"> </w:t>
      </w:r>
      <w:r w:rsidR="008D5066">
        <w:rPr>
          <w:rFonts w:ascii="Times New Roman" w:hAnsi="Times New Roman" w:cs="Times New Roman"/>
          <w:color w:val="auto"/>
        </w:rPr>
        <w:t>Project Management and Awareness Raising</w:t>
      </w:r>
      <w:bookmarkEnd w:id="47"/>
      <w:r w:rsidRPr="005948DE">
        <w:rPr>
          <w:rFonts w:ascii="Times New Roman" w:hAnsi="Times New Roman" w:cs="Times New Roman"/>
          <w:color w:val="auto"/>
        </w:rPr>
        <w:t xml:space="preserve"> </w:t>
      </w:r>
    </w:p>
    <w:p w14:paraId="5C0309BA" w14:textId="6946B866" w:rsidR="005F0E0D" w:rsidRPr="005948DE" w:rsidRDefault="00886A23" w:rsidP="006F115D">
      <w:pPr>
        <w:widowControl w:val="0"/>
        <w:autoSpaceDE w:val="0"/>
        <w:autoSpaceDN w:val="0"/>
        <w:adjustRightInd w:val="0"/>
        <w:spacing w:after="120" w:line="240" w:lineRule="auto"/>
        <w:jc w:val="both"/>
        <w:rPr>
          <w:rFonts w:ascii="Times New Roman" w:eastAsia="MS Mincho" w:hAnsi="Times New Roman" w:cs="Times New Roman"/>
          <w:b/>
          <w:bCs/>
        </w:rPr>
      </w:pPr>
      <w:r w:rsidRPr="005948DE">
        <w:rPr>
          <w:rFonts w:ascii="Times New Roman" w:eastAsia="Times New Roman" w:hAnsi="Times New Roman" w:cs="Times New Roman"/>
          <w:b/>
          <w:bCs/>
        </w:rPr>
        <w:t xml:space="preserve">The objective of this component is to establish an institutional set-up that will enable successful implementation of the Project and raise awareness about the importance of </w:t>
      </w:r>
      <w:r w:rsidR="00F2293C">
        <w:rPr>
          <w:rFonts w:ascii="Times New Roman" w:eastAsia="Times New Roman" w:hAnsi="Times New Roman" w:cs="Times New Roman"/>
          <w:b/>
          <w:bCs/>
        </w:rPr>
        <w:t>G</w:t>
      </w:r>
      <w:r w:rsidR="00F2293C" w:rsidRPr="005948DE">
        <w:rPr>
          <w:rFonts w:ascii="Times New Roman" w:eastAsia="Times New Roman" w:hAnsi="Times New Roman" w:cs="Times New Roman"/>
          <w:b/>
          <w:bCs/>
        </w:rPr>
        <w:t xml:space="preserve">reen </w:t>
      </w:r>
      <w:r w:rsidR="00F2293C">
        <w:rPr>
          <w:rFonts w:ascii="Times New Roman" w:eastAsia="Times New Roman" w:hAnsi="Times New Roman" w:cs="Times New Roman"/>
          <w:b/>
          <w:bCs/>
        </w:rPr>
        <w:t>T</w:t>
      </w:r>
      <w:r w:rsidR="00F2293C" w:rsidRPr="005948DE">
        <w:rPr>
          <w:rFonts w:ascii="Times New Roman" w:eastAsia="Times New Roman" w:hAnsi="Times New Roman" w:cs="Times New Roman"/>
          <w:b/>
          <w:bCs/>
        </w:rPr>
        <w:t xml:space="preserve">ransition </w:t>
      </w:r>
      <w:r w:rsidRPr="005948DE">
        <w:rPr>
          <w:rFonts w:ascii="Times New Roman" w:eastAsia="Times New Roman" w:hAnsi="Times New Roman" w:cs="Times New Roman"/>
          <w:b/>
          <w:bCs/>
        </w:rPr>
        <w:t xml:space="preserve">and sustainable mobility. </w:t>
      </w:r>
      <w:r w:rsidRPr="005948DE">
        <w:rPr>
          <w:rFonts w:ascii="Times New Roman" w:eastAsia="Times New Roman" w:hAnsi="Times New Roman" w:cs="Times New Roman"/>
        </w:rPr>
        <w:t xml:space="preserve">The subcomponent will support the establishment and maintenance of </w:t>
      </w:r>
      <w:r w:rsidR="00F2293C">
        <w:rPr>
          <w:rFonts w:ascii="Times New Roman" w:eastAsia="Times New Roman" w:hAnsi="Times New Roman" w:cs="Times New Roman"/>
        </w:rPr>
        <w:t>a</w:t>
      </w:r>
      <w:r w:rsidR="00F2293C" w:rsidRPr="005948DE">
        <w:rPr>
          <w:rFonts w:ascii="Times New Roman" w:eastAsia="Times New Roman" w:hAnsi="Times New Roman" w:cs="Times New Roman"/>
        </w:rPr>
        <w:t xml:space="preserve"> </w:t>
      </w:r>
      <w:r w:rsidRPr="005948DE">
        <w:rPr>
          <w:rFonts w:ascii="Times New Roman" w:eastAsia="Times New Roman" w:hAnsi="Times New Roman" w:cs="Times New Roman"/>
        </w:rPr>
        <w:t xml:space="preserve">strong PIU and the strengthening and maintenance of </w:t>
      </w:r>
      <w:r w:rsidR="00F2293C">
        <w:rPr>
          <w:rFonts w:ascii="Times New Roman" w:eastAsia="Times New Roman" w:hAnsi="Times New Roman" w:cs="Times New Roman"/>
        </w:rPr>
        <w:t xml:space="preserve">the </w:t>
      </w:r>
      <w:r w:rsidRPr="005948DE">
        <w:rPr>
          <w:rFonts w:ascii="Times New Roman" w:eastAsia="Times New Roman" w:hAnsi="Times New Roman" w:cs="Times New Roman"/>
        </w:rPr>
        <w:t>C</w:t>
      </w:r>
      <w:r w:rsidR="00F2293C">
        <w:rPr>
          <w:rFonts w:ascii="Times New Roman" w:eastAsia="Times New Roman" w:hAnsi="Times New Roman" w:cs="Times New Roman"/>
        </w:rPr>
        <w:t xml:space="preserve">entral </w:t>
      </w:r>
      <w:r w:rsidRPr="005948DE">
        <w:rPr>
          <w:rFonts w:ascii="Times New Roman" w:eastAsia="Times New Roman" w:hAnsi="Times New Roman" w:cs="Times New Roman"/>
        </w:rPr>
        <w:t>F</w:t>
      </w:r>
      <w:r w:rsidR="00F2293C">
        <w:rPr>
          <w:rFonts w:ascii="Times New Roman" w:eastAsia="Times New Roman" w:hAnsi="Times New Roman" w:cs="Times New Roman"/>
        </w:rPr>
        <w:t xml:space="preserve">iduciary </w:t>
      </w:r>
      <w:r w:rsidRPr="005948DE">
        <w:rPr>
          <w:rFonts w:ascii="Times New Roman" w:eastAsia="Times New Roman" w:hAnsi="Times New Roman" w:cs="Times New Roman"/>
        </w:rPr>
        <w:t>U</w:t>
      </w:r>
      <w:r w:rsidR="00F2293C">
        <w:rPr>
          <w:rFonts w:ascii="Times New Roman" w:eastAsia="Times New Roman" w:hAnsi="Times New Roman" w:cs="Times New Roman"/>
        </w:rPr>
        <w:t>nit (CFU) within the Ministry of Finance (MoF)</w:t>
      </w:r>
      <w:r w:rsidRPr="005948DE">
        <w:rPr>
          <w:rFonts w:ascii="Times New Roman" w:eastAsia="Times New Roman" w:hAnsi="Times New Roman" w:cs="Times New Roman"/>
        </w:rPr>
        <w:t>.</w:t>
      </w:r>
      <w:r w:rsidRPr="005948DE">
        <w:rPr>
          <w:rFonts w:ascii="Times New Roman" w:eastAsia="Times New Roman" w:hAnsi="Times New Roman" w:cs="Times New Roman"/>
          <w:b/>
          <w:bCs/>
        </w:rPr>
        <w:t xml:space="preserve"> </w:t>
      </w:r>
      <w:r w:rsidRPr="005948DE">
        <w:rPr>
          <w:rFonts w:ascii="Times New Roman" w:eastAsia="Times New Roman" w:hAnsi="Times New Roman" w:cs="Times New Roman"/>
        </w:rPr>
        <w:t>In addition, the</w:t>
      </w:r>
      <w:r w:rsidRPr="005948DE">
        <w:rPr>
          <w:rFonts w:ascii="Times New Roman" w:eastAsia="Times New Roman" w:hAnsi="Times New Roman" w:cs="Times New Roman"/>
          <w:b/>
          <w:bCs/>
        </w:rPr>
        <w:t xml:space="preserve"> </w:t>
      </w:r>
      <w:r w:rsidRPr="005948DE">
        <w:rPr>
          <w:rFonts w:ascii="Times New Roman" w:eastAsia="Times New Roman" w:hAnsi="Times New Roman" w:cs="Times New Roman"/>
        </w:rPr>
        <w:t xml:space="preserve">PIU will be responsible for the overall management of the Project and will provide day-to-day project management support to the LSGs to ensure transparency and accountability of the Project's interventions and results. Expenses financed by this activity include the PIU salaries and the </w:t>
      </w:r>
      <w:r w:rsidR="00F2293C" w:rsidRPr="005948DE">
        <w:rPr>
          <w:rFonts w:ascii="Times New Roman" w:eastAsia="Times New Roman" w:hAnsi="Times New Roman" w:cs="Times New Roman"/>
        </w:rPr>
        <w:t xml:space="preserve">salaries </w:t>
      </w:r>
      <w:r w:rsidR="00F2293C">
        <w:rPr>
          <w:rFonts w:ascii="Times New Roman" w:eastAsia="Times New Roman" w:hAnsi="Times New Roman" w:cs="Times New Roman"/>
        </w:rPr>
        <w:t xml:space="preserve">of the </w:t>
      </w:r>
      <w:r w:rsidRPr="005948DE">
        <w:rPr>
          <w:rFonts w:ascii="Times New Roman" w:eastAsia="Times New Roman" w:hAnsi="Times New Roman" w:cs="Times New Roman"/>
        </w:rPr>
        <w:t xml:space="preserve">CFU </w:t>
      </w:r>
      <w:r w:rsidR="00F2293C">
        <w:rPr>
          <w:rFonts w:ascii="Times New Roman" w:eastAsia="Times New Roman" w:hAnsi="Times New Roman" w:cs="Times New Roman"/>
        </w:rPr>
        <w:t>staff (</w:t>
      </w:r>
      <w:r w:rsidRPr="005948DE">
        <w:rPr>
          <w:rFonts w:ascii="Times New Roman" w:eastAsia="Times New Roman" w:hAnsi="Times New Roman" w:cs="Times New Roman"/>
        </w:rPr>
        <w:t>in accordance with the rotation model of financing</w:t>
      </w:r>
      <w:r w:rsidR="00F2293C">
        <w:rPr>
          <w:rFonts w:ascii="Times New Roman" w:eastAsia="Times New Roman" w:hAnsi="Times New Roman" w:cs="Times New Roman"/>
        </w:rPr>
        <w:t>)</w:t>
      </w:r>
      <w:r w:rsidRPr="005948DE">
        <w:rPr>
          <w:rFonts w:ascii="Times New Roman" w:eastAsia="Times New Roman" w:hAnsi="Times New Roman" w:cs="Times New Roman"/>
        </w:rPr>
        <w:t xml:space="preserve">, operating costs, office equipment, dedicated web page and supervision platform, awareness-raising campaigns, communication strategy, and </w:t>
      </w:r>
      <w:r w:rsidR="00F2293C">
        <w:rPr>
          <w:rFonts w:ascii="Times New Roman" w:eastAsia="Times New Roman" w:hAnsi="Times New Roman" w:cs="Times New Roman"/>
        </w:rPr>
        <w:t xml:space="preserve">the </w:t>
      </w:r>
      <w:r w:rsidRPr="005948DE">
        <w:rPr>
          <w:rFonts w:ascii="Times New Roman" w:eastAsia="Times New Roman" w:hAnsi="Times New Roman" w:cs="Times New Roman"/>
        </w:rPr>
        <w:t>PIU and</w:t>
      </w:r>
      <w:r w:rsidR="00F2293C">
        <w:rPr>
          <w:rFonts w:ascii="Times New Roman" w:eastAsia="Times New Roman" w:hAnsi="Times New Roman" w:cs="Times New Roman"/>
        </w:rPr>
        <w:t xml:space="preserve"> the</w:t>
      </w:r>
      <w:r w:rsidRPr="005948DE">
        <w:rPr>
          <w:rFonts w:ascii="Times New Roman" w:eastAsia="Times New Roman" w:hAnsi="Times New Roman" w:cs="Times New Roman"/>
        </w:rPr>
        <w:t xml:space="preserve"> CFU training. To facilitate online control, the georeferenced platform will be introduced. </w:t>
      </w:r>
    </w:p>
    <w:p w14:paraId="55C28AB0" w14:textId="14FA1CF3" w:rsidR="00B85359" w:rsidRPr="005948DE" w:rsidRDefault="00B85359" w:rsidP="006F115D">
      <w:pPr>
        <w:pStyle w:val="Heading2"/>
        <w:numPr>
          <w:ilvl w:val="1"/>
          <w:numId w:val="330"/>
        </w:numPr>
        <w:spacing w:before="0" w:after="120" w:line="240" w:lineRule="auto"/>
        <w:ind w:left="578" w:hanging="578"/>
        <w:jc w:val="both"/>
        <w:rPr>
          <w:rFonts w:ascii="Times New Roman" w:hAnsi="Times New Roman" w:cs="Times New Roman"/>
          <w:smallCaps w:val="0"/>
          <w:color w:val="auto"/>
          <w:sz w:val="24"/>
        </w:rPr>
      </w:pPr>
      <w:bookmarkStart w:id="48" w:name="_Toc93342214"/>
      <w:r w:rsidRPr="005948DE">
        <w:rPr>
          <w:rFonts w:ascii="Times New Roman" w:hAnsi="Times New Roman" w:cs="Times New Roman"/>
          <w:smallCaps w:val="0"/>
          <w:color w:val="auto"/>
          <w:sz w:val="24"/>
        </w:rPr>
        <w:t>Project Development Objectives</w:t>
      </w:r>
      <w:r w:rsidR="003C179E">
        <w:rPr>
          <w:rFonts w:ascii="Times New Roman" w:hAnsi="Times New Roman" w:cs="Times New Roman"/>
          <w:smallCaps w:val="0"/>
          <w:color w:val="auto"/>
          <w:sz w:val="24"/>
        </w:rPr>
        <w:t xml:space="preserve"> (PDO)</w:t>
      </w:r>
      <w:bookmarkEnd w:id="48"/>
    </w:p>
    <w:p w14:paraId="18FB38F3" w14:textId="1EFE2B93" w:rsidR="00585916" w:rsidRPr="005948DE" w:rsidRDefault="00585916" w:rsidP="006F115D">
      <w:pPr>
        <w:pStyle w:val="ListParagraph"/>
        <w:spacing w:after="120" w:line="240" w:lineRule="auto"/>
        <w:ind w:left="0"/>
        <w:contextualSpacing w:val="0"/>
        <w:jc w:val="both"/>
        <w:rPr>
          <w:rFonts w:ascii="Times New Roman" w:hAnsi="Times New Roman" w:cs="Times New Roman"/>
          <w:color w:val="000000" w:themeColor="text1"/>
        </w:rPr>
      </w:pPr>
      <w:r w:rsidRPr="005948DE">
        <w:rPr>
          <w:rFonts w:ascii="Times New Roman" w:hAnsi="Times New Roman" w:cs="Times New Roman"/>
          <w:b/>
          <w:bCs/>
          <w:color w:val="000000" w:themeColor="text1"/>
        </w:rPr>
        <w:t xml:space="preserve">The </w:t>
      </w:r>
      <w:r w:rsidRPr="0054357E">
        <w:rPr>
          <w:rFonts w:ascii="Times New Roman" w:hAnsi="Times New Roman" w:cs="Times New Roman"/>
          <w:b/>
          <w:bCs/>
          <w:color w:val="000000" w:themeColor="text1"/>
        </w:rPr>
        <w:t>objective</w:t>
      </w:r>
      <w:r w:rsidRPr="00665F55">
        <w:rPr>
          <w:rFonts w:ascii="Times New Roman" w:hAnsi="Times New Roman" w:cs="Times New Roman"/>
          <w:b/>
          <w:color w:val="000000" w:themeColor="text1"/>
        </w:rPr>
        <w:t xml:space="preserve"> of the </w:t>
      </w:r>
      <w:r w:rsidR="00F2293C" w:rsidRPr="00665F55">
        <w:rPr>
          <w:rFonts w:ascii="Times New Roman" w:hAnsi="Times New Roman" w:cs="Times New Roman"/>
          <w:b/>
          <w:color w:val="000000" w:themeColor="text1"/>
        </w:rPr>
        <w:t>P</w:t>
      </w:r>
      <w:r w:rsidRPr="00665F55">
        <w:rPr>
          <w:rFonts w:ascii="Times New Roman" w:hAnsi="Times New Roman" w:cs="Times New Roman"/>
          <w:b/>
          <w:color w:val="000000" w:themeColor="text1"/>
        </w:rPr>
        <w:t>roject is to</w:t>
      </w:r>
      <w:r w:rsidRPr="005948DE">
        <w:rPr>
          <w:rFonts w:ascii="Times New Roman" w:hAnsi="Times New Roman" w:cs="Times New Roman"/>
          <w:color w:val="000000" w:themeColor="text1"/>
        </w:rPr>
        <w:t xml:space="preserve"> i</w:t>
      </w:r>
      <w:r w:rsidRPr="005948DE">
        <w:rPr>
          <w:rFonts w:ascii="Times New Roman" w:hAnsi="Times New Roman" w:cs="Times New Roman"/>
          <w:b/>
          <w:bCs/>
          <w:color w:val="000000" w:themeColor="text1"/>
        </w:rPr>
        <w:t xml:space="preserve">mprove </w:t>
      </w:r>
      <w:r w:rsidR="00F2293C">
        <w:rPr>
          <w:rFonts w:ascii="Times New Roman" w:hAnsi="Times New Roman" w:cs="Times New Roman"/>
          <w:b/>
          <w:bCs/>
          <w:color w:val="000000" w:themeColor="text1"/>
        </w:rPr>
        <w:t xml:space="preserve">the </w:t>
      </w:r>
      <w:r w:rsidRPr="005948DE">
        <w:rPr>
          <w:rFonts w:ascii="Times New Roman" w:hAnsi="Times New Roman" w:cs="Times New Roman"/>
          <w:b/>
          <w:bCs/>
          <w:color w:val="000000" w:themeColor="text1"/>
        </w:rPr>
        <w:t>LSGs capacity to manage sustainable infrastructure and improve access to economic and social opportunities in climate aware manne</w:t>
      </w:r>
      <w:r w:rsidRPr="005948DE">
        <w:rPr>
          <w:rFonts w:ascii="Times New Roman" w:hAnsi="Times New Roman" w:cs="Times New Roman"/>
          <w:color w:val="000000" w:themeColor="text1"/>
        </w:rPr>
        <w:t xml:space="preserve">r. The Project will be a mixture of investment and technical assistance to boost </w:t>
      </w:r>
      <w:r w:rsidR="00F2293C">
        <w:rPr>
          <w:rFonts w:ascii="Times New Roman" w:hAnsi="Times New Roman" w:cs="Times New Roman"/>
          <w:color w:val="000000" w:themeColor="text1"/>
        </w:rPr>
        <w:t>G</w:t>
      </w:r>
      <w:r w:rsidR="00F2293C" w:rsidRPr="005948DE">
        <w:rPr>
          <w:rFonts w:ascii="Times New Roman" w:hAnsi="Times New Roman" w:cs="Times New Roman"/>
          <w:color w:val="000000" w:themeColor="text1"/>
        </w:rPr>
        <w:t xml:space="preserve">reen </w:t>
      </w:r>
      <w:r w:rsidRPr="005948DE">
        <w:rPr>
          <w:rFonts w:ascii="Times New Roman" w:hAnsi="Times New Roman" w:cs="Times New Roman"/>
          <w:color w:val="000000" w:themeColor="text1"/>
        </w:rPr>
        <w:t xml:space="preserve">and inclusive infrastructure service delivery at the local level, including the implementation of the relevant </w:t>
      </w:r>
      <w:r w:rsidR="006F5605">
        <w:rPr>
          <w:rFonts w:ascii="Times New Roman" w:hAnsi="Times New Roman" w:cs="Times New Roman"/>
          <w:color w:val="000000" w:themeColor="text1"/>
        </w:rPr>
        <w:t>measures</w:t>
      </w:r>
      <w:r w:rsidR="006F5605"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of </w:t>
      </w:r>
      <w:r w:rsidR="009C69C1" w:rsidRPr="005948DE">
        <w:rPr>
          <w:rFonts w:ascii="Times New Roman" w:hAnsi="Times New Roman" w:cs="Times New Roman"/>
          <w:color w:val="000000" w:themeColor="text1"/>
        </w:rPr>
        <w:t>the SUDS</w:t>
      </w:r>
      <w:r w:rsidR="00874683" w:rsidRPr="005948DE">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The Project will focus on strengthening capacities and technical approaches to implement existing regulatory, planning, and legal framework</w:t>
      </w:r>
      <w:r w:rsidR="00F2293C">
        <w:rPr>
          <w:rFonts w:ascii="Times New Roman" w:hAnsi="Times New Roman" w:cs="Times New Roman"/>
          <w:color w:val="000000" w:themeColor="text1"/>
        </w:rPr>
        <w:t>s</w:t>
      </w:r>
      <w:r w:rsidRPr="005948DE">
        <w:rPr>
          <w:rFonts w:ascii="Times New Roman" w:hAnsi="Times New Roman" w:cs="Times New Roman"/>
          <w:color w:val="000000" w:themeColor="text1"/>
        </w:rPr>
        <w:t>.</w:t>
      </w:r>
      <w:r w:rsidR="00373859"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Investments will focus on improving integrated mobility infrastructure and overall resilience of </w:t>
      </w:r>
      <w:r w:rsidR="00F2293C">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LSGs.</w:t>
      </w:r>
    </w:p>
    <w:p w14:paraId="1F6BAC39" w14:textId="17DA6DE3" w:rsidR="00585916" w:rsidRPr="005948DE" w:rsidRDefault="0099606D" w:rsidP="005948DE">
      <w:pPr>
        <w:pStyle w:val="ListParagraph"/>
        <w:spacing w:after="120" w:line="276" w:lineRule="auto"/>
        <w:ind w:left="0"/>
        <w:contextualSpacing w:val="0"/>
        <w:jc w:val="both"/>
        <w:rPr>
          <w:rFonts w:ascii="Times New Roman" w:eastAsia="Calibri" w:hAnsi="Times New Roman" w:cs="Times New Roman"/>
          <w:b/>
          <w:bCs/>
          <w:color w:val="000000" w:themeColor="text1"/>
        </w:rPr>
      </w:pPr>
      <w:r w:rsidRPr="005948DE">
        <w:rPr>
          <w:rFonts w:ascii="Times New Roman" w:eastAsia="Calibri" w:hAnsi="Times New Roman" w:cs="Times New Roman"/>
          <w:b/>
          <w:bCs/>
          <w:color w:val="000000" w:themeColor="text1"/>
        </w:rPr>
        <w:t xml:space="preserve">To measure achievement of </w:t>
      </w:r>
      <w:r w:rsidR="00F2293C">
        <w:rPr>
          <w:rFonts w:ascii="Times New Roman" w:eastAsia="Calibri" w:hAnsi="Times New Roman" w:cs="Times New Roman"/>
          <w:b/>
          <w:bCs/>
          <w:color w:val="000000" w:themeColor="text1"/>
        </w:rPr>
        <w:t xml:space="preserve">these </w:t>
      </w:r>
      <w:r w:rsidRPr="005948DE">
        <w:rPr>
          <w:rFonts w:ascii="Times New Roman" w:eastAsia="Calibri" w:hAnsi="Times New Roman" w:cs="Times New Roman"/>
          <w:b/>
          <w:bCs/>
          <w:color w:val="000000" w:themeColor="text1"/>
        </w:rPr>
        <w:t xml:space="preserve">objectives the following indicators will be </w:t>
      </w:r>
      <w:r w:rsidR="00F2293C">
        <w:rPr>
          <w:rFonts w:ascii="Times New Roman" w:eastAsia="Calibri" w:hAnsi="Times New Roman" w:cs="Times New Roman"/>
          <w:b/>
          <w:bCs/>
          <w:color w:val="000000" w:themeColor="text1"/>
        </w:rPr>
        <w:t>used</w:t>
      </w:r>
      <w:r w:rsidR="00F2293C" w:rsidRPr="005948DE">
        <w:rPr>
          <w:rFonts w:ascii="Times New Roman" w:eastAsia="Calibri" w:hAnsi="Times New Roman" w:cs="Times New Roman"/>
          <w:b/>
          <w:bCs/>
          <w:color w:val="000000" w:themeColor="text1"/>
        </w:rPr>
        <w:t xml:space="preserve"> </w:t>
      </w:r>
      <w:r w:rsidRPr="005948DE">
        <w:rPr>
          <w:rFonts w:ascii="Times New Roman" w:eastAsia="Calibri" w:hAnsi="Times New Roman" w:cs="Times New Roman"/>
          <w:b/>
          <w:bCs/>
          <w:color w:val="000000" w:themeColor="text1"/>
        </w:rPr>
        <w:t>(</w:t>
      </w:r>
      <w:r w:rsidR="003C179E">
        <w:rPr>
          <w:rFonts w:ascii="Times New Roman" w:eastAsia="Calibri" w:hAnsi="Times New Roman" w:cs="Times New Roman"/>
          <w:b/>
          <w:bCs/>
          <w:color w:val="000000" w:themeColor="text1"/>
        </w:rPr>
        <w:t>Project Development Objectives (</w:t>
      </w:r>
      <w:r w:rsidRPr="005948DE">
        <w:rPr>
          <w:rFonts w:ascii="Times New Roman" w:eastAsia="Calibri" w:hAnsi="Times New Roman" w:cs="Times New Roman"/>
          <w:color w:val="000000" w:themeColor="text1"/>
        </w:rPr>
        <w:t>PDO</w:t>
      </w:r>
      <w:r w:rsidR="003C179E">
        <w:rPr>
          <w:rFonts w:ascii="Times New Roman" w:eastAsia="Calibri" w:hAnsi="Times New Roman" w:cs="Times New Roman"/>
          <w:color w:val="000000" w:themeColor="text1"/>
        </w:rPr>
        <w:t>)</w:t>
      </w:r>
      <w:r w:rsidRPr="005948DE">
        <w:rPr>
          <w:rFonts w:ascii="Times New Roman" w:eastAsia="Calibri" w:hAnsi="Times New Roman" w:cs="Times New Roman"/>
          <w:color w:val="000000" w:themeColor="text1"/>
        </w:rPr>
        <w:t xml:space="preserve"> Indicators Table is enclosed in Annex </w:t>
      </w:r>
      <w:r w:rsidR="00B65CD0" w:rsidRPr="005948DE">
        <w:rPr>
          <w:rFonts w:ascii="Times New Roman" w:eastAsia="Calibri" w:hAnsi="Times New Roman" w:cs="Times New Roman"/>
          <w:color w:val="000000" w:themeColor="text1"/>
        </w:rPr>
        <w:t>2</w:t>
      </w:r>
      <w:r w:rsidRPr="005948DE">
        <w:rPr>
          <w:rFonts w:ascii="Times New Roman" w:eastAsia="Calibri" w:hAnsi="Times New Roman" w:cs="Times New Roman"/>
          <w:color w:val="000000" w:themeColor="text1"/>
        </w:rPr>
        <w:t>.)</w:t>
      </w:r>
    </w:p>
    <w:p w14:paraId="4C65CB2C" w14:textId="07182E7B" w:rsidR="00830CA4" w:rsidRPr="005948DE" w:rsidRDefault="000C4AB9"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bookmarkStart w:id="49" w:name="_Toc88985914"/>
      <w:bookmarkStart w:id="50" w:name="_Toc89024604"/>
      <w:bookmarkEnd w:id="49"/>
      <w:bookmarkEnd w:id="50"/>
      <w:r>
        <w:t>Subprojects supporting climate adaptation and/or mitigation actions (Percentage)</w:t>
      </w:r>
      <w:r w:rsidR="00830CA4" w:rsidRPr="005948DE">
        <w:rPr>
          <w:rFonts w:ascii="Times New Roman" w:eastAsia="Calibri" w:hAnsi="Times New Roman" w:cs="Times New Roman"/>
          <w:color w:val="000000" w:themeColor="text1"/>
        </w:rPr>
        <w:t xml:space="preserve"> </w:t>
      </w:r>
    </w:p>
    <w:p w14:paraId="78302A3A" w14:textId="3195FD01" w:rsidR="00830CA4" w:rsidRPr="005948DE" w:rsidRDefault="00830CA4" w:rsidP="005948DE">
      <w:pPr>
        <w:pStyle w:val="ListParagraph"/>
        <w:widowControl w:val="0"/>
        <w:numPr>
          <w:ilvl w:val="0"/>
          <w:numId w:val="229"/>
        </w:numPr>
        <w:tabs>
          <w:tab w:val="left" w:pos="5954"/>
        </w:tabs>
        <w:autoSpaceDE w:val="0"/>
        <w:autoSpaceDN w:val="0"/>
        <w:adjustRightInd w:val="0"/>
        <w:spacing w:after="120" w:line="276" w:lineRule="auto"/>
        <w:ind w:left="426"/>
        <w:contextualSpacing w:val="0"/>
        <w:jc w:val="both"/>
        <w:rPr>
          <w:rFonts w:ascii="Times New Roman" w:eastAsia="Calibri" w:hAnsi="Times New Roman" w:cs="Times New Roman"/>
          <w:b/>
          <w:smallCaps/>
          <w:color w:val="000000" w:themeColor="text1"/>
        </w:rPr>
      </w:pPr>
      <w:r w:rsidRPr="005948DE">
        <w:rPr>
          <w:rFonts w:ascii="Times New Roman" w:eastAsia="Calibri" w:hAnsi="Times New Roman" w:cs="Times New Roman"/>
          <w:color w:val="000000" w:themeColor="text1"/>
        </w:rPr>
        <w:t>Commercial and social services connected by improved, safe and resilient transport network (Number)</w:t>
      </w:r>
      <w:r w:rsidR="00874683" w:rsidRPr="005948DE">
        <w:rPr>
          <w:rFonts w:ascii="Times New Roman" w:eastAsia="Calibri" w:hAnsi="Times New Roman" w:cs="Times New Roman"/>
          <w:color w:val="000000" w:themeColor="text1"/>
        </w:rPr>
        <w:t>,</w:t>
      </w:r>
      <w:r w:rsidRPr="005948DE">
        <w:rPr>
          <w:rFonts w:ascii="Times New Roman" w:eastAsia="Calibri" w:hAnsi="Times New Roman" w:cs="Times New Roman"/>
          <w:color w:val="000000" w:themeColor="text1"/>
        </w:rPr>
        <w:t xml:space="preserve"> </w:t>
      </w:r>
    </w:p>
    <w:p w14:paraId="6AD0EBB4" w14:textId="6217D81E" w:rsidR="00830CA4" w:rsidRPr="005948DE" w:rsidRDefault="00830CA4"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b/>
          <w:smallCaps/>
          <w:color w:val="000000" w:themeColor="text1"/>
        </w:rPr>
      </w:pPr>
      <w:r w:rsidRPr="005948DE">
        <w:rPr>
          <w:rFonts w:ascii="Times New Roman" w:eastAsia="Calibri" w:hAnsi="Times New Roman" w:cs="Times New Roman"/>
          <w:color w:val="000000" w:themeColor="text1"/>
        </w:rPr>
        <w:t>LSGs with developed annual and multi-annual budgets corresponding to development plans and asset management systems (Number)</w:t>
      </w:r>
      <w:r w:rsidR="00874683" w:rsidRPr="005948DE">
        <w:rPr>
          <w:rFonts w:ascii="Times New Roman" w:eastAsia="Calibri" w:hAnsi="Times New Roman" w:cs="Times New Roman"/>
          <w:color w:val="000000" w:themeColor="text1"/>
        </w:rPr>
        <w:t>,</w:t>
      </w:r>
      <w:r w:rsidRPr="005948DE">
        <w:rPr>
          <w:rFonts w:ascii="Times New Roman" w:eastAsia="Calibri" w:hAnsi="Times New Roman" w:cs="Times New Roman"/>
          <w:color w:val="000000" w:themeColor="text1"/>
        </w:rPr>
        <w:t xml:space="preserve"> </w:t>
      </w:r>
    </w:p>
    <w:p w14:paraId="6BEF4329" w14:textId="2042E81A" w:rsidR="00830CA4" w:rsidRPr="005948DE" w:rsidRDefault="00830CA4"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b/>
          <w:smallCaps/>
          <w:color w:val="000000" w:themeColor="text1"/>
        </w:rPr>
      </w:pPr>
      <w:r w:rsidRPr="005948DE">
        <w:rPr>
          <w:rFonts w:ascii="Times New Roman" w:eastAsia="Calibri" w:hAnsi="Times New Roman" w:cs="Times New Roman"/>
          <w:color w:val="000000" w:themeColor="text1"/>
        </w:rPr>
        <w:t>LSGs utilizing simple road asset management methods developed under the project (Percentage)</w:t>
      </w:r>
      <w:r w:rsidR="00874683" w:rsidRPr="005948DE">
        <w:rPr>
          <w:rFonts w:ascii="Times New Roman" w:eastAsia="Calibri" w:hAnsi="Times New Roman" w:cs="Times New Roman"/>
          <w:color w:val="000000" w:themeColor="text1"/>
        </w:rPr>
        <w:t xml:space="preserve">, and </w:t>
      </w:r>
    </w:p>
    <w:p w14:paraId="5EA3E533" w14:textId="582FE247" w:rsidR="000B14F6" w:rsidRPr="002D62FD" w:rsidRDefault="00830CA4" w:rsidP="006F115D">
      <w:pPr>
        <w:pStyle w:val="ListParagraph"/>
        <w:widowControl w:val="0"/>
        <w:numPr>
          <w:ilvl w:val="0"/>
          <w:numId w:val="229"/>
        </w:numPr>
        <w:autoSpaceDE w:val="0"/>
        <w:autoSpaceDN w:val="0"/>
        <w:adjustRightInd w:val="0"/>
        <w:spacing w:after="0" w:line="240" w:lineRule="auto"/>
        <w:ind w:left="426"/>
        <w:contextualSpacing w:val="0"/>
        <w:jc w:val="both"/>
        <w:rPr>
          <w:rFonts w:ascii="Times New Roman" w:eastAsiaTheme="majorEastAsia" w:hAnsi="Times New Roman" w:cs="Times New Roman"/>
          <w:bCs/>
          <w:smallCaps/>
          <w:color w:val="000000" w:themeColor="text1"/>
          <w:sz w:val="24"/>
          <w:szCs w:val="36"/>
        </w:rPr>
      </w:pPr>
      <w:r w:rsidRPr="002D62FD">
        <w:rPr>
          <w:rFonts w:ascii="Times New Roman" w:eastAsia="Calibri" w:hAnsi="Times New Roman" w:cs="Times New Roman"/>
          <w:color w:val="000000" w:themeColor="text1"/>
        </w:rPr>
        <w:t xml:space="preserve">Citizens reporting satisfaction with process of infrastructure service delivery, </w:t>
      </w:r>
      <w:r w:rsidR="0054357E" w:rsidRPr="002D62FD">
        <w:rPr>
          <w:rFonts w:ascii="Times New Roman" w:eastAsia="Calibri" w:hAnsi="Times New Roman" w:cs="Times New Roman"/>
          <w:color w:val="000000" w:themeColor="text1"/>
        </w:rPr>
        <w:t>g</w:t>
      </w:r>
      <w:r w:rsidR="00F06A2A" w:rsidRPr="002D62FD">
        <w:rPr>
          <w:rFonts w:ascii="Times New Roman" w:eastAsia="Calibri" w:hAnsi="Times New Roman" w:cs="Times New Roman"/>
          <w:color w:val="000000" w:themeColor="text1"/>
        </w:rPr>
        <w:t xml:space="preserve">ender </w:t>
      </w:r>
      <w:r w:rsidRPr="002D62FD">
        <w:rPr>
          <w:rFonts w:ascii="Times New Roman" w:eastAsia="Calibri" w:hAnsi="Times New Roman" w:cs="Times New Roman"/>
          <w:color w:val="000000" w:themeColor="text1"/>
        </w:rPr>
        <w:t>disaggregated (Percentage)</w:t>
      </w:r>
      <w:r w:rsidR="00874683" w:rsidRPr="002D62FD">
        <w:rPr>
          <w:rFonts w:ascii="Times New Roman" w:eastAsia="Calibri" w:hAnsi="Times New Roman" w:cs="Times New Roman"/>
          <w:color w:val="000000" w:themeColor="text1"/>
        </w:rPr>
        <w:t>.</w:t>
      </w:r>
      <w:bookmarkStart w:id="51" w:name="_Toc89024606"/>
      <w:bookmarkStart w:id="52" w:name="_Toc89024607"/>
      <w:bookmarkStart w:id="53" w:name="_Toc89024608"/>
      <w:bookmarkStart w:id="54" w:name="_Toc89024609"/>
      <w:bookmarkStart w:id="55" w:name="_Toc89024610"/>
      <w:bookmarkStart w:id="56" w:name="_Toc89024611"/>
      <w:bookmarkStart w:id="57" w:name="_Toc89024612"/>
      <w:bookmarkStart w:id="58" w:name="_Toc89024613"/>
      <w:bookmarkStart w:id="59" w:name="_Toc89024626"/>
      <w:bookmarkStart w:id="60" w:name="_Toc89024627"/>
      <w:bookmarkStart w:id="61" w:name="_Toc89024628"/>
      <w:bookmarkStart w:id="62" w:name="_Toc89024632"/>
      <w:bookmarkEnd w:id="37"/>
      <w:bookmarkEnd w:id="38"/>
      <w:bookmarkEnd w:id="39"/>
      <w:bookmarkEnd w:id="40"/>
      <w:bookmarkEnd w:id="41"/>
      <w:bookmarkEnd w:id="42"/>
      <w:bookmarkEnd w:id="51"/>
      <w:bookmarkEnd w:id="52"/>
      <w:bookmarkEnd w:id="53"/>
      <w:bookmarkEnd w:id="54"/>
      <w:bookmarkEnd w:id="55"/>
      <w:bookmarkEnd w:id="56"/>
      <w:bookmarkEnd w:id="57"/>
      <w:bookmarkEnd w:id="58"/>
      <w:bookmarkEnd w:id="59"/>
      <w:bookmarkEnd w:id="60"/>
      <w:bookmarkEnd w:id="61"/>
      <w:bookmarkEnd w:id="62"/>
      <w:r w:rsidR="000B14F6" w:rsidRPr="002D62FD">
        <w:rPr>
          <w:rFonts w:ascii="Times New Roman" w:hAnsi="Times New Roman" w:cs="Times New Roman"/>
          <w:b/>
          <w:sz w:val="16"/>
        </w:rPr>
        <w:br w:type="page"/>
      </w:r>
    </w:p>
    <w:p w14:paraId="76A413EB" w14:textId="581B82EA" w:rsidR="00DA4888" w:rsidRPr="005948DE" w:rsidRDefault="00DA4888" w:rsidP="005948DE">
      <w:pPr>
        <w:pStyle w:val="Heading1"/>
        <w:numPr>
          <w:ilvl w:val="0"/>
          <w:numId w:val="330"/>
        </w:numPr>
        <w:pBdr>
          <w:bottom w:val="none" w:sz="0" w:space="0" w:color="auto"/>
        </w:pBdr>
        <w:spacing w:line="276" w:lineRule="auto"/>
        <w:ind w:left="431" w:hanging="431"/>
        <w:jc w:val="both"/>
        <w:rPr>
          <w:rFonts w:ascii="Times New Roman" w:hAnsi="Times New Roman" w:cs="Times New Roman"/>
          <w:smallCaps w:val="0"/>
          <w:color w:val="auto"/>
          <w:sz w:val="30"/>
          <w:szCs w:val="30"/>
        </w:rPr>
      </w:pPr>
      <w:bookmarkStart w:id="63" w:name="_Toc89024633"/>
      <w:bookmarkStart w:id="64" w:name="_Toc89024634"/>
      <w:bookmarkStart w:id="65" w:name="_Toc89024635"/>
      <w:bookmarkStart w:id="66" w:name="_Toc89024636"/>
      <w:bookmarkStart w:id="67" w:name="_Toc89024637"/>
      <w:bookmarkStart w:id="68" w:name="_Toc89024639"/>
      <w:bookmarkStart w:id="69" w:name="_Toc89024640"/>
      <w:bookmarkStart w:id="70" w:name="_Toc89024641"/>
      <w:bookmarkStart w:id="71" w:name="_Toc89024642"/>
      <w:bookmarkStart w:id="72" w:name="_Toc89024643"/>
      <w:bookmarkStart w:id="73" w:name="_Toc89024644"/>
      <w:bookmarkStart w:id="74" w:name="_Toc89024645"/>
      <w:bookmarkStart w:id="75" w:name="_Toc89024646"/>
      <w:bookmarkStart w:id="76" w:name="_Toc89024647"/>
      <w:bookmarkStart w:id="77" w:name="_Toc89024648"/>
      <w:bookmarkStart w:id="78" w:name="_Toc89024649"/>
      <w:bookmarkStart w:id="79" w:name="_Toc89024650"/>
      <w:bookmarkStart w:id="80" w:name="_Toc89024651"/>
      <w:bookmarkStart w:id="81" w:name="_Toc89024652"/>
      <w:bookmarkStart w:id="82" w:name="_Toc89024653"/>
      <w:bookmarkStart w:id="83" w:name="_Toc89024654"/>
      <w:bookmarkStart w:id="84" w:name="_Toc89024655"/>
      <w:bookmarkStart w:id="85" w:name="_Toc89024656"/>
      <w:bookmarkStart w:id="86" w:name="_Toc89024657"/>
      <w:bookmarkStart w:id="87" w:name="_Toc89024658"/>
      <w:bookmarkStart w:id="88" w:name="_Toc89024659"/>
      <w:bookmarkStart w:id="89" w:name="_Toc89024660"/>
      <w:bookmarkStart w:id="90" w:name="_Toc89024661"/>
      <w:bookmarkStart w:id="91" w:name="_Toc89024662"/>
      <w:bookmarkStart w:id="92" w:name="_Toc89024663"/>
      <w:bookmarkStart w:id="93" w:name="_Toc89024664"/>
      <w:bookmarkStart w:id="94" w:name="_Toc89024665"/>
      <w:bookmarkStart w:id="95" w:name="_Toc89024666"/>
      <w:bookmarkStart w:id="96" w:name="_Toc89024667"/>
      <w:bookmarkStart w:id="97" w:name="_Toc89024668"/>
      <w:bookmarkStart w:id="98" w:name="_Toc89024669"/>
      <w:bookmarkStart w:id="99" w:name="_Toc324499909"/>
      <w:bookmarkStart w:id="100" w:name="_Toc409617862"/>
      <w:bookmarkStart w:id="101" w:name="_Toc413926291"/>
      <w:bookmarkStart w:id="102" w:name="_Toc447615233"/>
      <w:bookmarkStart w:id="103" w:name="_Toc455741822"/>
      <w:bookmarkStart w:id="104" w:name="_Toc455742135"/>
      <w:bookmarkStart w:id="105" w:name="_Toc93342215"/>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sidRPr="005948DE">
        <w:rPr>
          <w:rFonts w:ascii="Times New Roman" w:hAnsi="Times New Roman" w:cs="Times New Roman"/>
          <w:smallCaps w:val="0"/>
          <w:color w:val="auto"/>
          <w:sz w:val="30"/>
          <w:szCs w:val="30"/>
        </w:rPr>
        <w:t>I</w:t>
      </w:r>
      <w:r w:rsidR="001F16B5" w:rsidRPr="005948DE">
        <w:rPr>
          <w:rFonts w:ascii="Times New Roman" w:hAnsi="Times New Roman" w:cs="Times New Roman"/>
          <w:smallCaps w:val="0"/>
          <w:color w:val="auto"/>
          <w:sz w:val="30"/>
          <w:szCs w:val="30"/>
        </w:rPr>
        <w:t xml:space="preserve">NSTITUTIONAL </w:t>
      </w:r>
      <w:r w:rsidR="00282390" w:rsidRPr="005948DE">
        <w:rPr>
          <w:rFonts w:ascii="Times New Roman" w:hAnsi="Times New Roman" w:cs="Times New Roman"/>
          <w:smallCaps w:val="0"/>
          <w:color w:val="auto"/>
          <w:sz w:val="30"/>
          <w:szCs w:val="30"/>
        </w:rPr>
        <w:t>AND IMPLEMEN</w:t>
      </w:r>
      <w:r w:rsidR="009638AE" w:rsidRPr="005948DE">
        <w:rPr>
          <w:rFonts w:ascii="Times New Roman" w:hAnsi="Times New Roman" w:cs="Times New Roman"/>
          <w:smallCaps w:val="0"/>
          <w:color w:val="auto"/>
          <w:sz w:val="30"/>
          <w:szCs w:val="30"/>
        </w:rPr>
        <w:t xml:space="preserve">TATION </w:t>
      </w:r>
      <w:r w:rsidR="001F16B5" w:rsidRPr="005948DE">
        <w:rPr>
          <w:rFonts w:ascii="Times New Roman" w:hAnsi="Times New Roman" w:cs="Times New Roman"/>
          <w:smallCaps w:val="0"/>
          <w:color w:val="auto"/>
          <w:sz w:val="30"/>
          <w:szCs w:val="30"/>
        </w:rPr>
        <w:t>ARRANGEMENTS</w:t>
      </w:r>
      <w:bookmarkEnd w:id="99"/>
      <w:bookmarkEnd w:id="100"/>
      <w:bookmarkEnd w:id="101"/>
      <w:bookmarkEnd w:id="102"/>
      <w:bookmarkEnd w:id="103"/>
      <w:bookmarkEnd w:id="104"/>
      <w:bookmarkEnd w:id="105"/>
      <w:r w:rsidRPr="005948DE">
        <w:rPr>
          <w:rFonts w:ascii="Times New Roman" w:hAnsi="Times New Roman" w:cs="Times New Roman"/>
          <w:smallCaps w:val="0"/>
          <w:color w:val="auto"/>
          <w:sz w:val="30"/>
          <w:szCs w:val="30"/>
        </w:rPr>
        <w:t xml:space="preserve"> </w:t>
      </w:r>
    </w:p>
    <w:p w14:paraId="6BF67188" w14:textId="4D04017B" w:rsidR="0028598B" w:rsidRPr="005948DE" w:rsidRDefault="0028598B"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106" w:name="_Toc93342216"/>
      <w:r w:rsidRPr="005948DE">
        <w:rPr>
          <w:rFonts w:ascii="Times New Roman" w:hAnsi="Times New Roman" w:cs="Times New Roman"/>
          <w:smallCaps w:val="0"/>
          <w:color w:val="auto"/>
          <w:sz w:val="24"/>
        </w:rPr>
        <w:t>Institutional arrangements and responsibilities</w:t>
      </w:r>
      <w:bookmarkEnd w:id="106"/>
    </w:p>
    <w:p w14:paraId="2DB9BACE" w14:textId="4FFC2A1D" w:rsidR="006C51BE" w:rsidRPr="005948DE" w:rsidRDefault="009802F2" w:rsidP="005948DE">
      <w:pPr>
        <w:spacing w:line="276" w:lineRule="auto"/>
        <w:jc w:val="both"/>
        <w:rPr>
          <w:rFonts w:ascii="Times New Roman" w:hAnsi="Times New Roman" w:cs="Times New Roman"/>
        </w:rPr>
      </w:pPr>
      <w:r w:rsidRPr="005948DE">
        <w:rPr>
          <w:rFonts w:ascii="Times New Roman" w:hAnsi="Times New Roman" w:cs="Times New Roman"/>
        </w:rPr>
        <w:t xml:space="preserve">The Project operational structure is complex with the following key </w:t>
      </w:r>
      <w:r w:rsidR="00F06A2A">
        <w:rPr>
          <w:rFonts w:ascii="Times New Roman" w:hAnsi="Times New Roman" w:cs="Times New Roman"/>
        </w:rPr>
        <w:t>i</w:t>
      </w:r>
      <w:r w:rsidRPr="005948DE">
        <w:rPr>
          <w:rFonts w:ascii="Times New Roman" w:hAnsi="Times New Roman" w:cs="Times New Roman"/>
        </w:rPr>
        <w:t xml:space="preserve">nstitutions involved in the implementation and </w:t>
      </w:r>
      <w:r w:rsidR="00D46F79" w:rsidRPr="005948DE">
        <w:rPr>
          <w:rFonts w:ascii="Times New Roman" w:hAnsi="Times New Roman" w:cs="Times New Roman"/>
        </w:rPr>
        <w:t>decision-making</w:t>
      </w:r>
      <w:r w:rsidRPr="005948DE">
        <w:rPr>
          <w:rFonts w:ascii="Times New Roman" w:hAnsi="Times New Roman" w:cs="Times New Roman"/>
        </w:rPr>
        <w:t xml:space="preserve"> process:</w:t>
      </w:r>
    </w:p>
    <w:p w14:paraId="31619A8F" w14:textId="4B04C136" w:rsidR="009802F2" w:rsidRPr="005948DE" w:rsidRDefault="009802F2"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 xml:space="preserve">International Bank for Reconstruction and Development </w:t>
      </w:r>
      <w:r w:rsidR="0054357E">
        <w:rPr>
          <w:rFonts w:ascii="Times New Roman" w:hAnsi="Times New Roman" w:cs="Times New Roman"/>
        </w:rPr>
        <w:t xml:space="preserve">- </w:t>
      </w:r>
      <w:r w:rsidR="0054357E" w:rsidRPr="005948DE">
        <w:rPr>
          <w:rFonts w:ascii="Times New Roman" w:hAnsi="Times New Roman" w:cs="Times New Roman"/>
        </w:rPr>
        <w:t>World Bank</w:t>
      </w:r>
      <w:r w:rsidR="0054357E">
        <w:rPr>
          <w:rFonts w:ascii="Times New Roman" w:hAnsi="Times New Roman" w:cs="Times New Roman"/>
        </w:rPr>
        <w:t xml:space="preserve"> (IBRD)</w:t>
      </w:r>
      <w:r w:rsidR="00F95406" w:rsidRPr="005948DE">
        <w:rPr>
          <w:rFonts w:ascii="Times New Roman" w:hAnsi="Times New Roman" w:cs="Times New Roman"/>
        </w:rPr>
        <w:t>,</w:t>
      </w:r>
    </w:p>
    <w:p w14:paraId="08733E83" w14:textId="10751594" w:rsidR="009802F2" w:rsidRPr="00F66377" w:rsidRDefault="009802F2" w:rsidP="005948DE">
      <w:pPr>
        <w:pStyle w:val="ListParagraph"/>
        <w:numPr>
          <w:ilvl w:val="0"/>
          <w:numId w:val="120"/>
        </w:numPr>
        <w:spacing w:after="240" w:line="276" w:lineRule="auto"/>
        <w:jc w:val="both"/>
        <w:rPr>
          <w:rFonts w:ascii="Times New Roman" w:hAnsi="Times New Roman" w:cs="Times New Roman"/>
          <w:lang w:val="fr-FR"/>
        </w:rPr>
      </w:pPr>
      <w:r w:rsidRPr="00F66377">
        <w:rPr>
          <w:rFonts w:ascii="Times New Roman" w:hAnsi="Times New Roman" w:cs="Times New Roman"/>
          <w:lang w:val="fr-FR"/>
        </w:rPr>
        <w:t xml:space="preserve">Agence </w:t>
      </w:r>
      <w:r w:rsidR="00F06A2A" w:rsidRPr="00F66377">
        <w:rPr>
          <w:rFonts w:ascii="Times New Roman" w:hAnsi="Times New Roman" w:cs="Times New Roman"/>
          <w:lang w:val="fr-FR"/>
        </w:rPr>
        <w:t>Fran</w:t>
      </w:r>
      <w:r w:rsidR="00F06A2A">
        <w:rPr>
          <w:rFonts w:ascii="Times New Roman" w:hAnsi="Times New Roman" w:cs="Times New Roman"/>
          <w:lang w:val="fr-FR"/>
        </w:rPr>
        <w:t>ç</w:t>
      </w:r>
      <w:r w:rsidR="00F06A2A" w:rsidRPr="00F66377">
        <w:rPr>
          <w:rFonts w:ascii="Times New Roman" w:hAnsi="Times New Roman" w:cs="Times New Roman"/>
          <w:lang w:val="fr-FR"/>
        </w:rPr>
        <w:t xml:space="preserve">aise </w:t>
      </w:r>
      <w:r w:rsidRPr="00F66377">
        <w:rPr>
          <w:rFonts w:ascii="Times New Roman" w:hAnsi="Times New Roman" w:cs="Times New Roman"/>
          <w:lang w:val="fr-FR"/>
        </w:rPr>
        <w:t>de Développement (AFD)</w:t>
      </w:r>
      <w:r w:rsidR="00F95406" w:rsidRPr="00F66377">
        <w:rPr>
          <w:rFonts w:ascii="Times New Roman" w:hAnsi="Times New Roman" w:cs="Times New Roman"/>
          <w:lang w:val="fr-FR"/>
        </w:rPr>
        <w:t>,</w:t>
      </w:r>
    </w:p>
    <w:p w14:paraId="5B89AE06" w14:textId="37D7C2DC" w:rsidR="00B94F07" w:rsidRPr="005948DE" w:rsidRDefault="00B94F07"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 xml:space="preserve">Ministry of </w:t>
      </w:r>
      <w:r w:rsidR="00F06004" w:rsidRPr="005948DE">
        <w:rPr>
          <w:rFonts w:ascii="Times New Roman" w:hAnsi="Times New Roman" w:cs="Times New Roman"/>
        </w:rPr>
        <w:t>Finance</w:t>
      </w:r>
      <w:r w:rsidRPr="005948DE">
        <w:rPr>
          <w:rFonts w:ascii="Times New Roman" w:hAnsi="Times New Roman" w:cs="Times New Roman"/>
        </w:rPr>
        <w:t xml:space="preserve"> (MoF), </w:t>
      </w:r>
    </w:p>
    <w:p w14:paraId="4831E3E8" w14:textId="519728FC" w:rsidR="009802F2" w:rsidRPr="005948DE" w:rsidRDefault="009802F2"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Ministry of Construction, Transport and Infrastructure (MCTI)</w:t>
      </w:r>
      <w:r w:rsidR="00F95406" w:rsidRPr="005948DE">
        <w:rPr>
          <w:rFonts w:ascii="Times New Roman" w:hAnsi="Times New Roman" w:cs="Times New Roman"/>
        </w:rPr>
        <w:t>,</w:t>
      </w:r>
    </w:p>
    <w:p w14:paraId="7BE3A5C9" w14:textId="2F0C216B" w:rsidR="00B94F07" w:rsidRPr="005948DE" w:rsidRDefault="00B94F07"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Project Implementation Unit (PIU)</w:t>
      </w:r>
      <w:r w:rsidR="00F95406" w:rsidRPr="005948DE">
        <w:rPr>
          <w:rFonts w:ascii="Times New Roman" w:hAnsi="Times New Roman" w:cs="Times New Roman"/>
        </w:rPr>
        <w:t>,</w:t>
      </w:r>
    </w:p>
    <w:p w14:paraId="6BB78E86" w14:textId="7F6ABF7D" w:rsidR="00B94F07" w:rsidRPr="005948DE" w:rsidRDefault="00B94F07"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Steering Committee</w:t>
      </w:r>
      <w:r w:rsidR="00F95406" w:rsidRPr="005948DE">
        <w:rPr>
          <w:rFonts w:ascii="Times New Roman" w:hAnsi="Times New Roman" w:cs="Times New Roman"/>
        </w:rPr>
        <w:t>,</w:t>
      </w:r>
      <w:r w:rsidRPr="005948DE">
        <w:rPr>
          <w:rFonts w:ascii="Times New Roman" w:hAnsi="Times New Roman" w:cs="Times New Roman"/>
        </w:rPr>
        <w:t xml:space="preserve"> </w:t>
      </w:r>
    </w:p>
    <w:p w14:paraId="3D011D96" w14:textId="731B926B" w:rsidR="009802F2" w:rsidRPr="005948DE" w:rsidRDefault="009802F2"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Central Fiduciary Unit (CFU)</w:t>
      </w:r>
      <w:r w:rsidR="00B94F07" w:rsidRPr="005948DE">
        <w:rPr>
          <w:rFonts w:ascii="Times New Roman" w:hAnsi="Times New Roman" w:cs="Times New Roman"/>
        </w:rPr>
        <w:t xml:space="preserve"> housed </w:t>
      </w:r>
      <w:r w:rsidR="00482BEA" w:rsidRPr="005948DE">
        <w:rPr>
          <w:rFonts w:ascii="Times New Roman" w:hAnsi="Times New Roman" w:cs="Times New Roman"/>
        </w:rPr>
        <w:t>under</w:t>
      </w:r>
      <w:r w:rsidR="00B94F07" w:rsidRPr="005948DE">
        <w:rPr>
          <w:rFonts w:ascii="Times New Roman" w:hAnsi="Times New Roman" w:cs="Times New Roman"/>
        </w:rPr>
        <w:t xml:space="preserve"> </w:t>
      </w:r>
      <w:r w:rsidR="00F06A2A">
        <w:rPr>
          <w:rFonts w:ascii="Times New Roman" w:hAnsi="Times New Roman" w:cs="Times New Roman"/>
        </w:rPr>
        <w:t xml:space="preserve">the </w:t>
      </w:r>
      <w:r w:rsidR="00B94F07" w:rsidRPr="005948DE">
        <w:rPr>
          <w:rFonts w:ascii="Times New Roman" w:hAnsi="Times New Roman" w:cs="Times New Roman"/>
        </w:rPr>
        <w:t>MoF</w:t>
      </w:r>
      <w:r w:rsidR="00F95406" w:rsidRPr="005948DE">
        <w:rPr>
          <w:rFonts w:ascii="Times New Roman" w:hAnsi="Times New Roman" w:cs="Times New Roman"/>
        </w:rPr>
        <w:t>,</w:t>
      </w:r>
    </w:p>
    <w:p w14:paraId="072D1D6C" w14:textId="6C71E758" w:rsidR="00B94F07" w:rsidRPr="005948DE" w:rsidRDefault="00B94F07"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 xml:space="preserve">Standing </w:t>
      </w:r>
      <w:r w:rsidR="00911CC9" w:rsidRPr="005948DE">
        <w:rPr>
          <w:rFonts w:ascii="Times New Roman" w:hAnsi="Times New Roman" w:cs="Times New Roman"/>
        </w:rPr>
        <w:t>Conference</w:t>
      </w:r>
      <w:r w:rsidRPr="005948DE">
        <w:rPr>
          <w:rFonts w:ascii="Times New Roman" w:hAnsi="Times New Roman" w:cs="Times New Roman"/>
        </w:rPr>
        <w:t xml:space="preserve"> of Towns and </w:t>
      </w:r>
      <w:r w:rsidR="00482BEA" w:rsidRPr="005948DE">
        <w:rPr>
          <w:rFonts w:ascii="Times New Roman" w:hAnsi="Times New Roman" w:cs="Times New Roman"/>
        </w:rPr>
        <w:t>Municipalities (</w:t>
      </w:r>
      <w:r w:rsidRPr="005948DE">
        <w:rPr>
          <w:rFonts w:ascii="Times New Roman" w:hAnsi="Times New Roman" w:cs="Times New Roman"/>
        </w:rPr>
        <w:t>SCTM)</w:t>
      </w:r>
      <w:r w:rsidR="00F95406" w:rsidRPr="005948DE">
        <w:rPr>
          <w:rFonts w:ascii="Times New Roman" w:hAnsi="Times New Roman" w:cs="Times New Roman"/>
        </w:rPr>
        <w:t>, and</w:t>
      </w:r>
    </w:p>
    <w:p w14:paraId="15194D04" w14:textId="74B58FB4" w:rsidR="00D46F79" w:rsidRPr="005948DE" w:rsidRDefault="00D46F79" w:rsidP="005948DE">
      <w:pPr>
        <w:pStyle w:val="ListParagraph"/>
        <w:numPr>
          <w:ilvl w:val="0"/>
          <w:numId w:val="120"/>
        </w:numPr>
        <w:spacing w:after="240" w:line="276" w:lineRule="auto"/>
        <w:jc w:val="both"/>
        <w:rPr>
          <w:rFonts w:ascii="Times New Roman" w:hAnsi="Times New Roman" w:cs="Times New Roman"/>
        </w:rPr>
      </w:pPr>
      <w:r w:rsidRPr="005948DE">
        <w:rPr>
          <w:rFonts w:ascii="Times New Roman" w:hAnsi="Times New Roman" w:cs="Times New Roman"/>
        </w:rPr>
        <w:t>Local Self Governments (</w:t>
      </w:r>
      <w:r w:rsidR="001F4367" w:rsidRPr="005948DE">
        <w:rPr>
          <w:rFonts w:ascii="Times New Roman" w:hAnsi="Times New Roman" w:cs="Times New Roman"/>
        </w:rPr>
        <w:t>LSG</w:t>
      </w:r>
      <w:r w:rsidRPr="005948DE">
        <w:rPr>
          <w:rFonts w:ascii="Times New Roman" w:hAnsi="Times New Roman" w:cs="Times New Roman"/>
        </w:rPr>
        <w:t>s)</w:t>
      </w:r>
      <w:r w:rsidR="00F95406" w:rsidRPr="005948DE">
        <w:rPr>
          <w:rFonts w:ascii="Times New Roman" w:hAnsi="Times New Roman" w:cs="Times New Roman"/>
        </w:rPr>
        <w:t>.</w:t>
      </w:r>
      <w:r w:rsidRPr="005948DE">
        <w:rPr>
          <w:rFonts w:ascii="Times New Roman" w:hAnsi="Times New Roman" w:cs="Times New Roman"/>
        </w:rPr>
        <w:t xml:space="preserve"> </w:t>
      </w:r>
    </w:p>
    <w:p w14:paraId="25D03628" w14:textId="09C02337" w:rsidR="00F14103" w:rsidRDefault="0028598B" w:rsidP="005948DE">
      <w:pPr>
        <w:widowControl w:val="0"/>
        <w:autoSpaceDE w:val="0"/>
        <w:autoSpaceDN w:val="0"/>
        <w:adjustRightInd w:val="0"/>
        <w:spacing w:after="120" w:line="276" w:lineRule="auto"/>
        <w:jc w:val="both"/>
        <w:rPr>
          <w:rFonts w:ascii="Times New Roman" w:hAnsi="Times New Roman" w:cs="Times New Roman"/>
        </w:rPr>
      </w:pPr>
      <w:r w:rsidRPr="005948DE">
        <w:rPr>
          <w:rFonts w:ascii="Times New Roman" w:hAnsi="Times New Roman" w:cs="Times New Roman"/>
          <w:bCs/>
        </w:rPr>
        <w:t>The overview of the institutional set up and high-level concept</w:t>
      </w:r>
      <w:r w:rsidR="00F14103" w:rsidRPr="005948DE">
        <w:rPr>
          <w:rFonts w:ascii="Times New Roman" w:hAnsi="Times New Roman" w:cs="Times New Roman"/>
        </w:rPr>
        <w:t xml:space="preserve"> is shown in </w:t>
      </w:r>
      <w:r w:rsidR="0054357E">
        <w:rPr>
          <w:rFonts w:ascii="Times New Roman" w:hAnsi="Times New Roman" w:cs="Times New Roman"/>
        </w:rPr>
        <w:t xml:space="preserve">the </w:t>
      </w:r>
      <w:r w:rsidR="00F14103" w:rsidRPr="005948DE">
        <w:rPr>
          <w:rFonts w:ascii="Times New Roman" w:hAnsi="Times New Roman" w:cs="Times New Roman"/>
        </w:rPr>
        <w:t>figure below.</w:t>
      </w:r>
    </w:p>
    <w:p w14:paraId="6A1023E5" w14:textId="3B82AF26" w:rsidR="00DA5772" w:rsidRPr="00FF3BED" w:rsidRDefault="008B5703" w:rsidP="006F115D">
      <w:pPr>
        <w:pStyle w:val="Caption"/>
        <w:rPr>
          <w:rFonts w:ascii="Times New Roman" w:hAnsi="Times New Roman" w:cs="Times New Roman"/>
          <w:bCs/>
          <w:color w:val="FF9900"/>
        </w:rPr>
      </w:pPr>
      <w:r w:rsidRPr="006F115D">
        <w:rPr>
          <w:rFonts w:ascii="Times New Roman" w:hAnsi="Times New Roman" w:cs="Times New Roman"/>
        </w:rPr>
        <w:t xml:space="preserve">Figure </w:t>
      </w:r>
      <w:r w:rsidRPr="006F115D">
        <w:rPr>
          <w:rFonts w:ascii="Times New Roman" w:hAnsi="Times New Roman" w:cs="Times New Roman"/>
        </w:rPr>
        <w:fldChar w:fldCharType="begin"/>
      </w:r>
      <w:r w:rsidRPr="006F115D">
        <w:rPr>
          <w:rFonts w:ascii="Times New Roman" w:hAnsi="Times New Roman" w:cs="Times New Roman"/>
        </w:rPr>
        <w:instrText xml:space="preserve"> SEQ Figure \* ARABIC </w:instrText>
      </w:r>
      <w:r w:rsidRPr="006F115D">
        <w:rPr>
          <w:rFonts w:ascii="Times New Roman" w:hAnsi="Times New Roman" w:cs="Times New Roman"/>
        </w:rPr>
        <w:fldChar w:fldCharType="separate"/>
      </w:r>
      <w:r w:rsidR="00417989" w:rsidRPr="006F115D">
        <w:rPr>
          <w:rFonts w:ascii="Times New Roman" w:hAnsi="Times New Roman" w:cs="Times New Roman"/>
          <w:noProof/>
        </w:rPr>
        <w:t>1</w:t>
      </w:r>
      <w:r w:rsidRPr="006F115D">
        <w:rPr>
          <w:rFonts w:ascii="Times New Roman" w:hAnsi="Times New Roman" w:cs="Times New Roman"/>
        </w:rPr>
        <w:fldChar w:fldCharType="end"/>
      </w:r>
      <w:r w:rsidRPr="006F115D">
        <w:rPr>
          <w:rFonts w:ascii="Times New Roman" w:hAnsi="Times New Roman" w:cs="Times New Roman"/>
        </w:rPr>
        <w:t xml:space="preserve">: Institutional set up </w:t>
      </w:r>
    </w:p>
    <w:p w14:paraId="09EBF1DA" w14:textId="011EF306" w:rsidR="00FC03CF" w:rsidRDefault="00FC03CF" w:rsidP="005948DE">
      <w:pPr>
        <w:widowControl w:val="0"/>
        <w:autoSpaceDE w:val="0"/>
        <w:autoSpaceDN w:val="0"/>
        <w:adjustRightInd w:val="0"/>
        <w:spacing w:after="120" w:line="276" w:lineRule="auto"/>
        <w:jc w:val="both"/>
        <w:rPr>
          <w:rFonts w:ascii="Times New Roman" w:hAnsi="Times New Roman" w:cs="Times New Roman"/>
          <w:bCs/>
          <w:color w:val="FF9900"/>
        </w:rPr>
      </w:pPr>
      <w:r>
        <w:rPr>
          <w:noProof/>
          <w:lang w:val="en-US"/>
        </w:rPr>
        <w:drawing>
          <wp:inline distT="0" distB="0" distL="0" distR="0" wp14:anchorId="1B5DCF6D" wp14:editId="72D7B297">
            <wp:extent cx="5929002" cy="5096786"/>
            <wp:effectExtent l="0" t="0" r="0" b="0"/>
            <wp:docPr id="32792" name="Picture 3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507423"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985045" cy="5144963"/>
                    </a:xfrm>
                    <a:prstGeom prst="rect">
                      <a:avLst/>
                    </a:prstGeom>
                    <a:noFill/>
                  </pic:spPr>
                </pic:pic>
              </a:graphicData>
            </a:graphic>
          </wp:inline>
        </w:drawing>
      </w:r>
    </w:p>
    <w:p w14:paraId="3BA9EE12" w14:textId="77777777" w:rsidR="00FC03CF" w:rsidRPr="005948DE" w:rsidRDefault="00FC03CF" w:rsidP="005948DE">
      <w:pPr>
        <w:widowControl w:val="0"/>
        <w:autoSpaceDE w:val="0"/>
        <w:autoSpaceDN w:val="0"/>
        <w:adjustRightInd w:val="0"/>
        <w:spacing w:after="120" w:line="276" w:lineRule="auto"/>
        <w:jc w:val="both"/>
        <w:rPr>
          <w:rFonts w:ascii="Times New Roman" w:hAnsi="Times New Roman" w:cs="Times New Roman"/>
          <w:bCs/>
          <w:color w:val="FF9900"/>
        </w:rPr>
      </w:pPr>
    </w:p>
    <w:p w14:paraId="0E84021E" w14:textId="4801DACD" w:rsidR="00F14103" w:rsidRPr="005948DE" w:rsidRDefault="00E4783D" w:rsidP="005948DE">
      <w:pPr>
        <w:pStyle w:val="Heading2"/>
        <w:numPr>
          <w:ilvl w:val="1"/>
          <w:numId w:val="330"/>
        </w:numPr>
        <w:spacing w:before="240" w:after="120" w:line="276" w:lineRule="auto"/>
        <w:ind w:left="578" w:hanging="578"/>
        <w:jc w:val="both"/>
        <w:rPr>
          <w:rFonts w:ascii="Times New Roman" w:hAnsi="Times New Roman" w:cs="Times New Roman"/>
          <w:bCs w:val="0"/>
          <w:color w:val="auto"/>
          <w:sz w:val="24"/>
        </w:rPr>
      </w:pPr>
      <w:bookmarkStart w:id="107" w:name="_Toc93342217"/>
      <w:r w:rsidRPr="005948DE">
        <w:rPr>
          <w:rFonts w:ascii="Times New Roman" w:hAnsi="Times New Roman" w:cs="Times New Roman"/>
          <w:smallCaps w:val="0"/>
          <w:color w:val="auto"/>
          <w:sz w:val="24"/>
        </w:rPr>
        <w:t xml:space="preserve">The </w:t>
      </w:r>
      <w:r w:rsidR="00F06A2A">
        <w:rPr>
          <w:rFonts w:ascii="Times New Roman" w:hAnsi="Times New Roman" w:cs="Times New Roman"/>
          <w:smallCaps w:val="0"/>
          <w:color w:val="auto"/>
          <w:sz w:val="24"/>
        </w:rPr>
        <w:t>M</w:t>
      </w:r>
      <w:r w:rsidR="00F06A2A" w:rsidRPr="005948DE">
        <w:rPr>
          <w:rFonts w:ascii="Times New Roman" w:hAnsi="Times New Roman" w:cs="Times New Roman"/>
          <w:smallCaps w:val="0"/>
          <w:color w:val="auto"/>
          <w:sz w:val="24"/>
        </w:rPr>
        <w:t xml:space="preserve">ain </w:t>
      </w:r>
      <w:r w:rsidR="00F06A2A">
        <w:rPr>
          <w:rFonts w:ascii="Times New Roman" w:hAnsi="Times New Roman" w:cs="Times New Roman"/>
          <w:smallCaps w:val="0"/>
          <w:color w:val="auto"/>
          <w:sz w:val="24"/>
        </w:rPr>
        <w:t>R</w:t>
      </w:r>
      <w:r w:rsidR="00F06A2A" w:rsidRPr="005948DE">
        <w:rPr>
          <w:rFonts w:ascii="Times New Roman" w:hAnsi="Times New Roman" w:cs="Times New Roman"/>
          <w:smallCaps w:val="0"/>
          <w:color w:val="auto"/>
          <w:sz w:val="24"/>
        </w:rPr>
        <w:t xml:space="preserve">oles </w:t>
      </w:r>
      <w:r w:rsidR="00F14103" w:rsidRPr="005948DE">
        <w:rPr>
          <w:rFonts w:ascii="Times New Roman" w:hAnsi="Times New Roman" w:cs="Times New Roman"/>
          <w:smallCaps w:val="0"/>
          <w:color w:val="auto"/>
          <w:sz w:val="24"/>
        </w:rPr>
        <w:t xml:space="preserve">and </w:t>
      </w:r>
      <w:r w:rsidR="00F06A2A">
        <w:rPr>
          <w:rFonts w:ascii="Times New Roman" w:hAnsi="Times New Roman" w:cs="Times New Roman"/>
          <w:smallCaps w:val="0"/>
          <w:color w:val="auto"/>
          <w:sz w:val="24"/>
        </w:rPr>
        <w:t>R</w:t>
      </w:r>
      <w:r w:rsidR="00F06A2A" w:rsidRPr="005948DE">
        <w:rPr>
          <w:rFonts w:ascii="Times New Roman" w:hAnsi="Times New Roman" w:cs="Times New Roman"/>
          <w:smallCaps w:val="0"/>
          <w:color w:val="auto"/>
          <w:sz w:val="24"/>
        </w:rPr>
        <w:t xml:space="preserve">esponsibilities </w:t>
      </w:r>
      <w:r w:rsidR="00F14103" w:rsidRPr="005948DE">
        <w:rPr>
          <w:rFonts w:ascii="Times New Roman" w:hAnsi="Times New Roman" w:cs="Times New Roman"/>
          <w:smallCaps w:val="0"/>
          <w:color w:val="auto"/>
          <w:sz w:val="24"/>
        </w:rPr>
        <w:t xml:space="preserve">of the Project </w:t>
      </w:r>
      <w:r w:rsidR="00F06A2A">
        <w:rPr>
          <w:rFonts w:ascii="Times New Roman" w:hAnsi="Times New Roman" w:cs="Times New Roman"/>
          <w:smallCaps w:val="0"/>
          <w:color w:val="auto"/>
          <w:sz w:val="24"/>
        </w:rPr>
        <w:t>S</w:t>
      </w:r>
      <w:r w:rsidR="00F14103" w:rsidRPr="005948DE">
        <w:rPr>
          <w:rFonts w:ascii="Times New Roman" w:hAnsi="Times New Roman" w:cs="Times New Roman"/>
          <w:smallCaps w:val="0"/>
          <w:color w:val="auto"/>
          <w:sz w:val="24"/>
        </w:rPr>
        <w:t>takeholders</w:t>
      </w:r>
      <w:bookmarkEnd w:id="107"/>
    </w:p>
    <w:p w14:paraId="47149949" w14:textId="0A33BCF9" w:rsidR="009802F2" w:rsidRPr="005948DE" w:rsidRDefault="009802F2"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08" w:name="_Toc93342218"/>
      <w:r w:rsidRPr="005948DE">
        <w:rPr>
          <w:rFonts w:ascii="Times New Roman" w:hAnsi="Times New Roman" w:cs="Times New Roman"/>
          <w:color w:val="auto"/>
        </w:rPr>
        <w:t>Ministry of Construction, Transport and Infrastructu</w:t>
      </w:r>
      <w:r w:rsidR="0054357E">
        <w:rPr>
          <w:rFonts w:ascii="Times New Roman" w:hAnsi="Times New Roman" w:cs="Times New Roman"/>
          <w:color w:val="auto"/>
        </w:rPr>
        <w:t>re</w:t>
      </w:r>
      <w:bookmarkEnd w:id="108"/>
    </w:p>
    <w:p w14:paraId="1CF69F7C" w14:textId="3EC21136" w:rsidR="00E97547" w:rsidRPr="005948DE" w:rsidRDefault="009802F2" w:rsidP="005948DE">
      <w:pPr>
        <w:spacing w:after="120" w:line="276" w:lineRule="auto"/>
        <w:jc w:val="both"/>
        <w:rPr>
          <w:rFonts w:ascii="Times New Roman" w:hAnsi="Times New Roman" w:cs="Times New Roman"/>
        </w:rPr>
      </w:pPr>
      <w:r w:rsidRPr="005948DE">
        <w:rPr>
          <w:rFonts w:ascii="Times New Roman" w:hAnsi="Times New Roman" w:cs="Times New Roman"/>
        </w:rPr>
        <w:t>The Project will be managed by the MCTI through</w:t>
      </w:r>
      <w:r w:rsidR="004C69CF" w:rsidRPr="005948DE">
        <w:rPr>
          <w:rFonts w:ascii="Times New Roman" w:hAnsi="Times New Roman" w:cs="Times New Roman"/>
        </w:rPr>
        <w:t xml:space="preserve"> an already established</w:t>
      </w:r>
      <w:r w:rsidRPr="005948DE">
        <w:rPr>
          <w:rFonts w:ascii="Times New Roman" w:hAnsi="Times New Roman" w:cs="Times New Roman"/>
        </w:rPr>
        <w:t xml:space="preserve"> </w:t>
      </w:r>
      <w:r w:rsidR="004C69CF" w:rsidRPr="005948DE">
        <w:rPr>
          <w:rFonts w:ascii="Times New Roman" w:hAnsi="Times New Roman" w:cs="Times New Roman"/>
        </w:rPr>
        <w:t xml:space="preserve">PIU (details of set-up are provided in </w:t>
      </w:r>
      <w:r w:rsidR="00F06A2A">
        <w:rPr>
          <w:rFonts w:ascii="Times New Roman" w:hAnsi="Times New Roman" w:cs="Times New Roman"/>
        </w:rPr>
        <w:t xml:space="preserve">the </w:t>
      </w:r>
      <w:r w:rsidR="004C69CF" w:rsidRPr="005948DE">
        <w:rPr>
          <w:rFonts w:ascii="Times New Roman" w:hAnsi="Times New Roman" w:cs="Times New Roman"/>
        </w:rPr>
        <w:t>sub-chapter below)</w:t>
      </w:r>
      <w:r w:rsidR="00F06A2A">
        <w:rPr>
          <w:rFonts w:ascii="Times New Roman" w:hAnsi="Times New Roman" w:cs="Times New Roman"/>
        </w:rPr>
        <w:t>,</w:t>
      </w:r>
      <w:r w:rsidRPr="005948DE">
        <w:rPr>
          <w:rFonts w:ascii="Times New Roman" w:hAnsi="Times New Roman" w:cs="Times New Roman"/>
        </w:rPr>
        <w:t xml:space="preserve"> </w:t>
      </w:r>
      <w:r w:rsidR="00F06A2A">
        <w:rPr>
          <w:rFonts w:ascii="Times New Roman" w:hAnsi="Times New Roman" w:cs="Times New Roman"/>
        </w:rPr>
        <w:t>who</w:t>
      </w:r>
      <w:r w:rsidR="00F06A2A" w:rsidRPr="005948DE">
        <w:rPr>
          <w:rFonts w:ascii="Times New Roman" w:hAnsi="Times New Roman" w:cs="Times New Roman"/>
        </w:rPr>
        <w:t xml:space="preserve"> </w:t>
      </w:r>
      <w:r w:rsidRPr="005948DE">
        <w:rPr>
          <w:rFonts w:ascii="Times New Roman" w:hAnsi="Times New Roman" w:cs="Times New Roman"/>
        </w:rPr>
        <w:t xml:space="preserve">will be directly responsible for </w:t>
      </w:r>
      <w:r w:rsidR="00F06A2A">
        <w:rPr>
          <w:rFonts w:ascii="Times New Roman" w:hAnsi="Times New Roman" w:cs="Times New Roman"/>
        </w:rPr>
        <w:t xml:space="preserve">the </w:t>
      </w:r>
      <w:r w:rsidRPr="005948DE">
        <w:rPr>
          <w:rFonts w:ascii="Times New Roman" w:hAnsi="Times New Roman" w:cs="Times New Roman"/>
        </w:rPr>
        <w:t xml:space="preserve">implementation of all </w:t>
      </w:r>
      <w:r w:rsidR="0054357E">
        <w:rPr>
          <w:rFonts w:ascii="Times New Roman" w:hAnsi="Times New Roman" w:cs="Times New Roman"/>
        </w:rPr>
        <w:t>Project</w:t>
      </w:r>
      <w:r w:rsidR="00F06A2A">
        <w:rPr>
          <w:rFonts w:ascii="Times New Roman" w:hAnsi="Times New Roman" w:cs="Times New Roman"/>
        </w:rPr>
        <w:t xml:space="preserve"> </w:t>
      </w:r>
      <w:r w:rsidRPr="005948DE">
        <w:rPr>
          <w:rFonts w:ascii="Times New Roman" w:hAnsi="Times New Roman" w:cs="Times New Roman"/>
        </w:rPr>
        <w:t xml:space="preserve">components. </w:t>
      </w:r>
      <w:r w:rsidR="00F06A2A">
        <w:rPr>
          <w:rFonts w:ascii="Times New Roman" w:hAnsi="Times New Roman" w:cs="Times New Roman"/>
        </w:rPr>
        <w:t xml:space="preserve">The </w:t>
      </w:r>
      <w:r w:rsidR="00E97547" w:rsidRPr="005948DE">
        <w:rPr>
          <w:rFonts w:ascii="Times New Roman" w:hAnsi="Times New Roman" w:cs="Times New Roman"/>
        </w:rPr>
        <w:t xml:space="preserve">MCTI is generally responsible for road transport, roads and traffic safety, railways and intermodal transport, air traffic and transport of dangerous goods, waterways transport and navigation safety, construction affairs, implementation of consolidated procedures and legislation, spatial and urban planning, international cooperation and </w:t>
      </w:r>
      <w:r w:rsidR="0054357E" w:rsidRPr="005948DE">
        <w:rPr>
          <w:rFonts w:ascii="Times New Roman" w:hAnsi="Times New Roman" w:cs="Times New Roman"/>
        </w:rPr>
        <w:t>E</w:t>
      </w:r>
      <w:r w:rsidR="0054357E">
        <w:rPr>
          <w:rFonts w:ascii="Times New Roman" w:hAnsi="Times New Roman" w:cs="Times New Roman"/>
        </w:rPr>
        <w:t>U</w:t>
      </w:r>
      <w:r w:rsidR="0054357E" w:rsidRPr="005948DE">
        <w:rPr>
          <w:rFonts w:ascii="Times New Roman" w:hAnsi="Times New Roman" w:cs="Times New Roman"/>
        </w:rPr>
        <w:t xml:space="preserve"> </w:t>
      </w:r>
      <w:r w:rsidR="00E97547" w:rsidRPr="005948DE">
        <w:rPr>
          <w:rFonts w:ascii="Times New Roman" w:hAnsi="Times New Roman" w:cs="Times New Roman"/>
        </w:rPr>
        <w:t>integration</w:t>
      </w:r>
      <w:r w:rsidR="000C4AB9">
        <w:rPr>
          <w:rFonts w:ascii="Times New Roman" w:hAnsi="Times New Roman" w:cs="Times New Roman"/>
        </w:rPr>
        <w:t xml:space="preserve"> in respective fields</w:t>
      </w:r>
      <w:r w:rsidR="00E97547" w:rsidRPr="005948DE">
        <w:rPr>
          <w:rFonts w:ascii="Times New Roman" w:hAnsi="Times New Roman" w:cs="Times New Roman"/>
        </w:rPr>
        <w:t>, inspection supervision and housing and architectural policy, communal activities and energy efficiency.</w:t>
      </w:r>
      <w:r w:rsidR="004C69CF" w:rsidRPr="005948DE">
        <w:rPr>
          <w:rFonts w:ascii="Times New Roman" w:hAnsi="Times New Roman" w:cs="Times New Roman"/>
        </w:rPr>
        <w:t xml:space="preserve"> The PIU shall be maintained throughout </w:t>
      </w:r>
      <w:r w:rsidR="00F06A2A">
        <w:rPr>
          <w:rFonts w:ascii="Times New Roman" w:hAnsi="Times New Roman" w:cs="Times New Roman"/>
        </w:rPr>
        <w:t xml:space="preserve">the </w:t>
      </w:r>
      <w:r w:rsidR="004C69CF" w:rsidRPr="005948DE">
        <w:rPr>
          <w:rFonts w:ascii="Times New Roman" w:hAnsi="Times New Roman" w:cs="Times New Roman"/>
        </w:rPr>
        <w:t xml:space="preserve">Project </w:t>
      </w:r>
      <w:r w:rsidR="00F06A2A">
        <w:rPr>
          <w:rFonts w:ascii="Times New Roman" w:hAnsi="Times New Roman" w:cs="Times New Roman"/>
        </w:rPr>
        <w:t>i</w:t>
      </w:r>
      <w:r w:rsidR="00F06A2A" w:rsidRPr="005948DE">
        <w:rPr>
          <w:rFonts w:ascii="Times New Roman" w:hAnsi="Times New Roman" w:cs="Times New Roman"/>
        </w:rPr>
        <w:t>mplementation</w:t>
      </w:r>
      <w:r w:rsidR="004C69CF" w:rsidRPr="005948DE">
        <w:rPr>
          <w:rFonts w:ascii="Times New Roman" w:hAnsi="Times New Roman" w:cs="Times New Roman"/>
        </w:rPr>
        <w:t>, and shall be responsible to manage, coordinate, monitor end evaluate the implementation of the Project.</w:t>
      </w:r>
    </w:p>
    <w:p w14:paraId="7C4957DD" w14:textId="361B146B" w:rsidR="009802F2" w:rsidRPr="005948DE" w:rsidRDefault="009802F2"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w:t>
      </w:r>
      <w:r w:rsidR="00F06A2A">
        <w:rPr>
          <w:rFonts w:ascii="Times New Roman" w:hAnsi="Times New Roman" w:cs="Times New Roman"/>
        </w:rPr>
        <w:t>P</w:t>
      </w:r>
      <w:r w:rsidRPr="005948DE">
        <w:rPr>
          <w:rFonts w:ascii="Times New Roman" w:hAnsi="Times New Roman" w:cs="Times New Roman"/>
        </w:rPr>
        <w:t xml:space="preserve">roject implementation </w:t>
      </w:r>
      <w:r w:rsidR="00CF4F5E" w:rsidRPr="005948DE">
        <w:rPr>
          <w:rFonts w:ascii="Times New Roman" w:hAnsi="Times New Roman" w:cs="Times New Roman"/>
        </w:rPr>
        <w:t xml:space="preserve">and ultimate accountability for execution of the Project </w:t>
      </w:r>
      <w:r w:rsidRPr="005948DE">
        <w:rPr>
          <w:rFonts w:ascii="Times New Roman" w:hAnsi="Times New Roman" w:cs="Times New Roman"/>
        </w:rPr>
        <w:t>will be anchored in the MCTI</w:t>
      </w:r>
      <w:r w:rsidR="00B74BB1" w:rsidRPr="005948DE">
        <w:rPr>
          <w:rFonts w:ascii="Times New Roman" w:hAnsi="Times New Roman" w:cs="Times New Roman"/>
        </w:rPr>
        <w:t>.</w:t>
      </w:r>
      <w:r w:rsidR="00E97547" w:rsidRPr="005948DE">
        <w:rPr>
          <w:rFonts w:ascii="Times New Roman" w:hAnsi="Times New Roman" w:cs="Times New Roman"/>
        </w:rPr>
        <w:t xml:space="preserve"> </w:t>
      </w:r>
    </w:p>
    <w:p w14:paraId="69EA59B3" w14:textId="4421AE33" w:rsidR="000D419F" w:rsidRPr="005948DE" w:rsidRDefault="00F06A2A" w:rsidP="005948DE">
      <w:pPr>
        <w:spacing w:after="120" w:line="276" w:lineRule="auto"/>
        <w:jc w:val="both"/>
        <w:rPr>
          <w:rFonts w:ascii="Times New Roman" w:hAnsi="Times New Roman" w:cs="Times New Roman"/>
        </w:rPr>
      </w:pPr>
      <w:r>
        <w:rPr>
          <w:rFonts w:ascii="Times New Roman" w:hAnsi="Times New Roman" w:cs="Times New Roman"/>
        </w:rPr>
        <w:t xml:space="preserve">The </w:t>
      </w:r>
      <w:r w:rsidR="00B74BB1" w:rsidRPr="005948DE">
        <w:rPr>
          <w:rFonts w:ascii="Times New Roman" w:hAnsi="Times New Roman" w:cs="Times New Roman"/>
        </w:rPr>
        <w:t xml:space="preserve">MCTI </w:t>
      </w:r>
      <w:r w:rsidR="00D479E5" w:rsidRPr="005948DE">
        <w:rPr>
          <w:rFonts w:ascii="Times New Roman" w:hAnsi="Times New Roman" w:cs="Times New Roman"/>
        </w:rPr>
        <w:t xml:space="preserve">will </w:t>
      </w:r>
      <w:r w:rsidR="002D27B9" w:rsidRPr="005948DE">
        <w:rPr>
          <w:rFonts w:ascii="Times New Roman" w:hAnsi="Times New Roman" w:cs="Times New Roman"/>
        </w:rPr>
        <w:t xml:space="preserve">disburse and </w:t>
      </w:r>
      <w:r w:rsidR="00D479E5" w:rsidRPr="005948DE">
        <w:rPr>
          <w:rFonts w:ascii="Times New Roman" w:hAnsi="Times New Roman" w:cs="Times New Roman"/>
        </w:rPr>
        <w:t xml:space="preserve">transfer </w:t>
      </w:r>
      <w:r w:rsidR="00F06004" w:rsidRPr="005948DE">
        <w:rPr>
          <w:rFonts w:ascii="Times New Roman" w:hAnsi="Times New Roman" w:cs="Times New Roman"/>
        </w:rPr>
        <w:t>grants from</w:t>
      </w:r>
      <w:r w:rsidR="00D479E5" w:rsidRPr="005948DE">
        <w:rPr>
          <w:rFonts w:ascii="Times New Roman" w:hAnsi="Times New Roman" w:cs="Times New Roman"/>
        </w:rPr>
        <w:t xml:space="preserve"> the </w:t>
      </w:r>
      <w:r w:rsidR="0054357E">
        <w:rPr>
          <w:rFonts w:ascii="Times New Roman" w:hAnsi="Times New Roman" w:cs="Times New Roman"/>
        </w:rPr>
        <w:t>L</w:t>
      </w:r>
      <w:r w:rsidR="00D479E5" w:rsidRPr="005948DE">
        <w:rPr>
          <w:rFonts w:ascii="Times New Roman" w:hAnsi="Times New Roman" w:cs="Times New Roman"/>
        </w:rPr>
        <w:t xml:space="preserve">oan proceeds for </w:t>
      </w:r>
      <w:r w:rsidR="000D419F" w:rsidRPr="005948DE">
        <w:rPr>
          <w:rFonts w:ascii="Times New Roman" w:hAnsi="Times New Roman" w:cs="Times New Roman"/>
        </w:rPr>
        <w:t>approved in</w:t>
      </w:r>
      <w:r w:rsidR="00D479E5" w:rsidRPr="005948DE">
        <w:rPr>
          <w:rFonts w:ascii="Times New Roman" w:hAnsi="Times New Roman" w:cs="Times New Roman"/>
        </w:rPr>
        <w:t xml:space="preserve">frastructure investments. </w:t>
      </w:r>
      <w:r w:rsidR="00D479E5" w:rsidRPr="005948DE">
        <w:rPr>
          <w:rFonts w:ascii="Times New Roman" w:eastAsia="Calibri" w:hAnsi="Times New Roman" w:cs="Times New Roman"/>
        </w:rPr>
        <w:t xml:space="preserve">The infrastructure financing will be provided through existing mechanisms for strictly targeted grant transfers from the central government to </w:t>
      </w:r>
      <w:r>
        <w:rPr>
          <w:rFonts w:ascii="Times New Roman" w:eastAsia="Calibri" w:hAnsi="Times New Roman" w:cs="Times New Roman"/>
        </w:rPr>
        <w:t xml:space="preserve">the </w:t>
      </w:r>
      <w:r w:rsidR="00D479E5" w:rsidRPr="005948DE">
        <w:rPr>
          <w:rFonts w:ascii="Times New Roman" w:eastAsia="Calibri" w:hAnsi="Times New Roman" w:cs="Times New Roman"/>
        </w:rPr>
        <w:t>LSGs.</w:t>
      </w:r>
      <w:r w:rsidR="00CF4F5E" w:rsidRPr="005948DE">
        <w:rPr>
          <w:rFonts w:ascii="Times New Roman" w:eastAsia="Calibri" w:hAnsi="Times New Roman" w:cs="Times New Roman"/>
        </w:rPr>
        <w:t xml:space="preserve"> This will be enabled through </w:t>
      </w:r>
      <w:r>
        <w:rPr>
          <w:rFonts w:ascii="Times New Roman" w:hAnsi="Times New Roman" w:cs="Times New Roman"/>
        </w:rPr>
        <w:t>FAs</w:t>
      </w:r>
      <w:r w:rsidR="006B3B95" w:rsidRPr="005948DE">
        <w:rPr>
          <w:rFonts w:ascii="Times New Roman" w:hAnsi="Times New Roman" w:cs="Times New Roman"/>
        </w:rPr>
        <w:t xml:space="preserve"> and </w:t>
      </w:r>
      <w:r>
        <w:rPr>
          <w:rFonts w:ascii="Times New Roman" w:hAnsi="Times New Roman" w:cs="Times New Roman"/>
        </w:rPr>
        <w:t>G</w:t>
      </w:r>
      <w:r w:rsidR="0054357E">
        <w:rPr>
          <w:rFonts w:ascii="Times New Roman" w:hAnsi="Times New Roman" w:cs="Times New Roman"/>
        </w:rPr>
        <w:t>A</w:t>
      </w:r>
      <w:r>
        <w:rPr>
          <w:rFonts w:ascii="Times New Roman" w:hAnsi="Times New Roman" w:cs="Times New Roman"/>
        </w:rPr>
        <w:t>s that the</w:t>
      </w:r>
      <w:r w:rsidR="006B3B95" w:rsidRPr="005948DE">
        <w:rPr>
          <w:rFonts w:ascii="Times New Roman" w:hAnsi="Times New Roman" w:cs="Times New Roman"/>
        </w:rPr>
        <w:t xml:space="preserve"> </w:t>
      </w:r>
      <w:r w:rsidR="00CF4F5E" w:rsidRPr="005948DE">
        <w:rPr>
          <w:rFonts w:ascii="Times New Roman" w:hAnsi="Times New Roman" w:cs="Times New Roman"/>
        </w:rPr>
        <w:t xml:space="preserve">MCTI will sign </w:t>
      </w:r>
      <w:r w:rsidR="000D419F" w:rsidRPr="005948DE">
        <w:rPr>
          <w:rFonts w:ascii="Times New Roman" w:hAnsi="Times New Roman" w:cs="Times New Roman"/>
        </w:rPr>
        <w:t xml:space="preserve">with </w:t>
      </w:r>
      <w:r w:rsidR="006B3B95" w:rsidRPr="005948DE">
        <w:rPr>
          <w:rFonts w:ascii="Times New Roman" w:hAnsi="Times New Roman" w:cs="Times New Roman"/>
        </w:rPr>
        <w:t xml:space="preserve">each </w:t>
      </w:r>
      <w:r w:rsidR="001F4367" w:rsidRPr="005948DE">
        <w:rPr>
          <w:rFonts w:ascii="Times New Roman" w:hAnsi="Times New Roman" w:cs="Times New Roman"/>
        </w:rPr>
        <w:t>LSG</w:t>
      </w:r>
      <w:r w:rsidR="000D419F" w:rsidRPr="005948DE">
        <w:rPr>
          <w:rFonts w:ascii="Times New Roman" w:hAnsi="Times New Roman" w:cs="Times New Roman"/>
        </w:rPr>
        <w:t xml:space="preserve"> for </w:t>
      </w:r>
      <w:r w:rsidR="006B3B95" w:rsidRPr="005948DE">
        <w:rPr>
          <w:rFonts w:ascii="Times New Roman" w:hAnsi="Times New Roman" w:cs="Times New Roman"/>
        </w:rPr>
        <w:t>any</w:t>
      </w:r>
      <w:r w:rsidR="000D419F" w:rsidRPr="005948DE">
        <w:rPr>
          <w:rFonts w:ascii="Times New Roman" w:hAnsi="Times New Roman" w:cs="Times New Roman"/>
        </w:rPr>
        <w:t xml:space="preserve"> approved infrastructure investment, which will define specific responsibilities related to </w:t>
      </w:r>
      <w:r>
        <w:rPr>
          <w:rFonts w:ascii="Times New Roman" w:hAnsi="Times New Roman" w:cs="Times New Roman"/>
        </w:rPr>
        <w:t xml:space="preserve">the </w:t>
      </w:r>
      <w:r w:rsidR="000D419F" w:rsidRPr="005948DE">
        <w:rPr>
          <w:rFonts w:ascii="Times New Roman" w:hAnsi="Times New Roman" w:cs="Times New Roman"/>
        </w:rPr>
        <w:t>implementation of the subject investment.</w:t>
      </w:r>
      <w:r w:rsidR="006B3B95" w:rsidRPr="005948DE">
        <w:rPr>
          <w:rFonts w:ascii="Times New Roman" w:hAnsi="Times New Roman" w:cs="Times New Roman"/>
        </w:rPr>
        <w:t xml:space="preserve"> The detailed procedure and </w:t>
      </w:r>
      <w:r w:rsidR="004C69CF" w:rsidRPr="005948DE">
        <w:rPr>
          <w:rFonts w:ascii="Times New Roman" w:hAnsi="Times New Roman" w:cs="Times New Roman"/>
        </w:rPr>
        <w:t xml:space="preserve">content of </w:t>
      </w:r>
      <w:r w:rsidRPr="005948DE">
        <w:rPr>
          <w:rFonts w:ascii="Times New Roman" w:hAnsi="Times New Roman" w:cs="Times New Roman"/>
        </w:rPr>
        <w:t>th</w:t>
      </w:r>
      <w:r>
        <w:rPr>
          <w:rFonts w:ascii="Times New Roman" w:hAnsi="Times New Roman" w:cs="Times New Roman"/>
        </w:rPr>
        <w:t>ose</w:t>
      </w:r>
      <w:r w:rsidRPr="005948DE">
        <w:rPr>
          <w:rFonts w:ascii="Times New Roman" w:hAnsi="Times New Roman" w:cs="Times New Roman"/>
        </w:rPr>
        <w:t xml:space="preserve"> </w:t>
      </w:r>
      <w:r w:rsidR="00F06004" w:rsidRPr="005948DE">
        <w:rPr>
          <w:rFonts w:ascii="Times New Roman" w:hAnsi="Times New Roman" w:cs="Times New Roman"/>
        </w:rPr>
        <w:t>agreements</w:t>
      </w:r>
      <w:r w:rsidR="004C69CF" w:rsidRPr="005948DE">
        <w:rPr>
          <w:rFonts w:ascii="Times New Roman" w:hAnsi="Times New Roman" w:cs="Times New Roman"/>
        </w:rPr>
        <w:t xml:space="preserve"> are provided in </w:t>
      </w:r>
      <w:r w:rsidR="0054357E">
        <w:rPr>
          <w:rFonts w:ascii="Times New Roman" w:hAnsi="Times New Roman" w:cs="Times New Roman"/>
        </w:rPr>
        <w:t>C</w:t>
      </w:r>
      <w:r w:rsidR="0054357E" w:rsidRPr="005948DE">
        <w:rPr>
          <w:rFonts w:ascii="Times New Roman" w:hAnsi="Times New Roman" w:cs="Times New Roman"/>
        </w:rPr>
        <w:t xml:space="preserve">hapter </w:t>
      </w:r>
      <w:r w:rsidR="004C69CF" w:rsidRPr="005948DE">
        <w:rPr>
          <w:rFonts w:ascii="Times New Roman" w:hAnsi="Times New Roman" w:cs="Times New Roman"/>
        </w:rPr>
        <w:t xml:space="preserve">4.1 and </w:t>
      </w:r>
      <w:r w:rsidR="0054357E">
        <w:rPr>
          <w:rFonts w:ascii="Times New Roman" w:hAnsi="Times New Roman" w:cs="Times New Roman"/>
        </w:rPr>
        <w:t xml:space="preserve">the </w:t>
      </w:r>
      <w:r w:rsidR="004C69CF" w:rsidRPr="005948DE">
        <w:rPr>
          <w:rFonts w:ascii="Times New Roman" w:hAnsi="Times New Roman" w:cs="Times New Roman"/>
        </w:rPr>
        <w:t>Annex</w:t>
      </w:r>
      <w:r w:rsidR="0054357E">
        <w:rPr>
          <w:rFonts w:ascii="Times New Roman" w:hAnsi="Times New Roman" w:cs="Times New Roman"/>
        </w:rPr>
        <w:t>es</w:t>
      </w:r>
      <w:r w:rsidR="004C69CF" w:rsidRPr="005948DE">
        <w:rPr>
          <w:rFonts w:ascii="Times New Roman" w:hAnsi="Times New Roman" w:cs="Times New Roman"/>
        </w:rPr>
        <w:t xml:space="preserve"> 3 and 4 respectively.</w:t>
      </w:r>
    </w:p>
    <w:p w14:paraId="509E2BB3" w14:textId="7F263A4C" w:rsidR="00DA5533" w:rsidRPr="005948DE" w:rsidRDefault="00DA5533" w:rsidP="005948DE">
      <w:pPr>
        <w:pStyle w:val="Heading3"/>
        <w:numPr>
          <w:ilvl w:val="2"/>
          <w:numId w:val="330"/>
        </w:numPr>
        <w:spacing w:before="120" w:after="120" w:line="276" w:lineRule="auto"/>
        <w:jc w:val="both"/>
        <w:rPr>
          <w:rFonts w:ascii="Times New Roman" w:hAnsi="Times New Roman" w:cs="Times New Roman"/>
          <w:color w:val="auto"/>
        </w:rPr>
      </w:pPr>
      <w:bookmarkStart w:id="109" w:name="_Toc93342219"/>
      <w:r w:rsidRPr="005948DE">
        <w:rPr>
          <w:rFonts w:ascii="Times New Roman" w:hAnsi="Times New Roman" w:cs="Times New Roman"/>
          <w:color w:val="auto"/>
        </w:rPr>
        <w:t>Project Implementation Unit (PIU)</w:t>
      </w:r>
      <w:bookmarkEnd w:id="109"/>
    </w:p>
    <w:p w14:paraId="33D5119A" w14:textId="28CC7B78" w:rsidR="000166FB" w:rsidRPr="005948DE" w:rsidRDefault="00CF4F5E" w:rsidP="005948DE">
      <w:pPr>
        <w:spacing w:after="120" w:line="276" w:lineRule="auto"/>
        <w:jc w:val="both"/>
        <w:rPr>
          <w:rFonts w:ascii="Times New Roman" w:hAnsi="Times New Roman" w:cs="Times New Roman"/>
        </w:rPr>
      </w:pPr>
      <w:r w:rsidRPr="005948DE">
        <w:rPr>
          <w:rFonts w:ascii="Times New Roman" w:hAnsi="Times New Roman" w:cs="Times New Roman"/>
        </w:rPr>
        <w:t>The Project will utilize t</w:t>
      </w:r>
      <w:r w:rsidR="00FB6E78" w:rsidRPr="005948DE">
        <w:rPr>
          <w:rFonts w:ascii="Times New Roman" w:hAnsi="Times New Roman" w:cs="Times New Roman"/>
        </w:rPr>
        <w:t xml:space="preserve">he PIU </w:t>
      </w:r>
      <w:r w:rsidR="00EC72C5" w:rsidRPr="005948DE">
        <w:rPr>
          <w:rFonts w:ascii="Times New Roman" w:hAnsi="Times New Roman" w:cs="Times New Roman"/>
        </w:rPr>
        <w:t xml:space="preserve">housed under the MCTI already </w:t>
      </w:r>
      <w:r w:rsidR="00FB6E78" w:rsidRPr="005948DE">
        <w:rPr>
          <w:rFonts w:ascii="Times New Roman" w:hAnsi="Times New Roman" w:cs="Times New Roman"/>
        </w:rPr>
        <w:t>established to manage the Serbian part of the Western Balkans Trade and Transport Facilitation Project (WBTTF)</w:t>
      </w:r>
      <w:r w:rsidR="00EC72C5" w:rsidRPr="005948DE">
        <w:rPr>
          <w:rFonts w:ascii="Times New Roman" w:hAnsi="Times New Roman" w:cs="Times New Roman"/>
        </w:rPr>
        <w:t>. In</w:t>
      </w:r>
      <w:r w:rsidR="00FB6E78" w:rsidRPr="005948DE">
        <w:rPr>
          <w:rFonts w:ascii="Times New Roman" w:hAnsi="Times New Roman" w:cs="Times New Roman"/>
        </w:rPr>
        <w:t xml:space="preserve">cremental needs of the Project </w:t>
      </w:r>
      <w:r w:rsidR="00EC72C5" w:rsidRPr="005948DE">
        <w:rPr>
          <w:rFonts w:ascii="Times New Roman" w:hAnsi="Times New Roman" w:cs="Times New Roman"/>
        </w:rPr>
        <w:t>will be satisfied</w:t>
      </w:r>
      <w:r w:rsidR="00CD1EDD" w:rsidRPr="005948DE">
        <w:rPr>
          <w:rFonts w:ascii="Times New Roman" w:hAnsi="Times New Roman" w:cs="Times New Roman"/>
        </w:rPr>
        <w:t xml:space="preserve"> by hiring additional experts</w:t>
      </w:r>
      <w:r w:rsidR="000166FB" w:rsidRPr="005948DE">
        <w:rPr>
          <w:rFonts w:ascii="Times New Roman" w:hAnsi="Times New Roman" w:cs="Times New Roman"/>
        </w:rPr>
        <w:t>.</w:t>
      </w:r>
      <w:r w:rsidR="00EC72C5" w:rsidRPr="005948DE">
        <w:rPr>
          <w:rFonts w:ascii="Times New Roman" w:hAnsi="Times New Roman" w:cs="Times New Roman"/>
        </w:rPr>
        <w:t xml:space="preserve"> This includes the relevant expertise related to the extend scope of the Environmental and Social Framework (ESF).</w:t>
      </w:r>
    </w:p>
    <w:p w14:paraId="776A6A9A" w14:textId="2E067709" w:rsidR="000166FB" w:rsidRPr="005948DE" w:rsidRDefault="000166FB" w:rsidP="005948DE">
      <w:pPr>
        <w:spacing w:after="120" w:line="276" w:lineRule="auto"/>
        <w:jc w:val="both"/>
        <w:rPr>
          <w:rFonts w:ascii="Times New Roman" w:eastAsiaTheme="minorHAnsi" w:hAnsi="Times New Roman" w:cs="Times New Roman"/>
        </w:rPr>
      </w:pPr>
      <w:r w:rsidRPr="005948DE">
        <w:rPr>
          <w:rFonts w:ascii="Times New Roman" w:eastAsia="Times New Roman" w:hAnsi="Times New Roman" w:cs="Times New Roman"/>
        </w:rPr>
        <w:t xml:space="preserve">The PIU </w:t>
      </w:r>
      <w:r w:rsidR="00666A9F" w:rsidRPr="005948DE">
        <w:rPr>
          <w:rFonts w:ascii="Times New Roman" w:eastAsia="Times New Roman" w:hAnsi="Times New Roman" w:cs="Times New Roman"/>
        </w:rPr>
        <w:t>will be</w:t>
      </w:r>
      <w:r w:rsidRPr="005948DE">
        <w:rPr>
          <w:rFonts w:ascii="Times New Roman" w:eastAsia="Times New Roman" w:hAnsi="Times New Roman" w:cs="Times New Roman"/>
        </w:rPr>
        <w:t xml:space="preserve"> in charge of </w:t>
      </w:r>
      <w:r w:rsidRPr="005948DE">
        <w:rPr>
          <w:rFonts w:ascii="Times New Roman" w:eastAsiaTheme="minorHAnsi" w:hAnsi="Times New Roman" w:cs="Times New Roman"/>
        </w:rPr>
        <w:t>overall management of the Project and implementation of all activities, except infrastructure investments</w:t>
      </w:r>
      <w:r w:rsidR="00666A9F" w:rsidRPr="005948DE">
        <w:rPr>
          <w:rFonts w:ascii="Times New Roman" w:eastAsiaTheme="minorHAnsi" w:hAnsi="Times New Roman" w:cs="Times New Roman"/>
        </w:rPr>
        <w:t xml:space="preserve"> for which the LSGs will assume responsibilities strengthened by the capacity building efforts of the Project</w:t>
      </w:r>
      <w:r w:rsidRPr="005948DE">
        <w:rPr>
          <w:rFonts w:ascii="Times New Roman" w:eastAsiaTheme="minorHAnsi" w:hAnsi="Times New Roman" w:cs="Times New Roman"/>
        </w:rPr>
        <w:t xml:space="preserve">. </w:t>
      </w:r>
      <w:r w:rsidRPr="005948DE">
        <w:rPr>
          <w:rFonts w:ascii="Times New Roman" w:hAnsi="Times New Roman" w:cs="Times New Roman"/>
        </w:rPr>
        <w:t>The PIU will provide f</w:t>
      </w:r>
      <w:r w:rsidRPr="005948DE">
        <w:rPr>
          <w:rFonts w:ascii="Times New Roman" w:eastAsiaTheme="minorHAnsi" w:hAnsi="Times New Roman" w:cs="Times New Roman"/>
        </w:rPr>
        <w:t xml:space="preserve">ull technical support and guidance to the LSGs in selecting, preparing, reviewing, supervising, and managing </w:t>
      </w:r>
      <w:r w:rsidRPr="005948DE">
        <w:rPr>
          <w:rFonts w:ascii="Times New Roman" w:hAnsi="Times New Roman" w:cs="Times New Roman"/>
        </w:rPr>
        <w:t xml:space="preserve">infrastructure </w:t>
      </w:r>
      <w:r w:rsidRPr="005948DE">
        <w:rPr>
          <w:rFonts w:ascii="Times New Roman" w:eastAsiaTheme="minorHAnsi" w:hAnsi="Times New Roman" w:cs="Times New Roman"/>
        </w:rPr>
        <w:t>investments.</w:t>
      </w:r>
      <w:r w:rsidR="00055D78" w:rsidRPr="005948DE">
        <w:rPr>
          <w:rFonts w:ascii="Times New Roman" w:hAnsi="Times New Roman" w:cs="Times New Roman"/>
          <w:color w:val="000000" w:themeColor="text1"/>
        </w:rPr>
        <w:t xml:space="preserve"> </w:t>
      </w:r>
      <w:r w:rsidRPr="005948DE">
        <w:rPr>
          <w:rFonts w:ascii="Times New Roman" w:eastAsiaTheme="minorHAnsi" w:hAnsi="Times New Roman" w:cs="Times New Roman"/>
        </w:rPr>
        <w:t xml:space="preserve">The PIU will screen the submitted </w:t>
      </w:r>
      <w:r w:rsidR="00F06A2A">
        <w:rPr>
          <w:rFonts w:ascii="Times New Roman" w:eastAsiaTheme="minorHAnsi" w:hAnsi="Times New Roman" w:cs="Times New Roman"/>
        </w:rPr>
        <w:t xml:space="preserve">LSGs’ proposals for </w:t>
      </w:r>
      <w:r w:rsidRPr="005948DE">
        <w:rPr>
          <w:rFonts w:ascii="Times New Roman" w:eastAsiaTheme="minorHAnsi" w:hAnsi="Times New Roman" w:cs="Times New Roman"/>
        </w:rPr>
        <w:t xml:space="preserve">infrastructure investments against eligibility criteria (both technical and E&amp;S). Following the screening the PIU will </w:t>
      </w:r>
      <w:r w:rsidRPr="005948DE">
        <w:rPr>
          <w:rFonts w:ascii="Times New Roman" w:hAnsi="Times New Roman" w:cs="Times New Roman"/>
        </w:rPr>
        <w:t>verify</w:t>
      </w:r>
      <w:r w:rsidRPr="005948DE">
        <w:rPr>
          <w:rFonts w:ascii="Times New Roman" w:eastAsiaTheme="minorHAnsi" w:hAnsi="Times New Roman" w:cs="Times New Roman"/>
        </w:rPr>
        <w:t xml:space="preserve"> the </w:t>
      </w:r>
      <w:r w:rsidRPr="005948DE">
        <w:rPr>
          <w:rFonts w:ascii="Times New Roman" w:hAnsi="Times New Roman" w:cs="Times New Roman"/>
        </w:rPr>
        <w:t>eligibility a</w:t>
      </w:r>
      <w:r w:rsidRPr="005948DE">
        <w:rPr>
          <w:rFonts w:ascii="Times New Roman" w:eastAsiaTheme="minorHAnsi" w:hAnsi="Times New Roman" w:cs="Times New Roman"/>
        </w:rPr>
        <w:t>nd</w:t>
      </w:r>
      <w:r w:rsidRPr="005948DE">
        <w:rPr>
          <w:rFonts w:ascii="Times New Roman" w:hAnsi="Times New Roman" w:cs="Times New Roman"/>
        </w:rPr>
        <w:t xml:space="preserve"> </w:t>
      </w:r>
      <w:r w:rsidRPr="005948DE">
        <w:rPr>
          <w:rFonts w:ascii="Times New Roman" w:eastAsiaTheme="minorHAnsi" w:hAnsi="Times New Roman" w:cs="Times New Roman"/>
        </w:rPr>
        <w:t xml:space="preserve">compliance and will formally approve submitted </w:t>
      </w:r>
      <w:r w:rsidR="00230712" w:rsidRPr="005948DE">
        <w:rPr>
          <w:rFonts w:ascii="Times New Roman" w:eastAsiaTheme="minorHAnsi" w:hAnsi="Times New Roman" w:cs="Times New Roman"/>
        </w:rPr>
        <w:t xml:space="preserve">infrastructure investment </w:t>
      </w:r>
      <w:r w:rsidRPr="005948DE">
        <w:rPr>
          <w:rFonts w:ascii="Times New Roman" w:eastAsiaTheme="minorHAnsi" w:hAnsi="Times New Roman" w:cs="Times New Roman"/>
        </w:rPr>
        <w:t xml:space="preserve">projects and their design for financing, and notify the MCTI that </w:t>
      </w:r>
      <w:r w:rsidR="00AE57BD" w:rsidRPr="005948DE">
        <w:rPr>
          <w:rFonts w:ascii="Times New Roman" w:eastAsiaTheme="minorHAnsi" w:hAnsi="Times New Roman" w:cs="Times New Roman"/>
        </w:rPr>
        <w:t xml:space="preserve">relevant </w:t>
      </w:r>
      <w:r w:rsidR="00DA08FD" w:rsidRPr="005948DE">
        <w:rPr>
          <w:rFonts w:ascii="Times New Roman" w:eastAsiaTheme="minorHAnsi" w:hAnsi="Times New Roman" w:cs="Times New Roman"/>
        </w:rPr>
        <w:t>FA</w:t>
      </w:r>
      <w:r w:rsidRPr="005948DE">
        <w:rPr>
          <w:rFonts w:ascii="Times New Roman" w:eastAsiaTheme="minorHAnsi" w:hAnsi="Times New Roman" w:cs="Times New Roman"/>
        </w:rPr>
        <w:t xml:space="preserve"> and </w:t>
      </w:r>
      <w:r w:rsidR="006913CC" w:rsidRPr="005948DE">
        <w:rPr>
          <w:rFonts w:ascii="Times New Roman" w:eastAsiaTheme="minorHAnsi" w:hAnsi="Times New Roman" w:cs="Times New Roman"/>
        </w:rPr>
        <w:t>GA</w:t>
      </w:r>
      <w:r w:rsidR="007D4F2D" w:rsidRPr="005948DE">
        <w:rPr>
          <w:rFonts w:ascii="Times New Roman" w:eastAsiaTheme="minorHAnsi" w:hAnsi="Times New Roman" w:cs="Times New Roman"/>
        </w:rPr>
        <w:t xml:space="preserve"> </w:t>
      </w:r>
      <w:r w:rsidRPr="005948DE">
        <w:rPr>
          <w:rFonts w:ascii="Times New Roman" w:eastAsiaTheme="minorHAnsi" w:hAnsi="Times New Roman" w:cs="Times New Roman"/>
        </w:rPr>
        <w:t xml:space="preserve">can be concluded. </w:t>
      </w:r>
    </w:p>
    <w:p w14:paraId="034FAA81" w14:textId="54FC32BC" w:rsidR="00947BB3" w:rsidRPr="005948DE" w:rsidRDefault="00947BB3"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establishment of the PIU is supported by </w:t>
      </w:r>
      <w:r w:rsidR="0054357E">
        <w:rPr>
          <w:rFonts w:ascii="Times New Roman" w:hAnsi="Times New Roman" w:cs="Times New Roman"/>
        </w:rPr>
        <w:t>the L</w:t>
      </w:r>
      <w:r w:rsidRPr="005948DE">
        <w:rPr>
          <w:rFonts w:ascii="Times New Roman" w:hAnsi="Times New Roman" w:cs="Times New Roman"/>
        </w:rPr>
        <w:t xml:space="preserve">oan </w:t>
      </w:r>
      <w:r w:rsidR="009C3B24" w:rsidRPr="005948DE">
        <w:rPr>
          <w:rFonts w:ascii="Times New Roman" w:hAnsi="Times New Roman" w:cs="Times New Roman"/>
        </w:rPr>
        <w:t>funds</w:t>
      </w:r>
      <w:r w:rsidRPr="005948DE">
        <w:rPr>
          <w:rFonts w:ascii="Times New Roman" w:hAnsi="Times New Roman" w:cs="Times New Roman"/>
        </w:rPr>
        <w:t xml:space="preserve"> and </w:t>
      </w:r>
      <w:r w:rsidR="00F06A2A">
        <w:rPr>
          <w:rFonts w:ascii="Times New Roman" w:hAnsi="Times New Roman" w:cs="Times New Roman"/>
        </w:rPr>
        <w:t xml:space="preserve">the </w:t>
      </w:r>
      <w:r w:rsidRPr="005948DE">
        <w:rPr>
          <w:rFonts w:ascii="Times New Roman" w:hAnsi="Times New Roman" w:cs="Times New Roman"/>
        </w:rPr>
        <w:t xml:space="preserve">PIU staff shall work under respective ToRs acceptable to the Bank and remunerated on the basis of market rates in order to avoid fluctuation of the skilled staff. </w:t>
      </w:r>
      <w:r w:rsidR="00F06A2A">
        <w:rPr>
          <w:rFonts w:ascii="Times New Roman" w:hAnsi="Times New Roman" w:cs="Times New Roman"/>
        </w:rPr>
        <w:t xml:space="preserve">The </w:t>
      </w:r>
      <w:r w:rsidRPr="005948DE">
        <w:rPr>
          <w:rFonts w:ascii="Times New Roman" w:hAnsi="Times New Roman" w:cs="Times New Roman"/>
        </w:rPr>
        <w:t>PIU staff shall enter into contract</w:t>
      </w:r>
      <w:r w:rsidR="00CF4F5E" w:rsidRPr="005948DE">
        <w:rPr>
          <w:rFonts w:ascii="Times New Roman" w:hAnsi="Times New Roman" w:cs="Times New Roman"/>
        </w:rPr>
        <w:t>s</w:t>
      </w:r>
      <w:r w:rsidRPr="005948DE">
        <w:rPr>
          <w:rFonts w:ascii="Times New Roman" w:hAnsi="Times New Roman" w:cs="Times New Roman"/>
        </w:rPr>
        <w:t xml:space="preserve"> with the MCTI using the standard </w:t>
      </w:r>
      <w:r w:rsidR="00F06A2A">
        <w:rPr>
          <w:rFonts w:ascii="Times New Roman" w:hAnsi="Times New Roman" w:cs="Times New Roman"/>
        </w:rPr>
        <w:t>Bank</w:t>
      </w:r>
      <w:r w:rsidR="00F06A2A" w:rsidRPr="005948DE">
        <w:rPr>
          <w:rFonts w:ascii="Times New Roman" w:hAnsi="Times New Roman" w:cs="Times New Roman"/>
        </w:rPr>
        <w:t xml:space="preserve"> </w:t>
      </w:r>
      <w:r w:rsidRPr="005948DE">
        <w:rPr>
          <w:rFonts w:ascii="Times New Roman" w:hAnsi="Times New Roman" w:cs="Times New Roman"/>
        </w:rPr>
        <w:t xml:space="preserve">time-based form of contract, </w:t>
      </w:r>
      <w:r w:rsidR="00CF4F5E" w:rsidRPr="005948DE">
        <w:rPr>
          <w:rFonts w:ascii="Times New Roman" w:hAnsi="Times New Roman" w:cs="Times New Roman"/>
        </w:rPr>
        <w:t xml:space="preserve">which will in details describe the </w:t>
      </w:r>
      <w:r w:rsidRPr="005948DE">
        <w:rPr>
          <w:rFonts w:ascii="Times New Roman" w:hAnsi="Times New Roman" w:cs="Times New Roman"/>
        </w:rPr>
        <w:t>scope of work for each PIU consultant, rights and responsibilities for both contractual parties</w:t>
      </w:r>
      <w:r w:rsidR="00F06A2A">
        <w:rPr>
          <w:rFonts w:ascii="Times New Roman" w:hAnsi="Times New Roman" w:cs="Times New Roman"/>
        </w:rPr>
        <w:t>, and the obligation that</w:t>
      </w:r>
      <w:r w:rsidRPr="005948DE">
        <w:rPr>
          <w:rFonts w:ascii="Times New Roman" w:hAnsi="Times New Roman" w:cs="Times New Roman"/>
        </w:rPr>
        <w:t xml:space="preserve"> </w:t>
      </w:r>
      <w:r w:rsidR="00F06A2A">
        <w:rPr>
          <w:rFonts w:ascii="Times New Roman" w:hAnsi="Times New Roman" w:cs="Times New Roman"/>
        </w:rPr>
        <w:t>b</w:t>
      </w:r>
      <w:r w:rsidRPr="005948DE">
        <w:rPr>
          <w:rFonts w:ascii="Times New Roman" w:hAnsi="Times New Roman" w:cs="Times New Roman"/>
        </w:rPr>
        <w:t xml:space="preserve">oth contractual parties must respect and behave accordingly while conducting </w:t>
      </w:r>
      <w:r w:rsidR="00E27FDF">
        <w:rPr>
          <w:rFonts w:ascii="Times New Roman" w:hAnsi="Times New Roman" w:cs="Times New Roman"/>
        </w:rPr>
        <w:t xml:space="preserve">the </w:t>
      </w:r>
      <w:r w:rsidRPr="005948DE">
        <w:rPr>
          <w:rFonts w:ascii="Times New Roman" w:hAnsi="Times New Roman" w:cs="Times New Roman"/>
        </w:rPr>
        <w:t xml:space="preserve">Project activities and tasks. </w:t>
      </w:r>
      <w:r w:rsidR="00CF4F5E" w:rsidRPr="005948DE">
        <w:rPr>
          <w:rFonts w:ascii="Times New Roman" w:hAnsi="Times New Roman" w:cs="Times New Roman"/>
        </w:rPr>
        <w:t>Contracts are subject</w:t>
      </w:r>
      <w:r w:rsidR="003D4691" w:rsidRPr="005948DE">
        <w:rPr>
          <w:rFonts w:ascii="Times New Roman" w:hAnsi="Times New Roman" w:cs="Times New Roman"/>
        </w:rPr>
        <w:t xml:space="preserve"> to </w:t>
      </w:r>
      <w:r w:rsidR="00F06A2A">
        <w:rPr>
          <w:rFonts w:ascii="Times New Roman" w:hAnsi="Times New Roman" w:cs="Times New Roman"/>
        </w:rPr>
        <w:t>the Bank’s</w:t>
      </w:r>
      <w:r w:rsidR="00F06A2A" w:rsidRPr="005948DE">
        <w:rPr>
          <w:rFonts w:ascii="Times New Roman" w:hAnsi="Times New Roman" w:cs="Times New Roman"/>
        </w:rPr>
        <w:t xml:space="preserve"> </w:t>
      </w:r>
      <w:r w:rsidR="003D4691" w:rsidRPr="005948DE">
        <w:rPr>
          <w:rFonts w:ascii="Times New Roman" w:hAnsi="Times New Roman" w:cs="Times New Roman"/>
        </w:rPr>
        <w:t>review and approval.</w:t>
      </w:r>
    </w:p>
    <w:p w14:paraId="6935297F" w14:textId="103A1418" w:rsidR="00FB6E78" w:rsidRPr="005948DE" w:rsidRDefault="000166FB" w:rsidP="005948DE">
      <w:pPr>
        <w:spacing w:after="120" w:line="276" w:lineRule="auto"/>
        <w:jc w:val="both"/>
        <w:rPr>
          <w:rFonts w:ascii="Times New Roman" w:hAnsi="Times New Roman" w:cs="Times New Roman"/>
          <w:color w:val="7030A0"/>
        </w:rPr>
      </w:pPr>
      <w:r w:rsidRPr="005948DE">
        <w:rPr>
          <w:rFonts w:ascii="Times New Roman" w:hAnsi="Times New Roman" w:cs="Times New Roman"/>
        </w:rPr>
        <w:t xml:space="preserve">To enhance the capacity </w:t>
      </w:r>
      <w:r w:rsidR="00FB6E78" w:rsidRPr="005948DE">
        <w:rPr>
          <w:rFonts w:ascii="Times New Roman" w:hAnsi="Times New Roman" w:cs="Times New Roman"/>
        </w:rPr>
        <w:t xml:space="preserve">specifically to cover </w:t>
      </w:r>
      <w:r w:rsidR="0054357E">
        <w:rPr>
          <w:rFonts w:ascii="Times New Roman" w:hAnsi="Times New Roman" w:cs="Times New Roman"/>
        </w:rPr>
        <w:t xml:space="preserve">the </w:t>
      </w:r>
      <w:r w:rsidR="00CD1EDD" w:rsidRPr="005948DE">
        <w:rPr>
          <w:rFonts w:ascii="Times New Roman" w:hAnsi="Times New Roman" w:cs="Times New Roman"/>
        </w:rPr>
        <w:t xml:space="preserve">Project </w:t>
      </w:r>
      <w:r w:rsidR="00FB6E78" w:rsidRPr="005948DE">
        <w:rPr>
          <w:rFonts w:ascii="Times New Roman" w:hAnsi="Times New Roman" w:cs="Times New Roman"/>
        </w:rPr>
        <w:t>needs</w:t>
      </w:r>
      <w:r w:rsidR="00AE57BD" w:rsidRPr="005948DE">
        <w:rPr>
          <w:rFonts w:ascii="Times New Roman" w:hAnsi="Times New Roman" w:cs="Times New Roman"/>
        </w:rPr>
        <w:t>, the capacity of the PIU shall be strengthen through filling the following positions</w:t>
      </w:r>
      <w:r w:rsidR="00FB6E78" w:rsidRPr="005948DE">
        <w:rPr>
          <w:rFonts w:ascii="Times New Roman" w:hAnsi="Times New Roman" w:cs="Times New Roman"/>
          <w:color w:val="7030A0"/>
        </w:rPr>
        <w:t>:</w:t>
      </w:r>
    </w:p>
    <w:p w14:paraId="6D2A957A" w14:textId="606F6AFA" w:rsidR="00CD1EDD" w:rsidRPr="005948DE" w:rsidRDefault="008F3C50"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Project Manager for the</w:t>
      </w:r>
      <w:r w:rsidR="00CD1EDD" w:rsidRPr="005948DE">
        <w:rPr>
          <w:rFonts w:ascii="Times New Roman" w:eastAsia="Calibri" w:hAnsi="Times New Roman" w:cs="Times New Roman"/>
        </w:rPr>
        <w:t xml:space="preserve"> PIU</w:t>
      </w:r>
      <w:r w:rsidR="0054357E">
        <w:rPr>
          <w:rFonts w:ascii="Times New Roman" w:eastAsia="Calibri" w:hAnsi="Times New Roman" w:cs="Times New Roman"/>
        </w:rPr>
        <w:t xml:space="preserve"> (Head of the PIU)</w:t>
      </w:r>
      <w:r w:rsidR="00AE57BD" w:rsidRPr="005948DE">
        <w:rPr>
          <w:rFonts w:ascii="Times New Roman" w:eastAsia="Calibri" w:hAnsi="Times New Roman" w:cs="Times New Roman"/>
        </w:rPr>
        <w:t>,</w:t>
      </w:r>
    </w:p>
    <w:p w14:paraId="15B56E05" w14:textId="6A333F6B"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Deputy </w:t>
      </w:r>
      <w:r w:rsidR="00F06A2A">
        <w:rPr>
          <w:rFonts w:ascii="Times New Roman" w:eastAsia="Calibri" w:hAnsi="Times New Roman" w:cs="Times New Roman"/>
        </w:rPr>
        <w:t>Project M</w:t>
      </w:r>
      <w:r w:rsidR="008F3C50" w:rsidRPr="005948DE">
        <w:rPr>
          <w:rFonts w:ascii="Times New Roman" w:eastAsia="Calibri" w:hAnsi="Times New Roman" w:cs="Times New Roman"/>
        </w:rPr>
        <w:t>anager for the</w:t>
      </w:r>
      <w:r w:rsidRPr="005948DE">
        <w:rPr>
          <w:rFonts w:ascii="Times New Roman" w:eastAsia="Calibri" w:hAnsi="Times New Roman" w:cs="Times New Roman"/>
        </w:rPr>
        <w:t xml:space="preserve"> PIU</w:t>
      </w:r>
      <w:r w:rsidR="00AE57BD" w:rsidRPr="005948DE">
        <w:rPr>
          <w:rFonts w:ascii="Times New Roman" w:eastAsia="Calibri" w:hAnsi="Times New Roman" w:cs="Times New Roman"/>
        </w:rPr>
        <w:t>,</w:t>
      </w:r>
    </w:p>
    <w:p w14:paraId="6C4A83AA" w14:textId="4B14E601"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Administrative </w:t>
      </w:r>
      <w:r w:rsidR="00F06A2A">
        <w:rPr>
          <w:rFonts w:ascii="Times New Roman" w:eastAsia="Calibri" w:hAnsi="Times New Roman" w:cs="Times New Roman"/>
        </w:rPr>
        <w:t>a</w:t>
      </w:r>
      <w:r w:rsidR="00F06A2A" w:rsidRPr="005948DE">
        <w:rPr>
          <w:rFonts w:ascii="Times New Roman" w:eastAsia="Calibri" w:hAnsi="Times New Roman" w:cs="Times New Roman"/>
        </w:rPr>
        <w:t>ssistant</w:t>
      </w:r>
      <w:r w:rsidR="00AE57BD" w:rsidRPr="005948DE">
        <w:rPr>
          <w:rFonts w:ascii="Times New Roman" w:eastAsia="Calibri" w:hAnsi="Times New Roman" w:cs="Times New Roman"/>
        </w:rPr>
        <w:t>,</w:t>
      </w:r>
    </w:p>
    <w:p w14:paraId="01AA0666" w14:textId="3AAD560B"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Environmental </w:t>
      </w:r>
      <w:r w:rsidR="00FD6C77" w:rsidRPr="005948DE">
        <w:rPr>
          <w:rFonts w:ascii="Times New Roman" w:eastAsia="Calibri" w:hAnsi="Times New Roman" w:cs="Times New Roman"/>
        </w:rPr>
        <w:t>specialist (</w:t>
      </w:r>
      <w:r w:rsidRPr="005948DE">
        <w:rPr>
          <w:rFonts w:ascii="Times New Roman" w:eastAsia="Calibri" w:hAnsi="Times New Roman" w:cs="Times New Roman"/>
        </w:rPr>
        <w:t>2</w:t>
      </w:r>
      <w:r w:rsidR="00FD6C77" w:rsidRPr="005948DE">
        <w:rPr>
          <w:rFonts w:ascii="Times New Roman" w:eastAsia="Calibri" w:hAnsi="Times New Roman" w:cs="Times New Roman"/>
        </w:rPr>
        <w:t>)</w:t>
      </w:r>
      <w:r w:rsidR="00AE57BD" w:rsidRPr="005948DE">
        <w:rPr>
          <w:rFonts w:ascii="Times New Roman" w:eastAsia="Calibri" w:hAnsi="Times New Roman" w:cs="Times New Roman"/>
        </w:rPr>
        <w:t>,</w:t>
      </w:r>
    </w:p>
    <w:p w14:paraId="72C4316C" w14:textId="798CAC1A"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Social safeguard </w:t>
      </w:r>
      <w:r w:rsidR="00FD6C77" w:rsidRPr="005948DE">
        <w:rPr>
          <w:rFonts w:ascii="Times New Roman" w:eastAsia="Calibri" w:hAnsi="Times New Roman" w:cs="Times New Roman"/>
        </w:rPr>
        <w:t>and citizen</w:t>
      </w:r>
      <w:r w:rsidRPr="005948DE">
        <w:rPr>
          <w:rFonts w:ascii="Times New Roman" w:eastAsia="Calibri" w:hAnsi="Times New Roman" w:cs="Times New Roman"/>
        </w:rPr>
        <w:t xml:space="preserve"> engagement </w:t>
      </w:r>
      <w:r w:rsidR="00AE57BD" w:rsidRPr="005948DE">
        <w:rPr>
          <w:rFonts w:ascii="Times New Roman" w:eastAsia="Calibri" w:hAnsi="Times New Roman" w:cs="Times New Roman"/>
        </w:rPr>
        <w:t>specialist,</w:t>
      </w:r>
    </w:p>
    <w:p w14:paraId="24B34A32" w14:textId="7BC8910C" w:rsidR="00321D30" w:rsidRPr="005948DE" w:rsidRDefault="00321D30" w:rsidP="006F115D">
      <w:pPr>
        <w:pStyle w:val="ListParagraph"/>
        <w:numPr>
          <w:ilvl w:val="0"/>
          <w:numId w:val="285"/>
        </w:numPr>
        <w:spacing w:after="120" w:line="276" w:lineRule="auto"/>
        <w:ind w:left="425" w:hanging="357"/>
        <w:jc w:val="both"/>
        <w:rPr>
          <w:rFonts w:ascii="Times New Roman" w:eastAsia="Calibri" w:hAnsi="Times New Roman" w:cs="Times New Roman"/>
        </w:rPr>
      </w:pPr>
      <w:r w:rsidRPr="005948DE">
        <w:rPr>
          <w:rFonts w:ascii="Times New Roman" w:eastAsia="Calibri" w:hAnsi="Times New Roman" w:cs="Times New Roman"/>
        </w:rPr>
        <w:t xml:space="preserve">Procurement capacity development </w:t>
      </w:r>
      <w:r w:rsidR="00F06A2A">
        <w:rPr>
          <w:rFonts w:ascii="Times New Roman" w:eastAsia="Calibri" w:hAnsi="Times New Roman" w:cs="Times New Roman"/>
        </w:rPr>
        <w:t>c</w:t>
      </w:r>
      <w:r w:rsidR="00F06A2A" w:rsidRPr="005948DE">
        <w:rPr>
          <w:rFonts w:ascii="Times New Roman" w:eastAsia="Calibri" w:hAnsi="Times New Roman" w:cs="Times New Roman"/>
        </w:rPr>
        <w:t>onsultant</w:t>
      </w:r>
      <w:r w:rsidRPr="005948DE">
        <w:rPr>
          <w:rFonts w:ascii="Times New Roman" w:eastAsia="Calibri" w:hAnsi="Times New Roman" w:cs="Times New Roman"/>
        </w:rPr>
        <w:t>,</w:t>
      </w:r>
    </w:p>
    <w:p w14:paraId="6BA8E92E" w14:textId="4BF85FDE"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Human development specialist</w:t>
      </w:r>
      <w:r w:rsidR="00AE57BD" w:rsidRPr="005948DE">
        <w:rPr>
          <w:rFonts w:ascii="Times New Roman" w:eastAsia="Calibri" w:hAnsi="Times New Roman" w:cs="Times New Roman"/>
        </w:rPr>
        <w:t>,</w:t>
      </w:r>
    </w:p>
    <w:p w14:paraId="4A067322" w14:textId="12608A53"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Urban </w:t>
      </w:r>
      <w:r w:rsidR="0054357E">
        <w:rPr>
          <w:rFonts w:ascii="Times New Roman" w:eastAsia="Calibri" w:hAnsi="Times New Roman" w:cs="Times New Roman"/>
        </w:rPr>
        <w:t>m</w:t>
      </w:r>
      <w:r w:rsidR="0054357E" w:rsidRPr="005948DE">
        <w:rPr>
          <w:rFonts w:ascii="Times New Roman" w:eastAsia="Calibri" w:hAnsi="Times New Roman" w:cs="Times New Roman"/>
        </w:rPr>
        <w:t xml:space="preserve">obility </w:t>
      </w:r>
      <w:r w:rsidRPr="005948DE">
        <w:rPr>
          <w:rFonts w:ascii="Times New Roman" w:eastAsia="Calibri" w:hAnsi="Times New Roman" w:cs="Times New Roman"/>
        </w:rPr>
        <w:t xml:space="preserve">experts / transport planners/traffic engineer </w:t>
      </w:r>
      <w:r w:rsidR="00FD6C77" w:rsidRPr="005948DE">
        <w:rPr>
          <w:rFonts w:ascii="Times New Roman" w:eastAsia="Calibri" w:hAnsi="Times New Roman" w:cs="Times New Roman"/>
        </w:rPr>
        <w:t>(4)</w:t>
      </w:r>
      <w:r w:rsidR="00AE57BD" w:rsidRPr="005948DE">
        <w:rPr>
          <w:rFonts w:ascii="Times New Roman" w:eastAsia="Calibri" w:hAnsi="Times New Roman" w:cs="Times New Roman"/>
        </w:rPr>
        <w:t>,</w:t>
      </w:r>
    </w:p>
    <w:p w14:paraId="747BCF11" w14:textId="3BBE8473" w:rsidR="00CD1EDD" w:rsidRPr="005948DE" w:rsidRDefault="00FD6C77"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R</w:t>
      </w:r>
      <w:r w:rsidR="00CD1EDD" w:rsidRPr="005948DE">
        <w:rPr>
          <w:rFonts w:ascii="Times New Roman" w:eastAsia="Calibri" w:hAnsi="Times New Roman" w:cs="Times New Roman"/>
        </w:rPr>
        <w:t>oad safety expert</w:t>
      </w:r>
      <w:r w:rsidR="00AE57BD" w:rsidRPr="005948DE">
        <w:rPr>
          <w:rFonts w:ascii="Times New Roman" w:eastAsia="Calibri" w:hAnsi="Times New Roman" w:cs="Times New Roman"/>
        </w:rPr>
        <w:t>,</w:t>
      </w:r>
      <w:r w:rsidR="00CD1EDD" w:rsidRPr="005948DE">
        <w:rPr>
          <w:rFonts w:ascii="Times New Roman" w:eastAsia="Calibri" w:hAnsi="Times New Roman" w:cs="Times New Roman"/>
        </w:rPr>
        <w:t xml:space="preserve"> </w:t>
      </w:r>
    </w:p>
    <w:p w14:paraId="4CC3B8B6" w14:textId="1CA74B2D"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Civil engineer </w:t>
      </w:r>
      <w:r w:rsidR="00FD6C77" w:rsidRPr="005948DE">
        <w:rPr>
          <w:rFonts w:ascii="Times New Roman" w:eastAsia="Calibri" w:hAnsi="Times New Roman" w:cs="Times New Roman"/>
        </w:rPr>
        <w:t>(</w:t>
      </w:r>
      <w:r w:rsidRPr="005948DE">
        <w:rPr>
          <w:rFonts w:ascii="Times New Roman" w:eastAsia="Calibri" w:hAnsi="Times New Roman" w:cs="Times New Roman"/>
        </w:rPr>
        <w:t>5</w:t>
      </w:r>
      <w:r w:rsidR="00FD6C77" w:rsidRPr="005948DE">
        <w:rPr>
          <w:rFonts w:ascii="Times New Roman" w:eastAsia="Calibri" w:hAnsi="Times New Roman" w:cs="Times New Roman"/>
        </w:rPr>
        <w:t>)</w:t>
      </w:r>
      <w:r w:rsidR="00AE57BD" w:rsidRPr="005948DE">
        <w:rPr>
          <w:rFonts w:ascii="Times New Roman" w:eastAsia="Calibri" w:hAnsi="Times New Roman" w:cs="Times New Roman"/>
        </w:rPr>
        <w:t>,</w:t>
      </w:r>
      <w:r w:rsidRPr="005948DE">
        <w:rPr>
          <w:rFonts w:ascii="Times New Roman" w:eastAsia="Calibri" w:hAnsi="Times New Roman" w:cs="Times New Roman"/>
        </w:rPr>
        <w:t xml:space="preserve"> </w:t>
      </w:r>
    </w:p>
    <w:p w14:paraId="0B91E993" w14:textId="76AA360B"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Transport economist</w:t>
      </w:r>
      <w:r w:rsidR="00AE57BD" w:rsidRPr="005948DE">
        <w:rPr>
          <w:rFonts w:ascii="Times New Roman" w:eastAsia="Calibri" w:hAnsi="Times New Roman" w:cs="Times New Roman"/>
        </w:rPr>
        <w:t>,</w:t>
      </w:r>
      <w:r w:rsidRPr="005948DE">
        <w:rPr>
          <w:rFonts w:ascii="Times New Roman" w:eastAsia="Calibri" w:hAnsi="Times New Roman" w:cs="Times New Roman"/>
        </w:rPr>
        <w:t xml:space="preserve"> </w:t>
      </w:r>
    </w:p>
    <w:p w14:paraId="77BA5C81" w14:textId="7AE84120"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Urban development specialist </w:t>
      </w:r>
      <w:r w:rsidR="00FD6C77" w:rsidRPr="005948DE">
        <w:rPr>
          <w:rFonts w:ascii="Times New Roman" w:eastAsia="Calibri" w:hAnsi="Times New Roman" w:cs="Times New Roman"/>
        </w:rPr>
        <w:t>(</w:t>
      </w:r>
      <w:r w:rsidRPr="005948DE">
        <w:rPr>
          <w:rFonts w:ascii="Times New Roman" w:eastAsia="Calibri" w:hAnsi="Times New Roman" w:cs="Times New Roman"/>
        </w:rPr>
        <w:t>3</w:t>
      </w:r>
      <w:r w:rsidR="00FD6C77" w:rsidRPr="005948DE">
        <w:rPr>
          <w:rFonts w:ascii="Times New Roman" w:eastAsia="Calibri" w:hAnsi="Times New Roman" w:cs="Times New Roman"/>
        </w:rPr>
        <w:t>)</w:t>
      </w:r>
      <w:r w:rsidR="00AE57BD" w:rsidRPr="005948DE">
        <w:rPr>
          <w:rFonts w:ascii="Times New Roman" w:eastAsia="Calibri" w:hAnsi="Times New Roman" w:cs="Times New Roman"/>
        </w:rPr>
        <w:t>,</w:t>
      </w:r>
    </w:p>
    <w:p w14:paraId="437BB23B" w14:textId="3B174FA7" w:rsidR="00CD1EDD" w:rsidRPr="005948DE" w:rsidRDefault="00FD6C77"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D</w:t>
      </w:r>
      <w:r w:rsidR="00CD1EDD" w:rsidRPr="005948DE">
        <w:rPr>
          <w:rFonts w:ascii="Times New Roman" w:eastAsia="Calibri" w:hAnsi="Times New Roman" w:cs="Times New Roman"/>
        </w:rPr>
        <w:t>isaster risk management specialist</w:t>
      </w:r>
      <w:r w:rsidR="00AE57BD" w:rsidRPr="005948DE">
        <w:rPr>
          <w:rFonts w:ascii="Times New Roman" w:eastAsia="Calibri" w:hAnsi="Times New Roman" w:cs="Times New Roman"/>
        </w:rPr>
        <w:t>,</w:t>
      </w:r>
      <w:r w:rsidR="00CD1EDD" w:rsidRPr="005948DE">
        <w:rPr>
          <w:rFonts w:ascii="Times New Roman" w:eastAsia="Calibri" w:hAnsi="Times New Roman" w:cs="Times New Roman"/>
        </w:rPr>
        <w:t xml:space="preserve"> </w:t>
      </w:r>
    </w:p>
    <w:p w14:paraId="7B715487" w14:textId="08578A38"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Institutional development specialist / policy specialist</w:t>
      </w:r>
      <w:r w:rsidR="00AE57BD" w:rsidRPr="005948DE">
        <w:rPr>
          <w:rFonts w:ascii="Times New Roman" w:eastAsia="Calibri" w:hAnsi="Times New Roman" w:cs="Times New Roman"/>
        </w:rPr>
        <w:t>,</w:t>
      </w:r>
      <w:r w:rsidRPr="005948DE">
        <w:rPr>
          <w:rFonts w:ascii="Times New Roman" w:eastAsia="Calibri" w:hAnsi="Times New Roman" w:cs="Times New Roman"/>
        </w:rPr>
        <w:t xml:space="preserve"> </w:t>
      </w:r>
    </w:p>
    <w:p w14:paraId="45C4A9BE" w14:textId="3F5BF1E1" w:rsidR="00CD1EDD" w:rsidRPr="005948DE" w:rsidRDefault="00FD6C77"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Investment financing</w:t>
      </w:r>
      <w:r w:rsidR="00CD1EDD" w:rsidRPr="005948DE">
        <w:rPr>
          <w:rFonts w:ascii="Times New Roman" w:eastAsia="Calibri" w:hAnsi="Times New Roman" w:cs="Times New Roman"/>
        </w:rPr>
        <w:t xml:space="preserve"> expert, fund raising, fund</w:t>
      </w:r>
      <w:r w:rsidR="00F06A2A">
        <w:rPr>
          <w:rFonts w:ascii="Times New Roman" w:eastAsia="Calibri" w:hAnsi="Times New Roman" w:cs="Times New Roman"/>
        </w:rPr>
        <w:t>ing</w:t>
      </w:r>
      <w:r w:rsidR="00CD1EDD" w:rsidRPr="005948DE">
        <w:rPr>
          <w:rFonts w:ascii="Times New Roman" w:eastAsia="Calibri" w:hAnsi="Times New Roman" w:cs="Times New Roman"/>
        </w:rPr>
        <w:t xml:space="preserve"> expert</w:t>
      </w:r>
      <w:r w:rsidR="00AE57BD" w:rsidRPr="005948DE">
        <w:rPr>
          <w:rFonts w:ascii="Times New Roman" w:eastAsia="Calibri" w:hAnsi="Times New Roman" w:cs="Times New Roman"/>
        </w:rPr>
        <w:t>,</w:t>
      </w:r>
    </w:p>
    <w:p w14:paraId="24B0AAAD" w14:textId="58FBB997" w:rsidR="00CD1EDD" w:rsidRPr="005948DE" w:rsidRDefault="00F06A2A" w:rsidP="005948DE">
      <w:pPr>
        <w:pStyle w:val="ListParagraph"/>
        <w:numPr>
          <w:ilvl w:val="0"/>
          <w:numId w:val="285"/>
        </w:numPr>
        <w:spacing w:after="120" w:line="276" w:lineRule="auto"/>
        <w:ind w:left="426"/>
        <w:jc w:val="both"/>
        <w:rPr>
          <w:rFonts w:ascii="Times New Roman" w:eastAsia="Calibri" w:hAnsi="Times New Roman" w:cs="Times New Roman"/>
        </w:rPr>
      </w:pPr>
      <w:r>
        <w:rPr>
          <w:rFonts w:ascii="Times New Roman" w:eastAsia="Calibri" w:hAnsi="Times New Roman" w:cs="Times New Roman"/>
        </w:rPr>
        <w:t>PFM</w:t>
      </w:r>
      <w:r w:rsidR="00CD1EDD" w:rsidRPr="005948DE">
        <w:rPr>
          <w:rFonts w:ascii="Times New Roman" w:eastAsia="Calibri" w:hAnsi="Times New Roman" w:cs="Times New Roman"/>
        </w:rPr>
        <w:t xml:space="preserve"> specialist</w:t>
      </w:r>
      <w:r w:rsidR="00AE57BD" w:rsidRPr="005948DE">
        <w:rPr>
          <w:rFonts w:ascii="Times New Roman" w:eastAsia="Calibri" w:hAnsi="Times New Roman" w:cs="Times New Roman"/>
        </w:rPr>
        <w:t>,</w:t>
      </w:r>
      <w:r w:rsidR="00CD1EDD" w:rsidRPr="005948DE">
        <w:rPr>
          <w:rFonts w:ascii="Times New Roman" w:eastAsia="Calibri" w:hAnsi="Times New Roman" w:cs="Times New Roman"/>
        </w:rPr>
        <w:t xml:space="preserve"> </w:t>
      </w:r>
    </w:p>
    <w:p w14:paraId="289081B8" w14:textId="77998EBF"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Public communications</w:t>
      </w:r>
      <w:r w:rsidR="00F06A2A">
        <w:rPr>
          <w:rFonts w:ascii="Times New Roman" w:eastAsia="Calibri" w:hAnsi="Times New Roman" w:cs="Times New Roman"/>
        </w:rPr>
        <w:t xml:space="preserve"> and</w:t>
      </w:r>
      <w:r w:rsidRPr="005948DE">
        <w:rPr>
          <w:rFonts w:ascii="Times New Roman" w:eastAsia="Calibri" w:hAnsi="Times New Roman" w:cs="Times New Roman"/>
        </w:rPr>
        <w:t xml:space="preserve"> awareness campaigns</w:t>
      </w:r>
      <w:r w:rsidR="00F06A2A">
        <w:rPr>
          <w:rFonts w:ascii="Times New Roman" w:eastAsia="Calibri" w:hAnsi="Times New Roman" w:cs="Times New Roman"/>
        </w:rPr>
        <w:t xml:space="preserve"> specialist,</w:t>
      </w:r>
      <w:r w:rsidRPr="005948DE">
        <w:rPr>
          <w:rFonts w:ascii="Times New Roman" w:eastAsia="Calibri" w:hAnsi="Times New Roman" w:cs="Times New Roman"/>
        </w:rPr>
        <w:t xml:space="preserve"> </w:t>
      </w:r>
    </w:p>
    <w:p w14:paraId="4ACD45A3" w14:textId="5784B813"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IT specialist</w:t>
      </w:r>
      <w:r w:rsidR="00AE57BD" w:rsidRPr="005948DE">
        <w:rPr>
          <w:rFonts w:ascii="Times New Roman" w:eastAsia="Calibri" w:hAnsi="Times New Roman" w:cs="Times New Roman"/>
        </w:rPr>
        <w:t>,</w:t>
      </w:r>
    </w:p>
    <w:p w14:paraId="3FF5573B" w14:textId="59062F72" w:rsidR="00CD1EDD" w:rsidRPr="005948DE" w:rsidRDefault="003C179E" w:rsidP="005948DE">
      <w:pPr>
        <w:pStyle w:val="ListParagraph"/>
        <w:numPr>
          <w:ilvl w:val="0"/>
          <w:numId w:val="285"/>
        </w:numPr>
        <w:spacing w:after="120" w:line="276" w:lineRule="auto"/>
        <w:ind w:left="426"/>
        <w:jc w:val="both"/>
        <w:rPr>
          <w:rFonts w:ascii="Times New Roman" w:eastAsia="Calibri" w:hAnsi="Times New Roman" w:cs="Times New Roman"/>
        </w:rPr>
      </w:pPr>
      <w:r>
        <w:rPr>
          <w:rFonts w:ascii="Times New Roman" w:eastAsia="Calibri" w:hAnsi="Times New Roman" w:cs="Times New Roman"/>
        </w:rPr>
        <w:t>Monitoring and Evaluation (</w:t>
      </w:r>
      <w:r w:rsidR="00CD1EDD" w:rsidRPr="005948DE">
        <w:rPr>
          <w:rFonts w:ascii="Times New Roman" w:eastAsia="Calibri" w:hAnsi="Times New Roman" w:cs="Times New Roman"/>
        </w:rPr>
        <w:t>M&amp;E</w:t>
      </w:r>
      <w:r>
        <w:rPr>
          <w:rFonts w:ascii="Times New Roman" w:eastAsia="Calibri" w:hAnsi="Times New Roman" w:cs="Times New Roman"/>
        </w:rPr>
        <w:t>)</w:t>
      </w:r>
      <w:r w:rsidR="00CD1EDD" w:rsidRPr="005948DE">
        <w:rPr>
          <w:rFonts w:ascii="Times New Roman" w:eastAsia="Calibri" w:hAnsi="Times New Roman" w:cs="Times New Roman"/>
        </w:rPr>
        <w:t xml:space="preserve"> </w:t>
      </w:r>
      <w:r w:rsidR="00F06A2A">
        <w:rPr>
          <w:rFonts w:ascii="Times New Roman" w:eastAsia="Calibri" w:hAnsi="Times New Roman" w:cs="Times New Roman"/>
        </w:rPr>
        <w:t>s</w:t>
      </w:r>
      <w:r w:rsidR="00F06A2A" w:rsidRPr="005948DE">
        <w:rPr>
          <w:rFonts w:ascii="Times New Roman" w:eastAsia="Calibri" w:hAnsi="Times New Roman" w:cs="Times New Roman"/>
        </w:rPr>
        <w:t>pecialist</w:t>
      </w:r>
      <w:r w:rsidR="00AE57BD" w:rsidRPr="005948DE">
        <w:rPr>
          <w:rFonts w:ascii="Times New Roman" w:eastAsia="Calibri" w:hAnsi="Times New Roman" w:cs="Times New Roman"/>
        </w:rPr>
        <w:t>,</w:t>
      </w:r>
    </w:p>
    <w:p w14:paraId="4220442E" w14:textId="6D631044" w:rsidR="00CD1EDD"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Occupational, </w:t>
      </w:r>
      <w:r w:rsidR="00F06A2A">
        <w:rPr>
          <w:rFonts w:ascii="Times New Roman" w:eastAsia="Calibri" w:hAnsi="Times New Roman" w:cs="Times New Roman"/>
        </w:rPr>
        <w:t>h</w:t>
      </w:r>
      <w:r w:rsidR="00F06A2A" w:rsidRPr="005948DE">
        <w:rPr>
          <w:rFonts w:ascii="Times New Roman" w:eastAsia="Calibri" w:hAnsi="Times New Roman" w:cs="Times New Roman"/>
        </w:rPr>
        <w:t xml:space="preserve">ealth </w:t>
      </w:r>
      <w:r w:rsidRPr="005948DE">
        <w:rPr>
          <w:rFonts w:ascii="Times New Roman" w:eastAsia="Calibri" w:hAnsi="Times New Roman" w:cs="Times New Roman"/>
        </w:rPr>
        <w:t xml:space="preserve">and </w:t>
      </w:r>
      <w:r w:rsidR="00F06A2A">
        <w:rPr>
          <w:rFonts w:ascii="Times New Roman" w:eastAsia="Calibri" w:hAnsi="Times New Roman" w:cs="Times New Roman"/>
        </w:rPr>
        <w:t>s</w:t>
      </w:r>
      <w:r w:rsidR="00F06A2A" w:rsidRPr="005948DE">
        <w:rPr>
          <w:rFonts w:ascii="Times New Roman" w:eastAsia="Calibri" w:hAnsi="Times New Roman" w:cs="Times New Roman"/>
        </w:rPr>
        <w:t xml:space="preserve">afety </w:t>
      </w:r>
      <w:r w:rsidRPr="005948DE">
        <w:rPr>
          <w:rFonts w:ascii="Times New Roman" w:eastAsia="Calibri" w:hAnsi="Times New Roman" w:cs="Times New Roman"/>
        </w:rPr>
        <w:t>specialist</w:t>
      </w:r>
      <w:r w:rsidR="00AE57BD" w:rsidRPr="005948DE">
        <w:rPr>
          <w:rFonts w:ascii="Times New Roman" w:eastAsia="Calibri" w:hAnsi="Times New Roman" w:cs="Times New Roman"/>
        </w:rPr>
        <w:t>,</w:t>
      </w:r>
    </w:p>
    <w:p w14:paraId="158E53BE" w14:textId="52B65792" w:rsidR="00FD6C77" w:rsidRPr="005948DE" w:rsidRDefault="00CD1EDD" w:rsidP="005948DE">
      <w:pPr>
        <w:pStyle w:val="ListParagraph"/>
        <w:numPr>
          <w:ilvl w:val="0"/>
          <w:numId w:val="285"/>
        </w:numPr>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CFU staff </w:t>
      </w:r>
      <w:r w:rsidR="00FD6C77" w:rsidRPr="005948DE">
        <w:rPr>
          <w:rFonts w:ascii="Times New Roman" w:eastAsia="Calibri" w:hAnsi="Times New Roman" w:cs="Times New Roman"/>
        </w:rPr>
        <w:t>(</w:t>
      </w:r>
      <w:r w:rsidRPr="005948DE">
        <w:rPr>
          <w:rFonts w:ascii="Times New Roman" w:eastAsia="Calibri" w:hAnsi="Times New Roman" w:cs="Times New Roman"/>
        </w:rPr>
        <w:t>2</w:t>
      </w:r>
      <w:r w:rsidR="00FD6C77" w:rsidRPr="005948DE">
        <w:rPr>
          <w:rFonts w:ascii="Times New Roman" w:eastAsia="Calibri" w:hAnsi="Times New Roman" w:cs="Times New Roman"/>
        </w:rPr>
        <w:t>)</w:t>
      </w:r>
      <w:r w:rsidR="00AE57BD" w:rsidRPr="005948DE">
        <w:rPr>
          <w:rFonts w:ascii="Times New Roman" w:eastAsia="Calibri" w:hAnsi="Times New Roman" w:cs="Times New Roman"/>
        </w:rPr>
        <w:t>.</w:t>
      </w:r>
    </w:p>
    <w:p w14:paraId="35AD212F" w14:textId="28A4CBA9" w:rsidR="003A5D3E" w:rsidRPr="005948DE" w:rsidRDefault="003A5D3E" w:rsidP="005948DE">
      <w:pPr>
        <w:spacing w:after="120" w:line="276" w:lineRule="auto"/>
        <w:jc w:val="both"/>
        <w:rPr>
          <w:rFonts w:ascii="Times New Roman" w:eastAsiaTheme="minorHAnsi" w:hAnsi="Times New Roman" w:cs="Times New Roman"/>
        </w:rPr>
      </w:pPr>
      <w:r w:rsidRPr="005948DE">
        <w:rPr>
          <w:rFonts w:ascii="Times New Roman" w:eastAsiaTheme="minorHAnsi" w:hAnsi="Times New Roman" w:cs="Times New Roman"/>
        </w:rPr>
        <w:t xml:space="preserve">In monitoring the implementation progress of the infrastructure </w:t>
      </w:r>
      <w:r w:rsidR="00055D78" w:rsidRPr="005948DE">
        <w:rPr>
          <w:rFonts w:ascii="Times New Roman" w:eastAsiaTheme="minorHAnsi" w:hAnsi="Times New Roman" w:cs="Times New Roman"/>
        </w:rPr>
        <w:t>investments,</w:t>
      </w:r>
      <w:r w:rsidRPr="005948DE">
        <w:rPr>
          <w:rFonts w:ascii="Times New Roman" w:eastAsiaTheme="minorHAnsi" w:hAnsi="Times New Roman" w:cs="Times New Roman"/>
        </w:rPr>
        <w:t xml:space="preserve"> the </w:t>
      </w:r>
      <w:r w:rsidR="00704A71" w:rsidRPr="005948DE">
        <w:rPr>
          <w:rFonts w:ascii="Times New Roman" w:eastAsiaTheme="minorHAnsi" w:hAnsi="Times New Roman" w:cs="Times New Roman"/>
        </w:rPr>
        <w:t>PIU</w:t>
      </w:r>
      <w:r w:rsidRPr="005948DE">
        <w:rPr>
          <w:rFonts w:ascii="Times New Roman" w:eastAsiaTheme="minorHAnsi" w:hAnsi="Times New Roman" w:cs="Times New Roman"/>
        </w:rPr>
        <w:t xml:space="preserve"> shall r</w:t>
      </w:r>
      <w:r w:rsidR="009802F2" w:rsidRPr="005948DE">
        <w:rPr>
          <w:rFonts w:ascii="Times New Roman" w:eastAsiaTheme="minorHAnsi" w:hAnsi="Times New Roman" w:cs="Times New Roman"/>
        </w:rPr>
        <w:t xml:space="preserve">andomly check the progress of works and </w:t>
      </w:r>
      <w:r w:rsidR="00704A71" w:rsidRPr="005948DE">
        <w:rPr>
          <w:rFonts w:ascii="Times New Roman" w:eastAsiaTheme="minorHAnsi" w:hAnsi="Times New Roman" w:cs="Times New Roman"/>
        </w:rPr>
        <w:t xml:space="preserve">ground truth </w:t>
      </w:r>
      <w:r w:rsidRPr="005948DE">
        <w:rPr>
          <w:rFonts w:ascii="Times New Roman" w:eastAsiaTheme="minorHAnsi" w:hAnsi="Times New Roman" w:cs="Times New Roman"/>
        </w:rPr>
        <w:t xml:space="preserve">technical, environmental and social </w:t>
      </w:r>
      <w:r w:rsidR="00704A71" w:rsidRPr="005948DE">
        <w:rPr>
          <w:rFonts w:ascii="Times New Roman" w:eastAsiaTheme="minorHAnsi" w:hAnsi="Times New Roman" w:cs="Times New Roman"/>
        </w:rPr>
        <w:t>information provided</w:t>
      </w:r>
      <w:r w:rsidRPr="005948DE">
        <w:rPr>
          <w:rFonts w:ascii="Times New Roman" w:eastAsiaTheme="minorHAnsi" w:hAnsi="Times New Roman" w:cs="Times New Roman"/>
        </w:rPr>
        <w:t xml:space="preserve"> by the LSG both initially through their self-assessment and subsequent progress reports</w:t>
      </w:r>
      <w:r w:rsidR="00704A71" w:rsidRPr="005948DE">
        <w:rPr>
          <w:rFonts w:ascii="Times New Roman" w:eastAsiaTheme="minorHAnsi" w:hAnsi="Times New Roman" w:cs="Times New Roman"/>
        </w:rPr>
        <w:t xml:space="preserve">. </w:t>
      </w:r>
    </w:p>
    <w:p w14:paraId="51AE1682" w14:textId="5E73141F" w:rsidR="00947BB3" w:rsidRPr="005948DE" w:rsidRDefault="003A5D3E" w:rsidP="005948DE">
      <w:pPr>
        <w:spacing w:after="120" w:line="276" w:lineRule="auto"/>
        <w:jc w:val="both"/>
        <w:rPr>
          <w:rFonts w:ascii="Times New Roman" w:eastAsiaTheme="minorHAnsi" w:hAnsi="Times New Roman" w:cs="Times New Roman"/>
          <w:color w:val="000000" w:themeColor="text1"/>
        </w:rPr>
      </w:pPr>
      <w:r w:rsidRPr="005948DE">
        <w:rPr>
          <w:rFonts w:ascii="Times New Roman" w:eastAsiaTheme="minorHAnsi" w:hAnsi="Times New Roman" w:cs="Times New Roman"/>
        </w:rPr>
        <w:t>The</w:t>
      </w:r>
      <w:r w:rsidR="009802F2" w:rsidRPr="005948DE">
        <w:rPr>
          <w:rFonts w:ascii="Times New Roman" w:eastAsiaTheme="minorHAnsi" w:hAnsi="Times New Roman" w:cs="Times New Roman"/>
        </w:rPr>
        <w:t xml:space="preserve"> PIU will </w:t>
      </w:r>
      <w:r w:rsidRPr="005948DE">
        <w:rPr>
          <w:rFonts w:ascii="Times New Roman" w:eastAsiaTheme="minorHAnsi" w:hAnsi="Times New Roman" w:cs="Times New Roman"/>
        </w:rPr>
        <w:t xml:space="preserve">also be </w:t>
      </w:r>
      <w:r w:rsidR="009802F2" w:rsidRPr="005948DE">
        <w:rPr>
          <w:rFonts w:ascii="Times New Roman" w:eastAsiaTheme="minorHAnsi" w:hAnsi="Times New Roman" w:cs="Times New Roman"/>
        </w:rPr>
        <w:t xml:space="preserve">responsible for preparing and guiding TAs and capacity building activities under the Project, monitoring effects, and communicating with citizens. It will facilitate organization of </w:t>
      </w:r>
      <w:r w:rsidR="008525EA">
        <w:rPr>
          <w:rFonts w:ascii="Times New Roman" w:eastAsiaTheme="minorHAnsi" w:hAnsi="Times New Roman" w:cs="Times New Roman"/>
        </w:rPr>
        <w:t xml:space="preserve">a </w:t>
      </w:r>
      <w:r w:rsidR="009802F2" w:rsidRPr="005948DE">
        <w:rPr>
          <w:rFonts w:ascii="Times New Roman" w:eastAsiaTheme="minorHAnsi" w:hAnsi="Times New Roman" w:cs="Times New Roman"/>
        </w:rPr>
        <w:t>Co</w:t>
      </w:r>
      <w:r w:rsidR="004B6B87" w:rsidRPr="005948DE">
        <w:rPr>
          <w:rFonts w:ascii="Times New Roman" w:eastAsiaTheme="minorHAnsi" w:hAnsi="Times New Roman" w:cs="Times New Roman"/>
        </w:rPr>
        <w:t>mmunity of Practice (CoP)</w:t>
      </w:r>
      <w:r w:rsidR="009802F2" w:rsidRPr="005948DE">
        <w:rPr>
          <w:rFonts w:ascii="Times New Roman" w:eastAsiaTheme="minorHAnsi" w:hAnsi="Times New Roman" w:cs="Times New Roman"/>
        </w:rPr>
        <w:t xml:space="preserve">, trainings, knowledge exchange, completion of planning documents, and delivery of tools for project management </w:t>
      </w:r>
      <w:r w:rsidR="00BA739C" w:rsidRPr="005948DE">
        <w:rPr>
          <w:rFonts w:ascii="Times New Roman" w:hAnsi="Times New Roman" w:cs="Times New Roman"/>
        </w:rPr>
        <w:t>and</w:t>
      </w:r>
      <w:r w:rsidR="009B5409" w:rsidRPr="005948DE">
        <w:rPr>
          <w:rFonts w:ascii="Times New Roman" w:hAnsi="Times New Roman" w:cs="Times New Roman"/>
        </w:rPr>
        <w:t xml:space="preserve"> </w:t>
      </w:r>
      <w:r w:rsidR="00947BB3" w:rsidRPr="005948DE">
        <w:rPr>
          <w:rFonts w:ascii="Times New Roman" w:hAnsi="Times New Roman" w:cs="Times New Roman"/>
        </w:rPr>
        <w:t xml:space="preserve">the </w:t>
      </w:r>
      <w:r w:rsidR="009B5409" w:rsidRPr="005948DE">
        <w:rPr>
          <w:rFonts w:ascii="Times New Roman" w:hAnsi="Times New Roman" w:cs="Times New Roman"/>
        </w:rPr>
        <w:t>P</w:t>
      </w:r>
      <w:r w:rsidR="00BA739C" w:rsidRPr="005948DE">
        <w:rPr>
          <w:rFonts w:ascii="Times New Roman" w:hAnsi="Times New Roman" w:cs="Times New Roman"/>
        </w:rPr>
        <w:t>IMIS</w:t>
      </w:r>
      <w:r w:rsidR="009802F2" w:rsidRPr="005948DE">
        <w:rPr>
          <w:rFonts w:ascii="Times New Roman" w:eastAsiaTheme="minorHAnsi" w:hAnsi="Times New Roman" w:cs="Times New Roman"/>
          <w:color w:val="000000" w:themeColor="text1"/>
        </w:rPr>
        <w:t>.</w:t>
      </w:r>
      <w:r w:rsidR="009802F2" w:rsidRPr="005948DE">
        <w:rPr>
          <w:rFonts w:ascii="Times New Roman" w:eastAsiaTheme="minorHAnsi" w:hAnsi="Times New Roman" w:cs="Times New Roman"/>
          <w:color w:val="FF9900"/>
        </w:rPr>
        <w:t xml:space="preserve"> </w:t>
      </w:r>
    </w:p>
    <w:p w14:paraId="5378F6F2" w14:textId="7F8A4D42" w:rsidR="009802F2" w:rsidRPr="005948DE" w:rsidRDefault="00947BB3" w:rsidP="005948DE">
      <w:pPr>
        <w:spacing w:after="120" w:line="276" w:lineRule="auto"/>
        <w:jc w:val="both"/>
        <w:rPr>
          <w:rFonts w:ascii="Times New Roman" w:eastAsiaTheme="minorHAnsi" w:hAnsi="Times New Roman" w:cs="Times New Roman"/>
          <w:color w:val="FF9900"/>
        </w:rPr>
      </w:pPr>
      <w:r w:rsidRPr="005948DE">
        <w:rPr>
          <w:rFonts w:ascii="Times New Roman" w:eastAsiaTheme="minorHAnsi" w:hAnsi="Times New Roman" w:cs="Times New Roman"/>
          <w:color w:val="000000" w:themeColor="text1"/>
        </w:rPr>
        <w:t xml:space="preserve">The </w:t>
      </w:r>
      <w:r w:rsidR="009802F2" w:rsidRPr="005948DE">
        <w:rPr>
          <w:rFonts w:ascii="Times New Roman" w:eastAsiaTheme="minorHAnsi" w:hAnsi="Times New Roman" w:cs="Times New Roman"/>
        </w:rPr>
        <w:t xml:space="preserve">PIU will also be in charge of final </w:t>
      </w:r>
      <w:r w:rsidR="009802F2" w:rsidRPr="005948DE">
        <w:rPr>
          <w:rFonts w:ascii="Times New Roman" w:eastAsiaTheme="minorHAnsi" w:hAnsi="Times New Roman" w:cs="Times New Roman"/>
          <w:color w:val="000000" w:themeColor="text1"/>
        </w:rPr>
        <w:t xml:space="preserve">approval of procurement documents, upon obtaining the consent from </w:t>
      </w:r>
      <w:r w:rsidR="0028789E">
        <w:rPr>
          <w:rFonts w:ascii="Times New Roman" w:eastAsiaTheme="minorHAnsi" w:hAnsi="Times New Roman" w:cs="Times New Roman"/>
          <w:color w:val="000000" w:themeColor="text1"/>
        </w:rPr>
        <w:t xml:space="preserve">the </w:t>
      </w:r>
      <w:r w:rsidR="009802F2" w:rsidRPr="005948DE">
        <w:rPr>
          <w:rFonts w:ascii="Times New Roman" w:eastAsiaTheme="minorHAnsi" w:hAnsi="Times New Roman" w:cs="Times New Roman"/>
          <w:color w:val="000000" w:themeColor="text1"/>
        </w:rPr>
        <w:t xml:space="preserve">CFU. </w:t>
      </w:r>
    </w:p>
    <w:p w14:paraId="2A78AF2C" w14:textId="5116B2ED" w:rsidR="009802F2" w:rsidRPr="005948DE" w:rsidRDefault="009802F2" w:rsidP="005948DE">
      <w:pPr>
        <w:spacing w:after="120" w:line="276" w:lineRule="auto"/>
        <w:jc w:val="both"/>
        <w:rPr>
          <w:rFonts w:ascii="Times New Roman" w:hAnsi="Times New Roman" w:cs="Times New Roman"/>
        </w:rPr>
      </w:pPr>
      <w:r w:rsidRPr="005948DE">
        <w:rPr>
          <w:rFonts w:ascii="Times New Roman" w:hAnsi="Times New Roman" w:cs="Times New Roman"/>
        </w:rPr>
        <w:t>Main responsibilities</w:t>
      </w:r>
      <w:r w:rsidR="00947BB3" w:rsidRPr="005948DE">
        <w:rPr>
          <w:rFonts w:ascii="Times New Roman" w:hAnsi="Times New Roman" w:cs="Times New Roman"/>
        </w:rPr>
        <w:t xml:space="preserve"> as briefly explained above can</w:t>
      </w:r>
      <w:r w:rsidRPr="005948DE">
        <w:rPr>
          <w:rFonts w:ascii="Times New Roman" w:hAnsi="Times New Roman" w:cs="Times New Roman"/>
        </w:rPr>
        <w:t xml:space="preserve"> be grouped </w:t>
      </w:r>
      <w:r w:rsidR="00947BB3" w:rsidRPr="005948DE">
        <w:rPr>
          <w:rFonts w:ascii="Times New Roman" w:hAnsi="Times New Roman" w:cs="Times New Roman"/>
        </w:rPr>
        <w:t>under the following clusters</w:t>
      </w:r>
      <w:r w:rsidRPr="005948DE">
        <w:rPr>
          <w:rFonts w:ascii="Times New Roman" w:hAnsi="Times New Roman" w:cs="Times New Roman"/>
        </w:rPr>
        <w:t>:</w:t>
      </w:r>
    </w:p>
    <w:p w14:paraId="72E4ED5E" w14:textId="7FD7D887" w:rsidR="009802F2" w:rsidRPr="005948DE" w:rsidRDefault="009802F2" w:rsidP="005948DE">
      <w:pPr>
        <w:pStyle w:val="ListParagraph"/>
        <w:numPr>
          <w:ilvl w:val="0"/>
          <w:numId w:val="185"/>
        </w:numPr>
        <w:spacing w:after="60" w:line="276" w:lineRule="auto"/>
        <w:ind w:left="425" w:hanging="357"/>
        <w:contextualSpacing w:val="0"/>
        <w:jc w:val="both"/>
        <w:rPr>
          <w:rFonts w:ascii="Times New Roman" w:hAnsi="Times New Roman" w:cs="Times New Roman"/>
        </w:rPr>
      </w:pPr>
      <w:r w:rsidRPr="005948DE">
        <w:rPr>
          <w:rFonts w:ascii="Times New Roman" w:hAnsi="Times New Roman" w:cs="Times New Roman"/>
          <w:b/>
        </w:rPr>
        <w:t>Manage</w:t>
      </w:r>
      <w:r w:rsidR="00947BB3" w:rsidRPr="005948DE">
        <w:rPr>
          <w:rFonts w:ascii="Times New Roman" w:hAnsi="Times New Roman" w:cs="Times New Roman"/>
          <w:b/>
        </w:rPr>
        <w:t>ment</w:t>
      </w:r>
      <w:r w:rsidRPr="005948DE">
        <w:rPr>
          <w:rFonts w:ascii="Times New Roman" w:hAnsi="Times New Roman" w:cs="Times New Roman"/>
          <w:b/>
        </w:rPr>
        <w:t xml:space="preserve"> and </w:t>
      </w:r>
      <w:r w:rsidR="00947BB3" w:rsidRPr="005948DE">
        <w:rPr>
          <w:rFonts w:ascii="Times New Roman" w:hAnsi="Times New Roman" w:cs="Times New Roman"/>
          <w:b/>
        </w:rPr>
        <w:t>administration of</w:t>
      </w:r>
      <w:r w:rsidRPr="005948DE">
        <w:rPr>
          <w:rFonts w:ascii="Times New Roman" w:hAnsi="Times New Roman" w:cs="Times New Roman"/>
          <w:b/>
        </w:rPr>
        <w:t xml:space="preserve"> </w:t>
      </w:r>
      <w:r w:rsidR="0028789E">
        <w:rPr>
          <w:rFonts w:ascii="Times New Roman" w:hAnsi="Times New Roman" w:cs="Times New Roman"/>
          <w:b/>
        </w:rPr>
        <w:t xml:space="preserve">the </w:t>
      </w:r>
      <w:r w:rsidRPr="005948DE">
        <w:rPr>
          <w:rFonts w:ascii="Times New Roman" w:hAnsi="Times New Roman" w:cs="Times New Roman"/>
          <w:b/>
        </w:rPr>
        <w:t>Project implementation</w:t>
      </w:r>
      <w:r w:rsidR="00947BB3" w:rsidRPr="005948DE">
        <w:rPr>
          <w:rFonts w:ascii="Times New Roman" w:hAnsi="Times New Roman" w:cs="Times New Roman"/>
          <w:b/>
        </w:rPr>
        <w:t xml:space="preserve">. </w:t>
      </w:r>
      <w:r w:rsidR="00947BB3" w:rsidRPr="005948DE">
        <w:rPr>
          <w:rFonts w:ascii="Times New Roman" w:hAnsi="Times New Roman" w:cs="Times New Roman"/>
          <w:bCs/>
        </w:rPr>
        <w:t>This</w:t>
      </w:r>
      <w:r w:rsidRPr="005948DE">
        <w:rPr>
          <w:rFonts w:ascii="Times New Roman" w:hAnsi="Times New Roman" w:cs="Times New Roman"/>
          <w:bCs/>
        </w:rPr>
        <w:t xml:space="preserve"> i</w:t>
      </w:r>
      <w:r w:rsidRPr="005948DE">
        <w:rPr>
          <w:rFonts w:ascii="Times New Roman" w:hAnsi="Times New Roman" w:cs="Times New Roman"/>
        </w:rPr>
        <w:t xml:space="preserve">ncludes: (i) coordination of </w:t>
      </w:r>
      <w:r w:rsidR="0028789E">
        <w:rPr>
          <w:rFonts w:ascii="Times New Roman" w:hAnsi="Times New Roman" w:cs="Times New Roman"/>
        </w:rPr>
        <w:t xml:space="preserve">the </w:t>
      </w:r>
      <w:r w:rsidRPr="005948DE">
        <w:rPr>
          <w:rFonts w:ascii="Times New Roman" w:hAnsi="Times New Roman" w:cs="Times New Roman"/>
        </w:rPr>
        <w:t>overall Project implementation activities, (ii) coordination of involved institutions in order to make sure that the Project activities are implemented in a technically and timely harmonized manner, (iii) coordination of international and local consultants and (iv) act according the Bank's requirements;</w:t>
      </w:r>
    </w:p>
    <w:p w14:paraId="53732CCD" w14:textId="5FB166C6" w:rsidR="009802F2" w:rsidRPr="005948DE" w:rsidRDefault="009802F2" w:rsidP="005948DE">
      <w:pPr>
        <w:pStyle w:val="ListParagraph"/>
        <w:numPr>
          <w:ilvl w:val="0"/>
          <w:numId w:val="185"/>
        </w:numPr>
        <w:spacing w:after="60" w:line="276" w:lineRule="auto"/>
        <w:ind w:left="425" w:hanging="357"/>
        <w:contextualSpacing w:val="0"/>
        <w:jc w:val="both"/>
        <w:rPr>
          <w:rFonts w:ascii="Times New Roman" w:hAnsi="Times New Roman" w:cs="Times New Roman"/>
        </w:rPr>
      </w:pPr>
      <w:r w:rsidRPr="005948DE">
        <w:rPr>
          <w:rFonts w:ascii="Times New Roman" w:hAnsi="Times New Roman" w:cs="Times New Roman"/>
          <w:b/>
        </w:rPr>
        <w:t>Planning and budgeting</w:t>
      </w:r>
      <w:r w:rsidR="00947BB3" w:rsidRPr="005948DE">
        <w:rPr>
          <w:rFonts w:ascii="Times New Roman" w:hAnsi="Times New Roman" w:cs="Times New Roman"/>
          <w:b/>
        </w:rPr>
        <w:t xml:space="preserve">. </w:t>
      </w:r>
      <w:r w:rsidR="00947BB3" w:rsidRPr="005948DE">
        <w:rPr>
          <w:rFonts w:ascii="Times New Roman" w:hAnsi="Times New Roman" w:cs="Times New Roman"/>
          <w:bCs/>
        </w:rPr>
        <w:t>This</w:t>
      </w:r>
      <w:r w:rsidRPr="005948DE">
        <w:rPr>
          <w:rFonts w:ascii="Times New Roman" w:hAnsi="Times New Roman" w:cs="Times New Roman"/>
        </w:rPr>
        <w:t xml:space="preserve"> includes precise assessment of the activities related to </w:t>
      </w:r>
      <w:r w:rsidR="0028789E">
        <w:rPr>
          <w:rFonts w:ascii="Times New Roman" w:hAnsi="Times New Roman" w:cs="Times New Roman"/>
        </w:rPr>
        <w:t xml:space="preserve">the </w:t>
      </w:r>
      <w:r w:rsidRPr="005948DE">
        <w:rPr>
          <w:rFonts w:ascii="Times New Roman" w:hAnsi="Times New Roman" w:cs="Times New Roman"/>
        </w:rPr>
        <w:t>Project preparation and implementation from their technical, financial and procurement viewpoint</w:t>
      </w:r>
      <w:r w:rsidR="002D4DD1" w:rsidRPr="005948DE">
        <w:rPr>
          <w:rFonts w:ascii="Times New Roman" w:hAnsi="Times New Roman" w:cs="Times New Roman"/>
        </w:rPr>
        <w:t>.</w:t>
      </w:r>
      <w:r w:rsidRPr="005948DE">
        <w:rPr>
          <w:rFonts w:ascii="Times New Roman" w:hAnsi="Times New Roman" w:cs="Times New Roman"/>
        </w:rPr>
        <w:t xml:space="preserve"> The Project’s budget will be prepared by the PIU</w:t>
      </w:r>
      <w:r w:rsidR="0028789E">
        <w:rPr>
          <w:rFonts w:ascii="Times New Roman" w:hAnsi="Times New Roman" w:cs="Times New Roman"/>
        </w:rPr>
        <w:t>,</w:t>
      </w:r>
      <w:r w:rsidRPr="005948DE">
        <w:rPr>
          <w:rFonts w:ascii="Times New Roman" w:hAnsi="Times New Roman" w:cs="Times New Roman"/>
        </w:rPr>
        <w:t xml:space="preserve"> with the inputs from the LSGs and overall support from the CFU. </w:t>
      </w:r>
      <w:r w:rsidR="002D4DD1" w:rsidRPr="005948DE">
        <w:rPr>
          <w:rFonts w:ascii="Times New Roman" w:hAnsi="Times New Roman" w:cs="Times New Roman"/>
        </w:rPr>
        <w:t xml:space="preserve">The deviation </w:t>
      </w:r>
      <w:r w:rsidRPr="005948DE">
        <w:rPr>
          <w:rFonts w:ascii="Times New Roman" w:hAnsi="Times New Roman" w:cs="Times New Roman"/>
        </w:rPr>
        <w:t xml:space="preserve">of actual versus budgeted figures will be monitored on a regular basis, appropriately </w:t>
      </w:r>
      <w:r w:rsidR="002D4DD1" w:rsidRPr="005948DE">
        <w:rPr>
          <w:rFonts w:ascii="Times New Roman" w:hAnsi="Times New Roman" w:cs="Times New Roman"/>
        </w:rPr>
        <w:t>analysed</w:t>
      </w:r>
      <w:r w:rsidRPr="005948DE">
        <w:rPr>
          <w:rFonts w:ascii="Times New Roman" w:hAnsi="Times New Roman" w:cs="Times New Roman"/>
        </w:rPr>
        <w:t xml:space="preserve">, and corrective actions </w:t>
      </w:r>
      <w:r w:rsidR="0028789E">
        <w:rPr>
          <w:rFonts w:ascii="Times New Roman" w:hAnsi="Times New Roman" w:cs="Times New Roman"/>
        </w:rPr>
        <w:t xml:space="preserve">will be </w:t>
      </w:r>
      <w:r w:rsidRPr="005948DE">
        <w:rPr>
          <w:rFonts w:ascii="Times New Roman" w:hAnsi="Times New Roman" w:cs="Times New Roman"/>
        </w:rPr>
        <w:t xml:space="preserve">taken. </w:t>
      </w:r>
      <w:r w:rsidR="0075429D" w:rsidRPr="005948DE">
        <w:rPr>
          <w:rFonts w:ascii="Times New Roman" w:hAnsi="Times New Roman" w:cs="Times New Roman"/>
        </w:rPr>
        <w:t>The LSGs will report to the PIU and the PIU will report to the CFU on the LSG</w:t>
      </w:r>
      <w:r w:rsidR="0028789E">
        <w:rPr>
          <w:rFonts w:ascii="Times New Roman" w:hAnsi="Times New Roman" w:cs="Times New Roman"/>
        </w:rPr>
        <w:t>s’</w:t>
      </w:r>
      <w:r w:rsidR="0075429D" w:rsidRPr="005948DE">
        <w:rPr>
          <w:rFonts w:ascii="Times New Roman" w:hAnsi="Times New Roman" w:cs="Times New Roman"/>
        </w:rPr>
        <w:t xml:space="preserve"> use of funds.</w:t>
      </w:r>
    </w:p>
    <w:p w14:paraId="03254AA4" w14:textId="0A8026A1" w:rsidR="00373CF3" w:rsidRPr="005948DE" w:rsidRDefault="00373CF3" w:rsidP="005948DE">
      <w:pPr>
        <w:pStyle w:val="ListParagraph"/>
        <w:numPr>
          <w:ilvl w:val="0"/>
          <w:numId w:val="185"/>
        </w:numPr>
        <w:spacing w:after="60" w:line="276" w:lineRule="auto"/>
        <w:ind w:left="425" w:hanging="357"/>
        <w:contextualSpacing w:val="0"/>
        <w:jc w:val="both"/>
        <w:rPr>
          <w:rFonts w:ascii="Times New Roman" w:hAnsi="Times New Roman" w:cs="Times New Roman"/>
        </w:rPr>
      </w:pPr>
      <w:r w:rsidRPr="005948DE">
        <w:rPr>
          <w:rFonts w:ascii="Times New Roman" w:hAnsi="Times New Roman" w:cs="Times New Roman"/>
          <w:b/>
        </w:rPr>
        <w:t>Procurement.</w:t>
      </w:r>
      <w:r w:rsidRPr="005948DE">
        <w:rPr>
          <w:rFonts w:ascii="Times New Roman" w:hAnsi="Times New Roman" w:cs="Times New Roman"/>
        </w:rPr>
        <w:t xml:space="preserve"> This includes final approval of procurement documents, upon obtaining the guidance from </w:t>
      </w:r>
      <w:r w:rsidR="0028789E">
        <w:rPr>
          <w:rFonts w:ascii="Times New Roman" w:hAnsi="Times New Roman" w:cs="Times New Roman"/>
        </w:rPr>
        <w:t xml:space="preserve">the </w:t>
      </w:r>
      <w:r w:rsidRPr="005948DE">
        <w:rPr>
          <w:rFonts w:ascii="Times New Roman" w:hAnsi="Times New Roman" w:cs="Times New Roman"/>
        </w:rPr>
        <w:t>CFU.</w:t>
      </w:r>
    </w:p>
    <w:p w14:paraId="048AA5D8" w14:textId="1B7FF51A" w:rsidR="009802F2" w:rsidRPr="005948DE" w:rsidRDefault="00127DEF" w:rsidP="005948DE">
      <w:pPr>
        <w:pStyle w:val="ListParagraph"/>
        <w:numPr>
          <w:ilvl w:val="0"/>
          <w:numId w:val="185"/>
        </w:numPr>
        <w:spacing w:after="60" w:line="276" w:lineRule="auto"/>
        <w:ind w:left="425" w:hanging="357"/>
        <w:contextualSpacing w:val="0"/>
        <w:jc w:val="both"/>
        <w:rPr>
          <w:rFonts w:ascii="Times New Roman" w:hAnsi="Times New Roman" w:cs="Times New Roman"/>
        </w:rPr>
      </w:pPr>
      <w:r w:rsidRPr="005948DE">
        <w:rPr>
          <w:rFonts w:ascii="Times New Roman" w:hAnsi="Times New Roman" w:cs="Times New Roman"/>
          <w:b/>
        </w:rPr>
        <w:t>Management of</w:t>
      </w:r>
      <w:r w:rsidR="009802F2" w:rsidRPr="005948DE">
        <w:rPr>
          <w:rFonts w:ascii="Times New Roman" w:hAnsi="Times New Roman" w:cs="Times New Roman"/>
          <w:b/>
        </w:rPr>
        <w:t xml:space="preserve"> environmental and social </w:t>
      </w:r>
      <w:r w:rsidRPr="005948DE">
        <w:rPr>
          <w:rFonts w:ascii="Times New Roman" w:hAnsi="Times New Roman" w:cs="Times New Roman"/>
          <w:b/>
        </w:rPr>
        <w:t>risks and compliance assurance</w:t>
      </w:r>
      <w:r w:rsidR="009802F2" w:rsidRPr="005948DE">
        <w:rPr>
          <w:rFonts w:ascii="Times New Roman" w:hAnsi="Times New Roman" w:cs="Times New Roman"/>
        </w:rPr>
        <w:t xml:space="preserve">. The PIU shall ensure that the daily implementation of the </w:t>
      </w:r>
      <w:r w:rsidR="0028789E">
        <w:rPr>
          <w:rFonts w:ascii="Times New Roman" w:hAnsi="Times New Roman" w:cs="Times New Roman"/>
        </w:rPr>
        <w:t>P</w:t>
      </w:r>
      <w:r w:rsidR="009802F2" w:rsidRPr="005948DE">
        <w:rPr>
          <w:rFonts w:ascii="Times New Roman" w:hAnsi="Times New Roman" w:cs="Times New Roman"/>
        </w:rPr>
        <w:t>roject</w:t>
      </w:r>
      <w:r w:rsidRPr="005948DE">
        <w:rPr>
          <w:rFonts w:ascii="Times New Roman" w:hAnsi="Times New Roman" w:cs="Times New Roman"/>
        </w:rPr>
        <w:t>,</w:t>
      </w:r>
      <w:r w:rsidR="00197700" w:rsidRPr="005948DE">
        <w:rPr>
          <w:rFonts w:ascii="Times New Roman" w:hAnsi="Times New Roman" w:cs="Times New Roman"/>
        </w:rPr>
        <w:t xml:space="preserve"> including infrastructure investments</w:t>
      </w:r>
      <w:r w:rsidRPr="005948DE">
        <w:rPr>
          <w:rFonts w:ascii="Times New Roman" w:hAnsi="Times New Roman" w:cs="Times New Roman"/>
        </w:rPr>
        <w:t xml:space="preserve"> implemented by the LSGs,</w:t>
      </w:r>
      <w:r w:rsidR="00197700" w:rsidRPr="005948DE">
        <w:rPr>
          <w:rFonts w:ascii="Times New Roman" w:hAnsi="Times New Roman" w:cs="Times New Roman"/>
        </w:rPr>
        <w:t xml:space="preserve"> are carried out in compliance to the </w:t>
      </w:r>
      <w:r w:rsidRPr="005948DE">
        <w:rPr>
          <w:rFonts w:ascii="Times New Roman" w:hAnsi="Times New Roman" w:cs="Times New Roman"/>
        </w:rPr>
        <w:t xml:space="preserve">adopted, disclosed and consulted </w:t>
      </w:r>
      <w:r w:rsidR="00197700" w:rsidRPr="005948DE">
        <w:rPr>
          <w:rFonts w:ascii="Times New Roman" w:hAnsi="Times New Roman" w:cs="Times New Roman"/>
        </w:rPr>
        <w:t>Project E&amp;S Instruments</w:t>
      </w:r>
      <w:r w:rsidRPr="005948DE">
        <w:rPr>
          <w:rFonts w:ascii="Times New Roman" w:hAnsi="Times New Roman" w:cs="Times New Roman"/>
        </w:rPr>
        <w:t>:</w:t>
      </w:r>
      <w:r w:rsidR="00197700" w:rsidRPr="005948DE">
        <w:rPr>
          <w:rFonts w:ascii="Times New Roman" w:hAnsi="Times New Roman" w:cs="Times New Roman"/>
        </w:rPr>
        <w:t xml:space="preserve"> the </w:t>
      </w:r>
      <w:r w:rsidR="009802F2" w:rsidRPr="005948DE">
        <w:rPr>
          <w:rFonts w:ascii="Times New Roman" w:hAnsi="Times New Roman" w:cs="Times New Roman"/>
        </w:rPr>
        <w:t xml:space="preserve">ESMF, </w:t>
      </w:r>
      <w:r w:rsidR="004215EF" w:rsidRPr="005948DE">
        <w:rPr>
          <w:rFonts w:ascii="Times New Roman" w:hAnsi="Times New Roman" w:cs="Times New Roman"/>
        </w:rPr>
        <w:t xml:space="preserve">and the </w:t>
      </w:r>
      <w:r w:rsidR="00420737" w:rsidRPr="005948DE">
        <w:rPr>
          <w:rFonts w:ascii="Times New Roman" w:hAnsi="Times New Roman" w:cs="Times New Roman"/>
        </w:rPr>
        <w:t>infrastructure investment</w:t>
      </w:r>
      <w:r w:rsidR="004215EF" w:rsidRPr="005948DE">
        <w:rPr>
          <w:rFonts w:ascii="Times New Roman" w:hAnsi="Times New Roman" w:cs="Times New Roman"/>
        </w:rPr>
        <w:t xml:space="preserve"> specific ESMPs/ESMP Checklists, Project Level </w:t>
      </w:r>
      <w:r w:rsidR="009802F2" w:rsidRPr="005948DE">
        <w:rPr>
          <w:rFonts w:ascii="Times New Roman" w:hAnsi="Times New Roman" w:cs="Times New Roman"/>
        </w:rPr>
        <w:t>SEP, LMP and RPF</w:t>
      </w:r>
      <w:r w:rsidR="004215EF" w:rsidRPr="005948DE">
        <w:rPr>
          <w:rFonts w:ascii="Times New Roman" w:hAnsi="Times New Roman" w:cs="Times New Roman"/>
        </w:rPr>
        <w:t xml:space="preserve"> including any </w:t>
      </w:r>
      <w:r w:rsidR="00197700" w:rsidRPr="005948DE">
        <w:rPr>
          <w:rFonts w:ascii="Times New Roman" w:hAnsi="Times New Roman" w:cs="Times New Roman"/>
        </w:rPr>
        <w:t>Resettlement Action Plans (RAP)</w:t>
      </w:r>
      <w:r w:rsidR="004215EF" w:rsidRPr="005948DE">
        <w:rPr>
          <w:rFonts w:ascii="Times New Roman" w:hAnsi="Times New Roman" w:cs="Times New Roman"/>
        </w:rPr>
        <w:t xml:space="preserve">. </w:t>
      </w:r>
    </w:p>
    <w:p w14:paraId="5608FC20" w14:textId="0C1AE1F6" w:rsidR="009802F2" w:rsidRPr="005948DE" w:rsidRDefault="009802F2" w:rsidP="005948DE">
      <w:pPr>
        <w:pStyle w:val="ListParagraph"/>
        <w:numPr>
          <w:ilvl w:val="0"/>
          <w:numId w:val="185"/>
        </w:numPr>
        <w:spacing w:after="60" w:line="276" w:lineRule="auto"/>
        <w:ind w:left="425" w:hanging="357"/>
        <w:contextualSpacing w:val="0"/>
        <w:jc w:val="both"/>
        <w:rPr>
          <w:rFonts w:ascii="Times New Roman" w:hAnsi="Times New Roman" w:cs="Times New Roman"/>
        </w:rPr>
      </w:pPr>
      <w:r w:rsidRPr="005948DE">
        <w:rPr>
          <w:rFonts w:ascii="Times New Roman" w:hAnsi="Times New Roman" w:cs="Times New Roman"/>
          <w:b/>
        </w:rPr>
        <w:t>Monitoring and evaluation</w:t>
      </w:r>
      <w:r w:rsidR="00EC47EE" w:rsidRPr="005948DE">
        <w:rPr>
          <w:rFonts w:ascii="Times New Roman" w:hAnsi="Times New Roman" w:cs="Times New Roman"/>
          <w:b/>
        </w:rPr>
        <w:t xml:space="preserve">. </w:t>
      </w:r>
      <w:r w:rsidR="00EC47EE" w:rsidRPr="005948DE">
        <w:rPr>
          <w:rFonts w:ascii="Times New Roman" w:hAnsi="Times New Roman" w:cs="Times New Roman"/>
          <w:bCs/>
        </w:rPr>
        <w:t>This</w:t>
      </w:r>
      <w:r w:rsidRPr="005948DE">
        <w:rPr>
          <w:rFonts w:ascii="Times New Roman" w:hAnsi="Times New Roman" w:cs="Times New Roman"/>
        </w:rPr>
        <w:t xml:space="preserve"> includes establishment of arrangements for systematic comparison of actual </w:t>
      </w:r>
      <w:r w:rsidR="0028789E">
        <w:rPr>
          <w:rFonts w:ascii="Times New Roman" w:hAnsi="Times New Roman" w:cs="Times New Roman"/>
        </w:rPr>
        <w:t>P</w:t>
      </w:r>
      <w:r w:rsidR="0028789E" w:rsidRPr="005948DE">
        <w:rPr>
          <w:rFonts w:ascii="Times New Roman" w:hAnsi="Times New Roman" w:cs="Times New Roman"/>
        </w:rPr>
        <w:t xml:space="preserve">roject </w:t>
      </w:r>
      <w:r w:rsidRPr="005948DE">
        <w:rPr>
          <w:rFonts w:ascii="Times New Roman" w:hAnsi="Times New Roman" w:cs="Times New Roman"/>
        </w:rPr>
        <w:t xml:space="preserve">activities against plan on the basis of agreed indicators and objectives. </w:t>
      </w:r>
      <w:r w:rsidR="00EC47EE" w:rsidRPr="005948DE">
        <w:rPr>
          <w:rFonts w:ascii="Times New Roman" w:hAnsi="Times New Roman" w:cs="Times New Roman"/>
        </w:rPr>
        <w:t xml:space="preserve">The </w:t>
      </w:r>
      <w:r w:rsidR="0028789E">
        <w:rPr>
          <w:rFonts w:ascii="Times New Roman" w:hAnsi="Times New Roman" w:cs="Times New Roman"/>
        </w:rPr>
        <w:t>P</w:t>
      </w:r>
      <w:r w:rsidR="0028789E" w:rsidRPr="005948DE">
        <w:rPr>
          <w:rFonts w:ascii="Times New Roman" w:hAnsi="Times New Roman" w:cs="Times New Roman"/>
        </w:rPr>
        <w:t xml:space="preserve">roject </w:t>
      </w:r>
      <w:r w:rsidR="00EC47EE" w:rsidRPr="005948DE">
        <w:rPr>
          <w:rFonts w:ascii="Times New Roman" w:hAnsi="Times New Roman" w:cs="Times New Roman"/>
        </w:rPr>
        <w:t xml:space="preserve">shall be </w:t>
      </w:r>
      <w:r w:rsidRPr="005948DE">
        <w:rPr>
          <w:rFonts w:ascii="Times New Roman" w:hAnsi="Times New Roman" w:cs="Times New Roman"/>
        </w:rPr>
        <w:t>monitor</w:t>
      </w:r>
      <w:r w:rsidR="00EC47EE" w:rsidRPr="005948DE">
        <w:rPr>
          <w:rFonts w:ascii="Times New Roman" w:hAnsi="Times New Roman" w:cs="Times New Roman"/>
        </w:rPr>
        <w:t>ed</w:t>
      </w:r>
      <w:r w:rsidRPr="005948DE">
        <w:rPr>
          <w:rFonts w:ascii="Times New Roman" w:hAnsi="Times New Roman" w:cs="Times New Roman"/>
        </w:rPr>
        <w:t xml:space="preserve"> according </w:t>
      </w:r>
      <w:r w:rsidR="00EC47EE" w:rsidRPr="005948DE">
        <w:rPr>
          <w:rFonts w:ascii="Times New Roman" w:hAnsi="Times New Roman" w:cs="Times New Roman"/>
        </w:rPr>
        <w:t xml:space="preserve">to </w:t>
      </w:r>
      <w:r w:rsidRPr="005948DE">
        <w:rPr>
          <w:rFonts w:ascii="Times New Roman" w:hAnsi="Times New Roman" w:cs="Times New Roman"/>
        </w:rPr>
        <w:t xml:space="preserve">the result framework of Monitoring and Evaluation </w:t>
      </w:r>
      <w:r w:rsidR="004215EF" w:rsidRPr="005948DE">
        <w:rPr>
          <w:rFonts w:ascii="Times New Roman" w:hAnsi="Times New Roman" w:cs="Times New Roman"/>
        </w:rPr>
        <w:t xml:space="preserve">in line with </w:t>
      </w:r>
      <w:r w:rsidR="00E27FDF">
        <w:rPr>
          <w:rFonts w:ascii="Times New Roman" w:hAnsi="Times New Roman" w:cs="Times New Roman"/>
        </w:rPr>
        <w:t>C</w:t>
      </w:r>
      <w:r w:rsidR="00E27FDF" w:rsidRPr="005948DE">
        <w:rPr>
          <w:rFonts w:ascii="Times New Roman" w:hAnsi="Times New Roman" w:cs="Times New Roman"/>
        </w:rPr>
        <w:t xml:space="preserve">hapter </w:t>
      </w:r>
      <w:r w:rsidR="004215EF" w:rsidRPr="005948DE">
        <w:rPr>
          <w:rFonts w:ascii="Times New Roman" w:hAnsi="Times New Roman" w:cs="Times New Roman"/>
        </w:rPr>
        <w:t xml:space="preserve">10 and </w:t>
      </w:r>
      <w:r w:rsidR="00EC47EE" w:rsidRPr="005948DE">
        <w:rPr>
          <w:rFonts w:ascii="Times New Roman" w:hAnsi="Times New Roman" w:cs="Times New Roman"/>
        </w:rPr>
        <w:t>Annex</w:t>
      </w:r>
      <w:r w:rsidR="004E6A95" w:rsidRPr="005948DE">
        <w:rPr>
          <w:rFonts w:ascii="Times New Roman" w:hAnsi="Times New Roman" w:cs="Times New Roman"/>
        </w:rPr>
        <w:t xml:space="preserve"> 2.</w:t>
      </w:r>
      <w:r w:rsidRPr="005948DE">
        <w:rPr>
          <w:rFonts w:ascii="Times New Roman" w:hAnsi="Times New Roman" w:cs="Times New Roman"/>
        </w:rPr>
        <w:t xml:space="preserve"> The PIU sh</w:t>
      </w:r>
      <w:r w:rsidR="004E6A95" w:rsidRPr="005948DE">
        <w:rPr>
          <w:rFonts w:ascii="Times New Roman" w:hAnsi="Times New Roman" w:cs="Times New Roman"/>
        </w:rPr>
        <w:t>all</w:t>
      </w:r>
      <w:r w:rsidRPr="005948DE">
        <w:rPr>
          <w:rFonts w:ascii="Times New Roman" w:hAnsi="Times New Roman" w:cs="Times New Roman"/>
        </w:rPr>
        <w:t xml:space="preserve"> also monitor the environmental and social performance of the overall Project, and of individual </w:t>
      </w:r>
      <w:r w:rsidR="00420737" w:rsidRPr="005948DE">
        <w:rPr>
          <w:rFonts w:ascii="Times New Roman" w:hAnsi="Times New Roman" w:cs="Times New Roman"/>
        </w:rPr>
        <w:t>infrastructure investment</w:t>
      </w:r>
      <w:r w:rsidRPr="005948DE">
        <w:rPr>
          <w:rFonts w:ascii="Times New Roman" w:hAnsi="Times New Roman" w:cs="Times New Roman"/>
        </w:rPr>
        <w:t xml:space="preserve">s as per the respective monitoring plans to be included in </w:t>
      </w:r>
      <w:r w:rsidR="00420737" w:rsidRPr="005948DE">
        <w:rPr>
          <w:rFonts w:ascii="Times New Roman" w:hAnsi="Times New Roman" w:cs="Times New Roman"/>
        </w:rPr>
        <w:t>infrastructure investment</w:t>
      </w:r>
      <w:r w:rsidRPr="005948DE">
        <w:rPr>
          <w:rFonts w:ascii="Times New Roman" w:hAnsi="Times New Roman" w:cs="Times New Roman"/>
        </w:rPr>
        <w:t xml:space="preserve"> specific ESMPs;</w:t>
      </w:r>
    </w:p>
    <w:p w14:paraId="00D77443" w14:textId="7E5B648B" w:rsidR="006B72B5" w:rsidRPr="005948DE" w:rsidRDefault="009802F2" w:rsidP="005948DE">
      <w:pPr>
        <w:pStyle w:val="ListParagraph"/>
        <w:numPr>
          <w:ilvl w:val="0"/>
          <w:numId w:val="185"/>
        </w:numPr>
        <w:spacing w:after="60" w:line="276" w:lineRule="auto"/>
        <w:ind w:left="425" w:hanging="357"/>
        <w:contextualSpacing w:val="0"/>
        <w:jc w:val="both"/>
        <w:rPr>
          <w:rFonts w:ascii="Times New Roman" w:hAnsi="Times New Roman" w:cs="Times New Roman"/>
        </w:rPr>
      </w:pPr>
      <w:r w:rsidRPr="005948DE">
        <w:rPr>
          <w:rFonts w:ascii="Times New Roman" w:hAnsi="Times New Roman" w:cs="Times New Roman"/>
          <w:b/>
        </w:rPr>
        <w:t>Reporting</w:t>
      </w:r>
      <w:r w:rsidR="004E6A95" w:rsidRPr="005948DE">
        <w:rPr>
          <w:rFonts w:ascii="Times New Roman" w:hAnsi="Times New Roman" w:cs="Times New Roman"/>
          <w:b/>
        </w:rPr>
        <w:t xml:space="preserve">. </w:t>
      </w:r>
      <w:r w:rsidR="004E6A95" w:rsidRPr="005948DE">
        <w:rPr>
          <w:rFonts w:ascii="Times New Roman" w:hAnsi="Times New Roman" w:cs="Times New Roman"/>
          <w:bCs/>
        </w:rPr>
        <w:t>This role</w:t>
      </w:r>
      <w:r w:rsidRPr="005948DE">
        <w:rPr>
          <w:rFonts w:ascii="Times New Roman" w:hAnsi="Times New Roman" w:cs="Times New Roman"/>
        </w:rPr>
        <w:t xml:space="preserve"> includes establishment of regular reporting system that is able to produce information about the Project as stipulated in the LA, CFA, PAD, </w:t>
      </w:r>
      <w:r w:rsidR="004E6A95" w:rsidRPr="005948DE">
        <w:rPr>
          <w:rFonts w:ascii="Times New Roman" w:hAnsi="Times New Roman" w:cs="Times New Roman"/>
        </w:rPr>
        <w:t xml:space="preserve">this Manual, </w:t>
      </w:r>
      <w:r w:rsidRPr="005948DE">
        <w:rPr>
          <w:rFonts w:ascii="Times New Roman" w:hAnsi="Times New Roman" w:cs="Times New Roman"/>
        </w:rPr>
        <w:t>or a</w:t>
      </w:r>
      <w:r w:rsidR="004E6A95" w:rsidRPr="005948DE">
        <w:rPr>
          <w:rFonts w:ascii="Times New Roman" w:hAnsi="Times New Roman" w:cs="Times New Roman"/>
        </w:rPr>
        <w:t xml:space="preserve">s </w:t>
      </w:r>
      <w:r w:rsidRPr="005948DE">
        <w:rPr>
          <w:rFonts w:ascii="Times New Roman" w:hAnsi="Times New Roman" w:cs="Times New Roman"/>
        </w:rPr>
        <w:t xml:space="preserve">may be from time to time requested by the </w:t>
      </w:r>
      <w:r w:rsidR="0028789E">
        <w:rPr>
          <w:rFonts w:ascii="Times New Roman" w:hAnsi="Times New Roman" w:cs="Times New Roman"/>
        </w:rPr>
        <w:t>Bank</w:t>
      </w:r>
      <w:r w:rsidRPr="005948DE">
        <w:rPr>
          <w:rFonts w:ascii="Times New Roman" w:hAnsi="Times New Roman" w:cs="Times New Roman"/>
        </w:rPr>
        <w:t xml:space="preserve">, </w:t>
      </w:r>
      <w:r w:rsidR="0028789E">
        <w:rPr>
          <w:rFonts w:ascii="Times New Roman" w:hAnsi="Times New Roman" w:cs="Times New Roman"/>
        </w:rPr>
        <w:t xml:space="preserve">the </w:t>
      </w:r>
      <w:r w:rsidRPr="005948DE">
        <w:rPr>
          <w:rFonts w:ascii="Times New Roman" w:hAnsi="Times New Roman" w:cs="Times New Roman"/>
        </w:rPr>
        <w:t>AFD,</w:t>
      </w:r>
      <w:r w:rsidR="0028789E">
        <w:rPr>
          <w:rFonts w:ascii="Times New Roman" w:hAnsi="Times New Roman" w:cs="Times New Roman"/>
        </w:rPr>
        <w:t xml:space="preserve"> the</w:t>
      </w:r>
      <w:r w:rsidRPr="005948DE">
        <w:rPr>
          <w:rFonts w:ascii="Times New Roman" w:hAnsi="Times New Roman" w:cs="Times New Roman"/>
        </w:rPr>
        <w:t xml:space="preserve"> MCTI,</w:t>
      </w:r>
      <w:r w:rsidR="0028789E">
        <w:rPr>
          <w:rFonts w:ascii="Times New Roman" w:hAnsi="Times New Roman" w:cs="Times New Roman"/>
        </w:rPr>
        <w:t xml:space="preserve"> the</w:t>
      </w:r>
      <w:r w:rsidRPr="005948DE">
        <w:rPr>
          <w:rFonts w:ascii="Times New Roman" w:hAnsi="Times New Roman" w:cs="Times New Roman"/>
        </w:rPr>
        <w:t xml:space="preserve"> MoF or authorized officials from the </w:t>
      </w:r>
      <w:r w:rsidR="005A6567" w:rsidRPr="005948DE">
        <w:rPr>
          <w:rFonts w:ascii="Times New Roman" w:hAnsi="Times New Roman" w:cs="Times New Roman"/>
        </w:rPr>
        <w:t>LSGs</w:t>
      </w:r>
      <w:r w:rsidRPr="005948DE">
        <w:rPr>
          <w:rFonts w:ascii="Times New Roman" w:hAnsi="Times New Roman" w:cs="Times New Roman"/>
        </w:rPr>
        <w:t>;</w:t>
      </w:r>
    </w:p>
    <w:p w14:paraId="439AE2D5" w14:textId="32D616BD" w:rsidR="009802F2" w:rsidRPr="005948DE" w:rsidRDefault="009802F2" w:rsidP="005948DE">
      <w:pPr>
        <w:pStyle w:val="ListParagraph"/>
        <w:numPr>
          <w:ilvl w:val="0"/>
          <w:numId w:val="185"/>
        </w:numPr>
        <w:spacing w:after="120" w:line="276" w:lineRule="auto"/>
        <w:ind w:left="426" w:hanging="357"/>
        <w:contextualSpacing w:val="0"/>
        <w:jc w:val="both"/>
        <w:rPr>
          <w:rFonts w:ascii="Times New Roman" w:eastAsia="Times New Roman" w:hAnsi="Times New Roman" w:cs="Times New Roman"/>
        </w:rPr>
      </w:pPr>
      <w:r w:rsidRPr="005948DE">
        <w:rPr>
          <w:rFonts w:ascii="Times New Roman" w:hAnsi="Times New Roman" w:cs="Times New Roman"/>
          <w:b/>
        </w:rPr>
        <w:t>Citizen engagement.</w:t>
      </w:r>
      <w:r w:rsidRPr="005948DE">
        <w:rPr>
          <w:rFonts w:ascii="Times New Roman" w:hAnsi="Times New Roman" w:cs="Times New Roman"/>
        </w:rPr>
        <w:t xml:space="preserve"> The citizen engagement element shall take an important role during the Project implementation. The PIU </w:t>
      </w:r>
      <w:r w:rsidR="00183D12" w:rsidRPr="005948DE">
        <w:rPr>
          <w:rFonts w:ascii="Times New Roman" w:eastAsia="Calibri" w:hAnsi="Times New Roman" w:cs="Times New Roman"/>
        </w:rPr>
        <w:t xml:space="preserve">Social </w:t>
      </w:r>
      <w:r w:rsidR="0028789E">
        <w:rPr>
          <w:rFonts w:ascii="Times New Roman" w:eastAsia="Calibri" w:hAnsi="Times New Roman" w:cs="Times New Roman"/>
        </w:rPr>
        <w:t>S</w:t>
      </w:r>
      <w:r w:rsidR="0028789E" w:rsidRPr="005948DE">
        <w:rPr>
          <w:rFonts w:ascii="Times New Roman" w:eastAsia="Calibri" w:hAnsi="Times New Roman" w:cs="Times New Roman"/>
        </w:rPr>
        <w:t xml:space="preserve">afeguard </w:t>
      </w:r>
      <w:r w:rsidR="00183D12" w:rsidRPr="005948DE">
        <w:rPr>
          <w:rFonts w:ascii="Times New Roman" w:eastAsia="Calibri" w:hAnsi="Times New Roman" w:cs="Times New Roman"/>
        </w:rPr>
        <w:t xml:space="preserve">and </w:t>
      </w:r>
      <w:r w:rsidR="0028789E">
        <w:rPr>
          <w:rFonts w:ascii="Times New Roman" w:eastAsia="Calibri" w:hAnsi="Times New Roman" w:cs="Times New Roman"/>
        </w:rPr>
        <w:t>C</w:t>
      </w:r>
      <w:r w:rsidR="0028789E" w:rsidRPr="005948DE">
        <w:rPr>
          <w:rFonts w:ascii="Times New Roman" w:eastAsia="Calibri" w:hAnsi="Times New Roman" w:cs="Times New Roman"/>
        </w:rPr>
        <w:t xml:space="preserve">itizen </w:t>
      </w:r>
      <w:r w:rsidR="0028789E">
        <w:rPr>
          <w:rFonts w:ascii="Times New Roman" w:eastAsia="Calibri" w:hAnsi="Times New Roman" w:cs="Times New Roman"/>
        </w:rPr>
        <w:t>E</w:t>
      </w:r>
      <w:r w:rsidR="0028789E" w:rsidRPr="005948DE">
        <w:rPr>
          <w:rFonts w:ascii="Times New Roman" w:eastAsia="Calibri" w:hAnsi="Times New Roman" w:cs="Times New Roman"/>
        </w:rPr>
        <w:t xml:space="preserve">ngagement </w:t>
      </w:r>
      <w:r w:rsidR="00183D12" w:rsidRPr="005948DE">
        <w:rPr>
          <w:rFonts w:ascii="Times New Roman" w:eastAsia="Calibri" w:hAnsi="Times New Roman" w:cs="Times New Roman"/>
        </w:rPr>
        <w:t>specialist</w:t>
      </w:r>
      <w:r w:rsidR="00183D12" w:rsidRPr="005948DE">
        <w:rPr>
          <w:rFonts w:ascii="Times New Roman" w:hAnsi="Times New Roman" w:cs="Times New Roman"/>
        </w:rPr>
        <w:t xml:space="preserve"> </w:t>
      </w:r>
      <w:r w:rsidRPr="005948DE">
        <w:rPr>
          <w:rFonts w:ascii="Times New Roman" w:hAnsi="Times New Roman" w:cs="Times New Roman"/>
        </w:rPr>
        <w:t xml:space="preserve">with help of the other PIU members shall be responsible for planning and conducting the Project Citizen Engagement </w:t>
      </w:r>
      <w:r w:rsidR="00321D30" w:rsidRPr="005948DE">
        <w:rPr>
          <w:rFonts w:ascii="Times New Roman" w:hAnsi="Times New Roman" w:cs="Times New Roman"/>
        </w:rPr>
        <w:t>activities including</w:t>
      </w:r>
      <w:r w:rsidR="006B72B5" w:rsidRPr="005948DE">
        <w:rPr>
          <w:rFonts w:ascii="Times New Roman" w:hAnsi="Times New Roman" w:cs="Times New Roman"/>
        </w:rPr>
        <w:t xml:space="preserve"> </w:t>
      </w:r>
      <w:r w:rsidR="006B72B5" w:rsidRPr="005948DE">
        <w:rPr>
          <w:rFonts w:ascii="Times New Roman" w:eastAsia="Times New Roman" w:hAnsi="Times New Roman" w:cs="Times New Roman"/>
        </w:rPr>
        <w:t>feedback</w:t>
      </w:r>
      <w:r w:rsidR="002D4DD1" w:rsidRPr="005948DE">
        <w:rPr>
          <w:rFonts w:ascii="Times New Roman" w:eastAsia="Times New Roman" w:hAnsi="Times New Roman" w:cs="Times New Roman"/>
        </w:rPr>
        <w:t xml:space="preserve"> in the final project selection process. </w:t>
      </w:r>
      <w:r w:rsidR="006B72B5" w:rsidRPr="005948DE">
        <w:rPr>
          <w:rFonts w:ascii="Times New Roman" w:eastAsia="Times New Roman" w:hAnsi="Times New Roman" w:cs="Times New Roman"/>
        </w:rPr>
        <w:t>The project will i</w:t>
      </w:r>
      <w:r w:rsidR="002D4DD1" w:rsidRPr="005948DE">
        <w:rPr>
          <w:rFonts w:ascii="Times New Roman" w:eastAsia="Times New Roman" w:hAnsi="Times New Roman" w:cs="Times New Roman"/>
        </w:rPr>
        <w:t xml:space="preserve">ncrease transparency and inclusion of citizen feedback on infrastructure priorities through </w:t>
      </w:r>
      <w:r w:rsidR="002D4DD1" w:rsidRPr="005948DE">
        <w:rPr>
          <w:rFonts w:ascii="Times New Roman" w:eastAsia="MS Mincho" w:hAnsi="Times New Roman" w:cs="Times New Roman"/>
        </w:rPr>
        <w:t>E-Government portal will be enhanced with the feature of informing the users on the planned infrastructure investments and planned consultations as well as to annually collect citizen opinion on main infrastructure priorities in their place of living.</w:t>
      </w:r>
      <w:r w:rsidR="006B72B5" w:rsidRPr="005948DE">
        <w:rPr>
          <w:rFonts w:ascii="Times New Roman" w:eastAsia="MS Mincho" w:hAnsi="Times New Roman" w:cs="Times New Roman"/>
        </w:rPr>
        <w:t xml:space="preserve"> Comprehensive details are provided in </w:t>
      </w:r>
      <w:r w:rsidR="00E27FDF">
        <w:rPr>
          <w:rFonts w:ascii="Times New Roman" w:eastAsia="MS Mincho" w:hAnsi="Times New Roman" w:cs="Times New Roman"/>
        </w:rPr>
        <w:t>C</w:t>
      </w:r>
      <w:r w:rsidR="00E27FDF" w:rsidRPr="005948DE">
        <w:rPr>
          <w:rFonts w:ascii="Times New Roman" w:eastAsia="MS Mincho" w:hAnsi="Times New Roman" w:cs="Times New Roman"/>
        </w:rPr>
        <w:t xml:space="preserve">hapter </w:t>
      </w:r>
      <w:r w:rsidR="006B72B5" w:rsidRPr="005948DE">
        <w:rPr>
          <w:rFonts w:ascii="Times New Roman" w:eastAsia="MS Mincho" w:hAnsi="Times New Roman" w:cs="Times New Roman"/>
        </w:rPr>
        <w:t>4.5.4.</w:t>
      </w:r>
    </w:p>
    <w:p w14:paraId="2ADED6B1" w14:textId="77777777" w:rsidR="00D768ED" w:rsidRPr="005948DE" w:rsidRDefault="00D768ED"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0" w:name="_Toc93342220"/>
      <w:r w:rsidRPr="005948DE">
        <w:rPr>
          <w:rFonts w:ascii="Times New Roman" w:hAnsi="Times New Roman" w:cs="Times New Roman"/>
          <w:color w:val="auto"/>
        </w:rPr>
        <w:t>Steering Committee</w:t>
      </w:r>
      <w:bookmarkEnd w:id="110"/>
    </w:p>
    <w:p w14:paraId="254D8B1E" w14:textId="48CCE49B" w:rsidR="00D768ED" w:rsidRPr="005948DE" w:rsidRDefault="00D768ED" w:rsidP="005948DE">
      <w:pPr>
        <w:spacing w:after="120" w:line="276" w:lineRule="auto"/>
        <w:jc w:val="both"/>
        <w:rPr>
          <w:rFonts w:ascii="Times New Roman" w:hAnsi="Times New Roman" w:cs="Times New Roman"/>
          <w:b/>
          <w:smallCaps/>
        </w:rPr>
      </w:pPr>
      <w:r w:rsidRPr="005948DE">
        <w:rPr>
          <w:rFonts w:ascii="Times New Roman" w:hAnsi="Times New Roman" w:cs="Times New Roman"/>
        </w:rPr>
        <w:t>To facilitate government level coordination and efforts, the Steering Committee will be established</w:t>
      </w:r>
      <w:r w:rsidR="00ED5536" w:rsidRPr="005948DE">
        <w:rPr>
          <w:rFonts w:ascii="Times New Roman" w:hAnsi="Times New Roman" w:cs="Times New Roman"/>
        </w:rPr>
        <w:t xml:space="preserve"> to </w:t>
      </w:r>
      <w:r w:rsidRPr="005948DE">
        <w:rPr>
          <w:rFonts w:ascii="Times New Roman" w:hAnsi="Times New Roman" w:cs="Times New Roman"/>
        </w:rPr>
        <w:t>coordinate support for the improvement of local infrastructure service delivery and implementation of SUDS. The Steering Committee will be chaired by the MCTI with members</w:t>
      </w:r>
      <w:r w:rsidR="0028789E">
        <w:rPr>
          <w:rFonts w:ascii="Times New Roman" w:hAnsi="Times New Roman" w:cs="Times New Roman"/>
        </w:rPr>
        <w:t xml:space="preserve"> from relevant stakeholders,</w:t>
      </w:r>
      <w:r w:rsidRPr="005948DE">
        <w:rPr>
          <w:rFonts w:ascii="Times New Roman" w:hAnsi="Times New Roman" w:cs="Times New Roman"/>
        </w:rPr>
        <w:t xml:space="preserve"> including the MoF, </w:t>
      </w:r>
      <w:r w:rsidR="0028789E">
        <w:rPr>
          <w:rFonts w:ascii="Times New Roman" w:hAnsi="Times New Roman" w:cs="Times New Roman"/>
        </w:rPr>
        <w:t xml:space="preserve">the </w:t>
      </w:r>
      <w:r w:rsidRPr="005948DE">
        <w:rPr>
          <w:rFonts w:ascii="Times New Roman" w:hAnsi="Times New Roman" w:cs="Times New Roman"/>
        </w:rPr>
        <w:t>Ministry of Environment</w:t>
      </w:r>
      <w:r w:rsidR="0028789E">
        <w:rPr>
          <w:rFonts w:ascii="Times New Roman" w:hAnsi="Times New Roman" w:cs="Times New Roman"/>
        </w:rPr>
        <w:t>al Protection</w:t>
      </w:r>
      <w:r w:rsidRPr="005948DE">
        <w:rPr>
          <w:rFonts w:ascii="Times New Roman" w:hAnsi="Times New Roman" w:cs="Times New Roman"/>
        </w:rPr>
        <w:t>,</w:t>
      </w:r>
      <w:r w:rsidR="0028789E">
        <w:rPr>
          <w:rFonts w:ascii="Times New Roman" w:hAnsi="Times New Roman" w:cs="Times New Roman"/>
        </w:rPr>
        <w:t xml:space="preserve"> the</w:t>
      </w:r>
      <w:r w:rsidRPr="005948DE">
        <w:rPr>
          <w:rFonts w:ascii="Times New Roman" w:hAnsi="Times New Roman" w:cs="Times New Roman"/>
        </w:rPr>
        <w:t xml:space="preserve"> Ministry of Public Administration, </w:t>
      </w:r>
      <w:r w:rsidR="0028789E">
        <w:rPr>
          <w:rFonts w:ascii="Times New Roman" w:hAnsi="Times New Roman" w:cs="Times New Roman"/>
        </w:rPr>
        <w:t>the SCTM</w:t>
      </w:r>
      <w:r w:rsidRPr="005948DE">
        <w:rPr>
          <w:rFonts w:ascii="Times New Roman" w:hAnsi="Times New Roman" w:cs="Times New Roman"/>
        </w:rPr>
        <w:t xml:space="preserve">, and on ad hoc basis representatives of </w:t>
      </w:r>
      <w:r w:rsidR="0028789E">
        <w:rPr>
          <w:rFonts w:ascii="Times New Roman" w:hAnsi="Times New Roman" w:cs="Times New Roman"/>
        </w:rPr>
        <w:t>the LSGs</w:t>
      </w:r>
      <w:r w:rsidRPr="005948DE">
        <w:rPr>
          <w:rFonts w:ascii="Times New Roman" w:hAnsi="Times New Roman" w:cs="Times New Roman"/>
        </w:rPr>
        <w:t xml:space="preserve">. </w:t>
      </w:r>
      <w:r w:rsidR="00F24A0C" w:rsidRPr="005948DE">
        <w:rPr>
          <w:rFonts w:ascii="Times New Roman" w:hAnsi="Times New Roman" w:cs="Times New Roman"/>
        </w:rPr>
        <w:t xml:space="preserve">The Steering </w:t>
      </w:r>
      <w:r w:rsidR="0028789E">
        <w:rPr>
          <w:rFonts w:ascii="Times New Roman" w:hAnsi="Times New Roman" w:cs="Times New Roman"/>
        </w:rPr>
        <w:t>C</w:t>
      </w:r>
      <w:r w:rsidR="0028789E" w:rsidRPr="005948DE">
        <w:rPr>
          <w:rFonts w:ascii="Times New Roman" w:hAnsi="Times New Roman" w:cs="Times New Roman"/>
        </w:rPr>
        <w:t xml:space="preserve">ommittee </w:t>
      </w:r>
      <w:r w:rsidR="00F24A0C" w:rsidRPr="005948DE">
        <w:rPr>
          <w:rFonts w:ascii="Times New Roman" w:hAnsi="Times New Roman" w:cs="Times New Roman"/>
        </w:rPr>
        <w:t>is envisaged to take the leading role in f</w:t>
      </w:r>
      <w:r w:rsidRPr="005948DE">
        <w:rPr>
          <w:rFonts w:ascii="Times New Roman" w:hAnsi="Times New Roman" w:cs="Times New Roman"/>
        </w:rPr>
        <w:t>acilitat</w:t>
      </w:r>
      <w:r w:rsidR="00F24A0C" w:rsidRPr="005948DE">
        <w:rPr>
          <w:rFonts w:ascii="Times New Roman" w:hAnsi="Times New Roman" w:cs="Times New Roman"/>
        </w:rPr>
        <w:t>ing</w:t>
      </w:r>
      <w:r w:rsidRPr="005948DE">
        <w:rPr>
          <w:rFonts w:ascii="Times New Roman" w:hAnsi="Times New Roman" w:cs="Times New Roman"/>
        </w:rPr>
        <w:t xml:space="preserve"> the </w:t>
      </w:r>
      <w:r w:rsidR="0028789E">
        <w:rPr>
          <w:rFonts w:ascii="Times New Roman" w:hAnsi="Times New Roman" w:cs="Times New Roman"/>
        </w:rPr>
        <w:t>P</w:t>
      </w:r>
      <w:r w:rsidR="0028789E" w:rsidRPr="005948DE">
        <w:rPr>
          <w:rFonts w:ascii="Times New Roman" w:hAnsi="Times New Roman" w:cs="Times New Roman"/>
        </w:rPr>
        <w:t xml:space="preserve">roject </w:t>
      </w:r>
      <w:r w:rsidRPr="005948DE">
        <w:rPr>
          <w:rFonts w:ascii="Times New Roman" w:hAnsi="Times New Roman" w:cs="Times New Roman"/>
        </w:rPr>
        <w:t>implementation and resolve bottlenecks.</w:t>
      </w:r>
      <w:r w:rsidR="0097468C" w:rsidRPr="005948DE">
        <w:rPr>
          <w:rFonts w:ascii="Times New Roman" w:hAnsi="Times New Roman" w:cs="Times New Roman"/>
          <w:color w:val="FF0000"/>
        </w:rPr>
        <w:t xml:space="preserve"> </w:t>
      </w:r>
    </w:p>
    <w:p w14:paraId="397F6D09" w14:textId="776AE2F9" w:rsidR="00E168E6" w:rsidRPr="005948DE" w:rsidRDefault="00E168E6"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1" w:name="_Toc93342221"/>
      <w:r w:rsidRPr="005948DE">
        <w:rPr>
          <w:rFonts w:ascii="Times New Roman" w:hAnsi="Times New Roman" w:cs="Times New Roman"/>
          <w:color w:val="auto"/>
        </w:rPr>
        <w:t xml:space="preserve">Local Self </w:t>
      </w:r>
      <w:r w:rsidR="00295373" w:rsidRPr="005948DE">
        <w:rPr>
          <w:rFonts w:ascii="Times New Roman" w:hAnsi="Times New Roman" w:cs="Times New Roman"/>
          <w:color w:val="auto"/>
        </w:rPr>
        <w:t>G</w:t>
      </w:r>
      <w:r w:rsidRPr="005948DE">
        <w:rPr>
          <w:rFonts w:ascii="Times New Roman" w:hAnsi="Times New Roman" w:cs="Times New Roman"/>
          <w:color w:val="auto"/>
        </w:rPr>
        <w:t>overnments</w:t>
      </w:r>
      <w:bookmarkEnd w:id="111"/>
    </w:p>
    <w:p w14:paraId="354E58EC" w14:textId="6FAC809C" w:rsidR="00E34C34" w:rsidRPr="005948DE" w:rsidRDefault="00295373" w:rsidP="005948DE">
      <w:pPr>
        <w:pStyle w:val="Normal0"/>
        <w:spacing w:after="120" w:line="276" w:lineRule="auto"/>
        <w:jc w:val="both"/>
        <w:rPr>
          <w:rFonts w:ascii="Times New Roman" w:hAnsi="Times New Roman" w:cs="Times New Roman"/>
          <w:b/>
          <w:bCs/>
          <w:color w:val="FF9900"/>
          <w:lang w:val="en-GB"/>
        </w:rPr>
      </w:pPr>
      <w:r w:rsidRPr="005948DE">
        <w:rPr>
          <w:rFonts w:ascii="Times New Roman" w:hAnsi="Times New Roman" w:cs="Times New Roman"/>
          <w:bCs/>
          <w:lang w:val="en-GB"/>
        </w:rPr>
        <w:t xml:space="preserve">Serbia is organized as a unitary state, with a dominant central government level. </w:t>
      </w:r>
      <w:r w:rsidRPr="005948DE">
        <w:rPr>
          <w:rFonts w:ascii="Times New Roman" w:hAnsi="Times New Roman" w:cs="Times New Roman"/>
          <w:lang w:val="en-GB"/>
        </w:rPr>
        <w:t xml:space="preserve">At the subnational government levels, </w:t>
      </w:r>
      <w:r w:rsidR="00E27FDF">
        <w:rPr>
          <w:rFonts w:ascii="Times New Roman" w:hAnsi="Times New Roman" w:cs="Times New Roman"/>
          <w:lang w:val="en-GB"/>
        </w:rPr>
        <w:t xml:space="preserve">the </w:t>
      </w:r>
      <w:r w:rsidR="0028789E">
        <w:rPr>
          <w:rFonts w:ascii="Times New Roman" w:hAnsi="Times New Roman" w:cs="Times New Roman"/>
          <w:lang w:val="en-GB"/>
        </w:rPr>
        <w:t>LSG</w:t>
      </w:r>
      <w:r w:rsidRPr="005948DE">
        <w:rPr>
          <w:rFonts w:ascii="Times New Roman" w:hAnsi="Times New Roman" w:cs="Times New Roman"/>
          <w:lang w:val="en-GB"/>
        </w:rPr>
        <w:t xml:space="preserve"> units (also known as LSGs) consist of municipalities, cities and the city of Belgrade. The 145 eligible LSGs (117 municipalities, 29 cities and the capital City of Belgrade) are grouped in 25 districts, 13 </w:t>
      </w:r>
      <w:r w:rsidR="0028789E">
        <w:rPr>
          <w:rFonts w:ascii="Times New Roman" w:hAnsi="Times New Roman" w:cs="Times New Roman"/>
          <w:lang w:val="en-GB"/>
        </w:rPr>
        <w:t xml:space="preserve">of which </w:t>
      </w:r>
      <w:r w:rsidRPr="005948DE">
        <w:rPr>
          <w:rFonts w:ascii="Times New Roman" w:hAnsi="Times New Roman" w:cs="Times New Roman"/>
          <w:lang w:val="en-GB"/>
        </w:rPr>
        <w:t>are classed as “lagging regions”</w:t>
      </w:r>
      <w:r w:rsidRPr="005948DE">
        <w:rPr>
          <w:rStyle w:val="FootnoteReference"/>
          <w:rFonts w:ascii="Times New Roman" w:hAnsi="Times New Roman" w:cs="Times New Roman"/>
          <w:lang w:val="en-GB"/>
        </w:rPr>
        <w:footnoteReference w:id="2"/>
      </w:r>
      <w:r w:rsidRPr="005948DE">
        <w:rPr>
          <w:rFonts w:ascii="Times New Roman" w:hAnsi="Times New Roman" w:cs="Times New Roman"/>
          <w:lang w:val="en-GB"/>
        </w:rPr>
        <w:t>. Most responsibilities are shared between the central government and the LSGs. Regions mostly play a coordinating role with limited functions, but there are efforts of the GoS and the LSGs to create intermunicipal cooperation bodies.</w:t>
      </w:r>
      <w:r w:rsidR="00921B17" w:rsidRPr="005948DE">
        <w:rPr>
          <w:rFonts w:ascii="Times New Roman" w:hAnsi="Times New Roman" w:cs="Times New Roman"/>
          <w:lang w:val="en-GB"/>
        </w:rPr>
        <w:t xml:space="preserve"> </w:t>
      </w:r>
      <w:r w:rsidR="00E34C34" w:rsidRPr="005948DE">
        <w:rPr>
          <w:rFonts w:ascii="Times New Roman" w:hAnsi="Times New Roman" w:cs="Times New Roman"/>
          <w:bCs/>
          <w:lang w:val="en-GB"/>
        </w:rPr>
        <w:t>Among the main functions of the LSG</w:t>
      </w:r>
      <w:r w:rsidR="0028789E">
        <w:rPr>
          <w:rFonts w:ascii="Times New Roman" w:hAnsi="Times New Roman" w:cs="Times New Roman"/>
          <w:bCs/>
          <w:lang w:val="en-GB"/>
        </w:rPr>
        <w:t>s</w:t>
      </w:r>
      <w:r w:rsidR="00E34C34" w:rsidRPr="005948DE">
        <w:rPr>
          <w:rStyle w:val="FootnoteReference"/>
          <w:rFonts w:ascii="Times New Roman" w:hAnsi="Times New Roman" w:cs="Times New Roman"/>
          <w:bCs/>
          <w:lang w:val="en-GB"/>
        </w:rPr>
        <w:footnoteReference w:id="3"/>
      </w:r>
      <w:r w:rsidR="00E34C34" w:rsidRPr="005948DE">
        <w:rPr>
          <w:rFonts w:ascii="Times New Roman" w:hAnsi="Times New Roman" w:cs="Times New Roman"/>
          <w:bCs/>
          <w:lang w:val="en-GB"/>
        </w:rPr>
        <w:t xml:space="preserve"> are services delivery, management of existing assets, and implementation of local investments, often through local public service companies owned by the LSGs. </w:t>
      </w:r>
      <w:r w:rsidR="00E34C34" w:rsidRPr="005948DE">
        <w:rPr>
          <w:rFonts w:ascii="Times New Roman" w:hAnsi="Times New Roman" w:cs="Times New Roman"/>
          <w:lang w:val="en-GB"/>
        </w:rPr>
        <w:t>The</w:t>
      </w:r>
      <w:r w:rsidR="00E34C34" w:rsidRPr="005948DE">
        <w:rPr>
          <w:rFonts w:ascii="Times New Roman" w:hAnsi="Times New Roman" w:cs="Times New Roman"/>
          <w:bCs/>
          <w:lang w:val="en-GB"/>
        </w:rPr>
        <w:t xml:space="preserve"> </w:t>
      </w:r>
      <w:r w:rsidR="00E34C34" w:rsidRPr="005948DE">
        <w:rPr>
          <w:rFonts w:ascii="Times New Roman" w:hAnsi="Times New Roman" w:cs="Times New Roman"/>
          <w:lang w:val="en-GB"/>
        </w:rPr>
        <w:t xml:space="preserve">LSGs are established to support local economic development, develop, maintain and manage local roads and other public infrastructure, and provide local services including for waste, water, public transport, education and health facilities and other services important for local development. In addition, the LSGs are obliged to exercise so called “public responsibilities“, tasks under the competences of the GoS delegated to </w:t>
      </w:r>
      <w:r w:rsidR="0028789E">
        <w:rPr>
          <w:rFonts w:ascii="Times New Roman" w:hAnsi="Times New Roman" w:cs="Times New Roman"/>
          <w:lang w:val="en-GB"/>
        </w:rPr>
        <w:t xml:space="preserve">the </w:t>
      </w:r>
      <w:r w:rsidR="00E34C34" w:rsidRPr="005948DE">
        <w:rPr>
          <w:rFonts w:ascii="Times New Roman" w:hAnsi="Times New Roman" w:cs="Times New Roman"/>
          <w:lang w:val="en-GB"/>
        </w:rPr>
        <w:t>LSGs through special laws (sectorial laws). In undertaking these functions, the LSGs are guided by regulation around planning, implementation and service delivery, finance and infrastructure network management. While much of the policy and regulation around these areas is in place, the LSGs often lack the capacity and financing to effectively implement them. This means that existing resources are either not used or not used effectively. A key objective of this project will be to build capacity for the more effective execution of existing systems of implementation.</w:t>
      </w:r>
    </w:p>
    <w:p w14:paraId="1D15FCC8" w14:textId="08268757" w:rsidR="00295373" w:rsidRPr="005948DE" w:rsidRDefault="00295373" w:rsidP="005948DE">
      <w:pPr>
        <w:pStyle w:val="Normal0"/>
        <w:spacing w:after="120" w:line="276" w:lineRule="auto"/>
        <w:jc w:val="both"/>
        <w:rPr>
          <w:rFonts w:ascii="Times New Roman" w:hAnsi="Times New Roman" w:cs="Times New Roman"/>
          <w:u w:val="single"/>
          <w:lang w:val="en-GB"/>
        </w:rPr>
      </w:pPr>
      <w:r w:rsidRPr="005948DE">
        <w:rPr>
          <w:rFonts w:ascii="Times New Roman" w:hAnsi="Times New Roman" w:cs="Times New Roman"/>
          <w:lang w:val="en-GB"/>
        </w:rPr>
        <w:t>The</w:t>
      </w:r>
      <w:r w:rsidR="00E34C34" w:rsidRPr="005948DE">
        <w:rPr>
          <w:rFonts w:ascii="Times New Roman" w:hAnsi="Times New Roman" w:cs="Times New Roman"/>
          <w:lang w:val="en-GB"/>
        </w:rPr>
        <w:t xml:space="preserve"> </w:t>
      </w:r>
      <w:r w:rsidRPr="005948DE">
        <w:rPr>
          <w:rFonts w:ascii="Times New Roman" w:hAnsi="Times New Roman" w:cs="Times New Roman"/>
          <w:lang w:val="en-GB"/>
        </w:rPr>
        <w:t xml:space="preserve">LSGs are the main beneficiaries of the infrastructure investment components </w:t>
      </w:r>
      <w:r w:rsidR="0028789E">
        <w:rPr>
          <w:rFonts w:ascii="Times New Roman" w:hAnsi="Times New Roman" w:cs="Times New Roman"/>
          <w:lang w:val="en-GB"/>
        </w:rPr>
        <w:t xml:space="preserve">of this Project, </w:t>
      </w:r>
      <w:r w:rsidRPr="005948DE">
        <w:rPr>
          <w:rFonts w:ascii="Times New Roman" w:hAnsi="Times New Roman" w:cs="Times New Roman"/>
          <w:lang w:val="en-GB"/>
        </w:rPr>
        <w:t>under the strictly targeted grant schemes</w:t>
      </w:r>
      <w:r w:rsidRPr="005948DE">
        <w:rPr>
          <w:rFonts w:ascii="Times New Roman" w:hAnsi="Times New Roman" w:cs="Times New Roman"/>
          <w:u w:val="single"/>
          <w:lang w:val="en-GB"/>
        </w:rPr>
        <w:t>.</w:t>
      </w:r>
    </w:p>
    <w:p w14:paraId="26F6A94D" w14:textId="2316D34D" w:rsidR="00AB2B82" w:rsidRPr="005948DE" w:rsidRDefault="00E34C34" w:rsidP="005948DE">
      <w:pPr>
        <w:pStyle w:val="ps"/>
        <w:spacing w:before="0" w:after="120" w:line="276" w:lineRule="auto"/>
        <w:ind w:left="0" w:firstLine="0"/>
        <w:rPr>
          <w:rFonts w:ascii="Times New Roman" w:hAnsi="Times New Roman" w:cs="Times New Roman"/>
          <w:lang w:val="en-GB"/>
        </w:rPr>
      </w:pPr>
      <w:r w:rsidRPr="005948DE">
        <w:rPr>
          <w:rFonts w:ascii="Times New Roman" w:hAnsi="Times New Roman" w:cs="Times New Roman"/>
          <w:lang w:val="en-GB"/>
        </w:rPr>
        <w:t>The LSGs will be</w:t>
      </w:r>
      <w:r w:rsidR="004F2013" w:rsidRPr="005948DE">
        <w:rPr>
          <w:rFonts w:ascii="Times New Roman" w:hAnsi="Times New Roman" w:cs="Times New Roman"/>
          <w:lang w:val="en-GB"/>
        </w:rPr>
        <w:t xml:space="preserve"> responsible for s</w:t>
      </w:r>
      <w:r w:rsidR="00E168E6" w:rsidRPr="005948DE">
        <w:rPr>
          <w:rFonts w:ascii="Times New Roman" w:hAnsi="Times New Roman" w:cs="Times New Roman"/>
          <w:lang w:val="en-GB"/>
        </w:rPr>
        <w:t xml:space="preserve">election, preparation, </w:t>
      </w:r>
      <w:r w:rsidR="007962D1" w:rsidRPr="005948DE">
        <w:rPr>
          <w:rFonts w:ascii="Times New Roman" w:hAnsi="Times New Roman" w:cs="Times New Roman"/>
          <w:lang w:val="en-GB"/>
        </w:rPr>
        <w:t xml:space="preserve">design, </w:t>
      </w:r>
      <w:r w:rsidR="00E168E6" w:rsidRPr="005948DE">
        <w:rPr>
          <w:rFonts w:ascii="Times New Roman" w:hAnsi="Times New Roman" w:cs="Times New Roman"/>
          <w:lang w:val="en-GB"/>
        </w:rPr>
        <w:t xml:space="preserve">procurement, </w:t>
      </w:r>
      <w:r w:rsidR="00D130F2">
        <w:rPr>
          <w:rFonts w:ascii="Times New Roman" w:hAnsi="Times New Roman" w:cs="Times New Roman"/>
          <w:lang w:val="en-GB"/>
        </w:rPr>
        <w:t xml:space="preserve">payment, </w:t>
      </w:r>
      <w:r w:rsidR="00E168E6" w:rsidRPr="005948DE">
        <w:rPr>
          <w:rFonts w:ascii="Times New Roman" w:hAnsi="Times New Roman" w:cs="Times New Roman"/>
          <w:lang w:val="en-GB"/>
        </w:rPr>
        <w:t xml:space="preserve">supervision and management of infrastructure investments with strong day-to-day support, guidance and approval of procurement by the PIU and the CFU. </w:t>
      </w:r>
    </w:p>
    <w:p w14:paraId="77755A5B" w14:textId="66FA5EAB" w:rsidR="00AB2B82" w:rsidRPr="005948DE" w:rsidRDefault="00AB2B82" w:rsidP="005948DE">
      <w:pPr>
        <w:pStyle w:val="ps"/>
        <w:spacing w:before="0" w:after="120" w:line="276" w:lineRule="auto"/>
        <w:ind w:left="0" w:firstLine="0"/>
        <w:rPr>
          <w:rFonts w:ascii="Times New Roman" w:hAnsi="Times New Roman" w:cs="Times New Roman"/>
          <w:lang w:val="en-GB"/>
        </w:rPr>
      </w:pPr>
      <w:r w:rsidRPr="005948DE">
        <w:rPr>
          <w:rFonts w:ascii="Times New Roman" w:hAnsi="Times New Roman" w:cs="Times New Roman"/>
          <w:lang w:val="en-GB"/>
        </w:rPr>
        <w:t xml:space="preserve">Once application for support of infrastructure investments </w:t>
      </w:r>
      <w:r w:rsidR="0028789E" w:rsidRPr="005948DE">
        <w:rPr>
          <w:rFonts w:ascii="Times New Roman" w:hAnsi="Times New Roman" w:cs="Times New Roman"/>
          <w:lang w:val="en-GB"/>
        </w:rPr>
        <w:t>ha</w:t>
      </w:r>
      <w:r w:rsidR="0028789E">
        <w:rPr>
          <w:rFonts w:ascii="Times New Roman" w:hAnsi="Times New Roman" w:cs="Times New Roman"/>
          <w:lang w:val="en-GB"/>
        </w:rPr>
        <w:t>s</w:t>
      </w:r>
      <w:r w:rsidR="0028789E" w:rsidRPr="005948DE">
        <w:rPr>
          <w:rFonts w:ascii="Times New Roman" w:hAnsi="Times New Roman" w:cs="Times New Roman"/>
          <w:lang w:val="en-GB"/>
        </w:rPr>
        <w:t xml:space="preserve"> </w:t>
      </w:r>
      <w:r w:rsidRPr="005948DE">
        <w:rPr>
          <w:rFonts w:ascii="Times New Roman" w:hAnsi="Times New Roman" w:cs="Times New Roman"/>
          <w:lang w:val="en-GB"/>
        </w:rPr>
        <w:t>been assessed as eligible and approved by the PIU</w:t>
      </w:r>
      <w:r w:rsidR="002F09F2" w:rsidRPr="005948DE">
        <w:rPr>
          <w:rFonts w:ascii="Times New Roman" w:hAnsi="Times New Roman" w:cs="Times New Roman"/>
          <w:lang w:val="en-GB"/>
        </w:rPr>
        <w:t xml:space="preserve">, </w:t>
      </w:r>
      <w:r w:rsidR="0028789E">
        <w:rPr>
          <w:rFonts w:ascii="Times New Roman" w:hAnsi="Times New Roman" w:cs="Times New Roman"/>
          <w:lang w:val="en-GB"/>
        </w:rPr>
        <w:t xml:space="preserve">the </w:t>
      </w:r>
      <w:r w:rsidRPr="005948DE">
        <w:rPr>
          <w:rFonts w:ascii="Times New Roman" w:hAnsi="Times New Roman" w:cs="Times New Roman"/>
          <w:lang w:val="en-GB"/>
        </w:rPr>
        <w:t>MCTI and</w:t>
      </w:r>
      <w:r w:rsidR="0028789E">
        <w:rPr>
          <w:rFonts w:ascii="Times New Roman" w:hAnsi="Times New Roman" w:cs="Times New Roman"/>
          <w:lang w:val="en-GB"/>
        </w:rPr>
        <w:t xml:space="preserve"> the</w:t>
      </w:r>
      <w:r w:rsidRPr="005948DE">
        <w:rPr>
          <w:rFonts w:ascii="Times New Roman" w:hAnsi="Times New Roman" w:cs="Times New Roman"/>
          <w:lang w:val="en-GB"/>
        </w:rPr>
        <w:t xml:space="preserve"> </w:t>
      </w:r>
      <w:r w:rsidR="002F09F2" w:rsidRPr="005948DE">
        <w:rPr>
          <w:rFonts w:ascii="Times New Roman" w:hAnsi="Times New Roman" w:cs="Times New Roman"/>
          <w:lang w:val="en-GB"/>
        </w:rPr>
        <w:t>LSG</w:t>
      </w:r>
      <w:r w:rsidRPr="005948DE">
        <w:rPr>
          <w:rFonts w:ascii="Times New Roman" w:hAnsi="Times New Roman" w:cs="Times New Roman"/>
          <w:lang w:val="en-GB"/>
        </w:rPr>
        <w:t xml:space="preserve"> will enter into a </w:t>
      </w:r>
      <w:r w:rsidR="0028789E">
        <w:rPr>
          <w:rFonts w:ascii="Times New Roman" w:hAnsi="Times New Roman" w:cs="Times New Roman"/>
          <w:lang w:val="en-GB"/>
        </w:rPr>
        <w:t>FA</w:t>
      </w:r>
      <w:r w:rsidRPr="005948DE">
        <w:rPr>
          <w:rFonts w:ascii="Times New Roman" w:hAnsi="Times New Roman" w:cs="Times New Roman"/>
          <w:lang w:val="en-GB"/>
        </w:rPr>
        <w:t xml:space="preserve"> to define the duties and respons</w:t>
      </w:r>
      <w:r w:rsidR="00AA679A" w:rsidRPr="005948DE">
        <w:rPr>
          <w:rFonts w:ascii="Times New Roman" w:hAnsi="Times New Roman" w:cs="Times New Roman"/>
          <w:lang w:val="en-GB"/>
        </w:rPr>
        <w:t>i</w:t>
      </w:r>
      <w:r w:rsidRPr="005948DE">
        <w:rPr>
          <w:rFonts w:ascii="Times New Roman" w:hAnsi="Times New Roman" w:cs="Times New Roman"/>
          <w:lang w:val="en-GB"/>
        </w:rPr>
        <w:t>bilities related to the r</w:t>
      </w:r>
      <w:r w:rsidR="00AA679A" w:rsidRPr="005948DE">
        <w:rPr>
          <w:rFonts w:ascii="Times New Roman" w:hAnsi="Times New Roman" w:cs="Times New Roman"/>
          <w:lang w:val="en-GB"/>
        </w:rPr>
        <w:t>e</w:t>
      </w:r>
      <w:r w:rsidRPr="005948DE">
        <w:rPr>
          <w:rFonts w:ascii="Times New Roman" w:hAnsi="Times New Roman" w:cs="Times New Roman"/>
          <w:lang w:val="en-GB"/>
        </w:rPr>
        <w:t xml:space="preserve">quirements of </w:t>
      </w:r>
      <w:r w:rsidR="0028789E">
        <w:rPr>
          <w:rFonts w:ascii="Times New Roman" w:hAnsi="Times New Roman" w:cs="Times New Roman"/>
          <w:lang w:val="en-GB"/>
        </w:rPr>
        <w:t xml:space="preserve">the </w:t>
      </w:r>
      <w:r w:rsidRPr="005948DE">
        <w:rPr>
          <w:rFonts w:ascii="Times New Roman" w:hAnsi="Times New Roman" w:cs="Times New Roman"/>
          <w:lang w:val="en-GB"/>
        </w:rPr>
        <w:t xml:space="preserve">Project implementation. </w:t>
      </w:r>
    </w:p>
    <w:p w14:paraId="11E0F6C2" w14:textId="70E27C56" w:rsidR="00AB2B82" w:rsidRPr="005948DE" w:rsidRDefault="00AA679A" w:rsidP="005948DE">
      <w:pPr>
        <w:pStyle w:val="ps"/>
        <w:spacing w:before="0" w:after="120" w:line="276" w:lineRule="auto"/>
        <w:ind w:left="0" w:firstLine="0"/>
        <w:rPr>
          <w:rFonts w:ascii="Times New Roman" w:hAnsi="Times New Roman" w:cs="Times New Roman"/>
          <w:lang w:val="en-GB"/>
        </w:rPr>
      </w:pPr>
      <w:r w:rsidRPr="005948DE">
        <w:rPr>
          <w:rFonts w:ascii="Times New Roman" w:hAnsi="Times New Roman" w:cs="Times New Roman"/>
          <w:lang w:val="en-GB"/>
        </w:rPr>
        <w:t xml:space="preserve">As the </w:t>
      </w:r>
      <w:r w:rsidR="00AB2B82" w:rsidRPr="005948DE">
        <w:rPr>
          <w:rFonts w:ascii="Times New Roman" w:hAnsi="Times New Roman" w:cs="Times New Roman"/>
          <w:lang w:val="en-GB"/>
        </w:rPr>
        <w:t xml:space="preserve">next step, but before the </w:t>
      </w:r>
      <w:r w:rsidR="002F09F2" w:rsidRPr="005948DE">
        <w:rPr>
          <w:rFonts w:ascii="Times New Roman" w:hAnsi="Times New Roman" w:cs="Times New Roman"/>
          <w:lang w:val="en-GB"/>
        </w:rPr>
        <w:t>procurement process</w:t>
      </w:r>
      <w:r w:rsidR="00AB2B82" w:rsidRPr="005948DE">
        <w:rPr>
          <w:rFonts w:ascii="Times New Roman" w:hAnsi="Times New Roman" w:cs="Times New Roman"/>
          <w:lang w:val="en-GB"/>
        </w:rPr>
        <w:t xml:space="preserve"> has formally commenced, </w:t>
      </w:r>
      <w:r w:rsidR="0028789E">
        <w:rPr>
          <w:rFonts w:ascii="Times New Roman" w:hAnsi="Times New Roman" w:cs="Times New Roman"/>
          <w:lang w:val="en-GB"/>
        </w:rPr>
        <w:t xml:space="preserve">the </w:t>
      </w:r>
      <w:r w:rsidR="00AB2B82" w:rsidRPr="005948DE">
        <w:rPr>
          <w:rFonts w:ascii="Times New Roman" w:hAnsi="Times New Roman" w:cs="Times New Roman"/>
          <w:lang w:val="en-GB"/>
        </w:rPr>
        <w:t xml:space="preserve">MCTI and the </w:t>
      </w:r>
      <w:r w:rsidR="001F4367" w:rsidRPr="005948DE">
        <w:rPr>
          <w:rFonts w:ascii="Times New Roman" w:hAnsi="Times New Roman" w:cs="Times New Roman"/>
          <w:lang w:val="en-GB"/>
        </w:rPr>
        <w:t>LSG</w:t>
      </w:r>
      <w:r w:rsidR="00AB2B82" w:rsidRPr="005948DE">
        <w:rPr>
          <w:rFonts w:ascii="Times New Roman" w:hAnsi="Times New Roman" w:cs="Times New Roman"/>
          <w:lang w:val="en-GB"/>
        </w:rPr>
        <w:t xml:space="preserve"> shall enter into </w:t>
      </w:r>
      <w:r w:rsidR="002F09F2" w:rsidRPr="005948DE">
        <w:rPr>
          <w:rFonts w:ascii="Times New Roman" w:hAnsi="Times New Roman" w:cs="Times New Roman"/>
          <w:lang w:val="en-GB"/>
        </w:rPr>
        <w:t>a GA</w:t>
      </w:r>
      <w:r w:rsidR="0028789E">
        <w:rPr>
          <w:rFonts w:ascii="Times New Roman" w:hAnsi="Times New Roman" w:cs="Times New Roman"/>
          <w:lang w:val="en-GB"/>
        </w:rPr>
        <w:t>,</w:t>
      </w:r>
      <w:r w:rsidR="006913CC" w:rsidRPr="005948DE">
        <w:rPr>
          <w:rFonts w:ascii="Times New Roman" w:hAnsi="Times New Roman" w:cs="Times New Roman"/>
          <w:lang w:val="en-GB"/>
        </w:rPr>
        <w:t xml:space="preserve"> </w:t>
      </w:r>
      <w:r w:rsidR="00AB2B82" w:rsidRPr="005948DE">
        <w:rPr>
          <w:rFonts w:ascii="Times New Roman" w:hAnsi="Times New Roman" w:cs="Times New Roman"/>
          <w:lang w:val="en-GB"/>
        </w:rPr>
        <w:t>under terms and conditions acceptable to the Bank</w:t>
      </w:r>
      <w:r w:rsidR="0028789E">
        <w:rPr>
          <w:rFonts w:ascii="Times New Roman" w:hAnsi="Times New Roman" w:cs="Times New Roman"/>
          <w:lang w:val="en-GB"/>
        </w:rPr>
        <w:t>,</w:t>
      </w:r>
      <w:r w:rsidR="00AB2B82" w:rsidRPr="005948DE">
        <w:rPr>
          <w:rFonts w:ascii="Times New Roman" w:hAnsi="Times New Roman" w:cs="Times New Roman"/>
          <w:lang w:val="en-GB"/>
        </w:rPr>
        <w:t xml:space="preserve"> establishing funding and performance requirements for each infrastructure investment. The </w:t>
      </w:r>
      <w:r w:rsidR="006913CC" w:rsidRPr="005948DE">
        <w:rPr>
          <w:rFonts w:ascii="Times New Roman" w:hAnsi="Times New Roman" w:cs="Times New Roman"/>
          <w:lang w:val="en-GB"/>
        </w:rPr>
        <w:t>GA</w:t>
      </w:r>
      <w:r w:rsidR="00AB2B82" w:rsidRPr="005948DE">
        <w:rPr>
          <w:rFonts w:ascii="Times New Roman" w:hAnsi="Times New Roman" w:cs="Times New Roman"/>
          <w:lang w:val="en-GB"/>
        </w:rPr>
        <w:t xml:space="preserve"> sets forth obligations </w:t>
      </w:r>
      <w:r w:rsidR="00B7569D" w:rsidRPr="005948DE">
        <w:rPr>
          <w:rFonts w:ascii="Times New Roman" w:hAnsi="Times New Roman" w:cs="Times New Roman"/>
          <w:lang w:val="en-GB"/>
        </w:rPr>
        <w:t xml:space="preserve">relevant to the </w:t>
      </w:r>
      <w:r w:rsidR="00AB2B82" w:rsidRPr="005948DE">
        <w:rPr>
          <w:rFonts w:ascii="Times New Roman" w:hAnsi="Times New Roman" w:cs="Times New Roman"/>
          <w:lang w:val="en-GB"/>
        </w:rPr>
        <w:t xml:space="preserve">infrastructure investment with due diligence and efficiency, and in conformity with adopted administrative technical financial, economic, environmental and social standards, and practices and in accordance with the Anti-Corruption Guidelines and the pertinent provisions of the </w:t>
      </w:r>
      <w:r w:rsidR="0028789E">
        <w:rPr>
          <w:rFonts w:ascii="Times New Roman" w:hAnsi="Times New Roman" w:cs="Times New Roman"/>
          <w:lang w:val="en-GB"/>
        </w:rPr>
        <w:t>POGM</w:t>
      </w:r>
      <w:r w:rsidR="00AB2B82" w:rsidRPr="005948DE">
        <w:rPr>
          <w:rFonts w:ascii="Times New Roman" w:hAnsi="Times New Roman" w:cs="Times New Roman"/>
          <w:lang w:val="en-GB"/>
        </w:rPr>
        <w:t xml:space="preserve">, the Environmental and ESCP and Project document, </w:t>
      </w:r>
      <w:r w:rsidR="0028789E">
        <w:rPr>
          <w:rFonts w:ascii="Times New Roman" w:hAnsi="Times New Roman" w:cs="Times New Roman"/>
          <w:lang w:val="en-GB"/>
        </w:rPr>
        <w:t xml:space="preserve">and </w:t>
      </w:r>
      <w:r w:rsidR="00AB2B82" w:rsidRPr="005948DE">
        <w:rPr>
          <w:rFonts w:ascii="Times New Roman" w:hAnsi="Times New Roman" w:cs="Times New Roman"/>
          <w:lang w:val="en-GB"/>
        </w:rPr>
        <w:t xml:space="preserve">the </w:t>
      </w:r>
      <w:r w:rsidR="00E27FDF">
        <w:rPr>
          <w:rFonts w:ascii="Times New Roman" w:hAnsi="Times New Roman" w:cs="Times New Roman"/>
          <w:lang w:val="en-GB"/>
        </w:rPr>
        <w:t>LA</w:t>
      </w:r>
      <w:r w:rsidR="00B7569D" w:rsidRPr="005948DE">
        <w:rPr>
          <w:rFonts w:ascii="Times New Roman" w:hAnsi="Times New Roman" w:cs="Times New Roman"/>
          <w:lang w:val="en-GB"/>
        </w:rPr>
        <w:t xml:space="preserve">. These, </w:t>
      </w:r>
      <w:r w:rsidR="00AB2B82" w:rsidRPr="005948DE">
        <w:rPr>
          <w:rFonts w:ascii="Times New Roman" w:hAnsi="Times New Roman" w:cs="Times New Roman"/>
          <w:lang w:val="en-GB"/>
        </w:rPr>
        <w:t>inter alia</w:t>
      </w:r>
      <w:r w:rsidR="00B7569D" w:rsidRPr="005948DE">
        <w:rPr>
          <w:rFonts w:ascii="Times New Roman" w:hAnsi="Times New Roman" w:cs="Times New Roman"/>
          <w:lang w:val="en-GB"/>
        </w:rPr>
        <w:t>,</w:t>
      </w:r>
      <w:r w:rsidR="00AB2B82" w:rsidRPr="005948DE">
        <w:rPr>
          <w:rFonts w:ascii="Times New Roman" w:hAnsi="Times New Roman" w:cs="Times New Roman"/>
          <w:lang w:val="en-GB"/>
        </w:rPr>
        <w:t xml:space="preserve"> </w:t>
      </w:r>
      <w:r w:rsidRPr="005948DE">
        <w:rPr>
          <w:rFonts w:ascii="Times New Roman" w:hAnsi="Times New Roman" w:cs="Times New Roman"/>
          <w:lang w:val="en-GB"/>
        </w:rPr>
        <w:t>include obligations</w:t>
      </w:r>
      <w:r w:rsidR="00AB2B82" w:rsidRPr="005948DE">
        <w:rPr>
          <w:rFonts w:ascii="Times New Roman" w:hAnsi="Times New Roman" w:cs="Times New Roman"/>
          <w:lang w:val="en-GB"/>
        </w:rPr>
        <w:t xml:space="preserve"> to:</w:t>
      </w:r>
    </w:p>
    <w:p w14:paraId="30499A89" w14:textId="637914D9" w:rsidR="00A464E3" w:rsidRPr="0005515F" w:rsidRDefault="00945C72" w:rsidP="00665F55">
      <w:pPr>
        <w:pStyle w:val="ListParagraph"/>
        <w:widowControl w:val="0"/>
        <w:numPr>
          <w:ilvl w:val="0"/>
          <w:numId w:val="229"/>
        </w:numPr>
        <w:autoSpaceDE w:val="0"/>
        <w:autoSpaceDN w:val="0"/>
        <w:adjustRightInd w:val="0"/>
        <w:spacing w:after="120" w:line="276" w:lineRule="auto"/>
        <w:ind w:left="426"/>
        <w:jc w:val="both"/>
        <w:rPr>
          <w:rFonts w:eastAsia="Calibri"/>
          <w:color w:val="000000" w:themeColor="text1"/>
        </w:rPr>
      </w:pPr>
      <w:r w:rsidRPr="00665F55">
        <w:rPr>
          <w:rFonts w:ascii="Times New Roman" w:eastAsia="Calibri" w:hAnsi="Times New Roman" w:cs="Times New Roman"/>
          <w:color w:val="000000" w:themeColor="text1"/>
        </w:rPr>
        <w:t xml:space="preserve">carry out </w:t>
      </w:r>
      <w:r w:rsidR="0028789E" w:rsidRPr="00665F55">
        <w:rPr>
          <w:rFonts w:ascii="Times New Roman" w:eastAsia="Calibri" w:hAnsi="Times New Roman" w:cs="Times New Roman"/>
          <w:color w:val="000000" w:themeColor="text1"/>
        </w:rPr>
        <w:t>LSG’s s</w:t>
      </w:r>
      <w:r w:rsidRPr="00665F55">
        <w:rPr>
          <w:rFonts w:ascii="Times New Roman" w:eastAsia="Calibri" w:hAnsi="Times New Roman" w:cs="Times New Roman"/>
          <w:color w:val="000000" w:themeColor="text1"/>
        </w:rPr>
        <w:t xml:space="preserve">ubproject with due diligence and efficiency and in accordance with sound technical, economic, financial, managerial, environmental and social standards and practices satisfactory to the Bank (including carrying out the applicable measures and actions specified in the ESCP with due diligence and efficiency, and as further specified in the ESCP), the Anti-Corruption Guidelines applicable to recipients of loan proceeds other than the </w:t>
      </w:r>
      <w:r w:rsidRPr="004B03E6">
        <w:t>Borrower</w:t>
      </w:r>
      <w:r w:rsidRPr="00665F55">
        <w:rPr>
          <w:rFonts w:ascii="Times New Roman" w:eastAsia="Calibri" w:hAnsi="Times New Roman" w:cs="Times New Roman"/>
          <w:color w:val="000000" w:themeColor="text1"/>
        </w:rPr>
        <w:t xml:space="preserve">, the </w:t>
      </w:r>
      <w:r w:rsidR="00A464E3" w:rsidRPr="00665F55">
        <w:rPr>
          <w:rFonts w:ascii="Times New Roman" w:eastAsia="Calibri" w:hAnsi="Times New Roman" w:cs="Times New Roman"/>
          <w:color w:val="000000" w:themeColor="text1"/>
        </w:rPr>
        <w:t xml:space="preserve">POGM </w:t>
      </w:r>
      <w:r w:rsidRPr="00665F55">
        <w:rPr>
          <w:rFonts w:ascii="Times New Roman" w:eastAsia="Calibri" w:hAnsi="Times New Roman" w:cs="Times New Roman"/>
          <w:color w:val="000000" w:themeColor="text1"/>
        </w:rPr>
        <w:t>and th</w:t>
      </w:r>
      <w:r w:rsidR="002830E8" w:rsidRPr="00665F55">
        <w:rPr>
          <w:rFonts w:ascii="Times New Roman" w:eastAsia="Calibri" w:hAnsi="Times New Roman" w:cs="Times New Roman"/>
          <w:color w:val="000000" w:themeColor="text1"/>
        </w:rPr>
        <w:t xml:space="preserve">e </w:t>
      </w:r>
      <w:r w:rsidR="00E27FDF">
        <w:rPr>
          <w:rFonts w:ascii="Times New Roman" w:eastAsia="Calibri" w:hAnsi="Times New Roman" w:cs="Times New Roman"/>
          <w:color w:val="000000" w:themeColor="text1"/>
        </w:rPr>
        <w:t>LA</w:t>
      </w:r>
      <w:r w:rsidRPr="00665F55">
        <w:rPr>
          <w:rFonts w:ascii="Times New Roman" w:eastAsia="Calibri" w:hAnsi="Times New Roman" w:cs="Times New Roman"/>
          <w:color w:val="000000" w:themeColor="text1"/>
        </w:rPr>
        <w:t>; maintain policies and procedures adequate to enable monitor</w:t>
      </w:r>
      <w:r w:rsidR="00A464E3" w:rsidRPr="00665F55">
        <w:rPr>
          <w:rFonts w:ascii="Times New Roman" w:eastAsia="Calibri" w:hAnsi="Times New Roman" w:cs="Times New Roman"/>
          <w:color w:val="000000" w:themeColor="text1"/>
        </w:rPr>
        <w:t>ing</w:t>
      </w:r>
      <w:r w:rsidRPr="00665F55">
        <w:rPr>
          <w:rFonts w:ascii="Times New Roman" w:eastAsia="Calibri" w:hAnsi="Times New Roman" w:cs="Times New Roman"/>
          <w:color w:val="000000" w:themeColor="text1"/>
        </w:rPr>
        <w:t xml:space="preserve"> and </w:t>
      </w:r>
      <w:r w:rsidR="00A464E3" w:rsidRPr="00665F55">
        <w:rPr>
          <w:rFonts w:ascii="Times New Roman" w:eastAsia="Calibri" w:hAnsi="Times New Roman" w:cs="Times New Roman"/>
          <w:color w:val="000000" w:themeColor="text1"/>
        </w:rPr>
        <w:t xml:space="preserve">evaluation </w:t>
      </w:r>
      <w:r w:rsidRPr="00665F55">
        <w:rPr>
          <w:rFonts w:ascii="Times New Roman" w:eastAsia="Calibri" w:hAnsi="Times New Roman" w:cs="Times New Roman"/>
          <w:color w:val="000000" w:themeColor="text1"/>
        </w:rPr>
        <w:t xml:space="preserve">in accordance with indicators acceptable to the Bank, </w:t>
      </w:r>
      <w:r w:rsidR="00A464E3" w:rsidRPr="00665F55">
        <w:rPr>
          <w:rFonts w:ascii="Times New Roman" w:eastAsia="Calibri" w:hAnsi="Times New Roman" w:cs="Times New Roman"/>
          <w:color w:val="000000" w:themeColor="text1"/>
        </w:rPr>
        <w:t xml:space="preserve">of </w:t>
      </w:r>
      <w:r w:rsidRPr="00665F55">
        <w:rPr>
          <w:rFonts w:ascii="Times New Roman" w:eastAsia="Calibri" w:hAnsi="Times New Roman" w:cs="Times New Roman"/>
          <w:color w:val="000000" w:themeColor="text1"/>
        </w:rPr>
        <w:t xml:space="preserve">the progress of the </w:t>
      </w:r>
      <w:r w:rsidR="00E27FDF">
        <w:rPr>
          <w:rFonts w:ascii="Times New Roman" w:eastAsia="Calibri" w:hAnsi="Times New Roman" w:cs="Times New Roman"/>
          <w:color w:val="000000" w:themeColor="text1"/>
        </w:rPr>
        <w:t>s</w:t>
      </w:r>
      <w:r w:rsidRPr="00665F55">
        <w:rPr>
          <w:rFonts w:ascii="Times New Roman" w:eastAsia="Calibri" w:hAnsi="Times New Roman" w:cs="Times New Roman"/>
          <w:color w:val="000000" w:themeColor="text1"/>
        </w:rPr>
        <w:t>ubproject</w:t>
      </w:r>
      <w:r w:rsidR="00E27FDF">
        <w:rPr>
          <w:rFonts w:ascii="Times New Roman" w:eastAsia="Calibri" w:hAnsi="Times New Roman" w:cs="Times New Roman"/>
          <w:color w:val="000000" w:themeColor="text1"/>
        </w:rPr>
        <w:t>s</w:t>
      </w:r>
      <w:r w:rsidRPr="00665F55">
        <w:rPr>
          <w:rFonts w:ascii="Times New Roman" w:eastAsia="Calibri" w:hAnsi="Times New Roman" w:cs="Times New Roman"/>
          <w:color w:val="000000" w:themeColor="text1"/>
        </w:rPr>
        <w:t xml:space="preserve"> and the achievement of </w:t>
      </w:r>
      <w:r w:rsidR="00E27FDF">
        <w:rPr>
          <w:rFonts w:ascii="Times New Roman" w:eastAsia="Calibri" w:hAnsi="Times New Roman" w:cs="Times New Roman"/>
          <w:color w:val="000000" w:themeColor="text1"/>
        </w:rPr>
        <w:t>their</w:t>
      </w:r>
      <w:r w:rsidR="00E27FDF" w:rsidRPr="00665F55">
        <w:rPr>
          <w:rFonts w:ascii="Times New Roman" w:eastAsia="Calibri" w:hAnsi="Times New Roman" w:cs="Times New Roman"/>
          <w:color w:val="000000" w:themeColor="text1"/>
        </w:rPr>
        <w:t xml:space="preserve"> </w:t>
      </w:r>
      <w:r w:rsidRPr="00665F55">
        <w:rPr>
          <w:rFonts w:ascii="Times New Roman" w:eastAsia="Calibri" w:hAnsi="Times New Roman" w:cs="Times New Roman"/>
          <w:color w:val="000000" w:themeColor="text1"/>
        </w:rPr>
        <w:t>objectives</w:t>
      </w:r>
      <w:r w:rsidR="00A464E3" w:rsidRPr="00665F55">
        <w:rPr>
          <w:rFonts w:ascii="Times New Roman" w:eastAsia="Calibri" w:hAnsi="Times New Roman" w:cs="Times New Roman"/>
          <w:color w:val="000000" w:themeColor="text1"/>
        </w:rPr>
        <w:t>, p</w:t>
      </w:r>
      <w:r w:rsidR="00AB2B82" w:rsidRPr="00665F55">
        <w:rPr>
          <w:rFonts w:ascii="Times New Roman" w:eastAsia="Calibri" w:hAnsi="Times New Roman" w:cs="Times New Roman"/>
          <w:color w:val="000000" w:themeColor="text1"/>
        </w:rPr>
        <w:t>articipate in informal daily works supervision according to the national legislation;</w:t>
      </w:r>
    </w:p>
    <w:p w14:paraId="59BDAC91" w14:textId="3721A36C" w:rsidR="00AB2B82" w:rsidRPr="00665F55" w:rsidRDefault="00AB2B82" w:rsidP="00A464E3">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665F55">
        <w:rPr>
          <w:rFonts w:ascii="Times New Roman" w:eastAsia="Calibri" w:hAnsi="Times New Roman" w:cs="Times New Roman"/>
          <w:color w:val="000000" w:themeColor="text1"/>
        </w:rPr>
        <w:t xml:space="preserve">Monitor the performance of the civil works </w:t>
      </w:r>
      <w:r w:rsidR="00A464E3">
        <w:rPr>
          <w:rFonts w:ascii="Times New Roman" w:eastAsia="Calibri" w:hAnsi="Times New Roman" w:cs="Times New Roman"/>
          <w:color w:val="000000" w:themeColor="text1"/>
        </w:rPr>
        <w:t>c</w:t>
      </w:r>
      <w:r w:rsidR="00A464E3" w:rsidRPr="00665F55">
        <w:rPr>
          <w:rFonts w:ascii="Times New Roman" w:eastAsia="Calibri" w:hAnsi="Times New Roman" w:cs="Times New Roman"/>
          <w:color w:val="000000" w:themeColor="text1"/>
        </w:rPr>
        <w:t>ontractor</w:t>
      </w:r>
      <w:r w:rsidRPr="00665F55">
        <w:rPr>
          <w:rFonts w:ascii="Times New Roman" w:eastAsia="Calibri" w:hAnsi="Times New Roman" w:cs="Times New Roman"/>
          <w:color w:val="000000" w:themeColor="text1"/>
        </w:rPr>
        <w:t>;</w:t>
      </w:r>
    </w:p>
    <w:p w14:paraId="5C92099F" w14:textId="208730DD"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Monitor the performance of the supervision </w:t>
      </w:r>
      <w:r w:rsidR="00A464E3">
        <w:rPr>
          <w:rFonts w:ascii="Times New Roman" w:eastAsia="Calibri" w:hAnsi="Times New Roman" w:cs="Times New Roman"/>
          <w:color w:val="000000" w:themeColor="text1"/>
        </w:rPr>
        <w:t>c</w:t>
      </w:r>
      <w:r w:rsidR="00A464E3" w:rsidRPr="005948DE">
        <w:rPr>
          <w:rFonts w:ascii="Times New Roman" w:eastAsia="Calibri" w:hAnsi="Times New Roman" w:cs="Times New Roman"/>
          <w:color w:val="000000" w:themeColor="text1"/>
        </w:rPr>
        <w:t>ontractor</w:t>
      </w:r>
      <w:r w:rsidRPr="005948DE">
        <w:rPr>
          <w:rFonts w:ascii="Times New Roman" w:eastAsia="Calibri" w:hAnsi="Times New Roman" w:cs="Times New Roman"/>
          <w:color w:val="000000" w:themeColor="text1"/>
        </w:rPr>
        <w:t>;</w:t>
      </w:r>
    </w:p>
    <w:p w14:paraId="6987F585" w14:textId="77777777"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Resolve land acquisition issues and provide the PIU with information relevant for preparation of resettlement instruments, if any;</w:t>
      </w:r>
    </w:p>
    <w:p w14:paraId="1FE2EA93" w14:textId="75AAEAFC" w:rsidR="00AB2B82" w:rsidRPr="005948DE" w:rsidRDefault="00A464E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Pr>
          <w:rFonts w:ascii="Times New Roman" w:eastAsia="Calibri" w:hAnsi="Times New Roman" w:cs="Times New Roman"/>
          <w:color w:val="000000" w:themeColor="text1"/>
        </w:rPr>
        <w:t>Obtain</w:t>
      </w:r>
      <w:r w:rsidRPr="005948DE">
        <w:rPr>
          <w:rFonts w:ascii="Times New Roman" w:eastAsia="Calibri" w:hAnsi="Times New Roman" w:cs="Times New Roman"/>
          <w:color w:val="000000" w:themeColor="text1"/>
        </w:rPr>
        <w:t xml:space="preserve"> </w:t>
      </w:r>
      <w:r>
        <w:rPr>
          <w:rFonts w:ascii="Times New Roman" w:eastAsia="Calibri" w:hAnsi="Times New Roman" w:cs="Times New Roman"/>
          <w:color w:val="000000" w:themeColor="text1"/>
        </w:rPr>
        <w:t>c</w:t>
      </w:r>
      <w:r w:rsidRPr="005948DE">
        <w:rPr>
          <w:rFonts w:ascii="Times New Roman" w:eastAsia="Calibri" w:hAnsi="Times New Roman" w:cs="Times New Roman"/>
          <w:color w:val="000000" w:themeColor="text1"/>
        </w:rPr>
        <w:t xml:space="preserve">onstruction </w:t>
      </w:r>
      <w:r w:rsidR="00AB2B82" w:rsidRPr="005948DE">
        <w:rPr>
          <w:rFonts w:ascii="Times New Roman" w:eastAsia="Calibri" w:hAnsi="Times New Roman" w:cs="Times New Roman"/>
          <w:color w:val="000000" w:themeColor="text1"/>
        </w:rPr>
        <w:t>permit according to the national legislation;</w:t>
      </w:r>
    </w:p>
    <w:p w14:paraId="5F4DDB86" w14:textId="3905BAF6"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Provide access to the site to the </w:t>
      </w:r>
      <w:r w:rsidR="00A464E3">
        <w:rPr>
          <w:rFonts w:ascii="Times New Roman" w:eastAsia="Calibri" w:hAnsi="Times New Roman" w:cs="Times New Roman"/>
          <w:color w:val="000000" w:themeColor="text1"/>
        </w:rPr>
        <w:t>c</w:t>
      </w:r>
      <w:r w:rsidR="00A464E3" w:rsidRPr="005948DE">
        <w:rPr>
          <w:rFonts w:ascii="Times New Roman" w:eastAsia="Calibri" w:hAnsi="Times New Roman" w:cs="Times New Roman"/>
          <w:color w:val="000000" w:themeColor="text1"/>
        </w:rPr>
        <w:t>ontractor</w:t>
      </w:r>
      <w:r w:rsidRPr="005948DE">
        <w:rPr>
          <w:rFonts w:ascii="Times New Roman" w:eastAsia="Calibri" w:hAnsi="Times New Roman" w:cs="Times New Roman"/>
          <w:color w:val="000000" w:themeColor="text1"/>
        </w:rPr>
        <w:t xml:space="preserve">; </w:t>
      </w:r>
    </w:p>
    <w:p w14:paraId="48EB8084" w14:textId="616E2B83"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Interact with the designers and design auditors under administrative and technical support by the PIU and </w:t>
      </w:r>
      <w:r w:rsidR="00B72C63" w:rsidRPr="005948DE">
        <w:rPr>
          <w:rFonts w:ascii="Times New Roman" w:eastAsia="Calibri" w:hAnsi="Times New Roman" w:cs="Times New Roman"/>
          <w:color w:val="000000" w:themeColor="text1"/>
        </w:rPr>
        <w:t xml:space="preserve">the Urban </w:t>
      </w:r>
      <w:r w:rsidR="00A464E3">
        <w:rPr>
          <w:rFonts w:ascii="Times New Roman" w:eastAsia="Calibri" w:hAnsi="Times New Roman" w:cs="Times New Roman"/>
          <w:color w:val="000000" w:themeColor="text1"/>
        </w:rPr>
        <w:t>M</w:t>
      </w:r>
      <w:r w:rsidR="00A464E3" w:rsidRPr="005948DE">
        <w:rPr>
          <w:rFonts w:ascii="Times New Roman" w:eastAsia="Calibri" w:hAnsi="Times New Roman" w:cs="Times New Roman"/>
          <w:color w:val="000000" w:themeColor="text1"/>
        </w:rPr>
        <w:t xml:space="preserve">obility </w:t>
      </w:r>
      <w:r w:rsidR="00B72C63" w:rsidRPr="005948DE">
        <w:rPr>
          <w:rFonts w:ascii="Times New Roman" w:eastAsia="Calibri" w:hAnsi="Times New Roman" w:cs="Times New Roman"/>
          <w:color w:val="000000" w:themeColor="text1"/>
        </w:rPr>
        <w:t>experts/transport planners/traffic engineers</w:t>
      </w:r>
      <w:r w:rsidR="00A464E3" w:rsidRPr="005948DE">
        <w:rPr>
          <w:rFonts w:ascii="Times New Roman" w:eastAsia="Calibri" w:hAnsi="Times New Roman" w:cs="Times New Roman"/>
          <w:color w:val="000000" w:themeColor="text1"/>
        </w:rPr>
        <w:t>;</w:t>
      </w:r>
    </w:p>
    <w:p w14:paraId="0DAE23D2" w14:textId="38B34392"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Check and </w:t>
      </w:r>
      <w:r w:rsidR="00A464E3" w:rsidRPr="005948DE">
        <w:rPr>
          <w:rFonts w:ascii="Times New Roman" w:eastAsia="Calibri" w:hAnsi="Times New Roman" w:cs="Times New Roman"/>
          <w:color w:val="000000" w:themeColor="text1"/>
        </w:rPr>
        <w:t>approv</w:t>
      </w:r>
      <w:r w:rsidR="00A464E3">
        <w:rPr>
          <w:rFonts w:ascii="Times New Roman" w:eastAsia="Calibri" w:hAnsi="Times New Roman" w:cs="Times New Roman"/>
          <w:color w:val="000000" w:themeColor="text1"/>
        </w:rPr>
        <w:t>e</w:t>
      </w:r>
      <w:r w:rsidR="00A464E3" w:rsidRPr="005948DE">
        <w:rPr>
          <w:rFonts w:ascii="Times New Roman" w:eastAsia="Calibri" w:hAnsi="Times New Roman" w:cs="Times New Roman"/>
          <w:color w:val="000000" w:themeColor="text1"/>
        </w:rPr>
        <w:t xml:space="preserve"> </w:t>
      </w:r>
      <w:r w:rsidR="00A464E3">
        <w:rPr>
          <w:rFonts w:ascii="Times New Roman" w:eastAsia="Calibri" w:hAnsi="Times New Roman" w:cs="Times New Roman"/>
          <w:color w:val="000000" w:themeColor="text1"/>
        </w:rPr>
        <w:t>i</w:t>
      </w:r>
      <w:r w:rsidRPr="005948DE">
        <w:rPr>
          <w:rFonts w:ascii="Times New Roman" w:eastAsia="Calibri" w:hAnsi="Times New Roman" w:cs="Times New Roman"/>
          <w:color w:val="000000" w:themeColor="text1"/>
        </w:rPr>
        <w:t>nterim payment certificates</w:t>
      </w:r>
      <w:r w:rsidR="00B72C63" w:rsidRPr="005948DE">
        <w:rPr>
          <w:rFonts w:ascii="Times New Roman" w:eastAsia="Calibri" w:hAnsi="Times New Roman" w:cs="Times New Roman"/>
          <w:color w:val="000000" w:themeColor="text1"/>
        </w:rPr>
        <w:t xml:space="preserve"> certified by the </w:t>
      </w:r>
      <w:r w:rsidR="00A464E3">
        <w:rPr>
          <w:rFonts w:ascii="Times New Roman" w:eastAsia="Calibri" w:hAnsi="Times New Roman" w:cs="Times New Roman"/>
          <w:color w:val="000000" w:themeColor="text1"/>
        </w:rPr>
        <w:t>e</w:t>
      </w:r>
      <w:r w:rsidR="00A464E3" w:rsidRPr="005948DE">
        <w:rPr>
          <w:rFonts w:ascii="Times New Roman" w:eastAsia="Calibri" w:hAnsi="Times New Roman" w:cs="Times New Roman"/>
          <w:color w:val="000000" w:themeColor="text1"/>
        </w:rPr>
        <w:t xml:space="preserve">ngineer </w:t>
      </w:r>
      <w:r w:rsidRPr="005948DE">
        <w:rPr>
          <w:rFonts w:ascii="Times New Roman" w:eastAsia="Calibri" w:hAnsi="Times New Roman" w:cs="Times New Roman"/>
          <w:color w:val="000000" w:themeColor="text1"/>
        </w:rPr>
        <w:t>for works</w:t>
      </w:r>
      <w:r w:rsidR="00A464E3">
        <w:rPr>
          <w:rFonts w:ascii="Times New Roman" w:eastAsia="Calibri" w:hAnsi="Times New Roman" w:cs="Times New Roman"/>
          <w:color w:val="000000" w:themeColor="text1"/>
        </w:rPr>
        <w:t>,</w:t>
      </w:r>
      <w:r w:rsidRPr="005948DE">
        <w:rPr>
          <w:rFonts w:ascii="Times New Roman" w:eastAsia="Calibri" w:hAnsi="Times New Roman" w:cs="Times New Roman"/>
          <w:color w:val="000000" w:themeColor="text1"/>
        </w:rPr>
        <w:t xml:space="preserve"> and check and </w:t>
      </w:r>
      <w:r w:rsidR="00A464E3" w:rsidRPr="005948DE">
        <w:rPr>
          <w:rFonts w:ascii="Times New Roman" w:eastAsia="Calibri" w:hAnsi="Times New Roman" w:cs="Times New Roman"/>
          <w:color w:val="000000" w:themeColor="text1"/>
        </w:rPr>
        <w:t>approv</w:t>
      </w:r>
      <w:r w:rsidR="00A464E3">
        <w:rPr>
          <w:rFonts w:ascii="Times New Roman" w:eastAsia="Calibri" w:hAnsi="Times New Roman" w:cs="Times New Roman"/>
          <w:color w:val="000000" w:themeColor="text1"/>
        </w:rPr>
        <w:t>e</w:t>
      </w:r>
      <w:r w:rsidRPr="005948DE">
        <w:rPr>
          <w:rFonts w:ascii="Times New Roman" w:eastAsia="Calibri" w:hAnsi="Times New Roman" w:cs="Times New Roman"/>
          <w:color w:val="000000" w:themeColor="text1"/>
        </w:rPr>
        <w:t xml:space="preserve"> supervisors’ reports and invoices before submission for payment to the PIU</w:t>
      </w:r>
      <w:r w:rsidR="00A464E3" w:rsidRPr="005948DE">
        <w:rPr>
          <w:rFonts w:ascii="Times New Roman" w:eastAsia="Calibri" w:hAnsi="Times New Roman" w:cs="Times New Roman"/>
          <w:color w:val="000000" w:themeColor="text1"/>
        </w:rPr>
        <w:t>;</w:t>
      </w:r>
    </w:p>
    <w:p w14:paraId="6CA0D6EC" w14:textId="0DC9E333"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Issue an opinion on completed works under the relevant infrastructure investment before the final payment is made to contractors;</w:t>
      </w:r>
    </w:p>
    <w:p w14:paraId="36640AF7" w14:textId="62879F6F" w:rsidR="00945C72" w:rsidRPr="005948DE" w:rsidRDefault="00A464E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Pr>
          <w:rFonts w:ascii="Times New Roman" w:eastAsia="Calibri" w:hAnsi="Times New Roman" w:cs="Times New Roman"/>
          <w:color w:val="000000" w:themeColor="text1"/>
        </w:rPr>
        <w:t>M</w:t>
      </w:r>
      <w:r w:rsidR="00945C72" w:rsidRPr="005948DE">
        <w:rPr>
          <w:rFonts w:ascii="Times New Roman" w:eastAsia="Calibri" w:hAnsi="Times New Roman" w:cs="Times New Roman"/>
          <w:color w:val="000000" w:themeColor="text1"/>
        </w:rPr>
        <w:t xml:space="preserve">aintain a financial management system and prepare financial statements in accordance with consistently applied accounting standards acceptable to the Bank, both in a manner adequate to reflect its operations, including the operations, resources and expenditures related to the </w:t>
      </w:r>
      <w:r w:rsidR="00A577FD">
        <w:rPr>
          <w:rFonts w:ascii="Times New Roman" w:eastAsia="Calibri" w:hAnsi="Times New Roman" w:cs="Times New Roman"/>
          <w:color w:val="000000" w:themeColor="text1"/>
        </w:rPr>
        <w:t>s</w:t>
      </w:r>
      <w:r w:rsidR="00A577FD" w:rsidRPr="005948DE">
        <w:rPr>
          <w:rFonts w:ascii="Times New Roman" w:eastAsia="Calibri" w:hAnsi="Times New Roman" w:cs="Times New Roman"/>
          <w:color w:val="000000" w:themeColor="text1"/>
        </w:rPr>
        <w:t>ubproject</w:t>
      </w:r>
      <w:r w:rsidR="00A577FD">
        <w:rPr>
          <w:rFonts w:ascii="Times New Roman" w:eastAsia="Calibri" w:hAnsi="Times New Roman" w:cs="Times New Roman"/>
          <w:color w:val="000000" w:themeColor="text1"/>
        </w:rPr>
        <w:t>s</w:t>
      </w:r>
      <w:r w:rsidR="00945C72" w:rsidRPr="005948DE">
        <w:rPr>
          <w:rFonts w:ascii="Times New Roman" w:eastAsia="Calibri" w:hAnsi="Times New Roman" w:cs="Times New Roman"/>
          <w:color w:val="000000" w:themeColor="text1"/>
        </w:rPr>
        <w:t xml:space="preserve">; and at the Bank’s or the </w:t>
      </w:r>
      <w:r w:rsidR="00A577FD">
        <w:rPr>
          <w:rFonts w:ascii="Times New Roman" w:eastAsia="Calibri" w:hAnsi="Times New Roman" w:cs="Times New Roman"/>
          <w:color w:val="000000" w:themeColor="text1"/>
        </w:rPr>
        <w:t>M</w:t>
      </w:r>
      <w:r>
        <w:rPr>
          <w:rFonts w:ascii="Times New Roman" w:eastAsia="Calibri" w:hAnsi="Times New Roman" w:cs="Times New Roman"/>
          <w:color w:val="000000" w:themeColor="text1"/>
        </w:rPr>
        <w:t>CTI</w:t>
      </w:r>
      <w:r w:rsidRPr="005948DE">
        <w:rPr>
          <w:rFonts w:ascii="Times New Roman" w:eastAsia="Calibri" w:hAnsi="Times New Roman" w:cs="Times New Roman"/>
          <w:color w:val="000000" w:themeColor="text1"/>
        </w:rPr>
        <w:t xml:space="preserve">’s </w:t>
      </w:r>
      <w:r w:rsidR="00945C72" w:rsidRPr="005948DE">
        <w:rPr>
          <w:rFonts w:ascii="Times New Roman" w:eastAsia="Calibri" w:hAnsi="Times New Roman" w:cs="Times New Roman"/>
          <w:color w:val="000000" w:themeColor="text1"/>
        </w:rPr>
        <w:t xml:space="preserve">request, have such financial statements audited by independent auditors acceptable to the Bank, in accordance with consistently applied auditing standards acceptable to the Bank, and promptly furnish the statements as so audited to the </w:t>
      </w:r>
      <w:r w:rsidR="00A577FD">
        <w:rPr>
          <w:rFonts w:ascii="Times New Roman" w:eastAsia="Calibri" w:hAnsi="Times New Roman" w:cs="Times New Roman"/>
          <w:color w:val="000000" w:themeColor="text1"/>
        </w:rPr>
        <w:t>M</w:t>
      </w:r>
      <w:r>
        <w:rPr>
          <w:rFonts w:ascii="Times New Roman" w:eastAsia="Calibri" w:hAnsi="Times New Roman" w:cs="Times New Roman"/>
          <w:color w:val="000000" w:themeColor="text1"/>
        </w:rPr>
        <w:t xml:space="preserve">CTI </w:t>
      </w:r>
      <w:r w:rsidR="00945C72" w:rsidRPr="005948DE">
        <w:rPr>
          <w:rFonts w:ascii="Times New Roman" w:eastAsia="Calibri" w:hAnsi="Times New Roman" w:cs="Times New Roman"/>
          <w:color w:val="000000" w:themeColor="text1"/>
        </w:rPr>
        <w:t xml:space="preserve">and the Bank, and permit the Bank to make such statements as so audited available to the public, along with the </w:t>
      </w:r>
      <w:r>
        <w:rPr>
          <w:rFonts w:ascii="Times New Roman" w:eastAsia="Calibri" w:hAnsi="Times New Roman" w:cs="Times New Roman"/>
          <w:color w:val="000000" w:themeColor="text1"/>
        </w:rPr>
        <w:t>GA</w:t>
      </w:r>
      <w:r w:rsidR="00945C72" w:rsidRPr="005948DE">
        <w:rPr>
          <w:rFonts w:ascii="Times New Roman" w:eastAsia="Calibri" w:hAnsi="Times New Roman" w:cs="Times New Roman"/>
          <w:color w:val="000000" w:themeColor="text1"/>
        </w:rPr>
        <w:t xml:space="preserve">; </w:t>
      </w:r>
    </w:p>
    <w:p w14:paraId="71621F4E" w14:textId="77777777"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Carry out applicable measures and actions specified in the ESCP with due diligence and efficiency, and as further specified in the ESCP; and </w:t>
      </w:r>
    </w:p>
    <w:p w14:paraId="5C57F20A" w14:textId="07FC4BC1" w:rsidR="00AB2B8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Maintain the roads rehabilitated under the relevant infrastructure investment after a handover of said roads has been completed;</w:t>
      </w:r>
    </w:p>
    <w:p w14:paraId="0DAF1E17" w14:textId="4A591843" w:rsidR="00945C72" w:rsidRPr="005948DE" w:rsidRDefault="00AB2B82"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Establish and facilitate citizen engagement process and selection of interventions based on community preferences</w:t>
      </w:r>
      <w:r w:rsidR="00945C72" w:rsidRPr="005948DE">
        <w:rPr>
          <w:rFonts w:ascii="Times New Roman" w:eastAsia="Calibri" w:hAnsi="Times New Roman" w:cs="Times New Roman"/>
          <w:color w:val="000000" w:themeColor="text1"/>
        </w:rPr>
        <w:t>.</w:t>
      </w:r>
    </w:p>
    <w:p w14:paraId="77CFFD7A" w14:textId="0A339910" w:rsidR="00945C72" w:rsidRPr="005948DE" w:rsidRDefault="00945C72" w:rsidP="00A464E3">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enable the </w:t>
      </w:r>
      <w:r w:rsidR="00A577FD">
        <w:rPr>
          <w:rFonts w:ascii="Times New Roman" w:eastAsia="Calibri" w:hAnsi="Times New Roman" w:cs="Times New Roman"/>
          <w:color w:val="000000" w:themeColor="text1"/>
        </w:rPr>
        <w:t>M</w:t>
      </w:r>
      <w:r w:rsidR="00A464E3">
        <w:rPr>
          <w:rFonts w:ascii="Times New Roman" w:eastAsia="Calibri" w:hAnsi="Times New Roman" w:cs="Times New Roman"/>
          <w:color w:val="000000" w:themeColor="text1"/>
        </w:rPr>
        <w:t>CTI</w:t>
      </w:r>
      <w:r w:rsidR="00A464E3" w:rsidRPr="005948DE">
        <w:rPr>
          <w:rFonts w:ascii="Times New Roman" w:eastAsia="Calibri" w:hAnsi="Times New Roman" w:cs="Times New Roman"/>
          <w:color w:val="000000" w:themeColor="text1"/>
        </w:rPr>
        <w:t xml:space="preserve"> </w:t>
      </w:r>
      <w:r w:rsidRPr="005948DE">
        <w:rPr>
          <w:rFonts w:ascii="Times New Roman" w:eastAsia="Calibri" w:hAnsi="Times New Roman" w:cs="Times New Roman"/>
          <w:color w:val="000000" w:themeColor="text1"/>
        </w:rPr>
        <w:t xml:space="preserve">and the Bank to inspect the </w:t>
      </w:r>
      <w:r w:rsidR="00A577FD">
        <w:rPr>
          <w:rFonts w:ascii="Times New Roman" w:eastAsia="Calibri" w:hAnsi="Times New Roman" w:cs="Times New Roman"/>
          <w:color w:val="000000" w:themeColor="text1"/>
        </w:rPr>
        <w:t>s</w:t>
      </w:r>
      <w:r w:rsidR="00A577FD" w:rsidRPr="005948DE">
        <w:rPr>
          <w:rFonts w:ascii="Times New Roman" w:eastAsia="Calibri" w:hAnsi="Times New Roman" w:cs="Times New Roman"/>
          <w:color w:val="000000" w:themeColor="text1"/>
        </w:rPr>
        <w:t>ubproject</w:t>
      </w:r>
      <w:r w:rsidRPr="005948DE">
        <w:rPr>
          <w:rFonts w:ascii="Times New Roman" w:eastAsia="Calibri" w:hAnsi="Times New Roman" w:cs="Times New Roman"/>
          <w:color w:val="000000" w:themeColor="text1"/>
        </w:rPr>
        <w:t>, its operation and any relevant records and documents</w:t>
      </w:r>
      <w:r w:rsidR="00A464E3">
        <w:rPr>
          <w:rFonts w:ascii="Times New Roman" w:eastAsia="Calibri" w:hAnsi="Times New Roman" w:cs="Times New Roman"/>
          <w:color w:val="000000" w:themeColor="text1"/>
        </w:rPr>
        <w:t>.</w:t>
      </w:r>
    </w:p>
    <w:p w14:paraId="0E284049" w14:textId="3E386F9D" w:rsidR="00AB2B82" w:rsidRPr="005948DE" w:rsidRDefault="00AB2B82" w:rsidP="005948DE">
      <w:pPr>
        <w:widowControl w:val="0"/>
        <w:autoSpaceDE w:val="0"/>
        <w:autoSpaceDN w:val="0"/>
        <w:adjustRightInd w:val="0"/>
        <w:spacing w:after="120" w:line="276" w:lineRule="auto"/>
        <w:ind w:left="66"/>
        <w:jc w:val="both"/>
        <w:rPr>
          <w:rFonts w:ascii="Times New Roman" w:hAnsi="Times New Roman" w:cs="Times New Roman"/>
          <w:color w:val="FF0000"/>
        </w:rPr>
      </w:pPr>
      <w:r w:rsidRPr="005948DE">
        <w:rPr>
          <w:rFonts w:ascii="Times New Roman" w:hAnsi="Times New Roman" w:cs="Times New Roman"/>
          <w:color w:val="000000" w:themeColor="text1"/>
        </w:rPr>
        <w:t xml:space="preserve">The </w:t>
      </w:r>
      <w:r w:rsidR="001F4367" w:rsidRPr="005948DE">
        <w:rPr>
          <w:rFonts w:ascii="Times New Roman" w:hAnsi="Times New Roman" w:cs="Times New Roman"/>
          <w:color w:val="000000" w:themeColor="text1"/>
        </w:rPr>
        <w:t>LSG</w:t>
      </w:r>
      <w:r w:rsidRPr="005948DE">
        <w:rPr>
          <w:rFonts w:ascii="Times New Roman" w:hAnsi="Times New Roman" w:cs="Times New Roman"/>
          <w:color w:val="000000" w:themeColor="text1"/>
        </w:rPr>
        <w:t xml:space="preserve"> shall nominate a </w:t>
      </w:r>
      <w:r w:rsidR="00A464E3">
        <w:rPr>
          <w:rFonts w:ascii="Times New Roman" w:hAnsi="Times New Roman" w:cs="Times New Roman"/>
          <w:color w:val="000000" w:themeColor="text1"/>
        </w:rPr>
        <w:t>l</w:t>
      </w:r>
      <w:r w:rsidRPr="005948DE">
        <w:rPr>
          <w:rFonts w:ascii="Times New Roman" w:hAnsi="Times New Roman" w:cs="Times New Roman"/>
          <w:color w:val="000000" w:themeColor="text1"/>
        </w:rPr>
        <w:t xml:space="preserve">ocal </w:t>
      </w:r>
      <w:r w:rsidR="00A464E3">
        <w:rPr>
          <w:rFonts w:ascii="Times New Roman" w:hAnsi="Times New Roman" w:cs="Times New Roman"/>
          <w:color w:val="000000" w:themeColor="text1"/>
        </w:rPr>
        <w:t>C</w:t>
      </w:r>
      <w:r w:rsidRPr="005948DE">
        <w:rPr>
          <w:rFonts w:ascii="Times New Roman" w:hAnsi="Times New Roman" w:cs="Times New Roman"/>
          <w:color w:val="000000" w:themeColor="text1"/>
        </w:rPr>
        <w:t xml:space="preserve">oordinator responsible for overall coordination, implementation, monitoring and reporting on the LSG’s </w:t>
      </w:r>
      <w:r w:rsidR="00A464E3">
        <w:rPr>
          <w:rFonts w:ascii="Times New Roman" w:hAnsi="Times New Roman" w:cs="Times New Roman"/>
          <w:color w:val="000000" w:themeColor="text1"/>
        </w:rPr>
        <w:t>subproject</w:t>
      </w:r>
      <w:r w:rsidRPr="005948DE">
        <w:rPr>
          <w:rFonts w:ascii="Times New Roman" w:hAnsi="Times New Roman" w:cs="Times New Roman"/>
          <w:color w:val="000000" w:themeColor="text1"/>
        </w:rPr>
        <w:t xml:space="preserve"> implementation in a timely, efficient and effective manner and inform in writing the </w:t>
      </w:r>
      <w:r w:rsidR="00A577FD">
        <w:rPr>
          <w:rFonts w:ascii="Times New Roman" w:hAnsi="Times New Roman" w:cs="Times New Roman"/>
          <w:color w:val="000000" w:themeColor="text1"/>
        </w:rPr>
        <w:t>M</w:t>
      </w:r>
      <w:r w:rsidR="00A464E3">
        <w:rPr>
          <w:rFonts w:ascii="Times New Roman" w:hAnsi="Times New Roman" w:cs="Times New Roman"/>
          <w:color w:val="000000" w:themeColor="text1"/>
        </w:rPr>
        <w:t>CTI</w:t>
      </w:r>
      <w:r w:rsidRPr="005948DE">
        <w:rPr>
          <w:rFonts w:ascii="Times New Roman" w:hAnsi="Times New Roman" w:cs="Times New Roman"/>
          <w:color w:val="000000" w:themeColor="text1"/>
        </w:rPr>
        <w:t xml:space="preserve"> and the PI</w:t>
      </w:r>
      <w:r w:rsidRPr="005948DE">
        <w:rPr>
          <w:rFonts w:ascii="Times New Roman" w:hAnsi="Times New Roman" w:cs="Times New Roman"/>
        </w:rPr>
        <w:t>U</w:t>
      </w:r>
      <w:r w:rsidR="006B72B5" w:rsidRPr="005948DE">
        <w:rPr>
          <w:rFonts w:ascii="Times New Roman" w:hAnsi="Times New Roman" w:cs="Times New Roman"/>
        </w:rPr>
        <w:t xml:space="preserve">. </w:t>
      </w:r>
    </w:p>
    <w:p w14:paraId="3936F322" w14:textId="32FB8925" w:rsidR="00AB2B82" w:rsidRPr="005948DE" w:rsidRDefault="00AB2B82" w:rsidP="005948DE">
      <w:pPr>
        <w:spacing w:after="120" w:line="276" w:lineRule="auto"/>
        <w:jc w:val="both"/>
        <w:rPr>
          <w:rFonts w:ascii="Times New Roman" w:eastAsia="Calibri" w:hAnsi="Times New Roman" w:cs="Times New Roman"/>
          <w:color w:val="000000" w:themeColor="text1"/>
        </w:rPr>
      </w:pPr>
      <w:r w:rsidRPr="005948DE">
        <w:rPr>
          <w:rFonts w:ascii="Times New Roman" w:hAnsi="Times New Roman" w:cs="Times New Roman"/>
          <w:color w:val="000000" w:themeColor="text1"/>
        </w:rPr>
        <w:t xml:space="preserve">The LSG shall establish a project specific project team led by the </w:t>
      </w:r>
      <w:r w:rsidR="00A464E3">
        <w:rPr>
          <w:rFonts w:ascii="Times New Roman" w:hAnsi="Times New Roman" w:cs="Times New Roman"/>
          <w:color w:val="000000" w:themeColor="text1"/>
        </w:rPr>
        <w:t>l</w:t>
      </w:r>
      <w:r w:rsidRPr="005948DE">
        <w:rPr>
          <w:rFonts w:ascii="Times New Roman" w:hAnsi="Times New Roman" w:cs="Times New Roman"/>
          <w:color w:val="000000" w:themeColor="text1"/>
        </w:rPr>
        <w:t xml:space="preserve">ocal </w:t>
      </w:r>
      <w:r w:rsidR="00A464E3">
        <w:rPr>
          <w:rFonts w:ascii="Times New Roman" w:hAnsi="Times New Roman" w:cs="Times New Roman"/>
          <w:color w:val="000000" w:themeColor="text1"/>
        </w:rPr>
        <w:t>C</w:t>
      </w:r>
      <w:r w:rsidRPr="005948DE">
        <w:rPr>
          <w:rFonts w:ascii="Times New Roman" w:hAnsi="Times New Roman" w:cs="Times New Roman"/>
          <w:color w:val="000000" w:themeColor="text1"/>
        </w:rPr>
        <w:t>oordinator, responsible for direct preparation,</w:t>
      </w:r>
      <w:r w:rsidR="00321D30" w:rsidRPr="005948DE">
        <w:rPr>
          <w:rFonts w:ascii="Times New Roman" w:hAnsi="Times New Roman" w:cs="Times New Roman"/>
          <w:color w:val="000000" w:themeColor="text1"/>
        </w:rPr>
        <w:t xml:space="preserve"> procurement,</w:t>
      </w:r>
      <w:r w:rsidRPr="005948DE">
        <w:rPr>
          <w:rFonts w:ascii="Times New Roman" w:hAnsi="Times New Roman" w:cs="Times New Roman"/>
          <w:color w:val="000000" w:themeColor="text1"/>
        </w:rPr>
        <w:t xml:space="preserve"> implementation and monitoring of the investment.</w:t>
      </w:r>
      <w:r w:rsidR="00921B17" w:rsidRPr="005948DE">
        <w:rPr>
          <w:rFonts w:ascii="Times New Roman" w:hAnsi="Times New Roman" w:cs="Times New Roman"/>
          <w:color w:val="000000" w:themeColor="text1"/>
        </w:rPr>
        <w:t xml:space="preserve"> </w:t>
      </w:r>
    </w:p>
    <w:p w14:paraId="0C1A2530" w14:textId="242A2C3C" w:rsidR="00AB2B82" w:rsidRPr="005948DE" w:rsidRDefault="00AB2B82"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Whenever required, </w:t>
      </w:r>
      <w:r w:rsidR="00A464E3">
        <w:rPr>
          <w:rFonts w:ascii="Times New Roman" w:hAnsi="Times New Roman" w:cs="Times New Roman"/>
          <w:color w:val="000000" w:themeColor="text1"/>
        </w:rPr>
        <w:t>the</w:t>
      </w:r>
      <w:r w:rsidRPr="005948DE">
        <w:rPr>
          <w:rFonts w:ascii="Times New Roman" w:hAnsi="Times New Roman" w:cs="Times New Roman"/>
          <w:color w:val="000000" w:themeColor="text1"/>
        </w:rPr>
        <w:t xml:space="preserve"> LSG shall set up an internal structure by nominating an appropriate number of technical experts (civil works, environmental and social, traffic) to enable the LSG to carry out the infrastructure investment activities as per the </w:t>
      </w:r>
      <w:r w:rsidR="00321D30" w:rsidRPr="005948DE">
        <w:rPr>
          <w:rFonts w:ascii="Times New Roman" w:hAnsi="Times New Roman" w:cs="Times New Roman"/>
          <w:color w:val="000000" w:themeColor="text1"/>
        </w:rPr>
        <w:t>FA and GA</w:t>
      </w:r>
      <w:r w:rsidRPr="005948DE">
        <w:rPr>
          <w:rFonts w:ascii="Times New Roman" w:hAnsi="Times New Roman" w:cs="Times New Roman"/>
          <w:color w:val="000000" w:themeColor="text1"/>
        </w:rPr>
        <w:t xml:space="preserve"> requirements. The CVs of the nominated technical experts shall be attached to the letter of information sent to the </w:t>
      </w:r>
      <w:r w:rsidR="002A3320" w:rsidRPr="005948DE">
        <w:rPr>
          <w:rFonts w:ascii="Times New Roman" w:hAnsi="Times New Roman" w:cs="Times New Roman"/>
          <w:color w:val="000000" w:themeColor="text1"/>
        </w:rPr>
        <w:t>MCTI</w:t>
      </w:r>
      <w:r w:rsidRPr="005948DE">
        <w:rPr>
          <w:rFonts w:ascii="Times New Roman" w:hAnsi="Times New Roman" w:cs="Times New Roman"/>
          <w:color w:val="000000" w:themeColor="text1"/>
        </w:rPr>
        <w:t xml:space="preserve"> with a copy to the Head of </w:t>
      </w:r>
      <w:r w:rsidR="00A464E3">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PIU.</w:t>
      </w:r>
    </w:p>
    <w:p w14:paraId="5818E88A" w14:textId="539C2487" w:rsidR="00AB2B82" w:rsidRPr="005948DE" w:rsidRDefault="00A464E3" w:rsidP="005948DE">
      <w:pPr>
        <w:pStyle w:val="ps"/>
        <w:spacing w:before="0" w:after="120" w:line="276" w:lineRule="auto"/>
        <w:ind w:left="0" w:firstLine="0"/>
        <w:rPr>
          <w:rFonts w:ascii="Times New Roman" w:hAnsi="Times New Roman" w:cs="Times New Roman"/>
          <w:lang w:val="en-GB"/>
        </w:rPr>
      </w:pPr>
      <w:r>
        <w:rPr>
          <w:rFonts w:ascii="Times New Roman" w:hAnsi="Times New Roman" w:cs="Times New Roman"/>
          <w:color w:val="000000" w:themeColor="text1"/>
          <w:lang w:val="en-GB"/>
        </w:rPr>
        <w:t xml:space="preserve">The </w:t>
      </w:r>
      <w:r w:rsidR="00AB2B82" w:rsidRPr="005948DE">
        <w:rPr>
          <w:rFonts w:ascii="Times New Roman" w:hAnsi="Times New Roman" w:cs="Times New Roman"/>
          <w:color w:val="000000" w:themeColor="text1"/>
          <w:lang w:val="en-GB"/>
        </w:rPr>
        <w:t xml:space="preserve">LSGs will be responsible to implement the SEP and citizen engagement </w:t>
      </w:r>
      <w:r w:rsidR="00911CC9" w:rsidRPr="005948DE">
        <w:rPr>
          <w:rFonts w:ascii="Times New Roman" w:hAnsi="Times New Roman" w:cs="Times New Roman"/>
          <w:color w:val="000000" w:themeColor="text1"/>
          <w:lang w:val="en-GB"/>
        </w:rPr>
        <w:t xml:space="preserve">activities </w:t>
      </w:r>
      <w:r w:rsidR="002A3320" w:rsidRPr="005948DE">
        <w:rPr>
          <w:rFonts w:ascii="Times New Roman" w:hAnsi="Times New Roman" w:cs="Times New Roman"/>
          <w:color w:val="000000" w:themeColor="text1"/>
          <w:lang w:val="en-GB"/>
        </w:rPr>
        <w:t>commensurate to the complexity and needs of the infrastructure development investment</w:t>
      </w:r>
      <w:r w:rsidR="00AB2B82" w:rsidRPr="005948DE">
        <w:rPr>
          <w:rFonts w:ascii="Times New Roman" w:hAnsi="Times New Roman" w:cs="Times New Roman"/>
          <w:color w:val="000000" w:themeColor="text1"/>
          <w:lang w:val="en-GB"/>
        </w:rPr>
        <w:t>.</w:t>
      </w:r>
    </w:p>
    <w:p w14:paraId="3D23D199" w14:textId="522FDD8C" w:rsidR="00282390" w:rsidRPr="005948DE" w:rsidRDefault="00E168E6" w:rsidP="00665F55">
      <w:pPr>
        <w:pStyle w:val="ps"/>
        <w:spacing w:before="0" w:after="120" w:line="276" w:lineRule="auto"/>
        <w:ind w:left="0" w:firstLine="0"/>
      </w:pPr>
      <w:r w:rsidRPr="005948DE">
        <w:rPr>
          <w:rFonts w:ascii="Times New Roman" w:hAnsi="Times New Roman" w:cs="Times New Roman"/>
          <w:lang w:val="en-GB"/>
        </w:rPr>
        <w:t xml:space="preserve">The LSGs will be obliged to report on the </w:t>
      </w:r>
      <w:r w:rsidR="00A464E3">
        <w:rPr>
          <w:rFonts w:ascii="Times New Roman" w:hAnsi="Times New Roman" w:cs="Times New Roman"/>
          <w:lang w:val="en-GB"/>
        </w:rPr>
        <w:t>P</w:t>
      </w:r>
      <w:r w:rsidR="00A464E3" w:rsidRPr="005948DE">
        <w:rPr>
          <w:rFonts w:ascii="Times New Roman" w:hAnsi="Times New Roman" w:cs="Times New Roman"/>
          <w:lang w:val="en-GB"/>
        </w:rPr>
        <w:t xml:space="preserve">roject </w:t>
      </w:r>
      <w:r w:rsidRPr="005948DE">
        <w:rPr>
          <w:rFonts w:ascii="Times New Roman" w:hAnsi="Times New Roman" w:cs="Times New Roman"/>
          <w:lang w:val="en-GB"/>
        </w:rPr>
        <w:t xml:space="preserve">achievement and to introduce asset and project management tools, improve strategic and medium-term planning and budgeting, and perform supervision and implementation of safeguard framework documents. </w:t>
      </w:r>
      <w:r w:rsidR="007962D1" w:rsidRPr="005948DE">
        <w:rPr>
          <w:rFonts w:ascii="Times New Roman" w:hAnsi="Times New Roman" w:cs="Times New Roman"/>
          <w:color w:val="000000" w:themeColor="text1"/>
          <w:lang w:val="en-GB"/>
        </w:rPr>
        <w:t xml:space="preserve">The </w:t>
      </w:r>
      <w:r w:rsidR="00BA52CF" w:rsidRPr="005948DE">
        <w:rPr>
          <w:rFonts w:ascii="Times New Roman" w:hAnsi="Times New Roman" w:cs="Times New Roman"/>
          <w:color w:val="000000" w:themeColor="text1"/>
          <w:lang w:val="en-GB"/>
        </w:rPr>
        <w:t>relevant safeguard</w:t>
      </w:r>
      <w:r w:rsidR="007962D1" w:rsidRPr="005948DE">
        <w:rPr>
          <w:rFonts w:ascii="Times New Roman" w:hAnsi="Times New Roman" w:cs="Times New Roman"/>
          <w:color w:val="000000" w:themeColor="text1"/>
          <w:lang w:val="en-GB"/>
        </w:rPr>
        <w:t xml:space="preserve"> documents will be prepared through </w:t>
      </w:r>
      <w:r w:rsidR="00D557B0">
        <w:rPr>
          <w:rFonts w:ascii="Times New Roman" w:hAnsi="Times New Roman" w:cs="Times New Roman"/>
          <w:color w:val="000000" w:themeColor="text1"/>
          <w:lang w:val="en-GB"/>
        </w:rPr>
        <w:t xml:space="preserve">the </w:t>
      </w:r>
      <w:r w:rsidR="007962D1" w:rsidRPr="005948DE">
        <w:rPr>
          <w:rFonts w:ascii="Times New Roman" w:hAnsi="Times New Roman" w:cs="Times New Roman"/>
          <w:color w:val="000000" w:themeColor="text1"/>
          <w:lang w:val="en-GB"/>
        </w:rPr>
        <w:t>PIU</w:t>
      </w:r>
      <w:r w:rsidR="00D557B0">
        <w:rPr>
          <w:rFonts w:ascii="Times New Roman" w:hAnsi="Times New Roman" w:cs="Times New Roman"/>
          <w:color w:val="000000" w:themeColor="text1"/>
          <w:lang w:val="en-GB"/>
        </w:rPr>
        <w:t>,</w:t>
      </w:r>
      <w:r w:rsidR="00BA52CF" w:rsidRPr="005948DE">
        <w:rPr>
          <w:rFonts w:ascii="Times New Roman" w:hAnsi="Times New Roman" w:cs="Times New Roman"/>
          <w:color w:val="000000" w:themeColor="text1"/>
          <w:lang w:val="en-GB"/>
        </w:rPr>
        <w:t xml:space="preserve"> with the exception of the ESMP checklist which will be the responsibility of the LSG.</w:t>
      </w:r>
      <w:r w:rsidR="007962D1" w:rsidRPr="005948DE">
        <w:rPr>
          <w:rFonts w:ascii="Times New Roman" w:hAnsi="Times New Roman" w:cs="Times New Roman"/>
          <w:color w:val="000000" w:themeColor="text1"/>
          <w:lang w:val="en-GB"/>
        </w:rPr>
        <w:t xml:space="preserve"> </w:t>
      </w:r>
      <w:r w:rsidR="00BE1E99" w:rsidRPr="005948DE">
        <w:rPr>
          <w:rFonts w:ascii="Times New Roman" w:hAnsi="Times New Roman" w:cs="Times New Roman"/>
          <w:color w:val="000000" w:themeColor="text1"/>
          <w:lang w:val="en-GB"/>
        </w:rPr>
        <w:t>The template ESMP checklist is provided in the ESMF.</w:t>
      </w:r>
      <w:r w:rsidR="002A3320" w:rsidRPr="005948DE">
        <w:rPr>
          <w:rFonts w:ascii="Times New Roman" w:hAnsi="Times New Roman" w:cs="Times New Roman"/>
          <w:color w:val="000000" w:themeColor="text1"/>
          <w:lang w:val="en-GB"/>
        </w:rPr>
        <w:t xml:space="preserve"> </w:t>
      </w:r>
      <w:r w:rsidR="007962D1" w:rsidRPr="005948DE">
        <w:rPr>
          <w:rFonts w:ascii="Times New Roman" w:hAnsi="Times New Roman" w:cs="Times New Roman"/>
          <w:color w:val="000000" w:themeColor="text1"/>
          <w:lang w:val="en-GB"/>
        </w:rPr>
        <w:t xml:space="preserve">During implementation the LSGs will transfer the worksite to contractor subject to necessary safeguards documents, regularly monitor the progress of works, and alert the PIU to any omissions to the initial designs and safeguard frameworks. Any </w:t>
      </w:r>
      <w:r w:rsidR="00BE1E99" w:rsidRPr="005948DE">
        <w:rPr>
          <w:rFonts w:ascii="Times New Roman" w:hAnsi="Times New Roman" w:cs="Times New Roman"/>
          <w:color w:val="000000" w:themeColor="text1"/>
          <w:lang w:val="en-GB"/>
        </w:rPr>
        <w:t>project attributable land acquisition</w:t>
      </w:r>
      <w:r w:rsidR="007962D1" w:rsidRPr="005948DE">
        <w:rPr>
          <w:rFonts w:ascii="Times New Roman" w:hAnsi="Times New Roman" w:cs="Times New Roman"/>
          <w:color w:val="000000" w:themeColor="text1"/>
          <w:lang w:val="en-GB"/>
        </w:rPr>
        <w:t xml:space="preserve"> will </w:t>
      </w:r>
      <w:r w:rsidR="00BE1E99" w:rsidRPr="005948DE">
        <w:rPr>
          <w:rFonts w:ascii="Times New Roman" w:hAnsi="Times New Roman" w:cs="Times New Roman"/>
          <w:color w:val="000000" w:themeColor="text1"/>
          <w:lang w:val="en-GB"/>
        </w:rPr>
        <w:t>follow the</w:t>
      </w:r>
      <w:r w:rsidR="007962D1" w:rsidRPr="005948DE">
        <w:rPr>
          <w:rFonts w:ascii="Times New Roman" w:hAnsi="Times New Roman" w:cs="Times New Roman"/>
          <w:color w:val="000000" w:themeColor="text1"/>
          <w:lang w:val="en-GB"/>
        </w:rPr>
        <w:t xml:space="preserve"> </w:t>
      </w:r>
      <w:r w:rsidR="00D557B0">
        <w:rPr>
          <w:rFonts w:ascii="Times New Roman" w:hAnsi="Times New Roman" w:cs="Times New Roman"/>
          <w:color w:val="000000" w:themeColor="text1"/>
          <w:lang w:val="en-GB"/>
        </w:rPr>
        <w:t>RP</w:t>
      </w:r>
      <w:r w:rsidR="008C0CCD">
        <w:rPr>
          <w:rFonts w:ascii="Times New Roman" w:hAnsi="Times New Roman" w:cs="Times New Roman"/>
          <w:color w:val="000000" w:themeColor="text1"/>
          <w:lang w:val="en-GB"/>
        </w:rPr>
        <w:t>F</w:t>
      </w:r>
      <w:r w:rsidR="007962D1" w:rsidRPr="005948DE">
        <w:rPr>
          <w:rFonts w:ascii="Times New Roman" w:hAnsi="Times New Roman" w:cs="Times New Roman"/>
          <w:color w:val="000000" w:themeColor="text1"/>
          <w:lang w:val="en-GB"/>
        </w:rPr>
        <w:t xml:space="preserve"> under the </w:t>
      </w:r>
      <w:r w:rsidR="00D557B0">
        <w:rPr>
          <w:rFonts w:ascii="Times New Roman" w:hAnsi="Times New Roman" w:cs="Times New Roman"/>
          <w:color w:val="000000" w:themeColor="text1"/>
          <w:lang w:val="en-GB"/>
        </w:rPr>
        <w:t>P</w:t>
      </w:r>
      <w:r w:rsidR="00D557B0" w:rsidRPr="005948DE">
        <w:rPr>
          <w:rFonts w:ascii="Times New Roman" w:hAnsi="Times New Roman" w:cs="Times New Roman"/>
          <w:color w:val="000000" w:themeColor="text1"/>
          <w:lang w:val="en-GB"/>
        </w:rPr>
        <w:t xml:space="preserve">roject </w:t>
      </w:r>
      <w:r w:rsidR="007962D1" w:rsidRPr="005948DE">
        <w:rPr>
          <w:rFonts w:ascii="Times New Roman" w:hAnsi="Times New Roman" w:cs="Times New Roman"/>
          <w:color w:val="000000" w:themeColor="text1"/>
          <w:lang w:val="en-GB"/>
        </w:rPr>
        <w:t xml:space="preserve">and </w:t>
      </w:r>
      <w:r w:rsidR="00A577FD">
        <w:rPr>
          <w:rFonts w:ascii="Times New Roman" w:hAnsi="Times New Roman" w:cs="Times New Roman"/>
          <w:color w:val="000000" w:themeColor="text1"/>
          <w:lang w:val="en-GB"/>
        </w:rPr>
        <w:t xml:space="preserve">the </w:t>
      </w:r>
      <w:r w:rsidR="007962D1" w:rsidRPr="005948DE">
        <w:rPr>
          <w:rFonts w:ascii="Times New Roman" w:hAnsi="Times New Roman" w:cs="Times New Roman"/>
          <w:color w:val="000000" w:themeColor="text1"/>
          <w:lang w:val="en-GB"/>
        </w:rPr>
        <w:t>corresponding RAP.</w:t>
      </w:r>
      <w:r w:rsidR="00BE1E99" w:rsidRPr="005948DE">
        <w:rPr>
          <w:rFonts w:ascii="Times New Roman" w:hAnsi="Times New Roman" w:cs="Times New Roman"/>
          <w:color w:val="000000" w:themeColor="text1"/>
          <w:lang w:val="en-GB"/>
        </w:rPr>
        <w:t xml:space="preserve"> Infrastructure </w:t>
      </w:r>
      <w:r w:rsidR="00D557B0">
        <w:rPr>
          <w:rFonts w:ascii="Times New Roman" w:hAnsi="Times New Roman" w:cs="Times New Roman"/>
          <w:color w:val="000000" w:themeColor="text1"/>
          <w:lang w:val="en-GB"/>
        </w:rPr>
        <w:t>i</w:t>
      </w:r>
      <w:r w:rsidR="00D557B0" w:rsidRPr="005948DE">
        <w:rPr>
          <w:rFonts w:ascii="Times New Roman" w:hAnsi="Times New Roman" w:cs="Times New Roman"/>
          <w:color w:val="000000" w:themeColor="text1"/>
          <w:lang w:val="en-GB"/>
        </w:rPr>
        <w:t xml:space="preserve">nvestments </w:t>
      </w:r>
      <w:r w:rsidR="00BE1E99" w:rsidRPr="005948DE">
        <w:rPr>
          <w:rFonts w:ascii="Times New Roman" w:hAnsi="Times New Roman" w:cs="Times New Roman"/>
          <w:color w:val="000000" w:themeColor="text1"/>
          <w:lang w:val="en-GB"/>
        </w:rPr>
        <w:t>requiring physical displacement will not be eligible to be included in the Project.</w:t>
      </w:r>
      <w:r w:rsidR="007962D1" w:rsidRPr="005948DE">
        <w:rPr>
          <w:rFonts w:ascii="Times New Roman" w:hAnsi="Times New Roman" w:cs="Times New Roman"/>
          <w:color w:val="000000" w:themeColor="text1"/>
          <w:lang w:val="en-GB"/>
        </w:rPr>
        <w:t xml:space="preserve"> </w:t>
      </w:r>
      <w:r w:rsidR="00BE1E99" w:rsidRPr="005948DE">
        <w:rPr>
          <w:rFonts w:ascii="Times New Roman" w:hAnsi="Times New Roman" w:cs="Times New Roman"/>
          <w:color w:val="000000" w:themeColor="text1"/>
          <w:lang w:val="en-GB"/>
        </w:rPr>
        <w:t>P</w:t>
      </w:r>
      <w:r w:rsidR="007962D1" w:rsidRPr="005948DE">
        <w:rPr>
          <w:rFonts w:ascii="Times New Roman" w:hAnsi="Times New Roman" w:cs="Times New Roman"/>
          <w:color w:val="000000" w:themeColor="text1"/>
          <w:lang w:val="en-GB"/>
        </w:rPr>
        <w:t xml:space="preserve">roject proceeds </w:t>
      </w:r>
      <w:r w:rsidR="00BE1E99" w:rsidRPr="005948DE">
        <w:rPr>
          <w:rFonts w:ascii="Times New Roman" w:hAnsi="Times New Roman" w:cs="Times New Roman"/>
          <w:color w:val="000000" w:themeColor="text1"/>
          <w:lang w:val="en-GB"/>
        </w:rPr>
        <w:t xml:space="preserve">are eligible </w:t>
      </w:r>
      <w:r w:rsidR="007962D1" w:rsidRPr="005948DE">
        <w:rPr>
          <w:rFonts w:ascii="Times New Roman" w:hAnsi="Times New Roman" w:cs="Times New Roman"/>
          <w:color w:val="000000" w:themeColor="text1"/>
          <w:lang w:val="en-GB"/>
        </w:rPr>
        <w:t xml:space="preserve">to cover the costs of </w:t>
      </w:r>
      <w:r w:rsidR="00420737" w:rsidRPr="005948DE">
        <w:rPr>
          <w:rFonts w:ascii="Times New Roman" w:hAnsi="Times New Roman" w:cs="Times New Roman"/>
          <w:color w:val="000000" w:themeColor="text1"/>
          <w:lang w:val="en-GB"/>
        </w:rPr>
        <w:t>infrastructure investment</w:t>
      </w:r>
      <w:r w:rsidR="007962D1" w:rsidRPr="005948DE">
        <w:rPr>
          <w:rFonts w:ascii="Times New Roman" w:hAnsi="Times New Roman" w:cs="Times New Roman"/>
          <w:color w:val="000000" w:themeColor="text1"/>
          <w:lang w:val="en-GB"/>
        </w:rPr>
        <w:t xml:space="preserve"> preparation and supervision.</w:t>
      </w:r>
      <w:r w:rsidR="000B6CBA" w:rsidRPr="005948DE">
        <w:rPr>
          <w:rFonts w:ascii="Times New Roman" w:hAnsi="Times New Roman" w:cs="Times New Roman"/>
          <w:color w:val="000000" w:themeColor="text1"/>
          <w:lang w:val="en-GB"/>
        </w:rPr>
        <w:t xml:space="preserve"> The LSGs will be expected to participate in technical assistance and capacity building activities and ensuring the tools introduced through the project are utilized at the local level. </w:t>
      </w:r>
    </w:p>
    <w:p w14:paraId="471D4FD7" w14:textId="2A32570F" w:rsidR="009424EF" w:rsidRPr="005948DE" w:rsidRDefault="009424EF"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2" w:name="_Toc93342222"/>
      <w:r w:rsidRPr="005948DE">
        <w:rPr>
          <w:rFonts w:ascii="Times New Roman" w:hAnsi="Times New Roman" w:cs="Times New Roman"/>
        </w:rPr>
        <w:t>Standing Conference of Towns and Municipalities</w:t>
      </w:r>
      <w:bookmarkEnd w:id="112"/>
      <w:r w:rsidRPr="005948DE">
        <w:rPr>
          <w:rFonts w:ascii="Times New Roman" w:hAnsi="Times New Roman" w:cs="Times New Roman"/>
        </w:rPr>
        <w:t xml:space="preserve"> </w:t>
      </w:r>
    </w:p>
    <w:p w14:paraId="01F520E2" w14:textId="64FC8D95" w:rsidR="009424EF" w:rsidRPr="005948DE" w:rsidRDefault="009424EF" w:rsidP="005948DE">
      <w:pPr>
        <w:spacing w:line="276" w:lineRule="auto"/>
        <w:jc w:val="both"/>
        <w:rPr>
          <w:rFonts w:ascii="Times New Roman" w:hAnsi="Times New Roman" w:cs="Times New Roman"/>
        </w:rPr>
      </w:pPr>
      <w:r w:rsidRPr="005948DE">
        <w:rPr>
          <w:rFonts w:ascii="Times New Roman" w:hAnsi="Times New Roman" w:cs="Times New Roman"/>
        </w:rPr>
        <w:t>The main body lobbying on behalf of the LSGs is the SCTM, which represents their interests and may provide a convening forum for more integrated planning and policy development.</w:t>
      </w:r>
    </w:p>
    <w:p w14:paraId="5997E915" w14:textId="3D62899B" w:rsidR="00E168E6" w:rsidRPr="005948DE" w:rsidRDefault="00E168E6"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3" w:name="_Toc93342223"/>
      <w:r w:rsidRPr="005948DE">
        <w:rPr>
          <w:rFonts w:ascii="Times New Roman" w:hAnsi="Times New Roman" w:cs="Times New Roman"/>
          <w:color w:val="auto"/>
        </w:rPr>
        <w:t>Central Fiduciary Unit</w:t>
      </w:r>
      <w:r w:rsidR="00BE1F5D" w:rsidRPr="005948DE">
        <w:rPr>
          <w:rFonts w:ascii="Times New Roman" w:hAnsi="Times New Roman" w:cs="Times New Roman"/>
          <w:color w:val="auto"/>
        </w:rPr>
        <w:t xml:space="preserve"> (CFU)</w:t>
      </w:r>
      <w:bookmarkEnd w:id="113"/>
    </w:p>
    <w:p w14:paraId="0693C3B6" w14:textId="591D12DF" w:rsidR="00A577FD" w:rsidRDefault="0026773D" w:rsidP="005948DE">
      <w:pPr>
        <w:spacing w:after="0" w:line="276" w:lineRule="auto"/>
        <w:jc w:val="both"/>
        <w:rPr>
          <w:rFonts w:ascii="Times New Roman" w:hAnsi="Times New Roman" w:cs="Times New Roman"/>
        </w:rPr>
      </w:pPr>
      <w:r w:rsidRPr="005948DE">
        <w:rPr>
          <w:rFonts w:ascii="Times New Roman" w:eastAsiaTheme="minorHAnsi" w:hAnsi="Times New Roman" w:cs="Times New Roman"/>
          <w:color w:val="000000" w:themeColor="text1"/>
        </w:rPr>
        <w:t xml:space="preserve">The </w:t>
      </w:r>
      <w:r w:rsidR="00D557B0">
        <w:rPr>
          <w:rFonts w:ascii="Times New Roman" w:eastAsiaTheme="minorHAnsi" w:hAnsi="Times New Roman" w:cs="Times New Roman"/>
          <w:color w:val="000000" w:themeColor="text1"/>
        </w:rPr>
        <w:t>CFU</w:t>
      </w:r>
      <w:r w:rsidRPr="005948DE">
        <w:rPr>
          <w:rFonts w:ascii="Times New Roman" w:eastAsiaTheme="minorHAnsi" w:hAnsi="Times New Roman" w:cs="Times New Roman"/>
          <w:color w:val="000000" w:themeColor="text1"/>
        </w:rPr>
        <w:t xml:space="preserve">, within the MoF, </w:t>
      </w:r>
      <w:r w:rsidR="00310CAA" w:rsidRPr="005948DE">
        <w:rPr>
          <w:rFonts w:ascii="Times New Roman" w:hAnsi="Times New Roman" w:cs="Times New Roman"/>
          <w:color w:val="000000" w:themeColor="text1"/>
        </w:rPr>
        <w:t>was established to provide fiduciary support (procurement and financial management activities) to all Bank-supported projects in Serbia</w:t>
      </w:r>
      <w:r w:rsidR="00310CAA" w:rsidRPr="005948DE">
        <w:rPr>
          <w:rFonts w:ascii="Times New Roman" w:eastAsiaTheme="minorHAnsi" w:hAnsi="Times New Roman" w:cs="Times New Roman"/>
          <w:color w:val="000000" w:themeColor="text1"/>
        </w:rPr>
        <w:t xml:space="preserve"> and </w:t>
      </w:r>
      <w:r w:rsidRPr="005948DE">
        <w:rPr>
          <w:rFonts w:ascii="Times New Roman" w:eastAsiaTheme="minorHAnsi" w:hAnsi="Times New Roman" w:cs="Times New Roman"/>
          <w:color w:val="000000" w:themeColor="text1"/>
        </w:rPr>
        <w:t>will be in charge of fiduciary responsibilities for the Project</w:t>
      </w:r>
      <w:r w:rsidR="00B537BB" w:rsidRPr="005948DE">
        <w:rPr>
          <w:rFonts w:ascii="Times New Roman" w:eastAsiaTheme="minorHAnsi" w:hAnsi="Times New Roman" w:cs="Times New Roman"/>
          <w:color w:val="000000" w:themeColor="text1"/>
        </w:rPr>
        <w:t xml:space="preserve"> and providing assistance in capacity building to the LSG on fiduciary issues.</w:t>
      </w:r>
      <w:r w:rsidRPr="005948DE">
        <w:rPr>
          <w:rFonts w:ascii="Times New Roman" w:eastAsiaTheme="minorHAnsi" w:hAnsi="Times New Roman" w:cs="Times New Roman"/>
          <w:color w:val="000000" w:themeColor="text1"/>
        </w:rPr>
        <w:t xml:space="preserve"> The CFU is appropriately staffed</w:t>
      </w:r>
      <w:r w:rsidR="00310CAA" w:rsidRPr="005948DE">
        <w:rPr>
          <w:rFonts w:ascii="Times New Roman" w:eastAsiaTheme="minorHAnsi" w:hAnsi="Times New Roman" w:cs="Times New Roman"/>
          <w:color w:val="000000" w:themeColor="text1"/>
        </w:rPr>
        <w:t xml:space="preserve"> with </w:t>
      </w:r>
      <w:r w:rsidR="00460C55" w:rsidRPr="005948DE">
        <w:rPr>
          <w:rFonts w:ascii="Times New Roman" w:hAnsi="Times New Roman" w:cs="Times New Roman"/>
        </w:rPr>
        <w:t xml:space="preserve">sufficient capacity for planning and budgeting within the CFU in order to manage </w:t>
      </w:r>
      <w:r w:rsidR="00D557B0">
        <w:rPr>
          <w:rFonts w:ascii="Times New Roman" w:hAnsi="Times New Roman" w:cs="Times New Roman"/>
        </w:rPr>
        <w:t>P</w:t>
      </w:r>
      <w:r w:rsidR="00460C55" w:rsidRPr="005948DE">
        <w:rPr>
          <w:rFonts w:ascii="Times New Roman" w:hAnsi="Times New Roman" w:cs="Times New Roman"/>
        </w:rPr>
        <w:t>roject funds in terms of optimal allocation, liquidity and overall performance.</w:t>
      </w:r>
      <w:r w:rsidR="00D557B0">
        <w:rPr>
          <w:rFonts w:ascii="Times New Roman" w:hAnsi="Times New Roman" w:cs="Times New Roman"/>
        </w:rPr>
        <w:t xml:space="preserve"> For the Project implementation the CFU will be supported by two </w:t>
      </w:r>
      <w:r w:rsidR="00F0228C">
        <w:rPr>
          <w:rFonts w:ascii="Times New Roman" w:hAnsi="Times New Roman" w:cs="Times New Roman"/>
        </w:rPr>
        <w:t xml:space="preserve">additional </w:t>
      </w:r>
      <w:r w:rsidR="00D557B0">
        <w:rPr>
          <w:rFonts w:ascii="Times New Roman" w:hAnsi="Times New Roman" w:cs="Times New Roman"/>
        </w:rPr>
        <w:t>experts funded through the Project.</w:t>
      </w:r>
    </w:p>
    <w:p w14:paraId="00B35C96" w14:textId="6DC7D78F" w:rsidR="00D557B0" w:rsidRDefault="00460C55" w:rsidP="005948DE">
      <w:pPr>
        <w:spacing w:after="0" w:line="276" w:lineRule="auto"/>
        <w:jc w:val="both"/>
        <w:rPr>
          <w:rFonts w:ascii="Times New Roman" w:hAnsi="Times New Roman" w:cs="Times New Roman"/>
        </w:rPr>
      </w:pPr>
      <w:r w:rsidRPr="005948DE">
        <w:rPr>
          <w:rFonts w:ascii="Times New Roman" w:hAnsi="Times New Roman" w:cs="Times New Roman"/>
        </w:rPr>
        <w:t xml:space="preserve"> </w:t>
      </w:r>
    </w:p>
    <w:p w14:paraId="519118EA" w14:textId="368C0CAF" w:rsidR="00460C55" w:rsidRPr="005948DE" w:rsidRDefault="008A4E6C" w:rsidP="005948DE">
      <w:pPr>
        <w:spacing w:after="0" w:line="276" w:lineRule="auto"/>
        <w:jc w:val="both"/>
        <w:rPr>
          <w:rFonts w:ascii="Times New Roman" w:hAnsi="Times New Roman" w:cs="Times New Roman"/>
        </w:rPr>
      </w:pPr>
      <w:r w:rsidRPr="005948DE">
        <w:rPr>
          <w:rFonts w:ascii="Times New Roman" w:hAnsi="Times New Roman" w:cs="Times New Roman"/>
        </w:rPr>
        <w:t>The PIU with support of the CFU will prepare in-year financial plans and cash forecasts based on the Project’s budget, thus ensuring adequate liquidity management and withdrawal of funds.</w:t>
      </w:r>
      <w:r w:rsidR="00460C55" w:rsidRPr="005948DE">
        <w:rPr>
          <w:rFonts w:ascii="Times New Roman" w:eastAsiaTheme="minorHAnsi" w:hAnsi="Times New Roman" w:cs="Times New Roman"/>
          <w:color w:val="000000" w:themeColor="text1"/>
        </w:rPr>
        <w:t xml:space="preserve"> The CFU will </w:t>
      </w:r>
      <w:r w:rsidRPr="005948DE">
        <w:rPr>
          <w:rFonts w:ascii="Times New Roman" w:eastAsiaTheme="minorHAnsi" w:hAnsi="Times New Roman" w:cs="Times New Roman"/>
          <w:color w:val="000000" w:themeColor="text1"/>
        </w:rPr>
        <w:t>provide guidance to the</w:t>
      </w:r>
      <w:r w:rsidR="00460C55" w:rsidRPr="005948DE">
        <w:rPr>
          <w:rFonts w:ascii="Times New Roman" w:eastAsiaTheme="minorHAnsi" w:hAnsi="Times New Roman" w:cs="Times New Roman"/>
          <w:color w:val="000000" w:themeColor="text1"/>
        </w:rPr>
        <w:t xml:space="preserve"> PIU in approving the LSG procurements, bidding documents, bid evaluation report, and the amendment to the contract submitted by each of the LSGs. The CFU will also provide training to the LSGs on how to ensure stronger competition and increase transparency in procurement. </w:t>
      </w:r>
    </w:p>
    <w:p w14:paraId="2627805D" w14:textId="4B69CB7B" w:rsidR="00E168E6" w:rsidRPr="005948DE" w:rsidRDefault="00E168E6" w:rsidP="005948DE">
      <w:pPr>
        <w:pStyle w:val="Normal0"/>
        <w:spacing w:after="120" w:line="276" w:lineRule="auto"/>
        <w:jc w:val="both"/>
        <w:rPr>
          <w:rFonts w:ascii="Times New Roman" w:hAnsi="Times New Roman" w:cs="Times New Roman"/>
          <w:color w:val="000000" w:themeColor="text1"/>
          <w:lang w:val="en-GB"/>
        </w:rPr>
      </w:pPr>
      <w:r w:rsidRPr="005948DE">
        <w:rPr>
          <w:rFonts w:ascii="Times New Roman" w:hAnsi="Times New Roman" w:cs="Times New Roman"/>
          <w:color w:val="000000" w:themeColor="text1"/>
          <w:lang w:val="en-GB"/>
        </w:rPr>
        <w:t xml:space="preserve">The CFU, will carry out </w:t>
      </w:r>
      <w:r w:rsidR="00F0228C">
        <w:rPr>
          <w:rFonts w:ascii="Times New Roman" w:hAnsi="Times New Roman" w:cs="Times New Roman"/>
          <w:color w:val="000000" w:themeColor="text1"/>
          <w:lang w:val="en-GB"/>
        </w:rPr>
        <w:t xml:space="preserve">fiduciary activities in </w:t>
      </w:r>
      <w:r w:rsidRPr="005948DE">
        <w:rPr>
          <w:rFonts w:ascii="Times New Roman" w:hAnsi="Times New Roman" w:cs="Times New Roman"/>
          <w:color w:val="000000" w:themeColor="text1"/>
          <w:lang w:val="en-GB"/>
        </w:rPr>
        <w:t>procurement and finance</w:t>
      </w:r>
      <w:r w:rsidR="00310CAA" w:rsidRPr="005948DE">
        <w:rPr>
          <w:rFonts w:ascii="Times New Roman" w:hAnsi="Times New Roman" w:cs="Times New Roman"/>
          <w:color w:val="000000" w:themeColor="text1"/>
          <w:lang w:val="en-GB"/>
        </w:rPr>
        <w:t xml:space="preserve">. Details of the </w:t>
      </w:r>
      <w:r w:rsidRPr="005948DE">
        <w:rPr>
          <w:rFonts w:ascii="Times New Roman" w:hAnsi="Times New Roman" w:cs="Times New Roman"/>
          <w:color w:val="000000" w:themeColor="text1"/>
          <w:lang w:val="en-GB"/>
        </w:rPr>
        <w:t>CFU responsib</w:t>
      </w:r>
      <w:r w:rsidR="00310CAA" w:rsidRPr="005948DE">
        <w:rPr>
          <w:rFonts w:ascii="Times New Roman" w:hAnsi="Times New Roman" w:cs="Times New Roman"/>
          <w:color w:val="000000" w:themeColor="text1"/>
          <w:lang w:val="en-GB"/>
        </w:rPr>
        <w:t>ilities are the following</w:t>
      </w:r>
      <w:r w:rsidRPr="005948DE">
        <w:rPr>
          <w:rFonts w:ascii="Times New Roman" w:hAnsi="Times New Roman" w:cs="Times New Roman"/>
          <w:color w:val="000000" w:themeColor="text1"/>
          <w:lang w:val="en-GB"/>
        </w:rPr>
        <w:t>:</w:t>
      </w:r>
    </w:p>
    <w:p w14:paraId="54742C54" w14:textId="718A8BD5" w:rsidR="00E168E6" w:rsidRPr="005948DE" w:rsidRDefault="00E168E6" w:rsidP="005948DE">
      <w:pPr>
        <w:pStyle w:val="ListParagraph"/>
        <w:numPr>
          <w:ilvl w:val="0"/>
          <w:numId w:val="186"/>
        </w:numPr>
        <w:spacing w:after="0" w:line="276" w:lineRule="auto"/>
        <w:ind w:left="426"/>
        <w:contextualSpacing w:val="0"/>
        <w:jc w:val="both"/>
        <w:rPr>
          <w:rFonts w:ascii="Times New Roman" w:hAnsi="Times New Roman" w:cs="Times New Roman"/>
          <w:color w:val="000000" w:themeColor="text1"/>
        </w:rPr>
      </w:pPr>
      <w:r w:rsidRPr="005948DE">
        <w:rPr>
          <w:rFonts w:ascii="Times New Roman" w:hAnsi="Times New Roman" w:cs="Times New Roman"/>
          <w:b/>
          <w:color w:val="000000" w:themeColor="text1"/>
        </w:rPr>
        <w:t>Procurement</w:t>
      </w:r>
      <w:r w:rsidR="00D557B0">
        <w:rPr>
          <w:rFonts w:ascii="Times New Roman" w:hAnsi="Times New Roman" w:cs="Times New Roman"/>
          <w:b/>
          <w:color w:val="000000" w:themeColor="text1"/>
        </w:rPr>
        <w:t>,</w:t>
      </w:r>
      <w:r w:rsidRPr="005948DE">
        <w:rPr>
          <w:rFonts w:ascii="Times New Roman" w:hAnsi="Times New Roman" w:cs="Times New Roman"/>
          <w:b/>
          <w:color w:val="000000" w:themeColor="text1"/>
        </w:rPr>
        <w:t xml:space="preserve"> </w:t>
      </w:r>
      <w:r w:rsidRPr="005948DE">
        <w:rPr>
          <w:rFonts w:ascii="Times New Roman" w:hAnsi="Times New Roman" w:cs="Times New Roman"/>
          <w:color w:val="000000" w:themeColor="text1"/>
        </w:rPr>
        <w:t>that includes (i) ensuring compliance with the procurement rules and procedures as defined in the applicable Regulations</w:t>
      </w:r>
      <w:r w:rsidRPr="005948DE">
        <w:rPr>
          <w:rStyle w:val="FootnoteReference"/>
          <w:rFonts w:ascii="Times New Roman" w:hAnsi="Times New Roman" w:cs="Times New Roman"/>
          <w:color w:val="000000" w:themeColor="text1"/>
        </w:rPr>
        <w:footnoteReference w:id="4"/>
      </w:r>
      <w:r w:rsidRPr="005948DE">
        <w:rPr>
          <w:rFonts w:ascii="Times New Roman" w:hAnsi="Times New Roman" w:cs="Times New Roman"/>
          <w:color w:val="000000" w:themeColor="text1"/>
        </w:rPr>
        <w:t>, LA, AFD</w:t>
      </w:r>
      <w:r w:rsidR="004A0B6A">
        <w:rPr>
          <w:rFonts w:ascii="Times New Roman" w:hAnsi="Times New Roman" w:cs="Times New Roman"/>
          <w:color w:val="000000" w:themeColor="text1"/>
        </w:rPr>
        <w:t xml:space="preserve"> Requirements</w:t>
      </w:r>
      <w:r w:rsidRPr="005948DE">
        <w:rPr>
          <w:rFonts w:ascii="Times New Roman" w:hAnsi="Times New Roman" w:cs="Times New Roman"/>
          <w:color w:val="000000" w:themeColor="text1"/>
        </w:rPr>
        <w:t xml:space="preserve">, </w:t>
      </w:r>
      <w:r w:rsidR="00310CAA" w:rsidRPr="005948DE">
        <w:rPr>
          <w:rFonts w:ascii="Times New Roman" w:hAnsi="Times New Roman" w:cs="Times New Roman"/>
          <w:color w:val="000000" w:themeColor="text1"/>
        </w:rPr>
        <w:t>this Manual</w:t>
      </w:r>
      <w:r w:rsidRPr="005948DE">
        <w:rPr>
          <w:rFonts w:ascii="Times New Roman" w:hAnsi="Times New Roman" w:cs="Times New Roman"/>
          <w:color w:val="000000" w:themeColor="text1"/>
        </w:rPr>
        <w:t xml:space="preserve"> and Procurement Plan (PP) of the Project; (ii) assistance to the PIU in review, update and revision of PP, if needed; (iii) support to </w:t>
      </w:r>
      <w:r w:rsidR="00D557B0">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PIU in preparation of tender documents in accordance with the agreed procurement plan; (iv) support to </w:t>
      </w:r>
      <w:r w:rsidR="00D557B0">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MCTI/PIU during evaluation process, (v) </w:t>
      </w:r>
      <w:r w:rsidR="002D27B9" w:rsidRPr="005948DE">
        <w:rPr>
          <w:rFonts w:ascii="Times New Roman" w:hAnsi="Times New Roman" w:cs="Times New Roman"/>
          <w:color w:val="000000" w:themeColor="text1"/>
        </w:rPr>
        <w:t xml:space="preserve">fiduciary </w:t>
      </w:r>
      <w:r w:rsidR="003741AD" w:rsidRPr="005948DE">
        <w:rPr>
          <w:rFonts w:ascii="Times New Roman" w:hAnsi="Times New Roman" w:cs="Times New Roman"/>
          <w:color w:val="000000" w:themeColor="text1"/>
        </w:rPr>
        <w:t>assistance</w:t>
      </w:r>
      <w:r w:rsidR="002D27B9" w:rsidRPr="005948DE">
        <w:rPr>
          <w:rFonts w:ascii="Times New Roman" w:hAnsi="Times New Roman" w:cs="Times New Roman"/>
          <w:color w:val="000000" w:themeColor="text1"/>
        </w:rPr>
        <w:t xml:space="preserve"> to the PIU to </w:t>
      </w:r>
      <w:r w:rsidR="009824EC" w:rsidRPr="005948DE">
        <w:rPr>
          <w:rFonts w:ascii="Times New Roman" w:hAnsi="Times New Roman" w:cs="Times New Roman"/>
          <w:color w:val="000000" w:themeColor="text1"/>
        </w:rPr>
        <w:t>build capacity of the LSG</w:t>
      </w:r>
      <w:r w:rsidR="003741AD" w:rsidRPr="005948DE">
        <w:rPr>
          <w:rFonts w:ascii="Times New Roman" w:hAnsi="Times New Roman" w:cs="Times New Roman"/>
          <w:color w:val="000000" w:themeColor="text1"/>
        </w:rPr>
        <w:t>s</w:t>
      </w:r>
      <w:r w:rsidR="009824EC" w:rsidRPr="005948DE">
        <w:rPr>
          <w:rFonts w:ascii="Times New Roman" w:hAnsi="Times New Roman" w:cs="Times New Roman"/>
          <w:color w:val="000000" w:themeColor="text1"/>
        </w:rPr>
        <w:t xml:space="preserve"> for preparation of infrastructure investment tender documents</w:t>
      </w:r>
      <w:r w:rsidR="003741AD" w:rsidRPr="005948DE">
        <w:rPr>
          <w:rFonts w:ascii="Times New Roman" w:hAnsi="Times New Roman" w:cs="Times New Roman"/>
          <w:color w:val="000000" w:themeColor="text1"/>
        </w:rPr>
        <w:t xml:space="preserve"> based on the adopted model template </w:t>
      </w:r>
      <w:r w:rsidR="009824EC" w:rsidRPr="005948DE">
        <w:rPr>
          <w:rFonts w:ascii="Times New Roman" w:hAnsi="Times New Roman" w:cs="Times New Roman"/>
          <w:color w:val="000000" w:themeColor="text1"/>
        </w:rPr>
        <w:t>(vi) assist</w:t>
      </w:r>
      <w:r w:rsidR="00D557B0">
        <w:rPr>
          <w:rFonts w:ascii="Times New Roman" w:hAnsi="Times New Roman" w:cs="Times New Roman"/>
          <w:color w:val="000000" w:themeColor="text1"/>
        </w:rPr>
        <w:t>ance</w:t>
      </w:r>
      <w:r w:rsidR="009824EC" w:rsidRPr="005948DE">
        <w:rPr>
          <w:rFonts w:ascii="Times New Roman" w:hAnsi="Times New Roman" w:cs="Times New Roman"/>
          <w:color w:val="000000" w:themeColor="text1"/>
        </w:rPr>
        <w:t xml:space="preserve"> in preparation of </w:t>
      </w:r>
      <w:r w:rsidRPr="005948DE">
        <w:rPr>
          <w:rFonts w:ascii="Times New Roman" w:hAnsi="Times New Roman" w:cs="Times New Roman"/>
          <w:color w:val="000000" w:themeColor="text1"/>
        </w:rPr>
        <w:t xml:space="preserve">draft </w:t>
      </w:r>
      <w:r w:rsidR="00D557B0">
        <w:rPr>
          <w:rFonts w:ascii="Times New Roman" w:hAnsi="Times New Roman" w:cs="Times New Roman"/>
          <w:color w:val="000000" w:themeColor="text1"/>
        </w:rPr>
        <w:t>agreements</w:t>
      </w:r>
      <w:r w:rsidR="00D557B0"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for signing; (vi) using the electronic platform for Systemic Tracking of Exchanges in Procurement (STEP); (vii) </w:t>
      </w:r>
      <w:r w:rsidR="003741AD" w:rsidRPr="005948DE">
        <w:rPr>
          <w:rFonts w:ascii="Times New Roman" w:hAnsi="Times New Roman" w:cs="Times New Roman"/>
          <w:color w:val="000000" w:themeColor="text1"/>
        </w:rPr>
        <w:t>providing inputs to the</w:t>
      </w:r>
      <w:r w:rsidRPr="005948DE">
        <w:rPr>
          <w:rFonts w:ascii="Times New Roman" w:hAnsi="Times New Roman" w:cs="Times New Roman"/>
          <w:color w:val="000000" w:themeColor="text1"/>
        </w:rPr>
        <w:t xml:space="preserve"> PIU in preparation of progress reports on procurement</w:t>
      </w:r>
      <w:r w:rsidR="003741AD"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as part of the Project progress reports;</w:t>
      </w:r>
    </w:p>
    <w:p w14:paraId="07D5635E" w14:textId="1A1C7CBC" w:rsidR="00E168E6" w:rsidRPr="005948DE" w:rsidRDefault="00E168E6" w:rsidP="005948DE">
      <w:pPr>
        <w:pStyle w:val="ListParagraph"/>
        <w:numPr>
          <w:ilvl w:val="0"/>
          <w:numId w:val="186"/>
        </w:numPr>
        <w:spacing w:after="0" w:line="276" w:lineRule="auto"/>
        <w:ind w:left="426"/>
        <w:contextualSpacing w:val="0"/>
        <w:jc w:val="both"/>
        <w:rPr>
          <w:rFonts w:ascii="Times New Roman" w:hAnsi="Times New Roman" w:cs="Times New Roman"/>
          <w:color w:val="000000" w:themeColor="text1"/>
        </w:rPr>
      </w:pPr>
      <w:r w:rsidRPr="005948DE">
        <w:rPr>
          <w:rFonts w:ascii="Times New Roman" w:hAnsi="Times New Roman" w:cs="Times New Roman"/>
          <w:b/>
          <w:color w:val="000000" w:themeColor="text1"/>
        </w:rPr>
        <w:t>Financial management and accounting</w:t>
      </w:r>
      <w:r w:rsidR="00D557B0">
        <w:rPr>
          <w:rFonts w:ascii="Times New Roman" w:hAnsi="Times New Roman" w:cs="Times New Roman"/>
          <w:b/>
          <w:color w:val="000000" w:themeColor="text1"/>
        </w:rPr>
        <w:t>,</w:t>
      </w:r>
      <w:r w:rsidRPr="005948DE">
        <w:rPr>
          <w:rFonts w:ascii="Times New Roman" w:hAnsi="Times New Roman" w:cs="Times New Roman"/>
          <w:color w:val="000000" w:themeColor="text1"/>
        </w:rPr>
        <w:t xml:space="preserve"> that includes organization and operation of the Project financial management system acceptable to the </w:t>
      </w:r>
      <w:r w:rsidR="00D557B0">
        <w:rPr>
          <w:rFonts w:ascii="Times New Roman" w:hAnsi="Times New Roman" w:cs="Times New Roman"/>
          <w:color w:val="000000" w:themeColor="text1"/>
        </w:rPr>
        <w:t>Bank</w:t>
      </w:r>
      <w:r w:rsidR="00D557B0"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and </w:t>
      </w:r>
      <w:r w:rsidR="00D557B0">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AFD. The system is being established for the </w:t>
      </w:r>
      <w:r w:rsidR="00D557B0">
        <w:rPr>
          <w:rFonts w:ascii="Times New Roman" w:hAnsi="Times New Roman" w:cs="Times New Roman"/>
          <w:color w:val="000000" w:themeColor="text1"/>
        </w:rPr>
        <w:t>P</w:t>
      </w:r>
      <w:r w:rsidR="00D557B0" w:rsidRPr="005948DE">
        <w:rPr>
          <w:rFonts w:ascii="Times New Roman" w:hAnsi="Times New Roman" w:cs="Times New Roman"/>
          <w:color w:val="000000" w:themeColor="text1"/>
        </w:rPr>
        <w:t xml:space="preserve">roject </w:t>
      </w:r>
      <w:r w:rsidRPr="005948DE">
        <w:rPr>
          <w:rFonts w:ascii="Times New Roman" w:hAnsi="Times New Roman" w:cs="Times New Roman"/>
          <w:color w:val="000000" w:themeColor="text1"/>
        </w:rPr>
        <w:t xml:space="preserve">on the basis of similar systems used in other </w:t>
      </w:r>
      <w:r w:rsidR="00D557B0">
        <w:rPr>
          <w:rFonts w:ascii="Times New Roman" w:hAnsi="Times New Roman" w:cs="Times New Roman"/>
          <w:color w:val="000000" w:themeColor="text1"/>
        </w:rPr>
        <w:t>Bank</w:t>
      </w:r>
      <w:r w:rsidR="00D557B0"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financed projects. The system is to include an accounting and control module with the capability to record and retrieve in a timely manner all financial transactions under the Project. </w:t>
      </w:r>
      <w:r w:rsidR="008A4E6C" w:rsidRPr="005948DE">
        <w:rPr>
          <w:rFonts w:ascii="Times New Roman" w:hAnsi="Times New Roman" w:cs="Times New Roman"/>
          <w:color w:val="000000" w:themeColor="text1"/>
        </w:rPr>
        <w:t xml:space="preserve">The CFU will verify and approve payments to contractors. Payments will be executed by </w:t>
      </w:r>
      <w:r w:rsidR="00D557B0">
        <w:rPr>
          <w:rFonts w:ascii="Times New Roman" w:hAnsi="Times New Roman" w:cs="Times New Roman"/>
          <w:color w:val="000000" w:themeColor="text1"/>
        </w:rPr>
        <w:t xml:space="preserve">the </w:t>
      </w:r>
      <w:r w:rsidR="008A4E6C" w:rsidRPr="005948DE">
        <w:rPr>
          <w:rFonts w:ascii="Times New Roman" w:hAnsi="Times New Roman" w:cs="Times New Roman"/>
          <w:color w:val="000000" w:themeColor="text1"/>
        </w:rPr>
        <w:t xml:space="preserve">MCTI and </w:t>
      </w:r>
      <w:r w:rsidR="00D557B0">
        <w:rPr>
          <w:rFonts w:ascii="Times New Roman" w:hAnsi="Times New Roman" w:cs="Times New Roman"/>
          <w:color w:val="000000" w:themeColor="text1"/>
        </w:rPr>
        <w:t xml:space="preserve">the </w:t>
      </w:r>
      <w:r w:rsidR="008A4E6C" w:rsidRPr="005948DE">
        <w:rPr>
          <w:rFonts w:ascii="Times New Roman" w:hAnsi="Times New Roman" w:cs="Times New Roman"/>
          <w:color w:val="000000" w:themeColor="text1"/>
        </w:rPr>
        <w:t>statements will be sent to the CFU FMS to account the transactions.</w:t>
      </w:r>
    </w:p>
    <w:p w14:paraId="2051C040" w14:textId="7454BE21" w:rsidR="00E168E6" w:rsidRPr="005948DE" w:rsidRDefault="00E168E6" w:rsidP="005948DE">
      <w:pPr>
        <w:pStyle w:val="ListParagraph"/>
        <w:numPr>
          <w:ilvl w:val="0"/>
          <w:numId w:val="186"/>
        </w:numPr>
        <w:spacing w:after="0" w:line="276" w:lineRule="auto"/>
        <w:ind w:left="426"/>
        <w:contextualSpacing w:val="0"/>
        <w:jc w:val="both"/>
        <w:rPr>
          <w:rFonts w:ascii="Times New Roman" w:hAnsi="Times New Roman" w:cs="Times New Roman"/>
          <w:color w:val="000000" w:themeColor="text1"/>
        </w:rPr>
      </w:pPr>
      <w:r w:rsidRPr="005948DE">
        <w:rPr>
          <w:rFonts w:ascii="Times New Roman" w:hAnsi="Times New Roman" w:cs="Times New Roman"/>
          <w:b/>
          <w:color w:val="000000" w:themeColor="text1"/>
        </w:rPr>
        <w:t>Auditing</w:t>
      </w:r>
      <w:r w:rsidR="00D557B0">
        <w:rPr>
          <w:rFonts w:ascii="Times New Roman" w:hAnsi="Times New Roman" w:cs="Times New Roman"/>
          <w:b/>
          <w:color w:val="000000" w:themeColor="text1"/>
        </w:rPr>
        <w:t xml:space="preserve">, </w:t>
      </w:r>
      <w:r w:rsidR="00D557B0" w:rsidRPr="00665F55">
        <w:rPr>
          <w:rFonts w:ascii="Times New Roman" w:hAnsi="Times New Roman" w:cs="Times New Roman"/>
          <w:color w:val="000000" w:themeColor="text1"/>
        </w:rPr>
        <w:t>that</w:t>
      </w:r>
      <w:r w:rsidRPr="00D557B0">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includes external annual audit of Project accounts and financial records in accordance with the </w:t>
      </w:r>
      <w:r w:rsidR="00D557B0">
        <w:rPr>
          <w:rFonts w:ascii="Times New Roman" w:hAnsi="Times New Roman" w:cs="Times New Roman"/>
          <w:color w:val="000000" w:themeColor="text1"/>
        </w:rPr>
        <w:t>Bank</w:t>
      </w:r>
      <w:r w:rsidR="00D557B0"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requirements;</w:t>
      </w:r>
    </w:p>
    <w:p w14:paraId="7B492C71" w14:textId="720EDD70" w:rsidR="00E168E6" w:rsidRPr="005948DE" w:rsidRDefault="00E168E6" w:rsidP="005948DE">
      <w:pPr>
        <w:pStyle w:val="ListParagraph"/>
        <w:numPr>
          <w:ilvl w:val="0"/>
          <w:numId w:val="186"/>
        </w:numPr>
        <w:spacing w:after="120" w:line="276" w:lineRule="auto"/>
        <w:ind w:left="426"/>
        <w:contextualSpacing w:val="0"/>
        <w:jc w:val="both"/>
        <w:rPr>
          <w:rFonts w:ascii="Times New Roman" w:hAnsi="Times New Roman" w:cs="Times New Roman"/>
          <w:color w:val="000000" w:themeColor="text1"/>
        </w:rPr>
      </w:pPr>
      <w:r w:rsidRPr="005948DE">
        <w:rPr>
          <w:rFonts w:ascii="Times New Roman" w:hAnsi="Times New Roman" w:cs="Times New Roman"/>
          <w:b/>
          <w:color w:val="000000" w:themeColor="text1"/>
        </w:rPr>
        <w:t>Reporting</w:t>
      </w:r>
      <w:r w:rsidR="00D557B0">
        <w:rPr>
          <w:rFonts w:ascii="Times New Roman" w:hAnsi="Times New Roman" w:cs="Times New Roman"/>
          <w:b/>
          <w:color w:val="000000" w:themeColor="text1"/>
        </w:rPr>
        <w:t xml:space="preserve">, </w:t>
      </w:r>
      <w:r w:rsidR="00D557B0" w:rsidRPr="00665F55">
        <w:rPr>
          <w:rFonts w:ascii="Times New Roman" w:hAnsi="Times New Roman" w:cs="Times New Roman"/>
          <w:color w:val="000000" w:themeColor="text1"/>
        </w:rPr>
        <w:t>that</w:t>
      </w:r>
      <w:r w:rsidRPr="005948DE">
        <w:rPr>
          <w:rFonts w:ascii="Times New Roman" w:hAnsi="Times New Roman" w:cs="Times New Roman"/>
          <w:color w:val="000000" w:themeColor="text1"/>
        </w:rPr>
        <w:t xml:space="preserve"> includes establishment of regular reporting system </w:t>
      </w:r>
      <w:r w:rsidR="00A033D7" w:rsidRPr="005948DE">
        <w:rPr>
          <w:rFonts w:ascii="Times New Roman" w:hAnsi="Times New Roman" w:cs="Times New Roman"/>
          <w:color w:val="000000" w:themeColor="text1"/>
        </w:rPr>
        <w:t>facilitating sharing</w:t>
      </w:r>
      <w:r w:rsidRPr="005948DE">
        <w:rPr>
          <w:rFonts w:ascii="Times New Roman" w:hAnsi="Times New Roman" w:cs="Times New Roman"/>
          <w:color w:val="000000" w:themeColor="text1"/>
        </w:rPr>
        <w:t xml:space="preserve"> information about the Project as stipulated in the LA, CFA, PAD and </w:t>
      </w:r>
      <w:r w:rsidR="009824EC" w:rsidRPr="005948DE">
        <w:rPr>
          <w:rFonts w:ascii="Times New Roman" w:hAnsi="Times New Roman" w:cs="Times New Roman"/>
          <w:color w:val="000000" w:themeColor="text1"/>
        </w:rPr>
        <w:t>this Manual</w:t>
      </w:r>
      <w:r w:rsidR="00A033D7" w:rsidRPr="005948DE">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or as may be from time to time requested by the </w:t>
      </w:r>
      <w:r w:rsidR="004A314E">
        <w:rPr>
          <w:rFonts w:ascii="Times New Roman" w:hAnsi="Times New Roman" w:cs="Times New Roman"/>
          <w:color w:val="000000" w:themeColor="text1"/>
        </w:rPr>
        <w:t>Bank</w:t>
      </w:r>
      <w:r w:rsidRPr="005948DE">
        <w:rPr>
          <w:rFonts w:ascii="Times New Roman" w:hAnsi="Times New Roman" w:cs="Times New Roman"/>
          <w:color w:val="000000" w:themeColor="text1"/>
        </w:rPr>
        <w:t>,</w:t>
      </w:r>
      <w:r w:rsidR="004A314E">
        <w:rPr>
          <w:rFonts w:ascii="Times New Roman" w:hAnsi="Times New Roman" w:cs="Times New Roman"/>
          <w:color w:val="000000" w:themeColor="text1"/>
        </w:rPr>
        <w:t xml:space="preserve"> the</w:t>
      </w:r>
      <w:r w:rsidRPr="005948DE">
        <w:rPr>
          <w:rFonts w:ascii="Times New Roman" w:hAnsi="Times New Roman" w:cs="Times New Roman"/>
          <w:color w:val="000000" w:themeColor="text1"/>
        </w:rPr>
        <w:t xml:space="preserve"> AFD,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MoF or authorized officials of the </w:t>
      </w:r>
      <w:r w:rsidR="00917962" w:rsidRPr="005948DE">
        <w:rPr>
          <w:rFonts w:ascii="Times New Roman" w:hAnsi="Times New Roman" w:cs="Times New Roman"/>
          <w:color w:val="000000" w:themeColor="text1"/>
        </w:rPr>
        <w:t>LSGs</w:t>
      </w:r>
      <w:r w:rsidRPr="005948DE">
        <w:rPr>
          <w:rFonts w:ascii="Times New Roman" w:hAnsi="Times New Roman" w:cs="Times New Roman"/>
          <w:color w:val="000000" w:themeColor="text1"/>
        </w:rPr>
        <w:t>.</w:t>
      </w:r>
    </w:p>
    <w:p w14:paraId="7B86D2B9" w14:textId="2EDA8EE8" w:rsidR="004A314E" w:rsidRPr="00665F55" w:rsidRDefault="009824EC" w:rsidP="0005515F">
      <w:pPr>
        <w:pStyle w:val="ListParagraph"/>
        <w:numPr>
          <w:ilvl w:val="0"/>
          <w:numId w:val="186"/>
        </w:numPr>
        <w:spacing w:after="120" w:line="276" w:lineRule="auto"/>
        <w:ind w:left="426"/>
        <w:contextualSpacing w:val="0"/>
        <w:jc w:val="both"/>
        <w:rPr>
          <w:rFonts w:ascii="Times New Roman" w:hAnsi="Times New Roman" w:cs="Times New Roman"/>
          <w:b/>
        </w:rPr>
      </w:pPr>
      <w:r w:rsidRPr="005948DE">
        <w:rPr>
          <w:rFonts w:ascii="Times New Roman" w:hAnsi="Times New Roman" w:cs="Times New Roman"/>
          <w:b/>
          <w:color w:val="000000" w:themeColor="text1"/>
        </w:rPr>
        <w:t xml:space="preserve">Capacity building. </w:t>
      </w:r>
      <w:r w:rsidR="00373CF3" w:rsidRPr="005948DE">
        <w:rPr>
          <w:rFonts w:ascii="Times New Roman" w:hAnsi="Times New Roman" w:cs="Times New Roman"/>
          <w:bCs/>
          <w:color w:val="000000" w:themeColor="text1"/>
        </w:rPr>
        <w:t>The PIU will be responsible for building the capacity of LSGs to enable them to undertake these activities affectively with the fiduciary support of the CFU</w:t>
      </w:r>
      <w:r w:rsidR="0097468C" w:rsidRPr="005948DE">
        <w:rPr>
          <w:rFonts w:ascii="Times New Roman" w:hAnsi="Times New Roman" w:cs="Times New Roman"/>
        </w:rPr>
        <w:t>.</w:t>
      </w:r>
      <w:r w:rsidR="00373CF3" w:rsidRPr="005948DE">
        <w:rPr>
          <w:rFonts w:ascii="Times New Roman" w:hAnsi="Times New Roman" w:cs="Times New Roman"/>
        </w:rPr>
        <w:t xml:space="preserve"> The CFU will also participate in organized training to the LSGs on how to ensure stronger competition and increase transparency in procurement.</w:t>
      </w:r>
    </w:p>
    <w:p w14:paraId="626049F1" w14:textId="3031E85A" w:rsidR="00E168E6" w:rsidRPr="005948DE" w:rsidRDefault="00963875"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4" w:name="_Toc93342224"/>
      <w:r w:rsidRPr="005948DE">
        <w:rPr>
          <w:rFonts w:ascii="Times New Roman" w:hAnsi="Times New Roman" w:cs="Times New Roman"/>
          <w:color w:val="auto"/>
        </w:rPr>
        <w:t>Funding Agencies</w:t>
      </w:r>
      <w:bookmarkEnd w:id="114"/>
      <w:r w:rsidRPr="005948DE">
        <w:rPr>
          <w:rFonts w:ascii="Times New Roman" w:hAnsi="Times New Roman" w:cs="Times New Roman"/>
          <w:color w:val="auto"/>
        </w:rPr>
        <w:t xml:space="preserve"> </w:t>
      </w:r>
    </w:p>
    <w:p w14:paraId="23019A37" w14:textId="3F520FCB" w:rsidR="00E168E6" w:rsidRPr="005948DE" w:rsidRDefault="00E168E6"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Project will be financed from two sources, respectively </w:t>
      </w:r>
      <w:r w:rsidR="004A314E">
        <w:rPr>
          <w:rFonts w:ascii="Times New Roman" w:hAnsi="Times New Roman" w:cs="Times New Roman"/>
          <w:color w:val="000000" w:themeColor="text1"/>
        </w:rPr>
        <w:t xml:space="preserve">the </w:t>
      </w:r>
      <w:r w:rsidR="00A577FD">
        <w:rPr>
          <w:rFonts w:ascii="Times New Roman" w:hAnsi="Times New Roman" w:cs="Times New Roman"/>
          <w:color w:val="000000" w:themeColor="text1"/>
        </w:rPr>
        <w:t>Bank</w:t>
      </w:r>
      <w:r w:rsidR="00A577FD"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and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AFD funds in equal proportions. From the managerial point of view:</w:t>
      </w:r>
    </w:p>
    <w:p w14:paraId="55BC20D2" w14:textId="4A34AD32" w:rsidR="00CD7770" w:rsidRPr="005948DE" w:rsidRDefault="00E168E6"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b/>
          <w:color w:val="000000" w:themeColor="text1"/>
          <w:u w:val="single"/>
        </w:rPr>
        <w:t xml:space="preserve">The Bank </w:t>
      </w:r>
      <w:r w:rsidRPr="005948DE">
        <w:rPr>
          <w:rFonts w:ascii="Times New Roman" w:hAnsi="Times New Roman" w:cs="Times New Roman"/>
          <w:color w:val="000000" w:themeColor="text1"/>
        </w:rPr>
        <w:t xml:space="preserve">is responsible for overall supervision of the Project, and will provide additional implementation support throughout the Project's lifespan. This will include: (a) periodical supervision missions, (ii) trainings, as necessary; (iii) follow up on the project’s financial management system, including reporting requirements and adherence of </w:t>
      </w:r>
      <w:r w:rsidR="004A314E" w:rsidRPr="005948DE">
        <w:rPr>
          <w:rFonts w:ascii="Times New Roman" w:hAnsi="Times New Roman" w:cs="Times New Roman"/>
          <w:color w:val="000000" w:themeColor="text1"/>
        </w:rPr>
        <w:t>th</w:t>
      </w:r>
      <w:r w:rsidR="004A314E">
        <w:rPr>
          <w:rFonts w:ascii="Times New Roman" w:hAnsi="Times New Roman" w:cs="Times New Roman"/>
          <w:color w:val="000000" w:themeColor="text1"/>
        </w:rPr>
        <w:t>is</w:t>
      </w:r>
      <w:r w:rsidR="004A314E" w:rsidRPr="005948DE">
        <w:rPr>
          <w:rFonts w:ascii="Times New Roman" w:hAnsi="Times New Roman" w:cs="Times New Roman"/>
          <w:color w:val="000000" w:themeColor="text1"/>
        </w:rPr>
        <w:t xml:space="preserve"> </w:t>
      </w:r>
      <w:r w:rsidR="000846C8" w:rsidRPr="005948DE">
        <w:rPr>
          <w:rFonts w:ascii="Times New Roman" w:hAnsi="Times New Roman" w:cs="Times New Roman"/>
          <w:color w:val="000000" w:themeColor="text1"/>
        </w:rPr>
        <w:t>Manual</w:t>
      </w:r>
      <w:r w:rsidRPr="005948DE">
        <w:rPr>
          <w:rFonts w:ascii="Times New Roman" w:hAnsi="Times New Roman" w:cs="Times New Roman"/>
          <w:color w:val="000000" w:themeColor="text1"/>
        </w:rPr>
        <w:t>, including but not limited to accounting, reporting and internal controls; (iv) guidance on the Bank’s Procurement Regulations; (v) review of procurement documents and provision of timely feedback to the PIU; (vi) monitoring of compliance with the standards of safeguard instruments.</w:t>
      </w:r>
    </w:p>
    <w:p w14:paraId="28886EA3" w14:textId="319B5945" w:rsidR="00CD7770" w:rsidRPr="005948DE" w:rsidRDefault="00CD7770" w:rsidP="005948DE">
      <w:pPr>
        <w:pStyle w:val="Normal0"/>
        <w:spacing w:after="120" w:line="276" w:lineRule="auto"/>
        <w:jc w:val="both"/>
        <w:rPr>
          <w:rFonts w:ascii="Times New Roman" w:hAnsi="Times New Roman" w:cs="Times New Roman"/>
          <w:color w:val="000000" w:themeColor="text1"/>
          <w:lang w:val="en-GB"/>
        </w:rPr>
      </w:pPr>
      <w:r w:rsidRPr="005948DE">
        <w:rPr>
          <w:rFonts w:ascii="Times New Roman" w:hAnsi="Times New Roman" w:cs="Times New Roman"/>
          <w:bCs/>
          <w:color w:val="000000" w:themeColor="text1"/>
          <w:lang w:val="en-GB"/>
        </w:rPr>
        <w:t xml:space="preserve">In addition to ensuring compliance with </w:t>
      </w:r>
      <w:r w:rsidR="004A314E">
        <w:rPr>
          <w:rFonts w:ascii="Times New Roman" w:hAnsi="Times New Roman" w:cs="Times New Roman"/>
          <w:bCs/>
          <w:color w:val="000000" w:themeColor="text1"/>
          <w:lang w:val="en-GB"/>
        </w:rPr>
        <w:t>t</w:t>
      </w:r>
      <w:r w:rsidR="004A314E" w:rsidRPr="005948DE">
        <w:rPr>
          <w:rFonts w:ascii="Times New Roman" w:hAnsi="Times New Roman" w:cs="Times New Roman"/>
          <w:bCs/>
          <w:color w:val="000000" w:themeColor="text1"/>
          <w:lang w:val="en-GB"/>
        </w:rPr>
        <w:t xml:space="preserve">he </w:t>
      </w:r>
      <w:r w:rsidR="009E4440" w:rsidRPr="005948DE">
        <w:rPr>
          <w:rFonts w:ascii="Times New Roman" w:hAnsi="Times New Roman" w:cs="Times New Roman"/>
          <w:bCs/>
          <w:color w:val="000000" w:themeColor="text1"/>
          <w:lang w:val="en-GB"/>
        </w:rPr>
        <w:t>Bank</w:t>
      </w:r>
      <w:r w:rsidR="004A314E">
        <w:rPr>
          <w:rFonts w:ascii="Times New Roman" w:hAnsi="Times New Roman" w:cs="Times New Roman"/>
          <w:bCs/>
          <w:color w:val="000000" w:themeColor="text1"/>
          <w:lang w:val="en-GB"/>
        </w:rPr>
        <w:t>’</w:t>
      </w:r>
      <w:r w:rsidR="009E4440" w:rsidRPr="005948DE">
        <w:rPr>
          <w:rFonts w:ascii="Times New Roman" w:hAnsi="Times New Roman" w:cs="Times New Roman"/>
          <w:bCs/>
          <w:color w:val="000000" w:themeColor="text1"/>
          <w:lang w:val="en-GB"/>
        </w:rPr>
        <w:t>s requirements</w:t>
      </w:r>
      <w:r w:rsidRPr="005948DE">
        <w:rPr>
          <w:rFonts w:ascii="Times New Roman" w:hAnsi="Times New Roman" w:cs="Times New Roman"/>
          <w:bCs/>
          <w:color w:val="000000" w:themeColor="text1"/>
          <w:lang w:val="en-GB"/>
        </w:rPr>
        <w:t xml:space="preserve"> and the financing agreement, the Bank team will focus special attention on ensuring close coordination between the MCTI, the PIU, and the LSGs. </w:t>
      </w:r>
      <w:r w:rsidRPr="005948DE">
        <w:rPr>
          <w:rFonts w:ascii="Times New Roman" w:hAnsi="Times New Roman" w:cs="Times New Roman"/>
          <w:color w:val="000000" w:themeColor="text1"/>
          <w:lang w:val="en-GB"/>
        </w:rPr>
        <w:t>The involvement of numerous stakeholders entails high coordination and transaction costs which could delay project implementation. The Bank will work with the MCTI to ensure that all entities have the relevant skills and receive necessary training. The PIU will also receive specific coordination support from the Bank in the fiduciary, procurement, and project management dimensions</w:t>
      </w:r>
      <w:r w:rsidR="009E4440" w:rsidRPr="005948DE">
        <w:rPr>
          <w:rFonts w:ascii="Times New Roman" w:hAnsi="Times New Roman" w:cs="Times New Roman"/>
          <w:color w:val="000000" w:themeColor="text1"/>
          <w:lang w:val="en-GB"/>
        </w:rPr>
        <w:t>.</w:t>
      </w:r>
      <w:r w:rsidRPr="005948DE">
        <w:rPr>
          <w:rFonts w:ascii="Times New Roman" w:hAnsi="Times New Roman" w:cs="Times New Roman"/>
          <w:color w:val="000000" w:themeColor="text1"/>
          <w:lang w:val="en-GB"/>
        </w:rPr>
        <w:t xml:space="preserve"> </w:t>
      </w:r>
    </w:p>
    <w:p w14:paraId="15093E1B" w14:textId="31E61DBB" w:rsidR="00CD7770" w:rsidRPr="005948DE" w:rsidRDefault="00CD7770" w:rsidP="005948DE">
      <w:pPr>
        <w:pStyle w:val="Normal0"/>
        <w:spacing w:after="120" w:line="276" w:lineRule="auto"/>
        <w:jc w:val="both"/>
        <w:rPr>
          <w:rFonts w:ascii="Times New Roman" w:hAnsi="Times New Roman" w:cs="Times New Roman"/>
          <w:color w:val="000000" w:themeColor="text1"/>
          <w:lang w:val="en-GB"/>
        </w:rPr>
      </w:pPr>
      <w:r w:rsidRPr="005948DE">
        <w:rPr>
          <w:rFonts w:ascii="Times New Roman" w:hAnsi="Times New Roman" w:cs="Times New Roman"/>
          <w:bCs/>
          <w:color w:val="000000" w:themeColor="text1"/>
          <w:lang w:val="en-GB"/>
        </w:rPr>
        <w:t xml:space="preserve">Through supervision missions, the Bank team will carry out field visits to major construction sites and hold meetings with key stakeholders. </w:t>
      </w:r>
      <w:r w:rsidRPr="005948DE">
        <w:rPr>
          <w:rFonts w:ascii="Times New Roman" w:hAnsi="Times New Roman" w:cs="Times New Roman"/>
          <w:color w:val="000000" w:themeColor="text1"/>
          <w:lang w:val="en-GB"/>
        </w:rPr>
        <w:t xml:space="preserve">The team supporting the </w:t>
      </w:r>
      <w:r w:rsidR="00A577FD">
        <w:rPr>
          <w:rFonts w:ascii="Times New Roman" w:hAnsi="Times New Roman" w:cs="Times New Roman"/>
          <w:color w:val="000000" w:themeColor="text1"/>
          <w:lang w:val="en-GB"/>
        </w:rPr>
        <w:t>WB</w:t>
      </w:r>
      <w:r w:rsidRPr="005948DE">
        <w:rPr>
          <w:rFonts w:ascii="Times New Roman" w:hAnsi="Times New Roman" w:cs="Times New Roman"/>
          <w:color w:val="000000" w:themeColor="text1"/>
          <w:lang w:val="en-GB"/>
        </w:rPr>
        <w:t xml:space="preserve">TTL would be a mix of personnel based at the </w:t>
      </w:r>
      <w:r w:rsidR="004A314E">
        <w:rPr>
          <w:rFonts w:ascii="Times New Roman" w:hAnsi="Times New Roman" w:cs="Times New Roman"/>
          <w:color w:val="000000" w:themeColor="text1"/>
          <w:lang w:val="en-GB"/>
        </w:rPr>
        <w:t xml:space="preserve">Bank’s </w:t>
      </w:r>
      <w:r w:rsidRPr="005948DE">
        <w:rPr>
          <w:rFonts w:ascii="Times New Roman" w:hAnsi="Times New Roman" w:cs="Times New Roman"/>
          <w:color w:val="000000" w:themeColor="text1"/>
          <w:lang w:val="en-GB"/>
        </w:rPr>
        <w:t>H</w:t>
      </w:r>
      <w:r w:rsidR="004A314E">
        <w:rPr>
          <w:rFonts w:ascii="Times New Roman" w:hAnsi="Times New Roman" w:cs="Times New Roman"/>
          <w:color w:val="000000" w:themeColor="text1"/>
          <w:lang w:val="en-GB"/>
        </w:rPr>
        <w:t xml:space="preserve">eadquarters </w:t>
      </w:r>
      <w:r w:rsidRPr="005948DE">
        <w:rPr>
          <w:rFonts w:ascii="Times New Roman" w:hAnsi="Times New Roman" w:cs="Times New Roman"/>
          <w:color w:val="000000" w:themeColor="text1"/>
          <w:lang w:val="en-GB"/>
        </w:rPr>
        <w:t xml:space="preserve">and Country Offices in the region. Additional support will be provided by the Bank’s procurement, financial management, and </w:t>
      </w:r>
      <w:r w:rsidR="004A314E">
        <w:rPr>
          <w:rFonts w:ascii="Times New Roman" w:hAnsi="Times New Roman" w:cs="Times New Roman"/>
          <w:color w:val="000000" w:themeColor="text1"/>
          <w:lang w:val="en-GB"/>
        </w:rPr>
        <w:t xml:space="preserve">environmental </w:t>
      </w:r>
      <w:r w:rsidR="003C179E">
        <w:rPr>
          <w:rFonts w:ascii="Times New Roman" w:hAnsi="Times New Roman" w:cs="Times New Roman"/>
          <w:color w:val="000000" w:themeColor="text1"/>
          <w:lang w:val="en-GB"/>
        </w:rPr>
        <w:t xml:space="preserve">and </w:t>
      </w:r>
      <w:r w:rsidR="004A314E">
        <w:rPr>
          <w:rFonts w:ascii="Times New Roman" w:hAnsi="Times New Roman" w:cs="Times New Roman"/>
          <w:color w:val="000000" w:themeColor="text1"/>
          <w:lang w:val="en-GB"/>
        </w:rPr>
        <w:t>social</w:t>
      </w:r>
      <w:r w:rsidR="004A314E" w:rsidRPr="005948DE">
        <w:rPr>
          <w:rFonts w:ascii="Times New Roman" w:hAnsi="Times New Roman" w:cs="Times New Roman"/>
          <w:color w:val="000000" w:themeColor="text1"/>
          <w:lang w:val="en-GB"/>
        </w:rPr>
        <w:t xml:space="preserve"> </w:t>
      </w:r>
      <w:r w:rsidRPr="005948DE">
        <w:rPr>
          <w:rFonts w:ascii="Times New Roman" w:hAnsi="Times New Roman" w:cs="Times New Roman"/>
          <w:color w:val="000000" w:themeColor="text1"/>
          <w:lang w:val="en-GB"/>
        </w:rPr>
        <w:t xml:space="preserve">specialists. The Implementation Support Plan will be reviewed at least once a year to ensure that it continues to meet the implementation support needs of the Project and </w:t>
      </w:r>
      <w:r w:rsidR="004A314E">
        <w:rPr>
          <w:rFonts w:ascii="Times New Roman" w:hAnsi="Times New Roman" w:cs="Times New Roman"/>
          <w:color w:val="000000" w:themeColor="text1"/>
          <w:lang w:val="en-GB"/>
        </w:rPr>
        <w:t xml:space="preserve">the </w:t>
      </w:r>
      <w:r w:rsidRPr="005948DE">
        <w:rPr>
          <w:rFonts w:ascii="Times New Roman" w:hAnsi="Times New Roman" w:cs="Times New Roman"/>
          <w:color w:val="000000" w:themeColor="text1"/>
          <w:lang w:val="en-GB"/>
        </w:rPr>
        <w:t>PDO.</w:t>
      </w:r>
    </w:p>
    <w:p w14:paraId="1EA051F3" w14:textId="3E4A4491" w:rsidR="00CD7770" w:rsidRPr="005948DE" w:rsidRDefault="00CD7770" w:rsidP="005948DE">
      <w:pPr>
        <w:pStyle w:val="Normal0"/>
        <w:numPr>
          <w:ilvl w:val="0"/>
          <w:numId w:val="225"/>
        </w:numPr>
        <w:spacing w:after="120" w:line="276" w:lineRule="auto"/>
        <w:ind w:left="426"/>
        <w:jc w:val="both"/>
        <w:rPr>
          <w:rFonts w:ascii="Times New Roman" w:hAnsi="Times New Roman" w:cs="Times New Roman"/>
          <w:color w:val="000000" w:themeColor="text1"/>
          <w:lang w:val="en-GB"/>
        </w:rPr>
      </w:pPr>
      <w:r w:rsidRPr="005948DE">
        <w:rPr>
          <w:rFonts w:ascii="Times New Roman" w:hAnsi="Times New Roman" w:cs="Times New Roman"/>
          <w:b/>
          <w:iCs/>
          <w:color w:val="000000" w:themeColor="text1"/>
          <w:lang w:val="en-GB"/>
        </w:rPr>
        <w:t>Strategic</w:t>
      </w:r>
      <w:r w:rsidRPr="005948DE">
        <w:rPr>
          <w:rFonts w:ascii="Times New Roman" w:hAnsi="Times New Roman" w:cs="Times New Roman"/>
          <w:iCs/>
          <w:color w:val="000000" w:themeColor="text1"/>
          <w:lang w:val="en-GB"/>
        </w:rPr>
        <w:t xml:space="preserve">: </w:t>
      </w:r>
      <w:r w:rsidRPr="005948DE">
        <w:rPr>
          <w:rFonts w:ascii="Times New Roman" w:hAnsi="Times New Roman" w:cs="Times New Roman"/>
          <w:color w:val="000000" w:themeColor="text1"/>
          <w:lang w:val="en-GB"/>
        </w:rPr>
        <w:t xml:space="preserve">Supervision missions will meet with the PIU and the LSGs to: (a) review progress on the Project’s activities; (b) re-confirm strategic alignment of Project activities to the PDO; (c) promptly address any shortcomings in project implementation; (d) ensure the necessary coordination among respective stakeholders; and (e) evaluate progress on cross-cutting issues such as monitoring and evaluation, training, communication and dissemination of </w:t>
      </w:r>
      <w:r w:rsidR="00A577FD">
        <w:rPr>
          <w:rFonts w:ascii="Times New Roman" w:hAnsi="Times New Roman" w:cs="Times New Roman"/>
          <w:color w:val="000000" w:themeColor="text1"/>
          <w:lang w:val="en-GB"/>
        </w:rPr>
        <w:t xml:space="preserve">the </w:t>
      </w:r>
      <w:r w:rsidRPr="005948DE">
        <w:rPr>
          <w:rFonts w:ascii="Times New Roman" w:hAnsi="Times New Roman" w:cs="Times New Roman"/>
          <w:color w:val="000000" w:themeColor="text1"/>
          <w:lang w:val="en-GB"/>
        </w:rPr>
        <w:t xml:space="preserve">Project results and experiences. Supervision missions will be done according to the COVID-19 situation and will follow the recommendations of the GoS as well as the Bank. Virtual missions will be carried out when the </w:t>
      </w:r>
      <w:r w:rsidR="00A577FD" w:rsidRPr="005948DE">
        <w:rPr>
          <w:rFonts w:ascii="Times New Roman" w:hAnsi="Times New Roman" w:cs="Times New Roman"/>
          <w:color w:val="000000" w:themeColor="text1"/>
          <w:lang w:val="en-GB"/>
        </w:rPr>
        <w:t>C</w:t>
      </w:r>
      <w:r w:rsidR="00A577FD">
        <w:rPr>
          <w:rFonts w:ascii="Times New Roman" w:hAnsi="Times New Roman" w:cs="Times New Roman"/>
          <w:color w:val="000000" w:themeColor="text1"/>
          <w:lang w:val="en-GB"/>
        </w:rPr>
        <w:t>ovid</w:t>
      </w:r>
      <w:r w:rsidRPr="005948DE">
        <w:rPr>
          <w:rFonts w:ascii="Times New Roman" w:hAnsi="Times New Roman" w:cs="Times New Roman"/>
          <w:color w:val="000000" w:themeColor="text1"/>
          <w:lang w:val="en-GB"/>
        </w:rPr>
        <w:t xml:space="preserve">-19 does not allow in-site ones. </w:t>
      </w:r>
      <w:r w:rsidRPr="005948DE">
        <w:rPr>
          <w:rFonts w:ascii="Times New Roman" w:eastAsia="Times New Roman" w:hAnsi="Times New Roman" w:cs="Times New Roman"/>
          <w:color w:val="000000" w:themeColor="text1"/>
          <w:lang w:val="en-GB"/>
        </w:rPr>
        <w:t>The online supervision platform, utilizing free of charge the Mapil</w:t>
      </w:r>
      <w:r w:rsidR="00E964D7" w:rsidRPr="005948DE">
        <w:rPr>
          <w:rFonts w:ascii="Times New Roman" w:eastAsia="Times New Roman" w:hAnsi="Times New Roman" w:cs="Times New Roman"/>
          <w:color w:val="000000" w:themeColor="text1"/>
          <w:lang w:val="en-GB"/>
        </w:rPr>
        <w:t>l</w:t>
      </w:r>
      <w:r w:rsidRPr="005948DE">
        <w:rPr>
          <w:rFonts w:ascii="Times New Roman" w:eastAsia="Times New Roman" w:hAnsi="Times New Roman" w:cs="Times New Roman"/>
          <w:color w:val="000000" w:themeColor="text1"/>
          <w:lang w:val="en-GB"/>
        </w:rPr>
        <w:t>ary application or similar, will be established too.</w:t>
      </w:r>
    </w:p>
    <w:p w14:paraId="07749D57" w14:textId="08639908" w:rsidR="00CD7770" w:rsidRPr="005948DE" w:rsidRDefault="00CD7770" w:rsidP="005948DE">
      <w:pPr>
        <w:pStyle w:val="Normal0"/>
        <w:numPr>
          <w:ilvl w:val="0"/>
          <w:numId w:val="225"/>
        </w:numPr>
        <w:spacing w:after="120" w:line="276" w:lineRule="auto"/>
        <w:ind w:left="426"/>
        <w:jc w:val="both"/>
        <w:rPr>
          <w:rFonts w:ascii="Times New Roman" w:hAnsi="Times New Roman" w:cs="Times New Roman"/>
          <w:color w:val="000000" w:themeColor="text1"/>
          <w:lang w:val="en-GB"/>
        </w:rPr>
      </w:pPr>
      <w:r w:rsidRPr="005948DE">
        <w:rPr>
          <w:rFonts w:ascii="Times New Roman" w:hAnsi="Times New Roman" w:cs="Times New Roman"/>
          <w:b/>
          <w:iCs/>
          <w:color w:val="000000" w:themeColor="text1"/>
          <w:lang w:val="en-GB"/>
        </w:rPr>
        <w:t>Technical</w:t>
      </w:r>
      <w:r w:rsidRPr="005948DE">
        <w:rPr>
          <w:rFonts w:ascii="Times New Roman" w:hAnsi="Times New Roman" w:cs="Times New Roman"/>
          <w:iCs/>
          <w:color w:val="000000" w:themeColor="text1"/>
          <w:lang w:val="en-GB"/>
        </w:rPr>
        <w:t xml:space="preserve">: </w:t>
      </w:r>
      <w:r w:rsidRPr="005948DE">
        <w:rPr>
          <w:rFonts w:ascii="Times New Roman" w:hAnsi="Times New Roman" w:cs="Times New Roman"/>
          <w:color w:val="000000" w:themeColor="text1"/>
          <w:lang w:val="en-GB"/>
        </w:rPr>
        <w:t xml:space="preserve">The Bank Project team will consist of technical specialists who will review and supervise the execution of </w:t>
      </w:r>
      <w:r w:rsidR="00A577FD">
        <w:rPr>
          <w:rFonts w:ascii="Times New Roman" w:hAnsi="Times New Roman" w:cs="Times New Roman"/>
          <w:color w:val="000000" w:themeColor="text1"/>
          <w:lang w:val="en-GB"/>
        </w:rPr>
        <w:t xml:space="preserve">the </w:t>
      </w:r>
      <w:r w:rsidRPr="005948DE">
        <w:rPr>
          <w:rFonts w:ascii="Times New Roman" w:hAnsi="Times New Roman" w:cs="Times New Roman"/>
          <w:color w:val="000000" w:themeColor="text1"/>
          <w:lang w:val="en-GB"/>
        </w:rPr>
        <w:t xml:space="preserve">Project activities, ensure that they remain in line with the PDO, and advise on adjustments to the designs and procurement plan when necessary. The support will also focus on ensuring the technical quality of bidding documents and evaluation reports, contract management, and the quality of all works, goods, and services delivered. </w:t>
      </w:r>
    </w:p>
    <w:p w14:paraId="1FC4BFB7" w14:textId="44D73D4C" w:rsidR="00CD7770" w:rsidRPr="005948DE" w:rsidRDefault="0079119F" w:rsidP="005948DE">
      <w:pPr>
        <w:pStyle w:val="Normal0"/>
        <w:numPr>
          <w:ilvl w:val="0"/>
          <w:numId w:val="225"/>
        </w:numPr>
        <w:spacing w:after="120" w:line="276" w:lineRule="auto"/>
        <w:ind w:left="426"/>
        <w:jc w:val="both"/>
        <w:rPr>
          <w:rFonts w:ascii="Times New Roman" w:hAnsi="Times New Roman" w:cs="Times New Roman"/>
          <w:color w:val="000000" w:themeColor="text1"/>
          <w:lang w:val="en-GB"/>
        </w:rPr>
      </w:pPr>
      <w:r>
        <w:rPr>
          <w:rFonts w:ascii="Times New Roman" w:hAnsi="Times New Roman" w:cs="Times New Roman"/>
          <w:b/>
          <w:color w:val="000000" w:themeColor="text1"/>
          <w:lang w:val="en-GB"/>
        </w:rPr>
        <w:t>Environmental and Social Management</w:t>
      </w:r>
      <w:r w:rsidR="00CD7770" w:rsidRPr="005948DE">
        <w:rPr>
          <w:rFonts w:ascii="Times New Roman" w:hAnsi="Times New Roman" w:cs="Times New Roman"/>
          <w:color w:val="000000" w:themeColor="text1"/>
          <w:lang w:val="en-GB"/>
        </w:rPr>
        <w:t xml:space="preserve">: Bank environmental and social specialists will support the MCTI </w:t>
      </w:r>
      <w:r w:rsidR="009E4440" w:rsidRPr="005948DE">
        <w:rPr>
          <w:rFonts w:ascii="Times New Roman" w:hAnsi="Times New Roman" w:cs="Times New Roman"/>
          <w:color w:val="000000" w:themeColor="text1"/>
          <w:lang w:val="en-GB"/>
        </w:rPr>
        <w:t>in complying with</w:t>
      </w:r>
      <w:r w:rsidR="00CD7770" w:rsidRPr="005948DE">
        <w:rPr>
          <w:rFonts w:ascii="Times New Roman" w:hAnsi="Times New Roman" w:cs="Times New Roman"/>
          <w:color w:val="000000" w:themeColor="text1"/>
          <w:lang w:val="en-GB"/>
        </w:rPr>
        <w:t xml:space="preserve"> the Bank’s </w:t>
      </w:r>
      <w:r w:rsidR="00E964D7" w:rsidRPr="005948DE">
        <w:rPr>
          <w:rFonts w:ascii="Times New Roman" w:hAnsi="Times New Roman" w:cs="Times New Roman"/>
          <w:color w:val="000000" w:themeColor="text1"/>
          <w:lang w:val="en-GB"/>
        </w:rPr>
        <w:t>Environmental and Social Standards</w:t>
      </w:r>
      <w:r w:rsidR="00CD7770" w:rsidRPr="005948DE">
        <w:rPr>
          <w:rFonts w:ascii="Times New Roman" w:hAnsi="Times New Roman" w:cs="Times New Roman"/>
          <w:color w:val="000000" w:themeColor="text1"/>
          <w:lang w:val="en-GB"/>
        </w:rPr>
        <w:t xml:space="preserve">, procedures and good practices. These specialists will provide expert knowledge to appropriate staff and contractors, will conduct regular supervision of implementation of the </w:t>
      </w:r>
      <w:r>
        <w:rPr>
          <w:rFonts w:ascii="Times New Roman" w:hAnsi="Times New Roman" w:cs="Times New Roman"/>
          <w:color w:val="000000" w:themeColor="text1"/>
          <w:lang w:val="en-GB"/>
        </w:rPr>
        <w:t>environmental and social</w:t>
      </w:r>
      <w:r w:rsidRPr="005948DE">
        <w:rPr>
          <w:rFonts w:ascii="Times New Roman" w:hAnsi="Times New Roman" w:cs="Times New Roman"/>
          <w:color w:val="000000" w:themeColor="text1"/>
          <w:lang w:val="en-GB"/>
        </w:rPr>
        <w:t xml:space="preserve"> </w:t>
      </w:r>
      <w:r w:rsidR="00CD7770" w:rsidRPr="005948DE">
        <w:rPr>
          <w:rFonts w:ascii="Times New Roman" w:hAnsi="Times New Roman" w:cs="Times New Roman"/>
          <w:color w:val="000000" w:themeColor="text1"/>
          <w:lang w:val="en-GB"/>
        </w:rPr>
        <w:t>instruments, and provide capacity building of counterpart staff through hands-on support and training on the ESF.</w:t>
      </w:r>
    </w:p>
    <w:p w14:paraId="59FB904B" w14:textId="77777777" w:rsidR="00CD7770" w:rsidRPr="005948DE" w:rsidRDefault="00CD7770" w:rsidP="005948DE">
      <w:pPr>
        <w:pStyle w:val="Normal0"/>
        <w:numPr>
          <w:ilvl w:val="0"/>
          <w:numId w:val="225"/>
        </w:numPr>
        <w:spacing w:after="120" w:line="276" w:lineRule="auto"/>
        <w:ind w:left="426"/>
        <w:jc w:val="both"/>
        <w:rPr>
          <w:rFonts w:ascii="Times New Roman" w:eastAsiaTheme="minorEastAsia" w:hAnsi="Times New Roman" w:cs="Times New Roman"/>
          <w:color w:val="000000" w:themeColor="text1"/>
          <w:lang w:val="en-GB"/>
        </w:rPr>
      </w:pPr>
      <w:r w:rsidRPr="005948DE">
        <w:rPr>
          <w:rFonts w:ascii="Times New Roman" w:hAnsi="Times New Roman" w:cs="Times New Roman"/>
          <w:b/>
          <w:color w:val="000000" w:themeColor="text1"/>
          <w:lang w:val="en-GB"/>
        </w:rPr>
        <w:t>Procurement</w:t>
      </w:r>
      <w:r w:rsidRPr="005948DE">
        <w:rPr>
          <w:rFonts w:ascii="Times New Roman" w:hAnsi="Times New Roman" w:cs="Times New Roman"/>
          <w:iCs/>
          <w:color w:val="000000" w:themeColor="text1"/>
          <w:lang w:val="en-GB"/>
        </w:rPr>
        <w:t>:</w:t>
      </w:r>
      <w:r w:rsidRPr="005948DE">
        <w:rPr>
          <w:rFonts w:ascii="Times New Roman" w:hAnsi="Times New Roman" w:cs="Times New Roman"/>
          <w:color w:val="000000" w:themeColor="text1"/>
          <w:lang w:val="en-GB"/>
        </w:rPr>
        <w:t xml:space="preserve"> Procurement reviews and supervision will be conducted by the Bank’s Accredited Procurement Specialist (APS) assigned to the Project. In addition, one supervision visit is expected to take place per year when ex post reviews will be conducted. Procurement documents will be kept readily available for the Bank’s post review during supervision missions or at any other point in time. A post review report will be prepared annually and shared with the CFU.</w:t>
      </w:r>
    </w:p>
    <w:p w14:paraId="22DB6BA8" w14:textId="79BA7128" w:rsidR="00CD7770" w:rsidRPr="005948DE" w:rsidRDefault="00CD7770" w:rsidP="005948DE">
      <w:pPr>
        <w:pStyle w:val="Normal0"/>
        <w:numPr>
          <w:ilvl w:val="0"/>
          <w:numId w:val="225"/>
        </w:numPr>
        <w:spacing w:after="120" w:line="276" w:lineRule="auto"/>
        <w:ind w:left="426"/>
        <w:jc w:val="both"/>
        <w:rPr>
          <w:rFonts w:ascii="Times New Roman" w:hAnsi="Times New Roman" w:cs="Times New Roman"/>
          <w:color w:val="000000" w:themeColor="text1"/>
          <w:lang w:val="en-GB"/>
        </w:rPr>
      </w:pPr>
      <w:r w:rsidRPr="005948DE">
        <w:rPr>
          <w:rFonts w:ascii="Times New Roman" w:hAnsi="Times New Roman" w:cs="Times New Roman"/>
          <w:b/>
          <w:iCs/>
          <w:color w:val="000000" w:themeColor="text1"/>
          <w:lang w:val="en-GB"/>
        </w:rPr>
        <w:t>Financial Management</w:t>
      </w:r>
      <w:r w:rsidRPr="005948DE">
        <w:rPr>
          <w:rFonts w:ascii="Times New Roman" w:hAnsi="Times New Roman" w:cs="Times New Roman"/>
          <w:bCs/>
          <w:iCs/>
          <w:color w:val="000000" w:themeColor="text1"/>
          <w:lang w:val="en-GB"/>
        </w:rPr>
        <w:t xml:space="preserve"> </w:t>
      </w:r>
      <w:r w:rsidRPr="005948DE">
        <w:rPr>
          <w:rFonts w:ascii="Times New Roman" w:hAnsi="Times New Roman" w:cs="Times New Roman"/>
          <w:color w:val="000000" w:themeColor="text1"/>
          <w:lang w:val="en-GB"/>
        </w:rPr>
        <w:t xml:space="preserve">During Project </w:t>
      </w:r>
      <w:r w:rsidR="00A577FD">
        <w:rPr>
          <w:rFonts w:ascii="Times New Roman" w:hAnsi="Times New Roman" w:cs="Times New Roman"/>
          <w:color w:val="000000" w:themeColor="text1"/>
          <w:lang w:val="en-GB"/>
        </w:rPr>
        <w:t>I</w:t>
      </w:r>
      <w:r w:rsidRPr="005948DE">
        <w:rPr>
          <w:rFonts w:ascii="Times New Roman" w:hAnsi="Times New Roman" w:cs="Times New Roman"/>
          <w:color w:val="000000" w:themeColor="text1"/>
          <w:lang w:val="en-GB"/>
        </w:rPr>
        <w:t xml:space="preserve">mplementation: The Bank will supervise the Project’s financial management </w:t>
      </w:r>
      <w:r w:rsidR="00A577FD">
        <w:rPr>
          <w:rFonts w:ascii="Times New Roman" w:hAnsi="Times New Roman" w:cs="Times New Roman"/>
          <w:color w:val="000000" w:themeColor="text1"/>
          <w:lang w:val="en-GB"/>
        </w:rPr>
        <w:t xml:space="preserve">(FM) </w:t>
      </w:r>
      <w:r w:rsidRPr="005948DE">
        <w:rPr>
          <w:rFonts w:ascii="Times New Roman" w:hAnsi="Times New Roman" w:cs="Times New Roman"/>
          <w:color w:val="000000" w:themeColor="text1"/>
          <w:lang w:val="en-GB"/>
        </w:rPr>
        <w:t xml:space="preserve">arrangements in two main ways: (i) review the Project’s interim un-audited financial reports consolidated for all implementing entities and Project components and subcomponents for each calendar quarter, as well as the Project’s annual audited financial statements and auditor’s management letter; and (ii) perform periodic on-site supervision to review the Project’s financial management and disbursement arrangements and ensure compliance with the Bank's requirements. The on-site supervision will include monitoring of agreed actions, review of randomly selected transactions, review of internal controls, and other specific supervision activities. Supervision will be performed by the Bank accredited </w:t>
      </w:r>
      <w:r w:rsidR="004A314E">
        <w:rPr>
          <w:rFonts w:ascii="Times New Roman" w:hAnsi="Times New Roman" w:cs="Times New Roman"/>
          <w:color w:val="000000" w:themeColor="text1"/>
          <w:lang w:val="en-GB"/>
        </w:rPr>
        <w:t>f</w:t>
      </w:r>
      <w:r w:rsidR="004A314E" w:rsidRPr="005948DE">
        <w:rPr>
          <w:rFonts w:ascii="Times New Roman" w:hAnsi="Times New Roman" w:cs="Times New Roman"/>
          <w:color w:val="000000" w:themeColor="text1"/>
          <w:lang w:val="en-GB"/>
        </w:rPr>
        <w:t xml:space="preserve">inancial </w:t>
      </w:r>
      <w:r w:rsidR="004A314E">
        <w:rPr>
          <w:rFonts w:ascii="Times New Roman" w:hAnsi="Times New Roman" w:cs="Times New Roman"/>
          <w:color w:val="000000" w:themeColor="text1"/>
          <w:lang w:val="en-GB"/>
        </w:rPr>
        <w:t>m</w:t>
      </w:r>
      <w:r w:rsidR="004A314E" w:rsidRPr="005948DE">
        <w:rPr>
          <w:rFonts w:ascii="Times New Roman" w:hAnsi="Times New Roman" w:cs="Times New Roman"/>
          <w:color w:val="000000" w:themeColor="text1"/>
          <w:lang w:val="en-GB"/>
        </w:rPr>
        <w:t xml:space="preserve">anagement </w:t>
      </w:r>
      <w:r w:rsidR="004A314E">
        <w:rPr>
          <w:rFonts w:ascii="Times New Roman" w:hAnsi="Times New Roman" w:cs="Times New Roman"/>
          <w:color w:val="000000" w:themeColor="text1"/>
          <w:lang w:val="en-GB"/>
        </w:rPr>
        <w:t>s</w:t>
      </w:r>
      <w:r w:rsidR="004A314E" w:rsidRPr="005948DE">
        <w:rPr>
          <w:rFonts w:ascii="Times New Roman" w:hAnsi="Times New Roman" w:cs="Times New Roman"/>
          <w:color w:val="000000" w:themeColor="text1"/>
          <w:lang w:val="en-GB"/>
        </w:rPr>
        <w:t>pecialist</w:t>
      </w:r>
      <w:r w:rsidRPr="005948DE">
        <w:rPr>
          <w:rFonts w:ascii="Times New Roman" w:hAnsi="Times New Roman" w:cs="Times New Roman"/>
          <w:color w:val="000000" w:themeColor="text1"/>
          <w:lang w:val="en-GB"/>
        </w:rPr>
        <w:t>.</w:t>
      </w:r>
    </w:p>
    <w:p w14:paraId="0E7C77B3" w14:textId="378CAEC9" w:rsidR="004A314E" w:rsidRPr="00665F55" w:rsidRDefault="002D1797"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b/>
          <w:bCs/>
          <w:color w:val="000000" w:themeColor="text1"/>
          <w:u w:val="single"/>
        </w:rPr>
        <w:t>The AFD</w:t>
      </w:r>
      <w:r w:rsidRPr="005948DE">
        <w:rPr>
          <w:rFonts w:ascii="Times New Roman" w:hAnsi="Times New Roman" w:cs="Times New Roman"/>
          <w:b/>
          <w:bCs/>
          <w:color w:val="000000" w:themeColor="text1"/>
        </w:rPr>
        <w:t xml:space="preserve"> </w:t>
      </w:r>
      <w:r w:rsidR="00963875" w:rsidRPr="005948DE">
        <w:rPr>
          <w:rFonts w:ascii="Times New Roman" w:hAnsi="Times New Roman" w:cs="Times New Roman"/>
          <w:color w:val="000000" w:themeColor="text1"/>
        </w:rPr>
        <w:t>financed part shall</w:t>
      </w:r>
      <w:r w:rsidRPr="005948DE">
        <w:rPr>
          <w:rFonts w:ascii="Times New Roman" w:hAnsi="Times New Roman" w:cs="Times New Roman"/>
          <w:color w:val="000000" w:themeColor="text1"/>
        </w:rPr>
        <w:t xml:space="preserve"> follow the Bank</w:t>
      </w:r>
      <w:r w:rsidR="004A314E">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Financial Management and procurement operational guidelines as well as the Environmental and Social Framework. The collaboration between the Bank FM team and the AFD would be as follows: (a) the Bank FM team would review all annual audited project financial statements and quarterly un-audited interim financial reports provided by the Implementing agency; (b) the Bank FM team will follow up with the implementing agency on these reviews, including monitoring and consultation on the implementation of recommendations in the auditors’ reports; (c) the Bank FM team would serve as the focal point for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AFD vis-a-vis the implementing agency in all matters related to FM under the Project. From the Disbursement perspective, the Bank would: (a) review each withdrawal application furnished by the implementing agency to verify that the amount requested is eligible for financing under the AFD’s Financing Agreement; and (b) notify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AFD that the withdrawal application is in proper order, and that it has determined that the amount requested is eligible for financing under the AFD </w:t>
      </w:r>
      <w:r w:rsidR="00A577FD">
        <w:rPr>
          <w:rFonts w:ascii="Times New Roman" w:hAnsi="Times New Roman" w:cs="Times New Roman"/>
          <w:color w:val="000000" w:themeColor="text1"/>
        </w:rPr>
        <w:t>f</w:t>
      </w:r>
      <w:r w:rsidR="00A577FD" w:rsidRPr="005948DE">
        <w:rPr>
          <w:rFonts w:ascii="Times New Roman" w:hAnsi="Times New Roman" w:cs="Times New Roman"/>
          <w:color w:val="000000" w:themeColor="text1"/>
        </w:rPr>
        <w:t>inancing</w:t>
      </w:r>
      <w:r w:rsidRPr="005948DE">
        <w:rPr>
          <w:rFonts w:ascii="Times New Roman" w:hAnsi="Times New Roman" w:cs="Times New Roman"/>
          <w:color w:val="000000" w:themeColor="text1"/>
        </w:rPr>
        <w:t>.</w:t>
      </w:r>
    </w:p>
    <w:p w14:paraId="6941E9AC" w14:textId="21AA2B8D" w:rsidR="00E168E6" w:rsidRPr="005948DE" w:rsidRDefault="00E168E6"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5" w:name="_Toc93342225"/>
      <w:r w:rsidRPr="005948DE">
        <w:rPr>
          <w:rFonts w:ascii="Times New Roman" w:hAnsi="Times New Roman" w:cs="Times New Roman"/>
          <w:color w:val="auto"/>
        </w:rPr>
        <w:t>Working Groups</w:t>
      </w:r>
      <w:bookmarkEnd w:id="115"/>
    </w:p>
    <w:p w14:paraId="5C0A6BC4" w14:textId="2B1A1C47" w:rsidR="00E168E6" w:rsidRPr="005948DE" w:rsidRDefault="0083033C" w:rsidP="005948DE">
      <w:pPr>
        <w:spacing w:after="120" w:line="276" w:lineRule="auto"/>
        <w:jc w:val="both"/>
        <w:rPr>
          <w:rFonts w:ascii="Times New Roman" w:hAnsi="Times New Roman" w:cs="Times New Roman"/>
        </w:rPr>
      </w:pPr>
      <w:r w:rsidRPr="005948DE">
        <w:rPr>
          <w:rFonts w:ascii="Times New Roman" w:hAnsi="Times New Roman" w:cs="Times New Roman"/>
          <w:color w:val="000000" w:themeColor="text1"/>
        </w:rPr>
        <w:t xml:space="preserve">With the objective to strengthen </w:t>
      </w:r>
      <w:r w:rsidR="00A577FD">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systems to plan, manage, implement, and operate resilient transport networks that promote patterns of climate smart mobility in sustainable manner specific activities such as </w:t>
      </w:r>
      <w:r w:rsidR="00A577FD">
        <w:rPr>
          <w:rFonts w:ascii="Times New Roman" w:hAnsi="Times New Roman" w:cs="Times New Roman"/>
          <w:color w:val="000000" w:themeColor="text1"/>
        </w:rPr>
        <w:t>TA</w:t>
      </w:r>
      <w:r w:rsidRPr="005948DE">
        <w:rPr>
          <w:rFonts w:ascii="Times New Roman" w:hAnsi="Times New Roman" w:cs="Times New Roman"/>
          <w:color w:val="000000" w:themeColor="text1"/>
        </w:rPr>
        <w:t>, capacity building, demonstration pilots, and development of simple transport asset management tool shall be implemented.</w:t>
      </w:r>
      <w:r w:rsidRPr="005948DE" w:rsidDel="00C203D0">
        <w:rPr>
          <w:rFonts w:ascii="Times New Roman" w:hAnsi="Times New Roman" w:cs="Times New Roman"/>
          <w:color w:val="000000" w:themeColor="text1"/>
        </w:rPr>
        <w:t xml:space="preserve"> </w:t>
      </w:r>
      <w:r w:rsidR="00E168E6" w:rsidRPr="005948DE">
        <w:rPr>
          <w:rFonts w:ascii="Times New Roman" w:hAnsi="Times New Roman" w:cs="Times New Roman"/>
        </w:rPr>
        <w:t xml:space="preserve">The support will be streamlined by establishing </w:t>
      </w:r>
      <w:r w:rsidR="00E168E6" w:rsidRPr="005948DE">
        <w:rPr>
          <w:rFonts w:ascii="Times New Roman" w:hAnsi="Times New Roman" w:cs="Times New Roman"/>
          <w:b/>
        </w:rPr>
        <w:t>working groups</w:t>
      </w:r>
      <w:r w:rsidR="00E168E6" w:rsidRPr="005948DE">
        <w:rPr>
          <w:rFonts w:ascii="Times New Roman" w:hAnsi="Times New Roman" w:cs="Times New Roman"/>
        </w:rPr>
        <w:t xml:space="preserve"> based on each LSG’s willingness to implement the institutional reforms suggested in this project. In all activities, the project will incorporate redressing citizen grievances and promoting transparency in decision making. The specific areas of support include: </w:t>
      </w:r>
    </w:p>
    <w:p w14:paraId="16D52D06" w14:textId="77777777" w:rsidR="00E168E6" w:rsidRPr="005948DE" w:rsidRDefault="00E168E6"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Improve local road network management and resilience; </w:t>
      </w:r>
    </w:p>
    <w:p w14:paraId="0B2D0B76" w14:textId="77777777" w:rsidR="00E168E6" w:rsidRPr="005948DE" w:rsidRDefault="00E168E6"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 xml:space="preserve">Mainstream sustainable and integrated mobility planning; </w:t>
      </w:r>
    </w:p>
    <w:p w14:paraId="5808CDCA" w14:textId="6FE92EB9" w:rsidR="004A314E" w:rsidRPr="00665F55" w:rsidRDefault="00E168E6" w:rsidP="0005515F">
      <w:pPr>
        <w:pStyle w:val="ListParagraph"/>
        <w:widowControl w:val="0"/>
        <w:numPr>
          <w:ilvl w:val="0"/>
          <w:numId w:val="229"/>
        </w:numPr>
        <w:autoSpaceDE w:val="0"/>
        <w:autoSpaceDN w:val="0"/>
        <w:adjustRightInd w:val="0"/>
        <w:spacing w:after="120" w:line="276" w:lineRule="auto"/>
        <w:ind w:left="426"/>
        <w:jc w:val="both"/>
        <w:rPr>
          <w:rFonts w:ascii="Times New Roman" w:hAnsi="Times New Roman" w:cs="Times New Roman"/>
          <w:color w:val="000000" w:themeColor="text1"/>
        </w:rPr>
      </w:pPr>
      <w:r w:rsidRPr="005948DE">
        <w:rPr>
          <w:rFonts w:ascii="Times New Roman" w:eastAsia="Calibri" w:hAnsi="Times New Roman" w:cs="Times New Roman"/>
          <w:color w:val="000000" w:themeColor="text1"/>
        </w:rPr>
        <w:t xml:space="preserve">Pilot </w:t>
      </w:r>
      <w:r w:rsidR="004A314E">
        <w:rPr>
          <w:rFonts w:ascii="Times New Roman" w:eastAsia="Calibri" w:hAnsi="Times New Roman" w:cs="Times New Roman"/>
          <w:color w:val="000000" w:themeColor="text1"/>
        </w:rPr>
        <w:t>S</w:t>
      </w:r>
      <w:r w:rsidR="004A314E" w:rsidRPr="005948DE">
        <w:rPr>
          <w:rFonts w:ascii="Times New Roman" w:eastAsia="Calibri" w:hAnsi="Times New Roman" w:cs="Times New Roman"/>
          <w:color w:val="000000" w:themeColor="text1"/>
        </w:rPr>
        <w:t xml:space="preserve">mart </w:t>
      </w:r>
      <w:r w:rsidR="004A314E">
        <w:rPr>
          <w:rFonts w:ascii="Times New Roman" w:eastAsia="Calibri" w:hAnsi="Times New Roman" w:cs="Times New Roman"/>
          <w:color w:val="000000" w:themeColor="text1"/>
        </w:rPr>
        <w:t>M</w:t>
      </w:r>
      <w:r w:rsidR="004A314E" w:rsidRPr="005948DE">
        <w:rPr>
          <w:rFonts w:ascii="Times New Roman" w:eastAsia="Calibri" w:hAnsi="Times New Roman" w:cs="Times New Roman"/>
          <w:color w:val="000000" w:themeColor="text1"/>
        </w:rPr>
        <w:t xml:space="preserve">obility </w:t>
      </w:r>
      <w:r w:rsidRPr="005948DE">
        <w:rPr>
          <w:rFonts w:ascii="Times New Roman" w:eastAsia="Calibri" w:hAnsi="Times New Roman" w:cs="Times New Roman"/>
          <w:color w:val="000000" w:themeColor="text1"/>
        </w:rPr>
        <w:t>solutions through digital technologies.</w:t>
      </w:r>
    </w:p>
    <w:p w14:paraId="0BC79B1C" w14:textId="77777777" w:rsidR="0005515F" w:rsidRPr="00665F55" w:rsidRDefault="0005515F" w:rsidP="00665F55">
      <w:pPr>
        <w:pStyle w:val="ListParagraph"/>
        <w:widowControl w:val="0"/>
        <w:autoSpaceDE w:val="0"/>
        <w:autoSpaceDN w:val="0"/>
        <w:adjustRightInd w:val="0"/>
        <w:spacing w:after="120" w:line="276" w:lineRule="auto"/>
        <w:ind w:left="426"/>
        <w:jc w:val="both"/>
        <w:rPr>
          <w:rFonts w:ascii="Times New Roman" w:hAnsi="Times New Roman" w:cs="Times New Roman"/>
          <w:color w:val="000000" w:themeColor="text1"/>
        </w:rPr>
      </w:pPr>
    </w:p>
    <w:p w14:paraId="0A4035AB" w14:textId="573E70CC" w:rsidR="00C203D0" w:rsidRPr="005948DE" w:rsidRDefault="00C82EA8" w:rsidP="005948DE">
      <w:pPr>
        <w:pStyle w:val="Heading3"/>
        <w:numPr>
          <w:ilvl w:val="2"/>
          <w:numId w:val="330"/>
        </w:numPr>
        <w:spacing w:before="120" w:after="120" w:line="276" w:lineRule="auto"/>
        <w:jc w:val="both"/>
        <w:rPr>
          <w:rFonts w:ascii="Times New Roman" w:hAnsi="Times New Roman" w:cs="Times New Roman"/>
          <w:color w:val="auto"/>
        </w:rPr>
      </w:pPr>
      <w:bookmarkStart w:id="116" w:name="_Toc93342226"/>
      <w:r w:rsidRPr="005948DE">
        <w:rPr>
          <w:rFonts w:ascii="Times New Roman" w:hAnsi="Times New Roman" w:cs="Times New Roman"/>
          <w:color w:val="auto"/>
        </w:rPr>
        <w:t xml:space="preserve">Summary of </w:t>
      </w:r>
      <w:r w:rsidR="004A314E">
        <w:rPr>
          <w:rFonts w:ascii="Times New Roman" w:hAnsi="Times New Roman" w:cs="Times New Roman"/>
          <w:color w:val="auto"/>
        </w:rPr>
        <w:t>M</w:t>
      </w:r>
      <w:r w:rsidR="004A314E" w:rsidRPr="005948DE">
        <w:rPr>
          <w:rFonts w:ascii="Times New Roman" w:hAnsi="Times New Roman" w:cs="Times New Roman"/>
          <w:color w:val="auto"/>
        </w:rPr>
        <w:t xml:space="preserve">ain </w:t>
      </w:r>
      <w:r w:rsidR="004A314E">
        <w:rPr>
          <w:rFonts w:ascii="Times New Roman" w:hAnsi="Times New Roman" w:cs="Times New Roman"/>
          <w:color w:val="auto"/>
        </w:rPr>
        <w:t>R</w:t>
      </w:r>
      <w:r w:rsidR="004A314E" w:rsidRPr="005948DE">
        <w:rPr>
          <w:rFonts w:ascii="Times New Roman" w:hAnsi="Times New Roman" w:cs="Times New Roman"/>
          <w:color w:val="auto"/>
        </w:rPr>
        <w:t xml:space="preserve">esponsibilities </w:t>
      </w:r>
      <w:r w:rsidR="00831E3D" w:rsidRPr="005948DE">
        <w:rPr>
          <w:rFonts w:ascii="Times New Roman" w:hAnsi="Times New Roman" w:cs="Times New Roman"/>
          <w:color w:val="auto"/>
        </w:rPr>
        <w:t xml:space="preserve">of </w:t>
      </w:r>
      <w:r w:rsidR="004A314E">
        <w:rPr>
          <w:rFonts w:ascii="Times New Roman" w:hAnsi="Times New Roman" w:cs="Times New Roman"/>
          <w:color w:val="auto"/>
        </w:rPr>
        <w:t xml:space="preserve">the </w:t>
      </w:r>
      <w:r w:rsidR="00831E3D" w:rsidRPr="005948DE">
        <w:rPr>
          <w:rFonts w:ascii="Times New Roman" w:hAnsi="Times New Roman" w:cs="Times New Roman"/>
          <w:color w:val="auto"/>
        </w:rPr>
        <w:t>Project Stakeholders</w:t>
      </w:r>
      <w:bookmarkEnd w:id="116"/>
      <w:r w:rsidR="00831E3D" w:rsidRPr="005948DE">
        <w:rPr>
          <w:rFonts w:ascii="Times New Roman" w:hAnsi="Times New Roman" w:cs="Times New Roman"/>
          <w:color w:val="auto"/>
        </w:rPr>
        <w:t xml:space="preserve"> </w:t>
      </w:r>
    </w:p>
    <w:p w14:paraId="59C8AA48" w14:textId="117A15E2" w:rsidR="00C82EA8" w:rsidRPr="005948DE" w:rsidRDefault="00831E3D"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The main responsibilities of</w:t>
      </w:r>
      <w:r w:rsidR="00C82EA8" w:rsidRPr="005948DE">
        <w:rPr>
          <w:rFonts w:ascii="Times New Roman" w:hAnsi="Times New Roman" w:cs="Times New Roman"/>
          <w:color w:val="000000" w:themeColor="text1"/>
        </w:rPr>
        <w:t xml:space="preserve"> </w:t>
      </w:r>
      <w:r w:rsidR="004A314E">
        <w:rPr>
          <w:rFonts w:ascii="Times New Roman" w:hAnsi="Times New Roman" w:cs="Times New Roman"/>
          <w:color w:val="000000" w:themeColor="text1"/>
        </w:rPr>
        <w:t xml:space="preserve">the </w:t>
      </w:r>
      <w:r w:rsidR="00C82EA8" w:rsidRPr="005948DE">
        <w:rPr>
          <w:rFonts w:ascii="Times New Roman" w:hAnsi="Times New Roman" w:cs="Times New Roman"/>
          <w:color w:val="000000" w:themeColor="text1"/>
        </w:rPr>
        <w:t xml:space="preserve">Project stakeholders </w:t>
      </w:r>
      <w:r w:rsidR="00F91292" w:rsidRPr="005948DE">
        <w:rPr>
          <w:rFonts w:ascii="Times New Roman" w:hAnsi="Times New Roman" w:cs="Times New Roman"/>
          <w:color w:val="000000" w:themeColor="text1"/>
        </w:rPr>
        <w:t xml:space="preserve">relevant to the </w:t>
      </w:r>
      <w:r w:rsidR="00C82EA8" w:rsidRPr="005948DE">
        <w:rPr>
          <w:rFonts w:ascii="Times New Roman" w:hAnsi="Times New Roman" w:cs="Times New Roman"/>
          <w:color w:val="000000" w:themeColor="text1"/>
        </w:rPr>
        <w:t xml:space="preserve">Project management are given in </w:t>
      </w:r>
      <w:r w:rsidR="00A577FD">
        <w:rPr>
          <w:rFonts w:ascii="Times New Roman" w:hAnsi="Times New Roman" w:cs="Times New Roman"/>
          <w:color w:val="000000" w:themeColor="text1"/>
        </w:rPr>
        <w:t>T</w:t>
      </w:r>
      <w:r w:rsidR="00A577FD" w:rsidRPr="005948DE">
        <w:rPr>
          <w:rFonts w:ascii="Times New Roman" w:hAnsi="Times New Roman" w:cs="Times New Roman"/>
          <w:color w:val="000000" w:themeColor="text1"/>
        </w:rPr>
        <w:t xml:space="preserve">able </w:t>
      </w:r>
      <w:r w:rsidR="00313849" w:rsidRPr="005948DE">
        <w:rPr>
          <w:rFonts w:ascii="Times New Roman" w:hAnsi="Times New Roman" w:cs="Times New Roman"/>
          <w:color w:val="000000" w:themeColor="text1"/>
        </w:rPr>
        <w:t>2</w:t>
      </w:r>
      <w:r w:rsidR="004A314E">
        <w:rPr>
          <w:rFonts w:ascii="Times New Roman" w:hAnsi="Times New Roman" w:cs="Times New Roman"/>
          <w:color w:val="000000" w:themeColor="text1"/>
        </w:rPr>
        <w:t xml:space="preserve"> below</w:t>
      </w:r>
      <w:r w:rsidR="00C82EA8" w:rsidRPr="005948DE">
        <w:rPr>
          <w:rFonts w:ascii="Times New Roman" w:hAnsi="Times New Roman" w:cs="Times New Roman"/>
          <w:color w:val="000000" w:themeColor="text1"/>
        </w:rPr>
        <w:t xml:space="preserve">. </w:t>
      </w:r>
    </w:p>
    <w:p w14:paraId="02396C25" w14:textId="3D60C195" w:rsidR="00C82EA8" w:rsidRPr="00A213C8" w:rsidRDefault="001560C0" w:rsidP="005948DE">
      <w:pPr>
        <w:pStyle w:val="Caption"/>
        <w:spacing w:line="276" w:lineRule="auto"/>
        <w:jc w:val="both"/>
        <w:rPr>
          <w:rFonts w:ascii="Times New Roman" w:hAnsi="Times New Roman" w:cs="Times New Roman"/>
          <w:color w:val="auto"/>
          <w:sz w:val="22"/>
          <w:szCs w:val="22"/>
        </w:rPr>
      </w:pPr>
      <w:r w:rsidRPr="00A213C8">
        <w:rPr>
          <w:rFonts w:ascii="Times New Roman" w:hAnsi="Times New Roman" w:cs="Times New Roman"/>
          <w:color w:val="auto"/>
        </w:rPr>
        <w:t xml:space="preserve">Table </w:t>
      </w:r>
      <w:r w:rsidRPr="00A213C8">
        <w:rPr>
          <w:rFonts w:ascii="Times New Roman" w:hAnsi="Times New Roman" w:cs="Times New Roman"/>
          <w:color w:val="auto"/>
        </w:rPr>
        <w:fldChar w:fldCharType="begin"/>
      </w:r>
      <w:r w:rsidRPr="00A213C8">
        <w:rPr>
          <w:rFonts w:ascii="Times New Roman" w:hAnsi="Times New Roman" w:cs="Times New Roman"/>
          <w:color w:val="auto"/>
        </w:rPr>
        <w:instrText xml:space="preserve"> SEQ Table \* ARABIC </w:instrText>
      </w:r>
      <w:r w:rsidRPr="00A213C8">
        <w:rPr>
          <w:rFonts w:ascii="Times New Roman" w:hAnsi="Times New Roman" w:cs="Times New Roman"/>
          <w:color w:val="auto"/>
        </w:rPr>
        <w:fldChar w:fldCharType="separate"/>
      </w:r>
      <w:r w:rsidR="00A07DB4" w:rsidRPr="00A213C8">
        <w:rPr>
          <w:rFonts w:ascii="Times New Roman" w:hAnsi="Times New Roman" w:cs="Times New Roman"/>
          <w:noProof/>
          <w:color w:val="auto"/>
        </w:rPr>
        <w:t>2</w:t>
      </w:r>
      <w:r w:rsidRPr="00A213C8">
        <w:rPr>
          <w:rFonts w:ascii="Times New Roman" w:hAnsi="Times New Roman" w:cs="Times New Roman"/>
          <w:color w:val="auto"/>
        </w:rPr>
        <w:fldChar w:fldCharType="end"/>
      </w:r>
      <w:r w:rsidRPr="00A213C8">
        <w:rPr>
          <w:rFonts w:ascii="Times New Roman" w:hAnsi="Times New Roman" w:cs="Times New Roman"/>
          <w:color w:val="auto"/>
        </w:rPr>
        <w:t xml:space="preserve">: </w:t>
      </w:r>
      <w:r w:rsidR="00C82EA8" w:rsidRPr="00A213C8">
        <w:rPr>
          <w:rFonts w:ascii="Times New Roman" w:hAnsi="Times New Roman" w:cs="Times New Roman"/>
          <w:color w:val="auto"/>
          <w:sz w:val="22"/>
          <w:szCs w:val="22"/>
        </w:rPr>
        <w:t>Project Management Responsibilities</w:t>
      </w:r>
    </w:p>
    <w:tbl>
      <w:tblPr>
        <w:tblStyle w:val="TableGrid"/>
        <w:tblW w:w="9464" w:type="dxa"/>
        <w:tblLook w:val="04A0" w:firstRow="1" w:lastRow="0" w:firstColumn="1" w:lastColumn="0" w:noHBand="0" w:noVBand="1"/>
      </w:tblPr>
      <w:tblGrid>
        <w:gridCol w:w="2263"/>
        <w:gridCol w:w="7201"/>
      </w:tblGrid>
      <w:tr w:rsidR="00CC4ACB" w:rsidRPr="005948DE" w14:paraId="4C9A3936" w14:textId="77777777" w:rsidTr="00A377A8">
        <w:trPr>
          <w:tblHeader/>
        </w:trPr>
        <w:tc>
          <w:tcPr>
            <w:tcW w:w="2263" w:type="dxa"/>
            <w:shd w:val="clear" w:color="auto" w:fill="BFBFBF" w:themeFill="background1" w:themeFillShade="BF"/>
            <w:noWrap/>
            <w:tcMar>
              <w:top w:w="28" w:type="dxa"/>
              <w:left w:w="28" w:type="dxa"/>
              <w:bottom w:w="28" w:type="dxa"/>
              <w:right w:w="28" w:type="dxa"/>
            </w:tcMar>
            <w:vAlign w:val="center"/>
          </w:tcPr>
          <w:p w14:paraId="6FF66EB4" w14:textId="77777777" w:rsidR="00C82EA8" w:rsidRPr="005948DE" w:rsidRDefault="00C82EA8" w:rsidP="005948DE">
            <w:pPr>
              <w:spacing w:after="0" w:line="276" w:lineRule="auto"/>
              <w:jc w:val="both"/>
              <w:rPr>
                <w:rFonts w:ascii="Times New Roman" w:hAnsi="Times New Roman" w:cs="Times New Roman"/>
                <w:b/>
                <w:color w:val="000000" w:themeColor="text1"/>
              </w:rPr>
            </w:pPr>
            <w:r w:rsidRPr="005948DE">
              <w:rPr>
                <w:rFonts w:ascii="Times New Roman" w:hAnsi="Times New Roman" w:cs="Times New Roman"/>
                <w:b/>
                <w:color w:val="000000" w:themeColor="text1"/>
              </w:rPr>
              <w:t>Project Stakeholder</w:t>
            </w:r>
          </w:p>
        </w:tc>
        <w:tc>
          <w:tcPr>
            <w:tcW w:w="7201" w:type="dxa"/>
            <w:shd w:val="clear" w:color="auto" w:fill="BFBFBF" w:themeFill="background1" w:themeFillShade="BF"/>
            <w:noWrap/>
            <w:tcMar>
              <w:top w:w="28" w:type="dxa"/>
              <w:left w:w="28" w:type="dxa"/>
              <w:bottom w:w="28" w:type="dxa"/>
              <w:right w:w="28" w:type="dxa"/>
            </w:tcMar>
            <w:vAlign w:val="center"/>
          </w:tcPr>
          <w:p w14:paraId="5C01D020" w14:textId="77777777" w:rsidR="00C82EA8" w:rsidRPr="005948DE" w:rsidRDefault="00C82EA8" w:rsidP="005948DE">
            <w:pPr>
              <w:spacing w:after="0" w:line="276" w:lineRule="auto"/>
              <w:jc w:val="both"/>
              <w:rPr>
                <w:rFonts w:ascii="Times New Roman" w:hAnsi="Times New Roman" w:cs="Times New Roman"/>
                <w:b/>
                <w:color w:val="000000" w:themeColor="text1"/>
              </w:rPr>
            </w:pPr>
            <w:r w:rsidRPr="005948DE">
              <w:rPr>
                <w:rFonts w:ascii="Times New Roman" w:hAnsi="Times New Roman" w:cs="Times New Roman"/>
                <w:b/>
                <w:color w:val="000000" w:themeColor="text1"/>
              </w:rPr>
              <w:t>Main Responsibilities</w:t>
            </w:r>
          </w:p>
        </w:tc>
      </w:tr>
      <w:tr w:rsidR="00CC4ACB" w:rsidRPr="005948DE" w14:paraId="393DE97F" w14:textId="77777777" w:rsidTr="00A377A8">
        <w:tc>
          <w:tcPr>
            <w:tcW w:w="2263" w:type="dxa"/>
            <w:noWrap/>
            <w:tcMar>
              <w:top w:w="28" w:type="dxa"/>
              <w:left w:w="28" w:type="dxa"/>
              <w:bottom w:w="28" w:type="dxa"/>
              <w:right w:w="28" w:type="dxa"/>
            </w:tcMar>
            <w:vAlign w:val="center"/>
          </w:tcPr>
          <w:p w14:paraId="5391A16F" w14:textId="13A6356D"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IBRD</w:t>
            </w:r>
          </w:p>
        </w:tc>
        <w:tc>
          <w:tcPr>
            <w:tcW w:w="7201" w:type="dxa"/>
            <w:noWrap/>
            <w:tcMar>
              <w:top w:w="28" w:type="dxa"/>
              <w:left w:w="28" w:type="dxa"/>
              <w:bottom w:w="28" w:type="dxa"/>
              <w:right w:w="28" w:type="dxa"/>
            </w:tcMar>
            <w:vAlign w:val="center"/>
          </w:tcPr>
          <w:p w14:paraId="14EB10D8"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Approval of outputs, documents, plans, etc.</w:t>
            </w:r>
          </w:p>
          <w:p w14:paraId="18F1E911" w14:textId="6A5C6485" w:rsidR="00C82EA8" w:rsidRPr="005948DE" w:rsidRDefault="001560C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Support</w:t>
            </w:r>
            <w:r w:rsidR="00C82EA8" w:rsidRPr="005948DE">
              <w:rPr>
                <w:rFonts w:ascii="Times New Roman" w:hAnsi="Times New Roman" w:cs="Times New Roman"/>
                <w:color w:val="000000" w:themeColor="text1"/>
              </w:rPr>
              <w:t xml:space="preserve"> to </w:t>
            </w:r>
            <w:r w:rsidR="004A314E">
              <w:rPr>
                <w:rFonts w:ascii="Times New Roman" w:hAnsi="Times New Roman" w:cs="Times New Roman"/>
                <w:color w:val="000000" w:themeColor="text1"/>
              </w:rPr>
              <w:t xml:space="preserve">the </w:t>
            </w:r>
            <w:r w:rsidR="00C82EA8" w:rsidRPr="005948DE">
              <w:rPr>
                <w:rFonts w:ascii="Times New Roman" w:hAnsi="Times New Roman" w:cs="Times New Roman"/>
                <w:color w:val="000000" w:themeColor="text1"/>
              </w:rPr>
              <w:t>PIU by providing advice and comments</w:t>
            </w:r>
          </w:p>
          <w:p w14:paraId="1386E64E"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Monitoring of Project implementation</w:t>
            </w:r>
          </w:p>
        </w:tc>
      </w:tr>
      <w:tr w:rsidR="00CC4ACB" w:rsidRPr="005948DE" w14:paraId="79A6AE27" w14:textId="77777777" w:rsidTr="00A377A8">
        <w:tc>
          <w:tcPr>
            <w:tcW w:w="2263" w:type="dxa"/>
            <w:noWrap/>
            <w:tcMar>
              <w:top w:w="28" w:type="dxa"/>
              <w:left w:w="28" w:type="dxa"/>
              <w:bottom w:w="28" w:type="dxa"/>
              <w:right w:w="28" w:type="dxa"/>
            </w:tcMar>
            <w:vAlign w:val="center"/>
          </w:tcPr>
          <w:p w14:paraId="17337898"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AFD</w:t>
            </w:r>
          </w:p>
        </w:tc>
        <w:tc>
          <w:tcPr>
            <w:tcW w:w="7201" w:type="dxa"/>
            <w:noWrap/>
            <w:tcMar>
              <w:top w:w="28" w:type="dxa"/>
              <w:left w:w="28" w:type="dxa"/>
              <w:bottom w:w="28" w:type="dxa"/>
              <w:right w:w="28" w:type="dxa"/>
            </w:tcMar>
            <w:vAlign w:val="center"/>
          </w:tcPr>
          <w:p w14:paraId="2CA60F53"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Monitoring of Project implementation</w:t>
            </w:r>
          </w:p>
        </w:tc>
      </w:tr>
      <w:tr w:rsidR="00CC4ACB" w:rsidRPr="005948DE" w14:paraId="3DD23432" w14:textId="77777777" w:rsidTr="00880FB8">
        <w:tc>
          <w:tcPr>
            <w:tcW w:w="2263" w:type="dxa"/>
            <w:noWrap/>
            <w:tcMar>
              <w:top w:w="28" w:type="dxa"/>
              <w:left w:w="28" w:type="dxa"/>
              <w:bottom w:w="28" w:type="dxa"/>
              <w:right w:w="28" w:type="dxa"/>
            </w:tcMar>
            <w:vAlign w:val="center"/>
          </w:tcPr>
          <w:p w14:paraId="0A74078E"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MCTI </w:t>
            </w:r>
          </w:p>
        </w:tc>
        <w:tc>
          <w:tcPr>
            <w:tcW w:w="7201" w:type="dxa"/>
            <w:shd w:val="clear" w:color="auto" w:fill="auto"/>
            <w:noWrap/>
            <w:tcMar>
              <w:top w:w="28" w:type="dxa"/>
              <w:left w:w="28" w:type="dxa"/>
              <w:bottom w:w="28" w:type="dxa"/>
              <w:right w:w="28" w:type="dxa"/>
            </w:tcMar>
            <w:vAlign w:val="center"/>
          </w:tcPr>
          <w:p w14:paraId="20528FF4" w14:textId="484631EA" w:rsidR="00C82EA8" w:rsidRPr="005948DE" w:rsidRDefault="003B6F14" w:rsidP="005948DE">
            <w:pPr>
              <w:spacing w:after="0" w:line="276" w:lineRule="auto"/>
              <w:jc w:val="both"/>
              <w:rPr>
                <w:rFonts w:ascii="Times New Roman" w:hAnsi="Times New Roman" w:cs="Times New Roman"/>
                <w:color w:val="000000" w:themeColor="text1"/>
              </w:rPr>
            </w:pPr>
            <w:r>
              <w:rPr>
                <w:rFonts w:ascii="Times New Roman" w:hAnsi="Times New Roman" w:cs="Times New Roman"/>
                <w:color w:val="000000" w:themeColor="text1"/>
              </w:rPr>
              <w:t>Hiring of St</w:t>
            </w:r>
            <w:r w:rsidR="009E4440" w:rsidRPr="005948DE">
              <w:rPr>
                <w:rFonts w:ascii="Times New Roman" w:hAnsi="Times New Roman" w:cs="Times New Roman"/>
                <w:color w:val="000000" w:themeColor="text1"/>
              </w:rPr>
              <w:t xml:space="preserve">aff </w:t>
            </w:r>
            <w:r>
              <w:rPr>
                <w:rFonts w:ascii="Times New Roman" w:hAnsi="Times New Roman" w:cs="Times New Roman"/>
                <w:color w:val="000000" w:themeColor="text1"/>
              </w:rPr>
              <w:t xml:space="preserve">for expand </w:t>
            </w:r>
            <w:r w:rsidR="004A314E">
              <w:rPr>
                <w:rFonts w:ascii="Times New Roman" w:hAnsi="Times New Roman" w:cs="Times New Roman"/>
                <w:color w:val="000000" w:themeColor="text1"/>
              </w:rPr>
              <w:t xml:space="preserve">the </w:t>
            </w:r>
            <w:r>
              <w:rPr>
                <w:rFonts w:ascii="Times New Roman" w:hAnsi="Times New Roman" w:cs="Times New Roman"/>
                <w:color w:val="000000" w:themeColor="text1"/>
              </w:rPr>
              <w:t xml:space="preserve">existing </w:t>
            </w:r>
            <w:r w:rsidR="00C82EA8" w:rsidRPr="005948DE">
              <w:rPr>
                <w:rFonts w:ascii="Times New Roman" w:hAnsi="Times New Roman" w:cs="Times New Roman"/>
                <w:color w:val="000000" w:themeColor="text1"/>
              </w:rPr>
              <w:t>PIU</w:t>
            </w:r>
          </w:p>
          <w:p w14:paraId="15FB2A60" w14:textId="109636D3" w:rsidR="002D1797" w:rsidRPr="005948DE" w:rsidRDefault="009E444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E</w:t>
            </w:r>
            <w:r w:rsidR="00C82EA8" w:rsidRPr="005948DE">
              <w:rPr>
                <w:rFonts w:ascii="Times New Roman" w:hAnsi="Times New Roman" w:cs="Times New Roman"/>
                <w:color w:val="000000" w:themeColor="text1"/>
              </w:rPr>
              <w:t>stablishment of the St</w:t>
            </w:r>
            <w:r w:rsidR="002D1797" w:rsidRPr="005948DE">
              <w:rPr>
                <w:rFonts w:ascii="Times New Roman" w:hAnsi="Times New Roman" w:cs="Times New Roman"/>
                <w:color w:val="000000" w:themeColor="text1"/>
              </w:rPr>
              <w:t>eering Committee</w:t>
            </w:r>
          </w:p>
          <w:p w14:paraId="630FB4AD" w14:textId="5F9551AF"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Monitoring of execution of technical description of the Project</w:t>
            </w:r>
          </w:p>
          <w:p w14:paraId="0B09D7C8" w14:textId="46AD4C6C" w:rsidR="001560C0"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Ensuring that Project implementation is in line with the LA, CFA, </w:t>
            </w:r>
            <w:r w:rsidR="00FA3B57" w:rsidRPr="005948DE">
              <w:rPr>
                <w:rFonts w:ascii="Times New Roman" w:hAnsi="Times New Roman" w:cs="Times New Roman"/>
                <w:color w:val="000000" w:themeColor="text1"/>
              </w:rPr>
              <w:t>national requirements,</w:t>
            </w:r>
            <w:r w:rsidR="001560C0" w:rsidRPr="005948DE">
              <w:rPr>
                <w:rFonts w:ascii="Times New Roman" w:hAnsi="Times New Roman" w:cs="Times New Roman"/>
                <w:color w:val="000000" w:themeColor="text1"/>
              </w:rPr>
              <w:t xml:space="preserve"> development objectives and requirements of the EU Acquis</w:t>
            </w:r>
          </w:p>
          <w:p w14:paraId="6C933E77" w14:textId="3A32FF24" w:rsidR="00C82EA8" w:rsidRPr="005948DE" w:rsidRDefault="001560C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Opening of two </w:t>
            </w:r>
            <w:r w:rsidR="00BE1B56" w:rsidRPr="005948DE">
              <w:rPr>
                <w:rFonts w:ascii="Times New Roman" w:hAnsi="Times New Roman" w:cs="Times New Roman"/>
                <w:color w:val="000000" w:themeColor="text1"/>
              </w:rPr>
              <w:t xml:space="preserve">segregated </w:t>
            </w:r>
            <w:r w:rsidRPr="005948DE">
              <w:rPr>
                <w:rFonts w:ascii="Times New Roman" w:hAnsi="Times New Roman" w:cs="Times New Roman"/>
                <w:color w:val="000000" w:themeColor="text1"/>
              </w:rPr>
              <w:t>designated accounts</w:t>
            </w:r>
            <w:r w:rsidR="00BE1B56" w:rsidRPr="005948DE">
              <w:rPr>
                <w:rFonts w:ascii="Times New Roman" w:hAnsi="Times New Roman" w:cs="Times New Roman"/>
                <w:color w:val="000000" w:themeColor="text1"/>
              </w:rPr>
              <w:t xml:space="preserve"> (one for </w:t>
            </w:r>
            <w:r w:rsidR="004A314E">
              <w:rPr>
                <w:rFonts w:ascii="Times New Roman" w:hAnsi="Times New Roman" w:cs="Times New Roman"/>
                <w:color w:val="000000" w:themeColor="text1"/>
              </w:rPr>
              <w:t xml:space="preserve">the </w:t>
            </w:r>
            <w:r w:rsidR="00BE1B56" w:rsidRPr="005948DE">
              <w:rPr>
                <w:rFonts w:ascii="Times New Roman" w:hAnsi="Times New Roman" w:cs="Times New Roman"/>
                <w:color w:val="000000" w:themeColor="text1"/>
              </w:rPr>
              <w:t xml:space="preserve">IBRD and one for </w:t>
            </w:r>
            <w:r w:rsidR="004A314E">
              <w:rPr>
                <w:rFonts w:ascii="Times New Roman" w:hAnsi="Times New Roman" w:cs="Times New Roman"/>
                <w:color w:val="000000" w:themeColor="text1"/>
              </w:rPr>
              <w:t xml:space="preserve">the </w:t>
            </w:r>
            <w:r w:rsidR="00BE1B56" w:rsidRPr="005948DE">
              <w:rPr>
                <w:rFonts w:ascii="Times New Roman" w:hAnsi="Times New Roman" w:cs="Times New Roman"/>
                <w:color w:val="000000" w:themeColor="text1"/>
              </w:rPr>
              <w:t>AFD)</w:t>
            </w:r>
            <w:r w:rsidRPr="005948DE">
              <w:rPr>
                <w:rFonts w:ascii="Times New Roman" w:hAnsi="Times New Roman" w:cs="Times New Roman"/>
                <w:color w:val="000000" w:themeColor="text1"/>
              </w:rPr>
              <w:t xml:space="preserve"> to disburse funds other than for direct payments.</w:t>
            </w:r>
            <w:r w:rsidR="00921B17" w:rsidRPr="005948DE">
              <w:rPr>
                <w:rFonts w:ascii="Times New Roman" w:hAnsi="Times New Roman" w:cs="Times New Roman"/>
                <w:color w:val="000000" w:themeColor="text1"/>
              </w:rPr>
              <w:t xml:space="preserve"> </w:t>
            </w:r>
          </w:p>
          <w:p w14:paraId="67D05177" w14:textId="4D0FCDB4" w:rsidR="009E4440"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Monitoring of improving the policy and regulatory framework</w:t>
            </w:r>
          </w:p>
        </w:tc>
      </w:tr>
      <w:tr w:rsidR="00CC4ACB" w:rsidRPr="005948DE" w14:paraId="1C59518C" w14:textId="77777777" w:rsidTr="00880FB8">
        <w:tc>
          <w:tcPr>
            <w:tcW w:w="2263" w:type="dxa"/>
            <w:noWrap/>
            <w:tcMar>
              <w:top w:w="28" w:type="dxa"/>
              <w:left w:w="28" w:type="dxa"/>
              <w:bottom w:w="28" w:type="dxa"/>
              <w:right w:w="28" w:type="dxa"/>
            </w:tcMar>
            <w:vAlign w:val="center"/>
          </w:tcPr>
          <w:p w14:paraId="44294691" w14:textId="07E1A80D"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CFU</w:t>
            </w:r>
          </w:p>
        </w:tc>
        <w:tc>
          <w:tcPr>
            <w:tcW w:w="7201" w:type="dxa"/>
            <w:shd w:val="clear" w:color="auto" w:fill="auto"/>
            <w:noWrap/>
            <w:tcMar>
              <w:top w:w="28" w:type="dxa"/>
              <w:left w:w="28" w:type="dxa"/>
              <w:bottom w:w="28" w:type="dxa"/>
              <w:right w:w="28" w:type="dxa"/>
            </w:tcMar>
            <w:vAlign w:val="center"/>
          </w:tcPr>
          <w:p w14:paraId="7E8511CC" w14:textId="77A77CA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Coordination and collaboration with </w:t>
            </w:r>
            <w:r w:rsidR="00A577FD">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 and the PIU on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Project implementation</w:t>
            </w:r>
          </w:p>
          <w:p w14:paraId="5208B93E"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Fiduciary support to the Project (financial management and procurement)</w:t>
            </w:r>
          </w:p>
          <w:p w14:paraId="33B75C36" w14:textId="75761A8B"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Ensuring that Project implementation is in line with the LA and </w:t>
            </w:r>
            <w:r w:rsidR="00A577FD">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CFA</w:t>
            </w:r>
          </w:p>
        </w:tc>
      </w:tr>
      <w:tr w:rsidR="00CC4ACB" w:rsidRPr="005948DE" w14:paraId="19E26C2E" w14:textId="77777777" w:rsidTr="00A377A8">
        <w:tc>
          <w:tcPr>
            <w:tcW w:w="2263" w:type="dxa"/>
            <w:noWrap/>
            <w:tcMar>
              <w:top w:w="28" w:type="dxa"/>
              <w:left w:w="28" w:type="dxa"/>
              <w:bottom w:w="28" w:type="dxa"/>
              <w:right w:w="28" w:type="dxa"/>
            </w:tcMar>
            <w:vAlign w:val="center"/>
          </w:tcPr>
          <w:p w14:paraId="299A17BE" w14:textId="16E915D5"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S</w:t>
            </w:r>
            <w:r w:rsidR="002D1797" w:rsidRPr="005948DE">
              <w:rPr>
                <w:rFonts w:ascii="Times New Roman" w:hAnsi="Times New Roman" w:cs="Times New Roman"/>
                <w:color w:val="000000" w:themeColor="text1"/>
              </w:rPr>
              <w:t>teering Committee</w:t>
            </w:r>
          </w:p>
        </w:tc>
        <w:tc>
          <w:tcPr>
            <w:tcW w:w="7201" w:type="dxa"/>
            <w:noWrap/>
            <w:tcMar>
              <w:top w:w="28" w:type="dxa"/>
              <w:left w:w="28" w:type="dxa"/>
              <w:bottom w:w="28" w:type="dxa"/>
              <w:right w:w="28" w:type="dxa"/>
            </w:tcMar>
            <w:vAlign w:val="center"/>
          </w:tcPr>
          <w:p w14:paraId="178D8A20"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Resolution of project multi-sectoral obstacles</w:t>
            </w:r>
          </w:p>
          <w:p w14:paraId="2BF8A6A6" w14:textId="75893EEB"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Support of the policy measures recommended under the </w:t>
            </w:r>
            <w:r w:rsidR="004A314E">
              <w:rPr>
                <w:rFonts w:ascii="Times New Roman" w:hAnsi="Times New Roman" w:cs="Times New Roman"/>
                <w:color w:val="000000" w:themeColor="text1"/>
              </w:rPr>
              <w:t>P</w:t>
            </w:r>
            <w:r w:rsidRPr="005948DE">
              <w:rPr>
                <w:rFonts w:ascii="Times New Roman" w:hAnsi="Times New Roman" w:cs="Times New Roman"/>
                <w:color w:val="000000" w:themeColor="text1"/>
              </w:rPr>
              <w:t>roject</w:t>
            </w:r>
          </w:p>
          <w:p w14:paraId="7D1DEA8B" w14:textId="2D3FC033"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Provide policy guidance to the </w:t>
            </w:r>
            <w:r w:rsidR="004A314E">
              <w:rPr>
                <w:rFonts w:ascii="Times New Roman" w:hAnsi="Times New Roman" w:cs="Times New Roman"/>
                <w:color w:val="000000" w:themeColor="text1"/>
              </w:rPr>
              <w:t>P</w:t>
            </w:r>
            <w:r w:rsidRPr="005948DE">
              <w:rPr>
                <w:rFonts w:ascii="Times New Roman" w:hAnsi="Times New Roman" w:cs="Times New Roman"/>
                <w:color w:val="000000" w:themeColor="text1"/>
              </w:rPr>
              <w:t>roject implementing agencies;</w:t>
            </w:r>
          </w:p>
          <w:p w14:paraId="7FBBD832"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Ensure proper coordination and cooperation between the project implementing agencies</w:t>
            </w:r>
          </w:p>
          <w:p w14:paraId="6461E030" w14:textId="01BD1DB4"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Oversee the delivery of the </w:t>
            </w:r>
            <w:r w:rsidR="004A314E">
              <w:rPr>
                <w:rFonts w:ascii="Times New Roman" w:hAnsi="Times New Roman" w:cs="Times New Roman"/>
                <w:color w:val="000000" w:themeColor="text1"/>
              </w:rPr>
              <w:t>P</w:t>
            </w:r>
            <w:r w:rsidR="004A314E" w:rsidRPr="005948DE">
              <w:rPr>
                <w:rFonts w:ascii="Times New Roman" w:hAnsi="Times New Roman" w:cs="Times New Roman"/>
                <w:color w:val="000000" w:themeColor="text1"/>
              </w:rPr>
              <w:t xml:space="preserve">roject </w:t>
            </w:r>
            <w:r w:rsidRPr="005948DE">
              <w:rPr>
                <w:rFonts w:ascii="Times New Roman" w:hAnsi="Times New Roman" w:cs="Times New Roman"/>
                <w:color w:val="000000" w:themeColor="text1"/>
              </w:rPr>
              <w:t>results/outputs within the stipulated time periods</w:t>
            </w:r>
            <w:r w:rsidR="00880FB8" w:rsidRPr="005948DE">
              <w:rPr>
                <w:rFonts w:ascii="Times New Roman" w:hAnsi="Times New Roman" w:cs="Times New Roman"/>
                <w:color w:val="000000" w:themeColor="text1"/>
              </w:rPr>
              <w:t>.</w:t>
            </w:r>
          </w:p>
        </w:tc>
      </w:tr>
      <w:tr w:rsidR="00CC4ACB" w:rsidRPr="005948DE" w14:paraId="439C9B62" w14:textId="77777777" w:rsidTr="00A377A8">
        <w:tc>
          <w:tcPr>
            <w:tcW w:w="2263" w:type="dxa"/>
            <w:noWrap/>
            <w:tcMar>
              <w:top w:w="28" w:type="dxa"/>
              <w:left w:w="28" w:type="dxa"/>
              <w:bottom w:w="28" w:type="dxa"/>
              <w:right w:w="28" w:type="dxa"/>
            </w:tcMar>
            <w:vAlign w:val="center"/>
          </w:tcPr>
          <w:p w14:paraId="1BBEEF3D" w14:textId="7B65C131" w:rsidR="00733F92" w:rsidRPr="005948DE" w:rsidRDefault="00733F92"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PIU</w:t>
            </w:r>
          </w:p>
        </w:tc>
        <w:tc>
          <w:tcPr>
            <w:tcW w:w="7201" w:type="dxa"/>
            <w:noWrap/>
            <w:tcMar>
              <w:top w:w="28" w:type="dxa"/>
              <w:left w:w="28" w:type="dxa"/>
              <w:bottom w:w="28" w:type="dxa"/>
              <w:right w:w="28" w:type="dxa"/>
            </w:tcMar>
            <w:vAlign w:val="center"/>
          </w:tcPr>
          <w:p w14:paraId="09B164AC" w14:textId="2D8F3539" w:rsidR="00733F92" w:rsidRPr="005948DE" w:rsidRDefault="009E444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Ultimate responsibilities for</w:t>
            </w:r>
            <w:r w:rsidR="00733F92" w:rsidRPr="005948DE">
              <w:rPr>
                <w:rFonts w:ascii="Times New Roman" w:hAnsi="Times New Roman" w:cs="Times New Roman"/>
                <w:color w:val="000000" w:themeColor="text1"/>
              </w:rPr>
              <w:t xml:space="preserve"> all aspects of </w:t>
            </w:r>
            <w:r w:rsidR="00A577FD">
              <w:rPr>
                <w:rFonts w:ascii="Times New Roman" w:hAnsi="Times New Roman" w:cs="Times New Roman"/>
                <w:color w:val="000000" w:themeColor="text1"/>
              </w:rPr>
              <w:t xml:space="preserve">the </w:t>
            </w:r>
            <w:r w:rsidR="00733F92" w:rsidRPr="005948DE">
              <w:rPr>
                <w:rFonts w:ascii="Times New Roman" w:hAnsi="Times New Roman" w:cs="Times New Roman"/>
                <w:color w:val="000000" w:themeColor="text1"/>
              </w:rPr>
              <w:t xml:space="preserve">Project implementation, including but not limited to project preparation and technical design, tendering, supervision, quality of assurance, etc. </w:t>
            </w:r>
          </w:p>
          <w:p w14:paraId="4B8A84C3" w14:textId="0C53D267" w:rsidR="009E4440" w:rsidRPr="005948DE" w:rsidRDefault="009E444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Focal point for communication lines and ultimately responsible for all communication with internal and external parties.</w:t>
            </w:r>
          </w:p>
          <w:p w14:paraId="756FD54D" w14:textId="35C47403" w:rsidR="00733F92" w:rsidRPr="005948DE" w:rsidRDefault="00733F92"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Coordination of activities </w:t>
            </w:r>
            <w:r w:rsidR="009E4440" w:rsidRPr="005948DE">
              <w:rPr>
                <w:rFonts w:ascii="Times New Roman" w:hAnsi="Times New Roman" w:cs="Times New Roman"/>
                <w:color w:val="000000" w:themeColor="text1"/>
              </w:rPr>
              <w:t>among various</w:t>
            </w:r>
            <w:r w:rsidRPr="005948DE">
              <w:rPr>
                <w:rFonts w:ascii="Times New Roman" w:hAnsi="Times New Roman" w:cs="Times New Roman"/>
                <w:color w:val="000000" w:themeColor="text1"/>
              </w:rPr>
              <w:t xml:space="preserve"> Project stakeholders</w:t>
            </w:r>
          </w:p>
          <w:p w14:paraId="5E56DB5D" w14:textId="7E80DD85" w:rsidR="00733F92" w:rsidRPr="005948DE" w:rsidRDefault="00733F92"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Collaboration with </w:t>
            </w:r>
            <w:r w:rsidR="004A314E">
              <w:rPr>
                <w:rFonts w:ascii="Times New Roman" w:hAnsi="Times New Roman" w:cs="Times New Roman"/>
                <w:color w:val="000000" w:themeColor="text1"/>
              </w:rPr>
              <w:t xml:space="preserve">the </w:t>
            </w:r>
            <w:r w:rsidR="003F3903" w:rsidRPr="005948DE">
              <w:rPr>
                <w:rFonts w:ascii="Times New Roman" w:hAnsi="Times New Roman" w:cs="Times New Roman"/>
                <w:color w:val="000000" w:themeColor="text1"/>
              </w:rPr>
              <w:t>LSG</w:t>
            </w:r>
            <w:r w:rsidRPr="005948DE">
              <w:rPr>
                <w:rFonts w:ascii="Times New Roman" w:hAnsi="Times New Roman" w:cs="Times New Roman"/>
                <w:color w:val="000000" w:themeColor="text1"/>
              </w:rPr>
              <w:t>s on issues relevant for execution of works and services, before and during execution</w:t>
            </w:r>
          </w:p>
          <w:p w14:paraId="028B3928" w14:textId="3249176D" w:rsidR="009E4440" w:rsidRPr="005948DE" w:rsidRDefault="009E444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Building capacity of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LSG</w:t>
            </w:r>
            <w:r w:rsidR="004A314E">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to implement infrastructure investments.</w:t>
            </w:r>
          </w:p>
          <w:p w14:paraId="452A6A4F" w14:textId="69F21051" w:rsidR="00733F92" w:rsidRPr="005948DE" w:rsidRDefault="00733F92"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Coordination and </w:t>
            </w:r>
            <w:r w:rsidR="009E4440" w:rsidRPr="005948DE">
              <w:rPr>
                <w:rFonts w:ascii="Times New Roman" w:hAnsi="Times New Roman" w:cs="Times New Roman"/>
                <w:color w:val="000000" w:themeColor="text1"/>
              </w:rPr>
              <w:t>oversight</w:t>
            </w:r>
            <w:r w:rsidRPr="005948DE">
              <w:rPr>
                <w:rFonts w:ascii="Times New Roman" w:hAnsi="Times New Roman" w:cs="Times New Roman"/>
                <w:color w:val="000000" w:themeColor="text1"/>
              </w:rPr>
              <w:t xml:space="preserve"> of work</w:t>
            </w:r>
            <w:r w:rsidR="009E4440" w:rsidRPr="005948DE">
              <w:rPr>
                <w:rFonts w:ascii="Times New Roman" w:hAnsi="Times New Roman" w:cs="Times New Roman"/>
                <w:color w:val="000000" w:themeColor="text1"/>
              </w:rPr>
              <w:t xml:space="preserve">s, goods </w:t>
            </w:r>
            <w:r w:rsidRPr="005948DE">
              <w:rPr>
                <w:rFonts w:ascii="Times New Roman" w:hAnsi="Times New Roman" w:cs="Times New Roman"/>
                <w:color w:val="000000" w:themeColor="text1"/>
              </w:rPr>
              <w:t>and service contracts</w:t>
            </w:r>
            <w:r w:rsidR="009E4440" w:rsidRPr="005948DE">
              <w:rPr>
                <w:rFonts w:ascii="Times New Roman" w:hAnsi="Times New Roman" w:cs="Times New Roman"/>
                <w:color w:val="000000" w:themeColor="text1"/>
              </w:rPr>
              <w:t xml:space="preserve"> (including supervision of works contracts for infrastructure investments)</w:t>
            </w:r>
          </w:p>
          <w:p w14:paraId="05692445" w14:textId="691A6208" w:rsidR="009E4440" w:rsidRPr="005948DE" w:rsidRDefault="009E444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Development of </w:t>
            </w:r>
            <w:r w:rsidR="00A577FD">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ESF Instruments other than Low </w:t>
            </w:r>
            <w:r w:rsidR="00A577FD">
              <w:rPr>
                <w:rFonts w:ascii="Times New Roman" w:hAnsi="Times New Roman" w:cs="Times New Roman"/>
                <w:color w:val="000000" w:themeColor="text1"/>
              </w:rPr>
              <w:t>R</w:t>
            </w:r>
            <w:r w:rsidR="00A577FD" w:rsidRPr="005948DE">
              <w:rPr>
                <w:rFonts w:ascii="Times New Roman" w:hAnsi="Times New Roman" w:cs="Times New Roman"/>
                <w:color w:val="000000" w:themeColor="text1"/>
              </w:rPr>
              <w:t xml:space="preserve">isk </w:t>
            </w:r>
            <w:r w:rsidR="00A577FD">
              <w:rPr>
                <w:rFonts w:ascii="Times New Roman" w:hAnsi="Times New Roman" w:cs="Times New Roman"/>
                <w:color w:val="000000" w:themeColor="text1"/>
              </w:rPr>
              <w:t>I</w:t>
            </w:r>
            <w:r w:rsidRPr="005948DE">
              <w:rPr>
                <w:rFonts w:ascii="Times New Roman" w:hAnsi="Times New Roman" w:cs="Times New Roman"/>
                <w:color w:val="000000" w:themeColor="text1"/>
              </w:rPr>
              <w:t xml:space="preserve">nfrastructure </w:t>
            </w:r>
            <w:r w:rsidR="00A577FD">
              <w:rPr>
                <w:rFonts w:ascii="Times New Roman" w:hAnsi="Times New Roman" w:cs="Times New Roman"/>
                <w:color w:val="000000" w:themeColor="text1"/>
              </w:rPr>
              <w:t>I</w:t>
            </w:r>
            <w:r w:rsidRPr="005948DE">
              <w:rPr>
                <w:rFonts w:ascii="Times New Roman" w:hAnsi="Times New Roman" w:cs="Times New Roman"/>
                <w:color w:val="000000" w:themeColor="text1"/>
              </w:rPr>
              <w:t>nvestments</w:t>
            </w:r>
          </w:p>
          <w:p w14:paraId="073D2548" w14:textId="39146E31" w:rsidR="00733F92" w:rsidRPr="005948DE" w:rsidRDefault="009E4440"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Development of</w:t>
            </w:r>
            <w:r w:rsidR="00733F92" w:rsidRPr="005948DE">
              <w:rPr>
                <w:rFonts w:ascii="Times New Roman" w:hAnsi="Times New Roman" w:cs="Times New Roman"/>
                <w:color w:val="000000" w:themeColor="text1"/>
              </w:rPr>
              <w:t xml:space="preserve">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Project documentation </w:t>
            </w:r>
          </w:p>
          <w:p w14:paraId="06ECC05E" w14:textId="4FCBE0B2" w:rsidR="00733F92" w:rsidRPr="005948DE" w:rsidRDefault="00733F92"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Monitoring and evaluation of the Project</w:t>
            </w:r>
          </w:p>
        </w:tc>
      </w:tr>
      <w:tr w:rsidR="00CC4ACB" w:rsidRPr="005948DE" w14:paraId="65759D4B" w14:textId="77777777" w:rsidTr="00A377A8">
        <w:tc>
          <w:tcPr>
            <w:tcW w:w="2263" w:type="dxa"/>
            <w:noWrap/>
            <w:tcMar>
              <w:top w:w="28" w:type="dxa"/>
              <w:left w:w="28" w:type="dxa"/>
              <w:bottom w:w="28" w:type="dxa"/>
              <w:right w:w="28" w:type="dxa"/>
            </w:tcMar>
            <w:vAlign w:val="center"/>
          </w:tcPr>
          <w:p w14:paraId="3EAEB3C0" w14:textId="62235BC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Working Group</w:t>
            </w:r>
          </w:p>
        </w:tc>
        <w:tc>
          <w:tcPr>
            <w:tcW w:w="7201" w:type="dxa"/>
            <w:noWrap/>
            <w:tcMar>
              <w:top w:w="28" w:type="dxa"/>
              <w:left w:w="28" w:type="dxa"/>
              <w:bottom w:w="28" w:type="dxa"/>
              <w:right w:w="28" w:type="dxa"/>
            </w:tcMar>
            <w:vAlign w:val="center"/>
          </w:tcPr>
          <w:p w14:paraId="4F32A876" w14:textId="2468631F"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Will be established when needed to discuss, among other things, proposed technical approaches, support implementation of interventions on local level together with municipalities, frame human capital related interventions, inclusion of new technologies and</w:t>
            </w:r>
            <w:r w:rsidR="003B6F14">
              <w:rPr>
                <w:rFonts w:ascii="Times New Roman" w:hAnsi="Times New Roman" w:cs="Times New Roman"/>
                <w:color w:val="000000" w:themeColor="text1"/>
              </w:rPr>
              <w:t xml:space="preserve"> </w:t>
            </w:r>
            <w:r w:rsidR="003B6F14" w:rsidRPr="008F1734">
              <w:rPr>
                <w:rFonts w:ascii="Times New Roman" w:hAnsi="Times New Roman" w:cs="Times New Roman"/>
                <w:color w:val="000000" w:themeColor="text1"/>
              </w:rPr>
              <w:t>Information and Communication Technology</w:t>
            </w:r>
            <w:r w:rsidRPr="005948DE">
              <w:rPr>
                <w:rFonts w:ascii="Times New Roman" w:hAnsi="Times New Roman" w:cs="Times New Roman"/>
                <w:color w:val="000000" w:themeColor="text1"/>
              </w:rPr>
              <w:t xml:space="preserve"> </w:t>
            </w:r>
            <w:r w:rsidR="003B6F14">
              <w:rPr>
                <w:rFonts w:ascii="Times New Roman" w:hAnsi="Times New Roman" w:cs="Times New Roman"/>
                <w:color w:val="000000" w:themeColor="text1"/>
              </w:rPr>
              <w:t>(</w:t>
            </w:r>
            <w:r w:rsidRPr="005948DE">
              <w:rPr>
                <w:rFonts w:ascii="Times New Roman" w:hAnsi="Times New Roman" w:cs="Times New Roman"/>
                <w:color w:val="000000" w:themeColor="text1"/>
              </w:rPr>
              <w:t>ICT</w:t>
            </w:r>
            <w:r w:rsidR="003B6F14">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solutions</w:t>
            </w:r>
          </w:p>
        </w:tc>
      </w:tr>
      <w:tr w:rsidR="00CC4ACB" w:rsidRPr="005948DE" w14:paraId="05387B55" w14:textId="77777777" w:rsidTr="00A377A8">
        <w:tc>
          <w:tcPr>
            <w:tcW w:w="2263" w:type="dxa"/>
            <w:noWrap/>
            <w:tcMar>
              <w:top w:w="28" w:type="dxa"/>
              <w:left w:w="28" w:type="dxa"/>
              <w:bottom w:w="28" w:type="dxa"/>
              <w:right w:w="28" w:type="dxa"/>
            </w:tcMar>
            <w:vAlign w:val="center"/>
          </w:tcPr>
          <w:p w14:paraId="6C202BB2" w14:textId="6438F16F" w:rsidR="00C82EA8" w:rsidRPr="005948DE" w:rsidRDefault="003F3903"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LSGs</w:t>
            </w:r>
          </w:p>
        </w:tc>
        <w:tc>
          <w:tcPr>
            <w:tcW w:w="7201" w:type="dxa"/>
            <w:noWrap/>
            <w:tcMar>
              <w:top w:w="28" w:type="dxa"/>
              <w:left w:w="28" w:type="dxa"/>
              <w:bottom w:w="28" w:type="dxa"/>
              <w:right w:w="28" w:type="dxa"/>
            </w:tcMar>
            <w:vAlign w:val="center"/>
          </w:tcPr>
          <w:p w14:paraId="2939499F" w14:textId="6507FE08"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Conducting of activities relevant for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implementation of </w:t>
            </w:r>
            <w:r w:rsidR="004A314E">
              <w:rPr>
                <w:rFonts w:ascii="Times New Roman" w:hAnsi="Times New Roman" w:cs="Times New Roman"/>
                <w:color w:val="000000" w:themeColor="text1"/>
              </w:rPr>
              <w:t xml:space="preserve">a </w:t>
            </w:r>
            <w:r w:rsidRPr="005948DE">
              <w:rPr>
                <w:rFonts w:ascii="Times New Roman" w:hAnsi="Times New Roman" w:cs="Times New Roman"/>
                <w:color w:val="000000" w:themeColor="text1"/>
              </w:rPr>
              <w:t>specific Project activity on their territory</w:t>
            </w:r>
          </w:p>
          <w:p w14:paraId="5CEAD454" w14:textId="1877DFBF" w:rsidR="00106502" w:rsidRPr="005948DE" w:rsidRDefault="00106502"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Procurement of infrastructure investment components with the fiduciary support of the CFU </w:t>
            </w:r>
          </w:p>
          <w:p w14:paraId="15CA1947"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Cooperation with the relevant stakeholders</w:t>
            </w:r>
          </w:p>
        </w:tc>
      </w:tr>
      <w:tr w:rsidR="00CC4ACB" w:rsidRPr="005948DE" w14:paraId="14A739B5" w14:textId="77777777" w:rsidTr="00A377A8">
        <w:tc>
          <w:tcPr>
            <w:tcW w:w="2263" w:type="dxa"/>
            <w:noWrap/>
            <w:tcMar>
              <w:top w:w="28" w:type="dxa"/>
              <w:left w:w="28" w:type="dxa"/>
              <w:bottom w:w="28" w:type="dxa"/>
              <w:right w:w="28" w:type="dxa"/>
            </w:tcMar>
            <w:vAlign w:val="center"/>
          </w:tcPr>
          <w:p w14:paraId="62E02ABE"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Contractor(s) for works Suppliers for goods, and services (consultants)</w:t>
            </w:r>
          </w:p>
        </w:tc>
        <w:tc>
          <w:tcPr>
            <w:tcW w:w="7201" w:type="dxa"/>
            <w:noWrap/>
            <w:tcMar>
              <w:top w:w="28" w:type="dxa"/>
              <w:left w:w="28" w:type="dxa"/>
              <w:bottom w:w="28" w:type="dxa"/>
              <w:right w:w="28" w:type="dxa"/>
            </w:tcMar>
            <w:vAlign w:val="center"/>
          </w:tcPr>
          <w:p w14:paraId="4CD4A413" w14:textId="77777777" w:rsidR="00C82EA8" w:rsidRPr="005948DE" w:rsidRDefault="00C82EA8" w:rsidP="005948DE">
            <w:pPr>
              <w:spacing w:after="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Responsible for ensuring that they execute the relevant contracts in accordance with the terms and conditions.</w:t>
            </w:r>
          </w:p>
        </w:tc>
      </w:tr>
    </w:tbl>
    <w:p w14:paraId="6E5D8F32" w14:textId="3DCB12E2" w:rsidR="00C82EA8" w:rsidRPr="005948DE" w:rsidRDefault="00C82EA8" w:rsidP="005948DE">
      <w:pPr>
        <w:spacing w:after="120" w:line="276" w:lineRule="auto"/>
        <w:jc w:val="both"/>
        <w:rPr>
          <w:rFonts w:ascii="Times New Roman" w:hAnsi="Times New Roman" w:cs="Times New Roman"/>
          <w:color w:val="000000" w:themeColor="text1"/>
        </w:rPr>
      </w:pPr>
    </w:p>
    <w:p w14:paraId="59E71896" w14:textId="77777777" w:rsidR="009638AE" w:rsidRPr="005948DE" w:rsidRDefault="009638AE"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117" w:name="_Toc93342227"/>
      <w:r w:rsidRPr="005948DE">
        <w:rPr>
          <w:rFonts w:ascii="Times New Roman" w:hAnsi="Times New Roman" w:cs="Times New Roman"/>
          <w:smallCaps w:val="0"/>
          <w:color w:val="auto"/>
          <w:sz w:val="24"/>
        </w:rPr>
        <w:t>Communication</w:t>
      </w:r>
      <w:bookmarkEnd w:id="117"/>
    </w:p>
    <w:p w14:paraId="11A721EA" w14:textId="041B9F84"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Communication </w:t>
      </w:r>
      <w:r w:rsidR="00CC4ACB" w:rsidRPr="005948DE">
        <w:rPr>
          <w:rFonts w:ascii="Times New Roman" w:hAnsi="Times New Roman" w:cs="Times New Roman"/>
          <w:color w:val="000000" w:themeColor="text1"/>
        </w:rPr>
        <w:t>in the meaning assigned in this</w:t>
      </w:r>
      <w:r w:rsidRPr="005948DE">
        <w:rPr>
          <w:rFonts w:ascii="Times New Roman" w:hAnsi="Times New Roman" w:cs="Times New Roman"/>
          <w:color w:val="000000" w:themeColor="text1"/>
        </w:rPr>
        <w:t xml:space="preserve"> Manual </w:t>
      </w:r>
      <w:r w:rsidR="00CC4ACB" w:rsidRPr="005948DE">
        <w:rPr>
          <w:rFonts w:ascii="Times New Roman" w:hAnsi="Times New Roman" w:cs="Times New Roman"/>
          <w:color w:val="000000" w:themeColor="text1"/>
        </w:rPr>
        <w:t xml:space="preserve">refers to any exchange of </w:t>
      </w:r>
      <w:r w:rsidR="00C366FA" w:rsidRPr="005948DE">
        <w:rPr>
          <w:rFonts w:ascii="Times New Roman" w:hAnsi="Times New Roman" w:cs="Times New Roman"/>
          <w:color w:val="000000" w:themeColor="text1"/>
        </w:rPr>
        <w:t>information, including</w:t>
      </w:r>
      <w:r w:rsidRPr="005948DE">
        <w:rPr>
          <w:rFonts w:ascii="Times New Roman" w:hAnsi="Times New Roman" w:cs="Times New Roman"/>
          <w:color w:val="000000" w:themeColor="text1"/>
        </w:rPr>
        <w:t xml:space="preserve"> but not limited to letters, e-mails, notices, faxes, minutes of meetings, delivery of technical documents, contracts and invoices etc., which </w:t>
      </w:r>
      <w:r w:rsidR="00CC4ACB" w:rsidRPr="005948DE">
        <w:rPr>
          <w:rFonts w:ascii="Times New Roman" w:hAnsi="Times New Roman" w:cs="Times New Roman"/>
          <w:color w:val="000000" w:themeColor="text1"/>
        </w:rPr>
        <w:t>refer, affect or in any way amend</w:t>
      </w:r>
      <w:r w:rsidRPr="005948DE">
        <w:rPr>
          <w:rFonts w:ascii="Times New Roman" w:hAnsi="Times New Roman" w:cs="Times New Roman"/>
          <w:color w:val="000000" w:themeColor="text1"/>
        </w:rPr>
        <w:t xml:space="preserve"> the scope, content, budget, time frame, sources, outputs, working schedule and the principles written in this Manual or any other management document of the project.</w:t>
      </w:r>
    </w:p>
    <w:p w14:paraId="53CCC54E" w14:textId="2C43D439" w:rsidR="009638AE" w:rsidRPr="005948DE" w:rsidRDefault="00CC4ACB" w:rsidP="005948DE">
      <w:pPr>
        <w:spacing w:after="120" w:line="276" w:lineRule="auto"/>
        <w:jc w:val="both"/>
        <w:rPr>
          <w:rFonts w:ascii="Times New Roman" w:eastAsia="Calibri" w:hAnsi="Times New Roman" w:cs="Times New Roman"/>
          <w:color w:val="000000" w:themeColor="text1"/>
        </w:rPr>
      </w:pPr>
      <w:r w:rsidRPr="005948DE">
        <w:rPr>
          <w:rFonts w:ascii="Times New Roman" w:hAnsi="Times New Roman" w:cs="Times New Roman"/>
          <w:color w:val="000000" w:themeColor="text1"/>
        </w:rPr>
        <w:t xml:space="preserve">The </w:t>
      </w:r>
      <w:r w:rsidR="009638AE" w:rsidRPr="005948DE">
        <w:rPr>
          <w:rFonts w:ascii="Times New Roman" w:hAnsi="Times New Roman" w:cs="Times New Roman"/>
          <w:color w:val="000000" w:themeColor="text1"/>
        </w:rPr>
        <w:t xml:space="preserve">Head of </w:t>
      </w:r>
      <w:r w:rsidR="004A314E">
        <w:rPr>
          <w:rFonts w:ascii="Times New Roman" w:hAnsi="Times New Roman" w:cs="Times New Roman"/>
          <w:color w:val="000000" w:themeColor="text1"/>
        </w:rPr>
        <w:t xml:space="preserve">the </w:t>
      </w:r>
      <w:r w:rsidR="009638AE" w:rsidRPr="005948DE">
        <w:rPr>
          <w:rFonts w:ascii="Times New Roman" w:hAnsi="Times New Roman" w:cs="Times New Roman"/>
          <w:color w:val="000000" w:themeColor="text1"/>
        </w:rPr>
        <w:t xml:space="preserve">PIU is the </w:t>
      </w:r>
      <w:r w:rsidRPr="005948DE">
        <w:rPr>
          <w:rFonts w:ascii="Times New Roman" w:hAnsi="Times New Roman" w:cs="Times New Roman"/>
          <w:color w:val="000000" w:themeColor="text1"/>
        </w:rPr>
        <w:t>focal</w:t>
      </w:r>
      <w:r w:rsidR="009638AE" w:rsidRPr="005948DE">
        <w:rPr>
          <w:rFonts w:ascii="Times New Roman" w:hAnsi="Times New Roman" w:cs="Times New Roman"/>
          <w:color w:val="000000" w:themeColor="text1"/>
        </w:rPr>
        <w:t xml:space="preserve"> point for communication lines </w:t>
      </w:r>
      <w:r w:rsidRPr="005948DE">
        <w:rPr>
          <w:rFonts w:ascii="Times New Roman" w:hAnsi="Times New Roman" w:cs="Times New Roman"/>
          <w:color w:val="000000" w:themeColor="text1"/>
        </w:rPr>
        <w:t>and will be ultimately</w:t>
      </w:r>
      <w:r w:rsidR="009638AE" w:rsidRPr="005948DE">
        <w:rPr>
          <w:rFonts w:ascii="Times New Roman" w:hAnsi="Times New Roman" w:cs="Times New Roman"/>
          <w:color w:val="000000" w:themeColor="text1"/>
        </w:rPr>
        <w:t xml:space="preserve"> responsible for all communication with internal and external parties. </w:t>
      </w:r>
      <w:r w:rsidRPr="005948DE">
        <w:rPr>
          <w:rFonts w:ascii="Times New Roman" w:hAnsi="Times New Roman" w:cs="Times New Roman"/>
          <w:color w:val="000000" w:themeColor="text1"/>
        </w:rPr>
        <w:t xml:space="preserve">Notwithstanding, </w:t>
      </w:r>
      <w:r w:rsidR="009638AE" w:rsidRPr="005948DE">
        <w:rPr>
          <w:rFonts w:ascii="Times New Roman" w:hAnsi="Times New Roman" w:cs="Times New Roman"/>
          <w:color w:val="000000" w:themeColor="text1"/>
        </w:rPr>
        <w:t xml:space="preserve">the PIU shall engage a </w:t>
      </w:r>
      <w:r w:rsidR="00BC2459" w:rsidRPr="005948DE">
        <w:rPr>
          <w:rFonts w:ascii="Times New Roman" w:hAnsi="Times New Roman" w:cs="Times New Roman"/>
          <w:color w:val="000000" w:themeColor="text1"/>
        </w:rPr>
        <w:t>S</w:t>
      </w:r>
      <w:r w:rsidR="00BC2459" w:rsidRPr="005948DE">
        <w:rPr>
          <w:rFonts w:ascii="Times New Roman" w:eastAsia="Calibri" w:hAnsi="Times New Roman" w:cs="Times New Roman"/>
          <w:color w:val="000000" w:themeColor="text1"/>
        </w:rPr>
        <w:t>ocial</w:t>
      </w:r>
      <w:r w:rsidR="00C137C2" w:rsidRPr="005948DE">
        <w:rPr>
          <w:rFonts w:ascii="Times New Roman" w:eastAsia="Calibri" w:hAnsi="Times New Roman" w:cs="Times New Roman"/>
          <w:color w:val="000000" w:themeColor="text1"/>
        </w:rPr>
        <w:t xml:space="preserve"> </w:t>
      </w:r>
      <w:r w:rsidR="004A314E">
        <w:rPr>
          <w:rFonts w:ascii="Times New Roman" w:eastAsia="Calibri" w:hAnsi="Times New Roman" w:cs="Times New Roman"/>
          <w:color w:val="000000" w:themeColor="text1"/>
        </w:rPr>
        <w:t>S</w:t>
      </w:r>
      <w:r w:rsidR="004A314E" w:rsidRPr="005948DE">
        <w:rPr>
          <w:rFonts w:ascii="Times New Roman" w:eastAsia="Calibri" w:hAnsi="Times New Roman" w:cs="Times New Roman"/>
          <w:color w:val="000000" w:themeColor="text1"/>
        </w:rPr>
        <w:t xml:space="preserve">afeguard </w:t>
      </w:r>
      <w:r w:rsidR="00C137C2" w:rsidRPr="005948DE">
        <w:rPr>
          <w:rFonts w:ascii="Times New Roman" w:eastAsia="Calibri" w:hAnsi="Times New Roman" w:cs="Times New Roman"/>
          <w:color w:val="000000" w:themeColor="text1"/>
        </w:rPr>
        <w:t xml:space="preserve">and </w:t>
      </w:r>
      <w:r w:rsidR="0005515F">
        <w:rPr>
          <w:rFonts w:ascii="Times New Roman" w:eastAsia="Calibri" w:hAnsi="Times New Roman" w:cs="Times New Roman"/>
          <w:color w:val="000000" w:themeColor="text1"/>
        </w:rPr>
        <w:t>CE</w:t>
      </w:r>
      <w:r w:rsidR="004A314E" w:rsidRPr="005948DE">
        <w:rPr>
          <w:rFonts w:ascii="Times New Roman" w:eastAsia="Calibri" w:hAnsi="Times New Roman" w:cs="Times New Roman"/>
          <w:color w:val="000000" w:themeColor="text1"/>
        </w:rPr>
        <w:t xml:space="preserve"> </w:t>
      </w:r>
      <w:r w:rsidR="00C137C2" w:rsidRPr="005948DE">
        <w:rPr>
          <w:rFonts w:ascii="Times New Roman" w:eastAsia="Calibri" w:hAnsi="Times New Roman" w:cs="Times New Roman"/>
          <w:color w:val="000000" w:themeColor="text1"/>
        </w:rPr>
        <w:t xml:space="preserve">specialist </w:t>
      </w:r>
      <w:r w:rsidR="009638AE" w:rsidRPr="005948DE">
        <w:rPr>
          <w:rFonts w:ascii="Times New Roman" w:hAnsi="Times New Roman" w:cs="Times New Roman"/>
          <w:color w:val="000000" w:themeColor="text1"/>
        </w:rPr>
        <w:t xml:space="preserve">who shall be inter alia responsible for outreach and assisting the PIU in disclosure, dissemination of information and communication with the local population. The media for communication shall be as seen fit for each community taking into consideration the type and sensitivity of stakeholders. The local context shall be taken into consideration. Since the Project will take special measures to ensure that disadvantaged and vulnerable groups have equal opportunity to access information, provide feedback, or submit grievances, </w:t>
      </w:r>
      <w:r w:rsidR="00BC2459" w:rsidRPr="005948DE">
        <w:rPr>
          <w:rFonts w:ascii="Times New Roman" w:eastAsia="Calibri" w:hAnsi="Times New Roman" w:cs="Times New Roman"/>
          <w:color w:val="000000" w:themeColor="text1"/>
        </w:rPr>
        <w:t>social</w:t>
      </w:r>
      <w:r w:rsidR="00AD75FA" w:rsidRPr="005948DE">
        <w:rPr>
          <w:rFonts w:ascii="Times New Roman" w:eastAsia="Calibri" w:hAnsi="Times New Roman" w:cs="Times New Roman"/>
          <w:color w:val="000000" w:themeColor="text1"/>
        </w:rPr>
        <w:t xml:space="preserve"> safeguard and citizen engagement specialist </w:t>
      </w:r>
      <w:r w:rsidR="00BC2459" w:rsidRPr="005948DE">
        <w:rPr>
          <w:rFonts w:ascii="Times New Roman" w:hAnsi="Times New Roman" w:cs="Times New Roman"/>
          <w:color w:val="000000" w:themeColor="text1"/>
        </w:rPr>
        <w:t xml:space="preserve">will enable </w:t>
      </w:r>
      <w:r w:rsidR="009638AE" w:rsidRPr="005948DE">
        <w:rPr>
          <w:rFonts w:ascii="Times New Roman" w:hAnsi="Times New Roman" w:cs="Times New Roman"/>
          <w:color w:val="000000" w:themeColor="text1"/>
        </w:rPr>
        <w:t>proactive outreach to all population groups. Focus groups dedicated specifically to vulnerable groups will be conducted to gauge their views and concerns including for Roma communities, households and individuals to identify any cumulative vulnerability stemming from their unintegrated status in the community and the project attributable impacts.</w:t>
      </w:r>
    </w:p>
    <w:p w14:paraId="71BA1D1F" w14:textId="51EA0912"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Internal communication includes communication between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PIU</w:t>
      </w:r>
      <w:r w:rsidR="001000B0">
        <w:rPr>
          <w:rFonts w:ascii="Times New Roman" w:hAnsi="Times New Roman" w:cs="Times New Roman"/>
          <w:color w:val="000000" w:themeColor="text1"/>
        </w:rPr>
        <w:t xml:space="preserve"> and </w:t>
      </w:r>
      <w:r w:rsidR="004A314E">
        <w:rPr>
          <w:rFonts w:ascii="Times New Roman" w:hAnsi="Times New Roman" w:cs="Times New Roman"/>
          <w:color w:val="000000" w:themeColor="text1"/>
        </w:rPr>
        <w:t xml:space="preserve">the </w:t>
      </w:r>
      <w:r w:rsidR="00BC2459" w:rsidRPr="005948DE">
        <w:rPr>
          <w:rFonts w:ascii="Times New Roman" w:hAnsi="Times New Roman" w:cs="Times New Roman"/>
          <w:color w:val="000000" w:themeColor="text1"/>
        </w:rPr>
        <w:t>CFU and</w:t>
      </w:r>
      <w:r w:rsidR="004A314E">
        <w:rPr>
          <w:rFonts w:ascii="Times New Roman" w:hAnsi="Times New Roman" w:cs="Times New Roman"/>
          <w:color w:val="000000" w:themeColor="text1"/>
        </w:rPr>
        <w:t xml:space="preserve"> </w:t>
      </w:r>
      <w:r w:rsidR="001000B0">
        <w:rPr>
          <w:rFonts w:ascii="Times New Roman" w:hAnsi="Times New Roman" w:cs="Times New Roman"/>
          <w:color w:val="000000" w:themeColor="text1"/>
        </w:rPr>
        <w:t xml:space="preserve">the PIU and </w:t>
      </w:r>
      <w:r w:rsidR="004A314E">
        <w:rPr>
          <w:rFonts w:ascii="Times New Roman" w:hAnsi="Times New Roman" w:cs="Times New Roman"/>
          <w:color w:val="000000" w:themeColor="text1"/>
        </w:rPr>
        <w:t>the</w:t>
      </w:r>
      <w:r w:rsidR="00BC2459" w:rsidRPr="005948DE">
        <w:rPr>
          <w:rFonts w:ascii="Times New Roman" w:hAnsi="Times New Roman" w:cs="Times New Roman"/>
          <w:color w:val="000000" w:themeColor="text1"/>
        </w:rPr>
        <w:t xml:space="preserve"> LSG. </w:t>
      </w:r>
    </w:p>
    <w:p w14:paraId="0BFC1BA9" w14:textId="63164C7A"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external communication includes communication with MoF,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Steering </w:t>
      </w:r>
      <w:r w:rsidR="00423AC7" w:rsidRPr="005948DE">
        <w:rPr>
          <w:rFonts w:ascii="Times New Roman" w:hAnsi="Times New Roman" w:cs="Times New Roman"/>
          <w:color w:val="000000" w:themeColor="text1"/>
        </w:rPr>
        <w:t>Committee</w:t>
      </w:r>
      <w:r w:rsidRPr="005948DE">
        <w:rPr>
          <w:rFonts w:ascii="Times New Roman" w:hAnsi="Times New Roman" w:cs="Times New Roman"/>
          <w:color w:val="000000" w:themeColor="text1"/>
        </w:rPr>
        <w:t xml:space="preserve">, the Bank and </w:t>
      </w:r>
      <w:r w:rsidR="004A314E">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AFD. This type of communication is mainly related to the submission of plans, reports, obtaining approvals on key documents, such as financial plans, PIPs, tender documents, reports, etc.</w:t>
      </w:r>
    </w:p>
    <w:p w14:paraId="61BDDD5D" w14:textId="17080B9F" w:rsidR="009638AE" w:rsidRPr="005948DE" w:rsidRDefault="009638AE" w:rsidP="005948DE">
      <w:pPr>
        <w:spacing w:after="120" w:line="276" w:lineRule="auto"/>
        <w:jc w:val="both"/>
        <w:rPr>
          <w:rFonts w:ascii="Times New Roman" w:hAnsi="Times New Roman" w:cs="Times New Roman"/>
          <w:color w:val="7030A0"/>
        </w:rPr>
      </w:pPr>
      <w:r w:rsidRPr="005948DE">
        <w:rPr>
          <w:rFonts w:ascii="Times New Roman" w:hAnsi="Times New Roman" w:cs="Times New Roman"/>
          <w:color w:val="000000" w:themeColor="text1"/>
        </w:rPr>
        <w:t xml:space="preserve">All communication documents will be in English. Responsibility for recording of incoming and outgoing correspondence is with the </w:t>
      </w:r>
      <w:r w:rsidR="00CA3E4F" w:rsidRPr="005948DE">
        <w:rPr>
          <w:rFonts w:ascii="Times New Roman" w:hAnsi="Times New Roman" w:cs="Times New Roman"/>
          <w:color w:val="000000" w:themeColor="text1"/>
        </w:rPr>
        <w:t xml:space="preserve">Administrative </w:t>
      </w:r>
      <w:r w:rsidR="00047F96">
        <w:rPr>
          <w:rFonts w:ascii="Times New Roman" w:hAnsi="Times New Roman" w:cs="Times New Roman"/>
          <w:color w:val="000000" w:themeColor="text1"/>
        </w:rPr>
        <w:t>A</w:t>
      </w:r>
      <w:r w:rsidR="00047F96" w:rsidRPr="005948DE">
        <w:rPr>
          <w:rFonts w:ascii="Times New Roman" w:hAnsi="Times New Roman" w:cs="Times New Roman"/>
          <w:color w:val="000000" w:themeColor="text1"/>
        </w:rPr>
        <w:t xml:space="preserve">ssistant </w:t>
      </w:r>
      <w:r w:rsidRPr="005948DE">
        <w:rPr>
          <w:rFonts w:ascii="Times New Roman" w:hAnsi="Times New Roman" w:cs="Times New Roman"/>
          <w:color w:val="000000" w:themeColor="text1"/>
        </w:rPr>
        <w:t>in the PIU</w:t>
      </w:r>
      <w:r w:rsidR="00047F96">
        <w:rPr>
          <w:rFonts w:ascii="Times New Roman" w:hAnsi="Times New Roman" w:cs="Times New Roman"/>
          <w:color w:val="000000" w:themeColor="text1"/>
        </w:rPr>
        <w:t>,</w:t>
      </w:r>
      <w:r w:rsidR="00BC2459" w:rsidRPr="005948DE">
        <w:rPr>
          <w:rFonts w:ascii="Times New Roman" w:hAnsi="Times New Roman" w:cs="Times New Roman"/>
          <w:color w:val="000000" w:themeColor="text1"/>
        </w:rPr>
        <w:t xml:space="preserve"> in line with </w:t>
      </w:r>
      <w:r w:rsidR="0005515F">
        <w:rPr>
          <w:rFonts w:ascii="Times New Roman" w:hAnsi="Times New Roman" w:cs="Times New Roman"/>
          <w:color w:val="000000" w:themeColor="text1"/>
        </w:rPr>
        <w:t xml:space="preserve">the </w:t>
      </w:r>
      <w:r w:rsidR="00A577FD">
        <w:rPr>
          <w:rFonts w:ascii="Times New Roman" w:hAnsi="Times New Roman" w:cs="Times New Roman"/>
          <w:color w:val="000000" w:themeColor="text1"/>
        </w:rPr>
        <w:t>C</w:t>
      </w:r>
      <w:r w:rsidR="00A577FD" w:rsidRPr="005948DE">
        <w:rPr>
          <w:rFonts w:ascii="Times New Roman" w:hAnsi="Times New Roman" w:cs="Times New Roman"/>
          <w:color w:val="000000" w:themeColor="text1"/>
        </w:rPr>
        <w:t xml:space="preserve">hapter </w:t>
      </w:r>
      <w:r w:rsidR="00BC2459" w:rsidRPr="005948DE">
        <w:rPr>
          <w:rFonts w:ascii="Times New Roman" w:hAnsi="Times New Roman" w:cs="Times New Roman"/>
          <w:color w:val="000000" w:themeColor="text1"/>
        </w:rPr>
        <w:t>9 of this Manual.</w:t>
      </w:r>
      <w:r w:rsidRPr="005948DE">
        <w:rPr>
          <w:rFonts w:ascii="Times New Roman" w:hAnsi="Times New Roman" w:cs="Times New Roman"/>
          <w:color w:val="000000" w:themeColor="text1"/>
        </w:rPr>
        <w:t xml:space="preserve"> </w:t>
      </w:r>
    </w:p>
    <w:p w14:paraId="3AA97908" w14:textId="77777777"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For the purpose of efficient time spending and ensuring smooth and effective implementation of the Project activities, it is recommended that all approvals be issued by the relevant party within defined commenting period. </w:t>
      </w:r>
    </w:p>
    <w:p w14:paraId="1294F53C" w14:textId="2AB2A243"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All lines of communication in the Project are given in </w:t>
      </w:r>
      <w:r w:rsidR="00047F96">
        <w:rPr>
          <w:rFonts w:ascii="Times New Roman" w:hAnsi="Times New Roman" w:cs="Times New Roman"/>
          <w:color w:val="000000" w:themeColor="text1"/>
        </w:rPr>
        <w:t xml:space="preserve">the </w:t>
      </w:r>
      <w:r w:rsidR="001F4367" w:rsidRPr="005948DE">
        <w:rPr>
          <w:rFonts w:ascii="Times New Roman" w:hAnsi="Times New Roman" w:cs="Times New Roman"/>
          <w:color w:val="000000" w:themeColor="text1"/>
        </w:rPr>
        <w:t xml:space="preserve">Figure </w:t>
      </w:r>
      <w:r w:rsidR="00105074">
        <w:rPr>
          <w:rFonts w:ascii="Times New Roman" w:hAnsi="Times New Roman" w:cs="Times New Roman"/>
          <w:color w:val="000000" w:themeColor="text1"/>
        </w:rPr>
        <w:t>2</w:t>
      </w:r>
      <w:r w:rsidRPr="005948DE">
        <w:rPr>
          <w:rFonts w:ascii="Times New Roman" w:hAnsi="Times New Roman" w:cs="Times New Roman"/>
          <w:color w:val="000000" w:themeColor="text1"/>
        </w:rPr>
        <w:t xml:space="preserve"> below. There are five different lines of communication as can be followed with different </w:t>
      </w:r>
      <w:r w:rsidR="009C3B24" w:rsidRPr="005948DE">
        <w:rPr>
          <w:rFonts w:ascii="Times New Roman" w:hAnsi="Times New Roman" w:cs="Times New Roman"/>
          <w:color w:val="000000" w:themeColor="text1"/>
        </w:rPr>
        <w:t>colours</w:t>
      </w:r>
      <w:r w:rsidRPr="005948DE">
        <w:rPr>
          <w:rFonts w:ascii="Times New Roman" w:hAnsi="Times New Roman" w:cs="Times New Roman"/>
          <w:color w:val="000000" w:themeColor="text1"/>
        </w:rPr>
        <w:t xml:space="preserve"> in the figure:</w:t>
      </w:r>
    </w:p>
    <w:p w14:paraId="7790C3A7" w14:textId="3B957014" w:rsidR="009638AE" w:rsidRPr="005948DE" w:rsidRDefault="009638AE"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Blue line: Communication and document flows for the technical issues</w:t>
      </w:r>
      <w:r w:rsidR="001F4367" w:rsidRPr="005948DE">
        <w:rPr>
          <w:rFonts w:ascii="Times New Roman" w:eastAsia="Calibri" w:hAnsi="Times New Roman" w:cs="Times New Roman"/>
          <w:color w:val="000000" w:themeColor="text1"/>
        </w:rPr>
        <w:t>.</w:t>
      </w:r>
      <w:r w:rsidRPr="005948DE">
        <w:rPr>
          <w:rFonts w:ascii="Times New Roman" w:eastAsia="Calibri" w:hAnsi="Times New Roman" w:cs="Times New Roman"/>
          <w:color w:val="000000" w:themeColor="text1"/>
        </w:rPr>
        <w:t xml:space="preserve"> </w:t>
      </w:r>
    </w:p>
    <w:p w14:paraId="07AEDB1A" w14:textId="6EF991B8" w:rsidR="009638AE" w:rsidRPr="005948DE" w:rsidRDefault="009638AE"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Green line: Communication and document flows for the procurement issues</w:t>
      </w:r>
      <w:r w:rsidR="001F4367" w:rsidRPr="005948DE">
        <w:rPr>
          <w:rFonts w:ascii="Times New Roman" w:eastAsia="Calibri" w:hAnsi="Times New Roman" w:cs="Times New Roman"/>
          <w:color w:val="000000" w:themeColor="text1"/>
        </w:rPr>
        <w:t>.</w:t>
      </w:r>
    </w:p>
    <w:p w14:paraId="5A182A9E" w14:textId="156C1475" w:rsidR="009638AE" w:rsidRPr="005948DE" w:rsidRDefault="009638AE"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Grey line: Communication and document flows for the contractual issues</w:t>
      </w:r>
      <w:r w:rsidR="001F4367" w:rsidRPr="005948DE">
        <w:rPr>
          <w:rFonts w:ascii="Times New Roman" w:eastAsia="Calibri" w:hAnsi="Times New Roman" w:cs="Times New Roman"/>
          <w:color w:val="000000" w:themeColor="text1"/>
        </w:rPr>
        <w:t>.</w:t>
      </w:r>
    </w:p>
    <w:p w14:paraId="6C27D5C0" w14:textId="78C51586" w:rsidR="009638AE" w:rsidRPr="005948DE" w:rsidRDefault="009638AE"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Red line: Communication and document flows for the financial issues</w:t>
      </w:r>
      <w:r w:rsidR="001F4367" w:rsidRPr="005948DE">
        <w:rPr>
          <w:rFonts w:ascii="Times New Roman" w:eastAsia="Calibri" w:hAnsi="Times New Roman" w:cs="Times New Roman"/>
          <w:color w:val="000000" w:themeColor="text1"/>
        </w:rPr>
        <w:t>.</w:t>
      </w:r>
    </w:p>
    <w:p w14:paraId="4F40053C" w14:textId="29BDBF26" w:rsidR="009638AE" w:rsidRDefault="009638AE" w:rsidP="005948DE">
      <w:pPr>
        <w:pStyle w:val="ListParagraph"/>
        <w:widowControl w:val="0"/>
        <w:numPr>
          <w:ilvl w:val="0"/>
          <w:numId w:val="229"/>
        </w:numPr>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r w:rsidRPr="005948DE">
        <w:rPr>
          <w:rFonts w:ascii="Times New Roman" w:eastAsia="Calibri" w:hAnsi="Times New Roman" w:cs="Times New Roman"/>
          <w:color w:val="000000" w:themeColor="text1"/>
        </w:rPr>
        <w:t>Black line: Daily communication</w:t>
      </w:r>
      <w:r w:rsidR="001F4367" w:rsidRPr="005948DE">
        <w:rPr>
          <w:rFonts w:ascii="Times New Roman" w:eastAsia="Calibri" w:hAnsi="Times New Roman" w:cs="Times New Roman"/>
          <w:color w:val="000000" w:themeColor="text1"/>
        </w:rPr>
        <w:t>.</w:t>
      </w:r>
    </w:p>
    <w:p w14:paraId="741A3C74" w14:textId="77777777" w:rsidR="00A577FD" w:rsidRPr="005948DE" w:rsidRDefault="00A577FD" w:rsidP="00665F55">
      <w:pPr>
        <w:pStyle w:val="ListParagraph"/>
        <w:widowControl w:val="0"/>
        <w:autoSpaceDE w:val="0"/>
        <w:autoSpaceDN w:val="0"/>
        <w:adjustRightInd w:val="0"/>
        <w:spacing w:after="120" w:line="276" w:lineRule="auto"/>
        <w:ind w:left="426"/>
        <w:contextualSpacing w:val="0"/>
        <w:jc w:val="both"/>
        <w:rPr>
          <w:rFonts w:ascii="Times New Roman" w:eastAsia="Calibri" w:hAnsi="Times New Roman" w:cs="Times New Roman"/>
          <w:color w:val="000000" w:themeColor="text1"/>
        </w:rPr>
      </w:pPr>
    </w:p>
    <w:p w14:paraId="6615AA95" w14:textId="764DAEA0" w:rsidR="009638AE" w:rsidRPr="006F115D" w:rsidRDefault="009638AE" w:rsidP="006F115D">
      <w:pPr>
        <w:pStyle w:val="Caption"/>
        <w:rPr>
          <w:rFonts w:ascii="Times New Roman" w:hAnsi="Times New Roman" w:cs="Times New Roman"/>
          <w:sz w:val="22"/>
          <w:szCs w:val="22"/>
        </w:rPr>
      </w:pPr>
      <w:r w:rsidRPr="006F115D">
        <w:rPr>
          <w:rFonts w:ascii="Times New Roman" w:hAnsi="Times New Roman" w:cs="Times New Roman"/>
          <w:sz w:val="22"/>
          <w:szCs w:val="22"/>
        </w:rPr>
        <w:t xml:space="preserve">Figure </w:t>
      </w:r>
      <w:r w:rsidRPr="006F115D">
        <w:rPr>
          <w:rFonts w:ascii="Times New Roman" w:hAnsi="Times New Roman" w:cs="Times New Roman"/>
          <w:sz w:val="22"/>
          <w:szCs w:val="22"/>
        </w:rPr>
        <w:fldChar w:fldCharType="begin"/>
      </w:r>
      <w:r w:rsidRPr="006F115D">
        <w:rPr>
          <w:rFonts w:ascii="Times New Roman" w:hAnsi="Times New Roman" w:cs="Times New Roman"/>
          <w:sz w:val="22"/>
          <w:szCs w:val="22"/>
        </w:rPr>
        <w:instrText xml:space="preserve"> SEQ Figure \* ARABIC </w:instrText>
      </w:r>
      <w:r w:rsidRPr="006F115D">
        <w:rPr>
          <w:rFonts w:ascii="Times New Roman" w:hAnsi="Times New Roman" w:cs="Times New Roman"/>
          <w:sz w:val="22"/>
          <w:szCs w:val="22"/>
        </w:rPr>
        <w:fldChar w:fldCharType="separate"/>
      </w:r>
      <w:r w:rsidR="00417989" w:rsidRPr="006F115D">
        <w:rPr>
          <w:rFonts w:ascii="Times New Roman" w:hAnsi="Times New Roman" w:cs="Times New Roman"/>
          <w:sz w:val="22"/>
          <w:szCs w:val="22"/>
        </w:rPr>
        <w:t>2</w:t>
      </w:r>
      <w:r w:rsidRPr="006F115D">
        <w:rPr>
          <w:rFonts w:ascii="Times New Roman" w:hAnsi="Times New Roman" w:cs="Times New Roman"/>
          <w:sz w:val="22"/>
          <w:szCs w:val="22"/>
        </w:rPr>
        <w:fldChar w:fldCharType="end"/>
      </w:r>
      <w:r w:rsidR="00047F96" w:rsidRPr="006F115D">
        <w:rPr>
          <w:rFonts w:ascii="Times New Roman" w:hAnsi="Times New Roman" w:cs="Times New Roman"/>
          <w:sz w:val="22"/>
          <w:szCs w:val="22"/>
        </w:rPr>
        <w:t>.</w:t>
      </w:r>
      <w:r w:rsidR="00047F96" w:rsidRPr="006F115D">
        <w:rPr>
          <w:rFonts w:ascii="Times New Roman" w:hAnsi="Times New Roman" w:cs="Times New Roman"/>
          <w:sz w:val="22"/>
          <w:szCs w:val="22"/>
        </w:rPr>
        <w:tab/>
      </w:r>
      <w:r w:rsidRPr="006F115D">
        <w:rPr>
          <w:rFonts w:ascii="Times New Roman" w:hAnsi="Times New Roman" w:cs="Times New Roman"/>
          <w:sz w:val="22"/>
          <w:szCs w:val="22"/>
        </w:rPr>
        <w:t xml:space="preserve"> </w:t>
      </w:r>
      <w:r w:rsidR="00A577FD" w:rsidRPr="006F115D">
        <w:rPr>
          <w:rFonts w:ascii="Times New Roman" w:hAnsi="Times New Roman" w:cs="Times New Roman"/>
          <w:sz w:val="22"/>
          <w:szCs w:val="22"/>
        </w:rPr>
        <w:t xml:space="preserve">The </w:t>
      </w:r>
      <w:r w:rsidRPr="006F115D">
        <w:rPr>
          <w:rFonts w:ascii="Times New Roman" w:hAnsi="Times New Roman" w:cs="Times New Roman"/>
          <w:sz w:val="22"/>
          <w:szCs w:val="22"/>
        </w:rPr>
        <w:t xml:space="preserve">Lines of </w:t>
      </w:r>
      <w:r w:rsidR="00A577FD" w:rsidRPr="006F115D">
        <w:rPr>
          <w:rFonts w:ascii="Times New Roman" w:hAnsi="Times New Roman" w:cs="Times New Roman"/>
          <w:sz w:val="22"/>
          <w:szCs w:val="22"/>
        </w:rPr>
        <w:t>C</w:t>
      </w:r>
      <w:r w:rsidRPr="006F115D">
        <w:rPr>
          <w:rFonts w:ascii="Times New Roman" w:hAnsi="Times New Roman" w:cs="Times New Roman"/>
          <w:sz w:val="22"/>
          <w:szCs w:val="22"/>
        </w:rPr>
        <w:t>ommunication</w:t>
      </w:r>
    </w:p>
    <w:p w14:paraId="683E0386" w14:textId="263DD47C" w:rsidR="009638AE" w:rsidRPr="005948DE" w:rsidRDefault="00CD7C7D" w:rsidP="005948DE">
      <w:pPr>
        <w:spacing w:after="120" w:line="276" w:lineRule="auto"/>
        <w:jc w:val="both"/>
        <w:rPr>
          <w:rFonts w:ascii="Times New Roman" w:hAnsi="Times New Roman" w:cs="Times New Roman"/>
          <w:color w:val="7030A0"/>
        </w:rPr>
      </w:pPr>
      <w:r w:rsidRPr="005948DE">
        <w:rPr>
          <w:rFonts w:ascii="Times New Roman" w:hAnsi="Times New Roman" w:cs="Times New Roman"/>
          <w:noProof/>
          <w:color w:val="7030A0"/>
          <w:lang w:val="en-US"/>
        </w:rPr>
        <mc:AlternateContent>
          <mc:Choice Requires="wps">
            <w:drawing>
              <wp:anchor distT="0" distB="0" distL="114300" distR="114300" simplePos="0" relativeHeight="251665408" behindDoc="0" locked="0" layoutInCell="1" allowOverlap="1" wp14:anchorId="21D6D370" wp14:editId="04FDA7B2">
                <wp:simplePos x="0" y="0"/>
                <wp:positionH relativeFrom="column">
                  <wp:posOffset>436446</wp:posOffset>
                </wp:positionH>
                <wp:positionV relativeFrom="paragraph">
                  <wp:posOffset>2353278</wp:posOffset>
                </wp:positionV>
                <wp:extent cx="592254" cy="237281"/>
                <wp:effectExtent l="0" t="0" r="0" b="0"/>
                <wp:wrapNone/>
                <wp:docPr id="1073742030" name="Text Box 1073742030"/>
                <wp:cNvGraphicFramePr/>
                <a:graphic xmlns:a="http://schemas.openxmlformats.org/drawingml/2006/main">
                  <a:graphicData uri="http://schemas.microsoft.com/office/word/2010/wordprocessingShape">
                    <wps:wsp>
                      <wps:cNvSpPr txBox="1"/>
                      <wps:spPr>
                        <a:xfrm>
                          <a:off x="0" y="0"/>
                          <a:ext cx="592254" cy="237281"/>
                        </a:xfrm>
                        <a:prstGeom prst="rect">
                          <a:avLst/>
                        </a:prstGeom>
                        <a:solidFill>
                          <a:srgbClr val="FFF2C7"/>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3378CE" w14:textId="7DAA6B0E" w:rsidR="00CF7D57" w:rsidRPr="00C366FA" w:rsidRDefault="00CF7D57" w:rsidP="00D01979">
                            <w:pPr>
                              <w:spacing w:after="0" w:line="240" w:lineRule="auto"/>
                              <w:rPr>
                                <w:rFonts w:ascii="Times New Roman" w:hAnsi="Times New Roman" w:cs="Times New Roman"/>
                                <w:sz w:val="12"/>
                              </w:rPr>
                            </w:pPr>
                            <w:r>
                              <w:rPr>
                                <w:rFonts w:ascii="Times New Roman" w:hAnsi="Times New Roman" w:cs="Times New Roman"/>
                                <w:sz w:val="12"/>
                              </w:rPr>
                              <w:t xml:space="preserve"> </w:t>
                            </w:r>
                            <w:r w:rsidRPr="00C366FA">
                              <w:rPr>
                                <w:rFonts w:ascii="Times New Roman" w:hAnsi="Times New Roman" w:cs="Times New Roman"/>
                                <w:color w:val="000000" w:themeColor="text1"/>
                                <w:sz w:val="12"/>
                              </w:rPr>
                              <w:t>LSGs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1D6D370" id="_x0000_t202" coordsize="21600,21600" o:spt="202" path="m,l,21600r21600,l21600,xe">
                <v:stroke joinstyle="miter"/>
                <v:path gradientshapeok="t" o:connecttype="rect"/>
              </v:shapetype>
              <v:shape id="Text Box 1073742030" o:spid="_x0000_s1030" type="#_x0000_t202" style="position:absolute;left:0;text-align:left;margin-left:34.35pt;margin-top:185.3pt;width:46.65pt;height:18.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" fillcolor="#fff2c7" stroked="f" strokeweight=".5pt">
                <v:textbox>
                  <w:txbxContent>
                    <w:p w14:paraId="313378CE" w14:textId="7DAA6B0E" w:rsidR="00CF7D57" w:rsidRPr="00C366FA" w:rsidRDefault="00CF7D57" w:rsidP="00D01979">
                      <w:pPr>
                        <w:spacing w:after="0" w:line="240" w:lineRule="auto"/>
                        <w:rPr>
                          <w:rFonts w:ascii="Times New Roman" w:hAnsi="Times New Roman" w:cs="Times New Roman"/>
                          <w:sz w:val="12"/>
                        </w:rPr>
                      </w:pPr>
                      <w:r>
                        <w:rPr>
                          <w:rFonts w:ascii="Times New Roman" w:hAnsi="Times New Roman" w:cs="Times New Roman"/>
                          <w:sz w:val="12"/>
                        </w:rPr>
                        <w:t xml:space="preserve"> </w:t>
                      </w:r>
                      <w:r w:rsidRPr="00C366FA">
                        <w:rPr>
                          <w:rFonts w:ascii="Times New Roman" w:hAnsi="Times New Roman" w:cs="Times New Roman"/>
                          <w:color w:val="000000" w:themeColor="text1"/>
                          <w:sz w:val="12"/>
                        </w:rPr>
                        <w:t>LSGs</w:t>
                      </w:r>
                    </w:p>
                  </w:txbxContent>
                </v:textbox>
              </v:shape>
            </w:pict>
          </mc:Fallback>
        </mc:AlternateContent>
      </w:r>
      <w:r w:rsidR="00C82DD5" w:rsidRPr="005948DE">
        <w:rPr>
          <w:rFonts w:ascii="Times New Roman" w:hAnsi="Times New Roman" w:cs="Times New Roman"/>
          <w:noProof/>
          <w:color w:val="7030A0"/>
          <w:lang w:val="en-US"/>
        </w:rPr>
        <mc:AlternateContent>
          <mc:Choice Requires="wps">
            <w:drawing>
              <wp:anchor distT="0" distB="0" distL="114300" distR="114300" simplePos="0" relativeHeight="251659264" behindDoc="0" locked="0" layoutInCell="1" allowOverlap="1" wp14:anchorId="1B0B6DD2" wp14:editId="1217157C">
                <wp:simplePos x="0" y="0"/>
                <wp:positionH relativeFrom="column">
                  <wp:posOffset>2135505</wp:posOffset>
                </wp:positionH>
                <wp:positionV relativeFrom="paragraph">
                  <wp:posOffset>2875915</wp:posOffset>
                </wp:positionV>
                <wp:extent cx="3745230" cy="671195"/>
                <wp:effectExtent l="0" t="0" r="7620" b="0"/>
                <wp:wrapNone/>
                <wp:docPr id="1073742025" name="Rectangle 1073742025"/>
                <wp:cNvGraphicFramePr/>
                <a:graphic xmlns:a="http://schemas.openxmlformats.org/drawingml/2006/main">
                  <a:graphicData uri="http://schemas.microsoft.com/office/word/2010/wordprocessingShape">
                    <wps:wsp>
                      <wps:cNvSpPr/>
                      <wps:spPr>
                        <a:xfrm>
                          <a:off x="0" y="0"/>
                          <a:ext cx="3745230" cy="671195"/>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D81B444" id="Rectangle 1073742025" o:spid="_x0000_s1026" style="position:absolute;margin-left:168.15pt;margin-top:226.45pt;width:294.9pt;height:52.8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" fillcolor="white [3212]" stroked="f"/>
            </w:pict>
          </mc:Fallback>
        </mc:AlternateContent>
      </w:r>
      <w:r w:rsidR="00452DD6" w:rsidRPr="005948DE">
        <w:rPr>
          <w:rFonts w:ascii="Times New Roman" w:hAnsi="Times New Roman" w:cs="Times New Roman"/>
          <w:noProof/>
          <w:color w:val="7030A0"/>
          <w:lang w:val="en-US"/>
        </w:rPr>
        <mc:AlternateContent>
          <mc:Choice Requires="wps">
            <w:drawing>
              <wp:anchor distT="0" distB="0" distL="114300" distR="114300" simplePos="0" relativeHeight="251663360" behindDoc="0" locked="0" layoutInCell="1" allowOverlap="1" wp14:anchorId="6EA49ECC" wp14:editId="1A9FE3E8">
                <wp:simplePos x="0" y="0"/>
                <wp:positionH relativeFrom="column">
                  <wp:posOffset>989146</wp:posOffset>
                </wp:positionH>
                <wp:positionV relativeFrom="paragraph">
                  <wp:posOffset>2058263</wp:posOffset>
                </wp:positionV>
                <wp:extent cx="290066" cy="298354"/>
                <wp:effectExtent l="57150" t="38100" r="53340" b="102235"/>
                <wp:wrapNone/>
                <wp:docPr id="1073742029" name="Straight Arrow Connector 1073742029"/>
                <wp:cNvGraphicFramePr/>
                <a:graphic xmlns:a="http://schemas.openxmlformats.org/drawingml/2006/main">
                  <a:graphicData uri="http://schemas.microsoft.com/office/word/2010/wordprocessingShape">
                    <wps:wsp>
                      <wps:cNvCnPr/>
                      <wps:spPr>
                        <a:xfrm flipH="1">
                          <a:off x="0" y="0"/>
                          <a:ext cx="290066" cy="298354"/>
                        </a:xfrm>
                        <a:prstGeom prst="straightConnector1">
                          <a:avLst/>
                        </a:prstGeom>
                        <a:ln w="6350">
                          <a:headEnd type="triangle" w="sm" len="sm"/>
                          <a:tailEnd type="triangle" w="sm" len="sm"/>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29F1702" id="_x0000_t32" coordsize="21600,21600" o:spt="32" o:oned="t" path="m,l21600,21600e" filled="f">
                <v:path arrowok="t" fillok="f" o:connecttype="none"/>
                <o:lock v:ext="edit" shapetype="t"/>
              </v:shapetype>
              <v:shape id="Straight Arrow Connector 1073742029" o:spid="_x0000_s1026" type="#_x0000_t32" style="position:absolute;margin-left:77.9pt;margin-top:162.05pt;width:22.85pt;height:23.5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" strokecolor="#4f81bd [3204]" strokeweight=".5pt">
                <v:stroke startarrow="block" startarrowwidth="narrow" startarrowlength="short" endarrow="block" endarrowwidth="narrow" endarrowlength="short"/>
                <v:shadow on="t" color="black" opacity="24903f" origin=",.5" offset="0,.55556mm"/>
              </v:shape>
            </w:pict>
          </mc:Fallback>
        </mc:AlternateContent>
      </w:r>
      <w:r w:rsidR="00CA3E4F" w:rsidRPr="005948DE">
        <w:rPr>
          <w:rFonts w:ascii="Times New Roman" w:hAnsi="Times New Roman" w:cs="Times New Roman"/>
          <w:noProof/>
          <w:color w:val="7030A0"/>
          <w:lang w:val="en-US"/>
        </w:rPr>
        <mc:AlternateContent>
          <mc:Choice Requires="wps">
            <w:drawing>
              <wp:anchor distT="0" distB="0" distL="114300" distR="114300" simplePos="0" relativeHeight="251661312" behindDoc="0" locked="0" layoutInCell="1" allowOverlap="1" wp14:anchorId="571719C6" wp14:editId="02F6F50E">
                <wp:simplePos x="0" y="0"/>
                <wp:positionH relativeFrom="column">
                  <wp:posOffset>3359723</wp:posOffset>
                </wp:positionH>
                <wp:positionV relativeFrom="paragraph">
                  <wp:posOffset>2083101</wp:posOffset>
                </wp:positionV>
                <wp:extent cx="227278" cy="866830"/>
                <wp:effectExtent l="0" t="0" r="1905" b="9525"/>
                <wp:wrapNone/>
                <wp:docPr id="1073742026" name="Rectangle: Rounded Corners 1073742026"/>
                <wp:cNvGraphicFramePr/>
                <a:graphic xmlns:a="http://schemas.openxmlformats.org/drawingml/2006/main">
                  <a:graphicData uri="http://schemas.microsoft.com/office/word/2010/wordprocessingShape">
                    <wps:wsp>
                      <wps:cNvSpPr/>
                      <wps:spPr>
                        <a:xfrm>
                          <a:off x="0" y="0"/>
                          <a:ext cx="227278" cy="866830"/>
                        </a:xfrm>
                        <a:prstGeom prst="round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5328DA76" id="Rectangle: Rounded Corners 1073742026" o:spid="_x0000_s1026" style="position:absolute;margin-left:264.55pt;margin-top:164pt;width:17.9pt;height:68.25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" fillcolor="white [3212]" stroked="f"/>
            </w:pict>
          </mc:Fallback>
        </mc:AlternateContent>
      </w:r>
      <w:r w:rsidR="009638AE" w:rsidRPr="005948DE">
        <w:rPr>
          <w:rFonts w:ascii="Times New Roman" w:hAnsi="Times New Roman" w:cs="Times New Roman"/>
          <w:noProof/>
          <w:color w:val="7030A0"/>
          <w:lang w:val="en-US"/>
        </w:rPr>
        <w:drawing>
          <wp:inline distT="0" distB="0" distL="0" distR="0" wp14:anchorId="765F5AFC" wp14:editId="5723CF49">
            <wp:extent cx="6001200" cy="3636000"/>
            <wp:effectExtent l="0" t="0" r="0" b="0"/>
            <wp:docPr id="1073742024" name="Picture 107374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01200" cy="3636000"/>
                    </a:xfrm>
                    <a:prstGeom prst="rect">
                      <a:avLst/>
                    </a:prstGeom>
                    <a:noFill/>
                    <a:ln>
                      <a:noFill/>
                    </a:ln>
                  </pic:spPr>
                </pic:pic>
              </a:graphicData>
            </a:graphic>
          </wp:inline>
        </w:drawing>
      </w:r>
    </w:p>
    <w:p w14:paraId="2E1A0D03"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8" w:name="_Toc93342228"/>
      <w:r w:rsidRPr="005948DE">
        <w:rPr>
          <w:rFonts w:ascii="Times New Roman" w:hAnsi="Times New Roman" w:cs="Times New Roman"/>
          <w:color w:val="auto"/>
        </w:rPr>
        <w:t>Communication for technical issues</w:t>
      </w:r>
      <w:bookmarkEnd w:id="118"/>
    </w:p>
    <w:p w14:paraId="3872040E" w14:textId="1D311581"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Covers any written document produced for the technical implementation of the Project and includes, but it is not limited to </w:t>
      </w:r>
      <w:r w:rsidR="0041332B" w:rsidRPr="005948DE">
        <w:rPr>
          <w:rFonts w:ascii="Times New Roman" w:hAnsi="Times New Roman" w:cs="Times New Roman"/>
          <w:color w:val="000000" w:themeColor="text1"/>
        </w:rPr>
        <w:t>Design Documents (DDs)</w:t>
      </w:r>
      <w:r w:rsidRPr="005948DE">
        <w:rPr>
          <w:rFonts w:ascii="Times New Roman" w:hAnsi="Times New Roman" w:cs="Times New Roman"/>
          <w:color w:val="000000" w:themeColor="text1"/>
        </w:rPr>
        <w:t xml:space="preserve">, </w:t>
      </w:r>
      <w:r w:rsidR="00DA08FD" w:rsidRPr="005948DE">
        <w:rPr>
          <w:rFonts w:ascii="Times New Roman" w:hAnsi="Times New Roman" w:cs="Times New Roman"/>
          <w:color w:val="000000" w:themeColor="text1"/>
        </w:rPr>
        <w:t>FA</w:t>
      </w:r>
      <w:r w:rsidRPr="005948DE">
        <w:rPr>
          <w:rFonts w:ascii="Times New Roman" w:hAnsi="Times New Roman" w:cs="Times New Roman"/>
          <w:color w:val="000000" w:themeColor="text1"/>
        </w:rPr>
        <w:t xml:space="preserve">, property rights settings, if any, building permits, works, etc. This type of communication is shown as blue line in the </w:t>
      </w:r>
      <w:r w:rsidR="00C366FA" w:rsidRPr="005948DE">
        <w:rPr>
          <w:rFonts w:ascii="Times New Roman" w:hAnsi="Times New Roman" w:cs="Times New Roman"/>
          <w:color w:val="000000" w:themeColor="text1"/>
        </w:rPr>
        <w:t>figure</w:t>
      </w:r>
      <w:r w:rsidR="001F4367" w:rsidRPr="005948DE">
        <w:rPr>
          <w:rFonts w:ascii="Times New Roman" w:hAnsi="Times New Roman" w:cs="Times New Roman"/>
          <w:color w:val="000000" w:themeColor="text1"/>
        </w:rPr>
        <w:t xml:space="preserve"> above.</w:t>
      </w:r>
    </w:p>
    <w:p w14:paraId="0912705F"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19" w:name="_Toc93342229"/>
      <w:r w:rsidRPr="005948DE">
        <w:rPr>
          <w:rFonts w:ascii="Times New Roman" w:hAnsi="Times New Roman" w:cs="Times New Roman"/>
          <w:color w:val="auto"/>
        </w:rPr>
        <w:t>Communication for procurement issues</w:t>
      </w:r>
      <w:bookmarkEnd w:id="119"/>
    </w:p>
    <w:p w14:paraId="236D937A" w14:textId="0E584DD8"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This type of communication includes any written document produced for the purpose of procurement of works/services/goods, and includes, but it is not limited to TDs, procurement notice, evaluation report, procurement strategy, procurement plans, etc. This type of communication is shown as green line</w:t>
      </w:r>
      <w:r w:rsidR="001F4367" w:rsidRPr="005948DE">
        <w:rPr>
          <w:rFonts w:ascii="Times New Roman" w:hAnsi="Times New Roman" w:cs="Times New Roman"/>
          <w:color w:val="000000" w:themeColor="text1"/>
        </w:rPr>
        <w:t xml:space="preserve"> in </w:t>
      </w:r>
      <w:r w:rsidR="00047F96">
        <w:rPr>
          <w:rFonts w:ascii="Times New Roman" w:hAnsi="Times New Roman" w:cs="Times New Roman"/>
          <w:color w:val="000000" w:themeColor="text1"/>
        </w:rPr>
        <w:t>the F</w:t>
      </w:r>
      <w:r w:rsidR="00047F96" w:rsidRPr="005948DE">
        <w:rPr>
          <w:rFonts w:ascii="Times New Roman" w:hAnsi="Times New Roman" w:cs="Times New Roman"/>
          <w:color w:val="000000" w:themeColor="text1"/>
        </w:rPr>
        <w:t xml:space="preserve">igure </w:t>
      </w:r>
      <w:r w:rsidR="008B5703">
        <w:rPr>
          <w:rFonts w:ascii="Times New Roman" w:hAnsi="Times New Roman" w:cs="Times New Roman"/>
          <w:color w:val="000000" w:themeColor="text1"/>
          <w:highlight w:val="yellow"/>
        </w:rPr>
        <w:t>2</w:t>
      </w:r>
      <w:r w:rsidRPr="005948DE">
        <w:rPr>
          <w:rFonts w:ascii="Times New Roman" w:hAnsi="Times New Roman" w:cs="Times New Roman"/>
          <w:color w:val="000000" w:themeColor="text1"/>
        </w:rPr>
        <w:t>.</w:t>
      </w:r>
    </w:p>
    <w:p w14:paraId="3DBF742E"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20" w:name="_Toc93342230"/>
      <w:r w:rsidRPr="005948DE">
        <w:rPr>
          <w:rFonts w:ascii="Times New Roman" w:hAnsi="Times New Roman" w:cs="Times New Roman"/>
          <w:color w:val="auto"/>
        </w:rPr>
        <w:t>Communication for financial issues</w:t>
      </w:r>
      <w:bookmarkEnd w:id="120"/>
    </w:p>
    <w:p w14:paraId="74D8DFC6" w14:textId="781AA9C8"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Financial documents refer to invoices, disbursement request for the </w:t>
      </w:r>
      <w:r w:rsidR="009F4350">
        <w:rPr>
          <w:rFonts w:ascii="Times New Roman" w:hAnsi="Times New Roman" w:cs="Times New Roman"/>
          <w:color w:val="000000" w:themeColor="text1"/>
        </w:rPr>
        <w:t>L</w:t>
      </w:r>
      <w:r w:rsidRPr="005948DE">
        <w:rPr>
          <w:rFonts w:ascii="Times New Roman" w:hAnsi="Times New Roman" w:cs="Times New Roman"/>
          <w:color w:val="000000" w:themeColor="text1"/>
        </w:rPr>
        <w:t xml:space="preserve">oan tranches, payment requests and any other document arising from the financial transaction, as well as financial plans and reports, and approvals. This type of communication is shown as red line </w:t>
      </w:r>
      <w:r w:rsidR="001F4367" w:rsidRPr="005948DE">
        <w:rPr>
          <w:rFonts w:ascii="Times New Roman" w:hAnsi="Times New Roman" w:cs="Times New Roman"/>
          <w:color w:val="000000" w:themeColor="text1"/>
        </w:rPr>
        <w:t>i</w:t>
      </w:r>
      <w:r w:rsidRPr="005948DE">
        <w:rPr>
          <w:rFonts w:ascii="Times New Roman" w:hAnsi="Times New Roman" w:cs="Times New Roman"/>
          <w:color w:val="000000" w:themeColor="text1"/>
        </w:rPr>
        <w:t xml:space="preserve">n </w:t>
      </w:r>
      <w:r w:rsidR="00047F96">
        <w:rPr>
          <w:rFonts w:ascii="Times New Roman" w:hAnsi="Times New Roman" w:cs="Times New Roman"/>
          <w:color w:val="000000" w:themeColor="text1"/>
        </w:rPr>
        <w:t>the F</w:t>
      </w:r>
      <w:r w:rsidR="001F4367" w:rsidRPr="005948DE">
        <w:rPr>
          <w:rFonts w:ascii="Times New Roman" w:hAnsi="Times New Roman" w:cs="Times New Roman"/>
          <w:color w:val="000000" w:themeColor="text1"/>
        </w:rPr>
        <w:t xml:space="preserve">igure </w:t>
      </w:r>
      <w:r w:rsidR="00105074">
        <w:rPr>
          <w:rFonts w:ascii="Times New Roman" w:hAnsi="Times New Roman" w:cs="Times New Roman"/>
          <w:color w:val="000000" w:themeColor="text1"/>
        </w:rPr>
        <w:t>2</w:t>
      </w:r>
      <w:r w:rsidR="001F4367" w:rsidRPr="005948DE">
        <w:rPr>
          <w:rFonts w:ascii="Times New Roman" w:hAnsi="Times New Roman" w:cs="Times New Roman"/>
          <w:color w:val="000000" w:themeColor="text1"/>
        </w:rPr>
        <w:t>.</w:t>
      </w:r>
    </w:p>
    <w:p w14:paraId="3F0DB1AE"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21" w:name="_Toc93342231"/>
      <w:r w:rsidRPr="005948DE">
        <w:rPr>
          <w:rFonts w:ascii="Times New Roman" w:hAnsi="Times New Roman" w:cs="Times New Roman"/>
          <w:color w:val="auto"/>
        </w:rPr>
        <w:t>Communication for contractual issues</w:t>
      </w:r>
      <w:bookmarkEnd w:id="121"/>
    </w:p>
    <w:p w14:paraId="0B6638B4" w14:textId="2A86112D"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This type of communication covers contracts, contract amendments and progress reports. The parties involved in this type of communication are the Bank, </w:t>
      </w:r>
      <w:r w:rsidR="00047F9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AFD,</w:t>
      </w:r>
      <w:r w:rsidR="00047F96">
        <w:rPr>
          <w:rFonts w:ascii="Times New Roman" w:hAnsi="Times New Roman" w:cs="Times New Roman"/>
          <w:color w:val="000000" w:themeColor="text1"/>
        </w:rPr>
        <w:t xml:space="preserve"> the</w:t>
      </w:r>
      <w:r w:rsidRPr="005948DE">
        <w:rPr>
          <w:rFonts w:ascii="Times New Roman" w:hAnsi="Times New Roman" w:cs="Times New Roman"/>
          <w:color w:val="000000" w:themeColor="text1"/>
        </w:rPr>
        <w:t xml:space="preserve"> Steering </w:t>
      </w:r>
      <w:r w:rsidR="0041332B" w:rsidRPr="005948DE">
        <w:rPr>
          <w:rFonts w:ascii="Times New Roman" w:hAnsi="Times New Roman" w:cs="Times New Roman"/>
          <w:color w:val="000000" w:themeColor="text1"/>
        </w:rPr>
        <w:t>Committee</w:t>
      </w:r>
      <w:r w:rsidRPr="005948DE">
        <w:rPr>
          <w:rFonts w:ascii="Times New Roman" w:hAnsi="Times New Roman" w:cs="Times New Roman"/>
          <w:color w:val="000000" w:themeColor="text1"/>
        </w:rPr>
        <w:t xml:space="preserve">, </w:t>
      </w:r>
      <w:r w:rsidR="00047F9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PIU,</w:t>
      </w:r>
      <w:r w:rsidR="00047F96">
        <w:rPr>
          <w:rFonts w:ascii="Times New Roman" w:hAnsi="Times New Roman" w:cs="Times New Roman"/>
          <w:color w:val="000000" w:themeColor="text1"/>
        </w:rPr>
        <w:t xml:space="preserve"> the</w:t>
      </w:r>
      <w:r w:rsidRPr="005948DE">
        <w:rPr>
          <w:rFonts w:ascii="Times New Roman" w:hAnsi="Times New Roman" w:cs="Times New Roman"/>
          <w:color w:val="000000" w:themeColor="text1"/>
        </w:rPr>
        <w:t xml:space="preserve"> CFU, contractors/suppliers/consultants (designer, reviewer) and Supervision Engineer</w:t>
      </w:r>
      <w:r w:rsidR="00695A3D" w:rsidRPr="005948DE">
        <w:rPr>
          <w:rFonts w:ascii="Times New Roman" w:hAnsi="Times New Roman" w:cs="Times New Roman"/>
          <w:color w:val="000000" w:themeColor="text1"/>
        </w:rPr>
        <w:t>.</w:t>
      </w:r>
    </w:p>
    <w:p w14:paraId="18F8A98B" w14:textId="77777777" w:rsidR="009638AE" w:rsidRPr="005948DE" w:rsidRDefault="009638AE"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122" w:name="_Toc93342232"/>
      <w:r w:rsidRPr="005948DE">
        <w:rPr>
          <w:rFonts w:ascii="Times New Roman" w:hAnsi="Times New Roman" w:cs="Times New Roman"/>
          <w:smallCaps w:val="0"/>
          <w:color w:val="auto"/>
          <w:sz w:val="24"/>
        </w:rPr>
        <w:t>Meetings</w:t>
      </w:r>
      <w:bookmarkEnd w:id="122"/>
    </w:p>
    <w:p w14:paraId="168CF49E"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23" w:name="_Toc93342233"/>
      <w:r w:rsidRPr="005948DE">
        <w:rPr>
          <w:rFonts w:ascii="Times New Roman" w:hAnsi="Times New Roman" w:cs="Times New Roman"/>
          <w:color w:val="auto"/>
        </w:rPr>
        <w:t>Regular meetings</w:t>
      </w:r>
      <w:bookmarkEnd w:id="123"/>
    </w:p>
    <w:p w14:paraId="389110F0" w14:textId="31F04BCD"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Monthly</w:t>
      </w:r>
      <w:r w:rsidR="0019508D" w:rsidRPr="005948DE">
        <w:rPr>
          <w:rFonts w:ascii="Times New Roman" w:hAnsi="Times New Roman" w:cs="Times New Roman"/>
          <w:color w:val="000000" w:themeColor="text1"/>
        </w:rPr>
        <w:t xml:space="preserve"> Progress</w:t>
      </w:r>
      <w:r w:rsidRPr="005948DE">
        <w:rPr>
          <w:rFonts w:ascii="Times New Roman" w:hAnsi="Times New Roman" w:cs="Times New Roman"/>
          <w:color w:val="000000" w:themeColor="text1"/>
        </w:rPr>
        <w:t xml:space="preserve"> Meetings </w:t>
      </w:r>
      <w:r w:rsidR="00047F96">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w:t>
      </w:r>
      <w:r w:rsidR="00047F9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PIU will organize regular Monthly </w:t>
      </w:r>
      <w:r w:rsidR="0019508D" w:rsidRPr="005948DE">
        <w:rPr>
          <w:rFonts w:ascii="Times New Roman" w:hAnsi="Times New Roman" w:cs="Times New Roman"/>
          <w:color w:val="000000" w:themeColor="text1"/>
        </w:rPr>
        <w:t xml:space="preserve">Progress </w:t>
      </w:r>
      <w:r w:rsidRPr="005948DE">
        <w:rPr>
          <w:rFonts w:ascii="Times New Roman" w:hAnsi="Times New Roman" w:cs="Times New Roman"/>
          <w:color w:val="000000" w:themeColor="text1"/>
        </w:rPr>
        <w:t xml:space="preserve">Meetings with </w:t>
      </w:r>
      <w:r w:rsidR="006A741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aim to identify the Project progress, discus open issues,</w:t>
      </w:r>
      <w:r w:rsidR="0019508D" w:rsidRPr="005948DE">
        <w:rPr>
          <w:rFonts w:ascii="Times New Roman" w:hAnsi="Times New Roman" w:cs="Times New Roman"/>
          <w:color w:val="000000" w:themeColor="text1"/>
        </w:rPr>
        <w:t xml:space="preserve"> bottlenecks,</w:t>
      </w:r>
      <w:r w:rsidRPr="005948DE">
        <w:rPr>
          <w:rFonts w:ascii="Times New Roman" w:hAnsi="Times New Roman" w:cs="Times New Roman"/>
          <w:color w:val="000000" w:themeColor="text1"/>
        </w:rPr>
        <w:t xml:space="preserve"> plan the activities, which are going to be taken as well as responsible party for it, etc. Minutes of Meeting</w:t>
      </w:r>
      <w:r w:rsidR="00047F96">
        <w:rPr>
          <w:rFonts w:ascii="Times New Roman" w:hAnsi="Times New Roman" w:cs="Times New Roman"/>
          <w:color w:val="000000" w:themeColor="text1"/>
        </w:rPr>
        <w:t xml:space="preserve"> (MoM)</w:t>
      </w:r>
      <w:r w:rsidRPr="005948DE">
        <w:rPr>
          <w:rFonts w:ascii="Times New Roman" w:hAnsi="Times New Roman" w:cs="Times New Roman"/>
          <w:color w:val="000000" w:themeColor="text1"/>
        </w:rPr>
        <w:t xml:space="preserve"> shall be regularly prepared and distributed to all participants, respectively </w:t>
      </w:r>
      <w:r w:rsidR="00047F9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CFU,</w:t>
      </w:r>
      <w:r w:rsidR="00047F96">
        <w:rPr>
          <w:rFonts w:ascii="Times New Roman" w:hAnsi="Times New Roman" w:cs="Times New Roman"/>
          <w:color w:val="000000" w:themeColor="text1"/>
        </w:rPr>
        <w:t xml:space="preserve"> the</w:t>
      </w:r>
      <w:r w:rsidRPr="005948DE">
        <w:rPr>
          <w:rFonts w:ascii="Times New Roman" w:hAnsi="Times New Roman" w:cs="Times New Roman"/>
          <w:color w:val="000000" w:themeColor="text1"/>
        </w:rPr>
        <w:t xml:space="preserve"> </w:t>
      </w:r>
      <w:r w:rsidR="0019508D" w:rsidRPr="005948DE">
        <w:rPr>
          <w:rFonts w:ascii="Times New Roman" w:hAnsi="Times New Roman" w:cs="Times New Roman"/>
          <w:color w:val="000000" w:themeColor="text1"/>
        </w:rPr>
        <w:t xml:space="preserve">LSGs, </w:t>
      </w:r>
      <w:r w:rsidRPr="005948DE">
        <w:rPr>
          <w:rFonts w:ascii="Times New Roman" w:hAnsi="Times New Roman" w:cs="Times New Roman"/>
          <w:color w:val="000000" w:themeColor="text1"/>
        </w:rPr>
        <w:t>Supervision Engineer within one week.</w:t>
      </w:r>
    </w:p>
    <w:p w14:paraId="3043A23A" w14:textId="6A98D1E9"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Regular meetings will be held with participation of the PIU, the Bank</w:t>
      </w:r>
      <w:r w:rsidR="00A3223C">
        <w:rPr>
          <w:rFonts w:ascii="Times New Roman" w:hAnsi="Times New Roman" w:cs="Times New Roman"/>
          <w:color w:val="000000" w:themeColor="text1"/>
        </w:rPr>
        <w:t>,</w:t>
      </w:r>
      <w:r w:rsidR="00047F96">
        <w:rPr>
          <w:rFonts w:ascii="Times New Roman" w:hAnsi="Times New Roman" w:cs="Times New Roman"/>
          <w:color w:val="000000" w:themeColor="text1"/>
        </w:rPr>
        <w:t xml:space="preserve"> the</w:t>
      </w:r>
      <w:r w:rsidR="00A3223C">
        <w:rPr>
          <w:rFonts w:ascii="Times New Roman" w:hAnsi="Times New Roman" w:cs="Times New Roman"/>
          <w:color w:val="000000" w:themeColor="text1"/>
        </w:rPr>
        <w:t xml:space="preserve"> </w:t>
      </w:r>
      <w:r w:rsidR="0023601C">
        <w:rPr>
          <w:rFonts w:ascii="Times New Roman" w:hAnsi="Times New Roman" w:cs="Times New Roman"/>
          <w:color w:val="000000" w:themeColor="text1"/>
        </w:rPr>
        <w:t>AFD</w:t>
      </w:r>
      <w:r w:rsidR="00A3223C">
        <w:rPr>
          <w:rFonts w:ascii="Times New Roman" w:hAnsi="Times New Roman" w:cs="Times New Roman"/>
          <w:color w:val="000000" w:themeColor="text1"/>
        </w:rPr>
        <w:t xml:space="preserve"> with participation of </w:t>
      </w:r>
      <w:r w:rsidR="00047F96">
        <w:rPr>
          <w:rFonts w:ascii="Times New Roman" w:hAnsi="Times New Roman" w:cs="Times New Roman"/>
          <w:color w:val="000000" w:themeColor="text1"/>
        </w:rPr>
        <w:t xml:space="preserve">the </w:t>
      </w:r>
      <w:r w:rsidR="00A3223C">
        <w:rPr>
          <w:rFonts w:ascii="Times New Roman" w:hAnsi="Times New Roman" w:cs="Times New Roman"/>
          <w:color w:val="000000" w:themeColor="text1"/>
        </w:rPr>
        <w:t xml:space="preserve">MCTI on a need basis, </w:t>
      </w:r>
      <w:r w:rsidRPr="005948DE">
        <w:rPr>
          <w:rFonts w:ascii="Times New Roman" w:hAnsi="Times New Roman" w:cs="Times New Roman"/>
          <w:color w:val="000000" w:themeColor="text1"/>
        </w:rPr>
        <w:t xml:space="preserve">to closely monitor the progress of </w:t>
      </w:r>
      <w:r w:rsidR="006A741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Project implementation.</w:t>
      </w:r>
    </w:p>
    <w:p w14:paraId="2DB35926"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24" w:name="_Toc93342234"/>
      <w:r w:rsidRPr="005948DE">
        <w:rPr>
          <w:rFonts w:ascii="Times New Roman" w:hAnsi="Times New Roman" w:cs="Times New Roman"/>
          <w:color w:val="auto"/>
        </w:rPr>
        <w:t>Ad-hoc meetings</w:t>
      </w:r>
      <w:bookmarkEnd w:id="124"/>
    </w:p>
    <w:p w14:paraId="546FC49F" w14:textId="03B9BAB4" w:rsidR="009638AE" w:rsidRPr="005948DE" w:rsidRDefault="009638AE"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During </w:t>
      </w:r>
      <w:r w:rsidR="006A741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Project implementation, there is possibility for other, ad-hoc meetings that will be held apart from above listed. In that case, it is recommended to the participants to prepare </w:t>
      </w:r>
      <w:r w:rsidR="00047F96">
        <w:rPr>
          <w:rFonts w:ascii="Times New Roman" w:hAnsi="Times New Roman" w:cs="Times New Roman"/>
          <w:color w:val="000000" w:themeColor="text1"/>
        </w:rPr>
        <w:t>MoM</w:t>
      </w:r>
      <w:r w:rsidRPr="005948DE">
        <w:rPr>
          <w:rFonts w:ascii="Times New Roman" w:hAnsi="Times New Roman" w:cs="Times New Roman"/>
          <w:color w:val="000000" w:themeColor="text1"/>
        </w:rPr>
        <w:t xml:space="preserve">, which will contain all important aspects of the relevant meeting, as well as to distribute MoM to the Head of </w:t>
      </w:r>
      <w:r w:rsidR="00047F96">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PIU and all other parties included in the Project on whose actions such conclusions could have impact.</w:t>
      </w:r>
    </w:p>
    <w:p w14:paraId="5ED6DBFB" w14:textId="77777777" w:rsidR="009638AE" w:rsidRPr="005948DE" w:rsidRDefault="009638AE"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125" w:name="_Toc93342235"/>
      <w:r w:rsidRPr="005948DE">
        <w:rPr>
          <w:rFonts w:ascii="Times New Roman" w:hAnsi="Times New Roman" w:cs="Times New Roman"/>
          <w:color w:val="auto"/>
        </w:rPr>
        <w:t>Steering Committee Sessions</w:t>
      </w:r>
      <w:bookmarkEnd w:id="125"/>
    </w:p>
    <w:p w14:paraId="73C20C50" w14:textId="2E0253C9" w:rsidR="009638AE" w:rsidRPr="005948DE" w:rsidRDefault="00047F96" w:rsidP="005948DE">
      <w:pPr>
        <w:spacing w:after="120" w:line="276"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The </w:t>
      </w:r>
      <w:r w:rsidR="009638AE" w:rsidRPr="005948DE">
        <w:rPr>
          <w:rFonts w:ascii="Times New Roman" w:hAnsi="Times New Roman" w:cs="Times New Roman"/>
          <w:color w:val="000000" w:themeColor="text1"/>
        </w:rPr>
        <w:t xml:space="preserve">Steering Committee will meet at least quarterly or </w:t>
      </w:r>
      <w:r>
        <w:rPr>
          <w:rFonts w:ascii="Times New Roman" w:hAnsi="Times New Roman" w:cs="Times New Roman"/>
          <w:color w:val="000000" w:themeColor="text1"/>
        </w:rPr>
        <w:t>more often</w:t>
      </w:r>
      <w:r w:rsidR="009638AE" w:rsidRPr="005948DE">
        <w:rPr>
          <w:rFonts w:ascii="Times New Roman" w:hAnsi="Times New Roman" w:cs="Times New Roman"/>
          <w:color w:val="000000" w:themeColor="text1"/>
        </w:rPr>
        <w:t xml:space="preserve">, if needed. The </w:t>
      </w:r>
      <w:r>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ession </w:t>
      </w:r>
      <w:r w:rsidR="009638AE" w:rsidRPr="005948DE">
        <w:rPr>
          <w:rFonts w:ascii="Times New Roman" w:hAnsi="Times New Roman" w:cs="Times New Roman"/>
          <w:color w:val="000000" w:themeColor="text1"/>
        </w:rPr>
        <w:t xml:space="preserve">will be organized by </w:t>
      </w:r>
      <w:r>
        <w:rPr>
          <w:rFonts w:ascii="Times New Roman" w:hAnsi="Times New Roman" w:cs="Times New Roman"/>
          <w:color w:val="000000" w:themeColor="text1"/>
        </w:rPr>
        <w:t xml:space="preserve">an </w:t>
      </w:r>
      <w:r w:rsidR="009638AE" w:rsidRPr="005948DE">
        <w:rPr>
          <w:rFonts w:ascii="Times New Roman" w:hAnsi="Times New Roman" w:cs="Times New Roman"/>
          <w:color w:val="000000" w:themeColor="text1"/>
        </w:rPr>
        <w:t xml:space="preserve">invitation of the Head of </w:t>
      </w:r>
      <w:r>
        <w:rPr>
          <w:rFonts w:ascii="Times New Roman" w:hAnsi="Times New Roman" w:cs="Times New Roman"/>
          <w:color w:val="000000" w:themeColor="text1"/>
        </w:rPr>
        <w:t xml:space="preserve">the </w:t>
      </w:r>
      <w:r w:rsidR="009638AE" w:rsidRPr="005948DE">
        <w:rPr>
          <w:rFonts w:ascii="Times New Roman" w:hAnsi="Times New Roman" w:cs="Times New Roman"/>
          <w:color w:val="000000" w:themeColor="text1"/>
        </w:rPr>
        <w:t>Steering Committee. Administrative support will be provided by the PIU. MoM from the sessions, as well as conclusions, decisions, etc. will be distributed to the relevant parties in the Project.</w:t>
      </w:r>
    </w:p>
    <w:p w14:paraId="5A888155" w14:textId="41D68FAB" w:rsidR="009638AE" w:rsidRPr="005948DE" w:rsidRDefault="009638AE" w:rsidP="005948DE">
      <w:pPr>
        <w:spacing w:after="120" w:line="276" w:lineRule="auto"/>
        <w:jc w:val="both"/>
        <w:rPr>
          <w:rFonts w:ascii="Times New Roman" w:hAnsi="Times New Roman" w:cs="Times New Roman"/>
          <w:color w:val="7030A0"/>
        </w:rPr>
      </w:pPr>
    </w:p>
    <w:p w14:paraId="5F525B47" w14:textId="7584898F" w:rsidR="009638AE" w:rsidRPr="005948DE" w:rsidRDefault="009638AE" w:rsidP="005948DE">
      <w:pPr>
        <w:spacing w:after="120" w:line="276" w:lineRule="auto"/>
        <w:jc w:val="both"/>
        <w:rPr>
          <w:rFonts w:ascii="Times New Roman" w:hAnsi="Times New Roman" w:cs="Times New Roman"/>
          <w:color w:val="7030A0"/>
        </w:rPr>
      </w:pPr>
    </w:p>
    <w:p w14:paraId="789E19D3" w14:textId="64519CA0" w:rsidR="009638AE" w:rsidRPr="005948DE" w:rsidRDefault="009638AE" w:rsidP="005948DE">
      <w:pPr>
        <w:spacing w:after="120" w:line="276" w:lineRule="auto"/>
        <w:jc w:val="both"/>
        <w:rPr>
          <w:rFonts w:ascii="Times New Roman" w:hAnsi="Times New Roman" w:cs="Times New Roman"/>
          <w:color w:val="7030A0"/>
        </w:rPr>
      </w:pPr>
    </w:p>
    <w:p w14:paraId="100487E2" w14:textId="1ED253CD" w:rsidR="00C55550" w:rsidRPr="005948DE" w:rsidRDefault="00C55550" w:rsidP="005948DE">
      <w:pPr>
        <w:spacing w:line="276" w:lineRule="auto"/>
        <w:jc w:val="both"/>
        <w:rPr>
          <w:rFonts w:ascii="Times New Roman" w:hAnsi="Times New Roman" w:cs="Times New Roman"/>
          <w:b/>
          <w:color w:val="FF0000"/>
        </w:rPr>
      </w:pPr>
      <w:bookmarkStart w:id="126" w:name="_Toc89024683"/>
      <w:bookmarkStart w:id="127" w:name="_Toc89024688"/>
      <w:bookmarkStart w:id="128" w:name="_Toc89024689"/>
      <w:bookmarkStart w:id="129" w:name="_Toc89024690"/>
      <w:bookmarkStart w:id="130" w:name="_Toc89024691"/>
      <w:bookmarkStart w:id="131" w:name="_Toc89024692"/>
      <w:bookmarkStart w:id="132" w:name="_Toc89024693"/>
      <w:bookmarkStart w:id="133" w:name="_Toc89024694"/>
      <w:bookmarkStart w:id="134" w:name="_Toc89024695"/>
      <w:bookmarkStart w:id="135" w:name="_Toc89024696"/>
      <w:bookmarkStart w:id="136" w:name="_Toc89024697"/>
      <w:bookmarkStart w:id="137" w:name="_Toc89024698"/>
      <w:bookmarkStart w:id="138" w:name="_Toc89024699"/>
      <w:bookmarkStart w:id="139" w:name="_Toc89024700"/>
      <w:bookmarkStart w:id="140" w:name="_Toc89024701"/>
      <w:bookmarkStart w:id="141" w:name="_Toc89024702"/>
      <w:bookmarkStart w:id="142" w:name="_Toc89024703"/>
      <w:bookmarkStart w:id="143" w:name="_Toc89024704"/>
      <w:bookmarkStart w:id="144" w:name="_Toc89024705"/>
      <w:bookmarkStart w:id="145" w:name="_Toc89024706"/>
      <w:bookmarkStart w:id="146" w:name="_Toc89024707"/>
      <w:bookmarkStart w:id="147" w:name="_Toc89024708"/>
      <w:bookmarkStart w:id="148" w:name="_Toc89024709"/>
      <w:bookmarkStart w:id="149" w:name="_Toc89024710"/>
      <w:bookmarkStart w:id="150" w:name="_Toc89024711"/>
      <w:bookmarkStart w:id="151" w:name="_Toc89024712"/>
      <w:bookmarkStart w:id="152" w:name="_Toc89024713"/>
      <w:bookmarkStart w:id="153" w:name="_Toc89024714"/>
      <w:bookmarkStart w:id="154" w:name="_Toc89024715"/>
      <w:bookmarkStart w:id="155" w:name="_Toc89024716"/>
      <w:bookmarkStart w:id="156" w:name="_Toc89024717"/>
      <w:bookmarkStart w:id="157" w:name="_Toc89024718"/>
      <w:bookmarkStart w:id="158" w:name="_Toc89024719"/>
      <w:bookmarkStart w:id="159" w:name="_Toc89024720"/>
      <w:bookmarkStart w:id="160" w:name="_Toc89024721"/>
      <w:bookmarkStart w:id="161" w:name="_Toc89024722"/>
      <w:bookmarkStart w:id="162" w:name="_Toc89024788"/>
      <w:bookmarkStart w:id="163" w:name="_Toc89024789"/>
      <w:bookmarkStart w:id="164" w:name="_Toc89024790"/>
      <w:bookmarkStart w:id="165" w:name="_Toc89024791"/>
      <w:bookmarkStart w:id="166" w:name="_Toc89024792"/>
      <w:bookmarkStart w:id="167" w:name="_Toc89024793"/>
      <w:bookmarkStart w:id="168" w:name="_Toc89024794"/>
      <w:bookmarkStart w:id="169" w:name="_Toc89024795"/>
      <w:bookmarkStart w:id="170" w:name="_Toc89024796"/>
      <w:bookmarkStart w:id="171" w:name="_Toc89024797"/>
      <w:bookmarkStart w:id="172" w:name="_Toc89024798"/>
      <w:bookmarkStart w:id="173" w:name="_Toc89024799"/>
      <w:bookmarkStart w:id="174" w:name="_Toc89024800"/>
      <w:bookmarkStart w:id="175" w:name="_Toc89024801"/>
      <w:bookmarkStart w:id="176" w:name="_Toc89024802"/>
      <w:bookmarkStart w:id="177" w:name="_Toc89024803"/>
      <w:bookmarkStart w:id="178" w:name="_Toc89024804"/>
      <w:bookmarkStart w:id="179" w:name="_Toc89024805"/>
      <w:bookmarkStart w:id="180" w:name="_Toc89024806"/>
      <w:bookmarkStart w:id="181" w:name="_Toc89024807"/>
      <w:bookmarkStart w:id="182" w:name="_Toc89024808"/>
      <w:bookmarkStart w:id="183" w:name="_Toc89024809"/>
      <w:bookmarkStart w:id="184" w:name="_Toc89024810"/>
      <w:bookmarkStart w:id="185" w:name="_Toc89024811"/>
      <w:bookmarkStart w:id="186" w:name="_Toc89024812"/>
      <w:bookmarkStart w:id="187" w:name="_Toc89024813"/>
      <w:bookmarkStart w:id="188" w:name="_Toc89024814"/>
      <w:bookmarkStart w:id="189" w:name="_Toc89024815"/>
      <w:bookmarkStart w:id="190" w:name="_Toc89024816"/>
      <w:bookmarkStart w:id="191" w:name="_Toc89024817"/>
      <w:bookmarkStart w:id="192" w:name="_Toc89024818"/>
      <w:bookmarkStart w:id="193" w:name="_Toc89024819"/>
      <w:bookmarkStart w:id="194" w:name="_Toc89024820"/>
      <w:bookmarkStart w:id="195" w:name="_Toc89024821"/>
      <w:bookmarkStart w:id="196" w:name="_Toc89024822"/>
      <w:bookmarkStart w:id="197" w:name="_Toc89024823"/>
      <w:bookmarkStart w:id="198" w:name="_Toc89024824"/>
      <w:bookmarkStart w:id="199" w:name="_Toc89024825"/>
      <w:bookmarkStart w:id="200" w:name="_Toc89024826"/>
      <w:bookmarkStart w:id="201" w:name="_Toc89024827"/>
      <w:bookmarkStart w:id="202" w:name="_Toc89024828"/>
      <w:bookmarkStart w:id="203" w:name="_Toc89024829"/>
      <w:bookmarkStart w:id="204" w:name="_Toc89024830"/>
      <w:bookmarkStart w:id="205" w:name="_Toc89024831"/>
      <w:bookmarkStart w:id="206" w:name="_Toc89024832"/>
      <w:bookmarkStart w:id="207" w:name="_Toc89024833"/>
      <w:bookmarkStart w:id="208" w:name="_Toc89024834"/>
      <w:bookmarkStart w:id="209" w:name="_Toc89024835"/>
      <w:bookmarkStart w:id="210" w:name="_Toc89024836"/>
      <w:bookmarkStart w:id="211" w:name="_Toc89024837"/>
      <w:bookmarkStart w:id="212" w:name="_Toc89024838"/>
      <w:bookmarkStart w:id="213" w:name="_Toc89024839"/>
      <w:bookmarkStart w:id="214" w:name="_Toc61565006"/>
      <w:bookmarkStart w:id="215" w:name="_Toc61610110"/>
      <w:bookmarkStart w:id="216" w:name="_Toc61565007"/>
      <w:bookmarkStart w:id="217" w:name="_Toc61610111"/>
      <w:bookmarkStart w:id="218" w:name="_Toc324499913"/>
      <w:bookmarkStart w:id="219" w:name="_Toc409617866"/>
      <w:bookmarkStart w:id="220" w:name="_Toc413926295"/>
      <w:bookmarkStart w:id="221" w:name="_Toc447615237"/>
      <w:bookmarkStart w:id="222" w:name="_Toc455741826"/>
      <w:bookmarkStart w:id="223" w:name="_Toc455742139"/>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rsidRPr="005948DE">
        <w:rPr>
          <w:rFonts w:ascii="Times New Roman" w:hAnsi="Times New Roman" w:cs="Times New Roman"/>
          <w:b/>
          <w:color w:val="FF0000"/>
        </w:rPr>
        <w:br w:type="page"/>
      </w:r>
    </w:p>
    <w:p w14:paraId="4AB26E5D" w14:textId="3F973148" w:rsidR="00467B86" w:rsidRPr="005948DE" w:rsidRDefault="00467B86" w:rsidP="005948DE">
      <w:pPr>
        <w:pStyle w:val="Bullet1"/>
        <w:numPr>
          <w:ilvl w:val="0"/>
          <w:numId w:val="0"/>
        </w:numPr>
        <w:spacing w:before="0" w:after="120" w:line="276" w:lineRule="auto"/>
        <w:rPr>
          <w:rFonts w:ascii="Times New Roman" w:hAnsi="Times New Roman" w:cs="Times New Roman"/>
          <w:color w:val="FF0000"/>
          <w:highlight w:val="lightGray"/>
        </w:rPr>
        <w:sectPr w:rsidR="00467B86" w:rsidRPr="005948DE" w:rsidSect="00C55550">
          <w:headerReference w:type="default" r:id="rId19"/>
          <w:footerReference w:type="default" r:id="rId20"/>
          <w:type w:val="continuous"/>
          <w:pgSz w:w="11905" w:h="16837" w:code="9"/>
          <w:pgMar w:top="1134" w:right="1134" w:bottom="1134" w:left="1418" w:header="510" w:footer="340" w:gutter="0"/>
          <w:cols w:space="720"/>
          <w:titlePg/>
          <w:docGrid w:linePitch="360"/>
        </w:sectPr>
      </w:pPr>
    </w:p>
    <w:p w14:paraId="70E8913E" w14:textId="67062F50" w:rsidR="00DA4888" w:rsidRPr="005948DE" w:rsidRDefault="002D288F" w:rsidP="005948DE">
      <w:pPr>
        <w:pStyle w:val="Heading1"/>
        <w:numPr>
          <w:ilvl w:val="0"/>
          <w:numId w:val="330"/>
        </w:numPr>
        <w:pBdr>
          <w:bottom w:val="none" w:sz="0" w:space="0" w:color="auto"/>
        </w:pBdr>
        <w:spacing w:line="276" w:lineRule="auto"/>
        <w:ind w:left="431" w:hanging="431"/>
        <w:jc w:val="both"/>
        <w:rPr>
          <w:rFonts w:ascii="Times New Roman" w:hAnsi="Times New Roman" w:cs="Times New Roman"/>
          <w:smallCaps w:val="0"/>
          <w:color w:val="auto"/>
          <w:sz w:val="30"/>
          <w:szCs w:val="30"/>
        </w:rPr>
      </w:pPr>
      <w:bookmarkStart w:id="224" w:name="_Toc324499914"/>
      <w:bookmarkStart w:id="225" w:name="_Toc409617867"/>
      <w:bookmarkStart w:id="226" w:name="_Toc413926296"/>
      <w:bookmarkStart w:id="227" w:name="_Toc447615238"/>
      <w:bookmarkStart w:id="228" w:name="_Toc455741827"/>
      <w:bookmarkStart w:id="229" w:name="_Toc455742140"/>
      <w:bookmarkStart w:id="230" w:name="_Toc93342236"/>
      <w:bookmarkEnd w:id="218"/>
      <w:bookmarkEnd w:id="219"/>
      <w:bookmarkEnd w:id="220"/>
      <w:bookmarkEnd w:id="221"/>
      <w:bookmarkEnd w:id="222"/>
      <w:bookmarkEnd w:id="223"/>
      <w:r w:rsidRPr="005948DE">
        <w:rPr>
          <w:rFonts w:ascii="Times New Roman" w:hAnsi="Times New Roman" w:cs="Times New Roman"/>
          <w:smallCaps w:val="0"/>
          <w:color w:val="auto"/>
          <w:sz w:val="30"/>
          <w:szCs w:val="30"/>
        </w:rPr>
        <w:t xml:space="preserve">PROJECT PROCEDURES AND </w:t>
      </w:r>
      <w:r w:rsidR="00BA7836" w:rsidRPr="005948DE">
        <w:rPr>
          <w:rFonts w:ascii="Times New Roman" w:hAnsi="Times New Roman" w:cs="Times New Roman"/>
          <w:smallCaps w:val="0"/>
          <w:color w:val="auto"/>
          <w:sz w:val="30"/>
          <w:szCs w:val="30"/>
        </w:rPr>
        <w:t>INFRASTRUCTURE INVESTMENTS</w:t>
      </w:r>
      <w:r w:rsidRPr="005948DE">
        <w:rPr>
          <w:rFonts w:ascii="Times New Roman" w:hAnsi="Times New Roman" w:cs="Times New Roman"/>
          <w:smallCaps w:val="0"/>
          <w:color w:val="auto"/>
          <w:sz w:val="30"/>
          <w:szCs w:val="30"/>
        </w:rPr>
        <w:t xml:space="preserve"> CYCLE</w:t>
      </w:r>
      <w:bookmarkEnd w:id="224"/>
      <w:bookmarkEnd w:id="225"/>
      <w:bookmarkEnd w:id="226"/>
      <w:bookmarkEnd w:id="227"/>
      <w:bookmarkEnd w:id="228"/>
      <w:bookmarkEnd w:id="229"/>
      <w:bookmarkEnd w:id="230"/>
    </w:p>
    <w:p w14:paraId="5C9E867F" w14:textId="6993AF4F" w:rsidR="00AC33D6" w:rsidRPr="00172241" w:rsidRDefault="00AC33D6"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szCs w:val="24"/>
        </w:rPr>
      </w:pPr>
      <w:bookmarkStart w:id="231" w:name="_Toc90070634"/>
      <w:bookmarkStart w:id="232" w:name="_Toc90070784"/>
      <w:bookmarkStart w:id="233" w:name="_Toc90071467"/>
      <w:bookmarkStart w:id="234" w:name="_Toc90227298"/>
      <w:bookmarkStart w:id="235" w:name="_Toc90227442"/>
      <w:bookmarkStart w:id="236" w:name="_Toc324499915"/>
      <w:bookmarkStart w:id="237" w:name="_Toc409617868"/>
      <w:bookmarkStart w:id="238" w:name="_Toc413926297"/>
      <w:bookmarkStart w:id="239" w:name="_Toc447615239"/>
      <w:bookmarkStart w:id="240" w:name="_Toc455741828"/>
      <w:bookmarkStart w:id="241" w:name="_Toc455742141"/>
      <w:bookmarkEnd w:id="231"/>
      <w:bookmarkEnd w:id="232"/>
      <w:bookmarkEnd w:id="233"/>
      <w:bookmarkEnd w:id="234"/>
      <w:bookmarkEnd w:id="235"/>
      <w:r w:rsidRPr="0005515F">
        <w:rPr>
          <w:rFonts w:ascii="Times New Roman" w:hAnsi="Times New Roman" w:cs="Times New Roman"/>
          <w:smallCaps w:val="0"/>
          <w:color w:val="auto"/>
          <w:sz w:val="24"/>
          <w:szCs w:val="24"/>
        </w:rPr>
        <w:t xml:space="preserve"> </w:t>
      </w:r>
      <w:bookmarkStart w:id="242" w:name="_Toc93342237"/>
      <w:r w:rsidR="002D288F" w:rsidRPr="006E30EF">
        <w:rPr>
          <w:rFonts w:ascii="Times New Roman" w:hAnsi="Times New Roman" w:cs="Times New Roman"/>
          <w:smallCaps w:val="0"/>
          <w:color w:val="auto"/>
          <w:sz w:val="24"/>
          <w:szCs w:val="24"/>
        </w:rPr>
        <w:t>C</w:t>
      </w:r>
      <w:r w:rsidRPr="00172241">
        <w:rPr>
          <w:rFonts w:ascii="Times New Roman" w:hAnsi="Times New Roman" w:cs="Times New Roman"/>
          <w:smallCaps w:val="0"/>
          <w:color w:val="auto"/>
          <w:sz w:val="24"/>
          <w:szCs w:val="24"/>
        </w:rPr>
        <w:t xml:space="preserve">onditions precedent </w:t>
      </w:r>
      <w:r w:rsidR="002D288F" w:rsidRPr="00172241">
        <w:rPr>
          <w:rFonts w:ascii="Times New Roman" w:hAnsi="Times New Roman" w:cs="Times New Roman"/>
          <w:smallCaps w:val="0"/>
          <w:color w:val="auto"/>
          <w:sz w:val="24"/>
          <w:szCs w:val="24"/>
        </w:rPr>
        <w:t xml:space="preserve">to </w:t>
      </w:r>
      <w:r w:rsidR="006A7416" w:rsidRPr="00172241">
        <w:rPr>
          <w:rFonts w:ascii="Times New Roman" w:hAnsi="Times New Roman" w:cs="Times New Roman"/>
          <w:smallCaps w:val="0"/>
          <w:color w:val="auto"/>
          <w:sz w:val="24"/>
          <w:szCs w:val="24"/>
        </w:rPr>
        <w:t xml:space="preserve">the </w:t>
      </w:r>
      <w:r w:rsidR="002D288F" w:rsidRPr="00172241">
        <w:rPr>
          <w:rFonts w:ascii="Times New Roman" w:hAnsi="Times New Roman" w:cs="Times New Roman"/>
          <w:smallCaps w:val="0"/>
          <w:color w:val="auto"/>
          <w:sz w:val="24"/>
          <w:szCs w:val="24"/>
        </w:rPr>
        <w:t xml:space="preserve">Project </w:t>
      </w:r>
      <w:r w:rsidR="002E0505" w:rsidRPr="00172241">
        <w:rPr>
          <w:rFonts w:ascii="Times New Roman" w:hAnsi="Times New Roman" w:cs="Times New Roman"/>
          <w:smallCaps w:val="0"/>
          <w:color w:val="auto"/>
          <w:sz w:val="24"/>
          <w:szCs w:val="24"/>
        </w:rPr>
        <w:t>effectiveness</w:t>
      </w:r>
      <w:bookmarkEnd w:id="242"/>
    </w:p>
    <w:p w14:paraId="7BCBC290" w14:textId="2A551BF7" w:rsidR="00AC33D6" w:rsidRPr="005948DE" w:rsidRDefault="00047F96" w:rsidP="005948DE">
      <w:pPr>
        <w:spacing w:after="120" w:line="276"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The </w:t>
      </w:r>
      <w:r w:rsidR="0036760F" w:rsidRPr="005948DE">
        <w:rPr>
          <w:rFonts w:ascii="Times New Roman" w:hAnsi="Times New Roman" w:cs="Times New Roman"/>
          <w:color w:val="000000" w:themeColor="text1"/>
        </w:rPr>
        <w:t>MoF,</w:t>
      </w:r>
      <w:r>
        <w:rPr>
          <w:rFonts w:ascii="Times New Roman" w:hAnsi="Times New Roman" w:cs="Times New Roman"/>
          <w:color w:val="000000" w:themeColor="text1"/>
        </w:rPr>
        <w:t xml:space="preserve"> the</w:t>
      </w:r>
      <w:r w:rsidR="0036760F" w:rsidRPr="005948DE">
        <w:rPr>
          <w:rFonts w:ascii="Times New Roman" w:hAnsi="Times New Roman" w:cs="Times New Roman"/>
          <w:color w:val="000000" w:themeColor="text1"/>
        </w:rPr>
        <w:t xml:space="preserve"> MCTI,</w:t>
      </w:r>
      <w:r>
        <w:rPr>
          <w:rFonts w:ascii="Times New Roman" w:hAnsi="Times New Roman" w:cs="Times New Roman"/>
          <w:color w:val="000000" w:themeColor="text1"/>
        </w:rPr>
        <w:t xml:space="preserve"> the</w:t>
      </w:r>
      <w:r w:rsidR="0036760F" w:rsidRPr="005948DE">
        <w:rPr>
          <w:rFonts w:ascii="Times New Roman" w:hAnsi="Times New Roman" w:cs="Times New Roman"/>
          <w:color w:val="000000" w:themeColor="text1"/>
        </w:rPr>
        <w:t xml:space="preserve"> PIU and</w:t>
      </w:r>
      <w:r>
        <w:rPr>
          <w:rFonts w:ascii="Times New Roman" w:hAnsi="Times New Roman" w:cs="Times New Roman"/>
          <w:color w:val="000000" w:themeColor="text1"/>
        </w:rPr>
        <w:t xml:space="preserve"> the</w:t>
      </w:r>
      <w:r w:rsidR="0036760F" w:rsidRPr="005948DE">
        <w:rPr>
          <w:rFonts w:ascii="Times New Roman" w:hAnsi="Times New Roman" w:cs="Times New Roman"/>
          <w:color w:val="000000" w:themeColor="text1"/>
        </w:rPr>
        <w:t xml:space="preserve"> CFU will actively collaborate in the onset to </w:t>
      </w:r>
      <w:r w:rsidR="00C46D99" w:rsidRPr="005948DE">
        <w:rPr>
          <w:rFonts w:ascii="Times New Roman" w:hAnsi="Times New Roman" w:cs="Times New Roman"/>
          <w:color w:val="000000" w:themeColor="text1"/>
        </w:rPr>
        <w:t>achieve</w:t>
      </w:r>
      <w:r w:rsidR="0036760F" w:rsidRPr="005948DE">
        <w:rPr>
          <w:rFonts w:ascii="Times New Roman" w:hAnsi="Times New Roman" w:cs="Times New Roman"/>
          <w:color w:val="000000" w:themeColor="text1"/>
        </w:rPr>
        <w:t xml:space="preserve"> the </w:t>
      </w:r>
      <w:r w:rsidR="00C46D99" w:rsidRPr="005948DE">
        <w:rPr>
          <w:rFonts w:ascii="Times New Roman" w:hAnsi="Times New Roman" w:cs="Times New Roman"/>
          <w:color w:val="000000" w:themeColor="text1"/>
        </w:rPr>
        <w:t>effectiveness</w:t>
      </w:r>
      <w:r w:rsidR="0036760F" w:rsidRPr="005948DE">
        <w:rPr>
          <w:rFonts w:ascii="Times New Roman" w:hAnsi="Times New Roman" w:cs="Times New Roman"/>
          <w:color w:val="000000" w:themeColor="text1"/>
        </w:rPr>
        <w:t xml:space="preserve"> of the Project and satisfy any condition set forth in the LA</w:t>
      </w:r>
      <w:r w:rsidR="002E0505" w:rsidRPr="005948DE">
        <w:rPr>
          <w:rFonts w:ascii="Times New Roman" w:hAnsi="Times New Roman" w:cs="Times New Roman"/>
          <w:color w:val="000000" w:themeColor="text1"/>
        </w:rPr>
        <w:t xml:space="preserve"> and CFA</w:t>
      </w:r>
      <w:r w:rsidR="0036760F" w:rsidRPr="005948DE">
        <w:rPr>
          <w:rFonts w:ascii="Times New Roman" w:hAnsi="Times New Roman" w:cs="Times New Roman"/>
          <w:color w:val="000000" w:themeColor="text1"/>
        </w:rPr>
        <w:t xml:space="preserve"> prior to first disbursement under the </w:t>
      </w:r>
      <w:r w:rsidR="006A7416">
        <w:rPr>
          <w:rFonts w:ascii="Times New Roman" w:hAnsi="Times New Roman" w:cs="Times New Roman"/>
          <w:color w:val="000000" w:themeColor="text1"/>
        </w:rPr>
        <w:t>L</w:t>
      </w:r>
      <w:r w:rsidR="0036760F" w:rsidRPr="005948DE">
        <w:rPr>
          <w:rFonts w:ascii="Times New Roman" w:hAnsi="Times New Roman" w:cs="Times New Roman"/>
          <w:color w:val="000000" w:themeColor="text1"/>
        </w:rPr>
        <w:t>oa</w:t>
      </w:r>
      <w:r w:rsidR="00C46D99" w:rsidRPr="005948DE">
        <w:rPr>
          <w:rFonts w:ascii="Times New Roman" w:hAnsi="Times New Roman" w:cs="Times New Roman"/>
          <w:color w:val="000000" w:themeColor="text1"/>
        </w:rPr>
        <w:t>n</w:t>
      </w:r>
      <w:r w:rsidR="002D288F" w:rsidRPr="005948DE">
        <w:rPr>
          <w:rFonts w:ascii="Times New Roman" w:hAnsi="Times New Roman" w:cs="Times New Roman"/>
          <w:color w:val="000000" w:themeColor="text1"/>
        </w:rPr>
        <w:t>.</w:t>
      </w:r>
      <w:r w:rsidR="0036760F" w:rsidRPr="005948DE">
        <w:rPr>
          <w:rFonts w:ascii="Times New Roman" w:hAnsi="Times New Roman" w:cs="Times New Roman"/>
          <w:color w:val="000000" w:themeColor="text1"/>
        </w:rPr>
        <w:t xml:space="preserve"> </w:t>
      </w:r>
    </w:p>
    <w:p w14:paraId="52F402FA" w14:textId="77777777" w:rsidR="00AC33D6" w:rsidRPr="005948DE" w:rsidRDefault="00AC33D6"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Activities to be implemented within this Phase are as follow:</w:t>
      </w:r>
    </w:p>
    <w:p w14:paraId="4E52FA7F" w14:textId="1E1E9352" w:rsidR="00F4282F" w:rsidRPr="005948DE" w:rsidRDefault="00047F9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Sign</w:t>
      </w:r>
      <w:r>
        <w:rPr>
          <w:rFonts w:ascii="Times New Roman" w:hAnsi="Times New Roman" w:cs="Times New Roman"/>
          <w:color w:val="000000" w:themeColor="text1"/>
        </w:rPr>
        <w:t>ing</w:t>
      </w:r>
      <w:r w:rsidRPr="005948DE">
        <w:rPr>
          <w:rFonts w:ascii="Times New Roman" w:hAnsi="Times New Roman" w:cs="Times New Roman"/>
          <w:color w:val="000000" w:themeColor="text1"/>
        </w:rPr>
        <w:t xml:space="preserve"> </w:t>
      </w:r>
      <w:r w:rsidR="00F4282F" w:rsidRPr="005948DE">
        <w:rPr>
          <w:rFonts w:ascii="Times New Roman" w:hAnsi="Times New Roman" w:cs="Times New Roman"/>
          <w:color w:val="000000" w:themeColor="text1"/>
        </w:rPr>
        <w:t>of the IBRD Loan Agreement</w:t>
      </w:r>
      <w:r w:rsidR="0060294B" w:rsidRPr="005948DE">
        <w:rPr>
          <w:rFonts w:ascii="Times New Roman" w:hAnsi="Times New Roman" w:cs="Times New Roman"/>
          <w:color w:val="000000" w:themeColor="text1"/>
        </w:rPr>
        <w:t xml:space="preserve"> (LA)</w:t>
      </w:r>
      <w:r w:rsidR="00F4282F" w:rsidRPr="005948DE">
        <w:rPr>
          <w:rFonts w:ascii="Times New Roman" w:hAnsi="Times New Roman" w:cs="Times New Roman"/>
          <w:color w:val="000000" w:themeColor="text1"/>
        </w:rPr>
        <w:t>.</w:t>
      </w:r>
    </w:p>
    <w:p w14:paraId="2EDDAC1A" w14:textId="16067A4C" w:rsidR="00F4282F" w:rsidRPr="005948DE" w:rsidRDefault="00047F9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Sign</w:t>
      </w:r>
      <w:r>
        <w:rPr>
          <w:rFonts w:ascii="Times New Roman" w:hAnsi="Times New Roman" w:cs="Times New Roman"/>
          <w:color w:val="000000" w:themeColor="text1"/>
        </w:rPr>
        <w:t>ing</w:t>
      </w:r>
      <w:r w:rsidRPr="005948DE">
        <w:rPr>
          <w:rFonts w:ascii="Times New Roman" w:hAnsi="Times New Roman" w:cs="Times New Roman"/>
          <w:color w:val="000000" w:themeColor="text1"/>
        </w:rPr>
        <w:t xml:space="preserve"> </w:t>
      </w:r>
      <w:r w:rsidR="00F4282F" w:rsidRPr="005948DE">
        <w:rPr>
          <w:rFonts w:ascii="Times New Roman" w:hAnsi="Times New Roman" w:cs="Times New Roman"/>
          <w:color w:val="000000" w:themeColor="text1"/>
        </w:rPr>
        <w:t xml:space="preserve">of </w:t>
      </w:r>
      <w:r w:rsidR="006A7416">
        <w:rPr>
          <w:rFonts w:ascii="Times New Roman" w:hAnsi="Times New Roman" w:cs="Times New Roman"/>
          <w:color w:val="000000" w:themeColor="text1"/>
        </w:rPr>
        <w:t xml:space="preserve">the </w:t>
      </w:r>
      <w:r w:rsidR="00F4282F" w:rsidRPr="005948DE">
        <w:rPr>
          <w:rFonts w:ascii="Times New Roman" w:hAnsi="Times New Roman" w:cs="Times New Roman"/>
          <w:color w:val="000000" w:themeColor="text1"/>
        </w:rPr>
        <w:t xml:space="preserve">CFA with </w:t>
      </w:r>
      <w:r>
        <w:rPr>
          <w:rFonts w:ascii="Times New Roman" w:hAnsi="Times New Roman" w:cs="Times New Roman"/>
          <w:color w:val="000000" w:themeColor="text1"/>
        </w:rPr>
        <w:t xml:space="preserve">the </w:t>
      </w:r>
      <w:r w:rsidR="00F4282F" w:rsidRPr="005948DE">
        <w:rPr>
          <w:rFonts w:ascii="Times New Roman" w:hAnsi="Times New Roman" w:cs="Times New Roman"/>
          <w:color w:val="000000" w:themeColor="text1"/>
        </w:rPr>
        <w:t>AFD</w:t>
      </w:r>
      <w:r w:rsidR="0060294B" w:rsidRPr="005948DE">
        <w:rPr>
          <w:rFonts w:ascii="Times New Roman" w:hAnsi="Times New Roman" w:cs="Times New Roman"/>
          <w:color w:val="000000" w:themeColor="text1"/>
        </w:rPr>
        <w:t>.</w:t>
      </w:r>
    </w:p>
    <w:p w14:paraId="7623039D" w14:textId="15DADBA5"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Effectiveness of the Project</w:t>
      </w:r>
      <w:r w:rsidR="0060294B"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Pursuant to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LA and the CFA conditions precedent to the effectiveness are as follow:</w:t>
      </w:r>
    </w:p>
    <w:p w14:paraId="384E9339" w14:textId="1CC84C70" w:rsidR="00AC33D6" w:rsidRPr="00665F55" w:rsidRDefault="00B844EA" w:rsidP="00B844EA">
      <w:pPr>
        <w:pStyle w:val="ListParagraph"/>
        <w:numPr>
          <w:ilvl w:val="0"/>
          <w:numId w:val="132"/>
        </w:numPr>
        <w:spacing w:after="120" w:line="276" w:lineRule="auto"/>
        <w:ind w:left="1134"/>
        <w:contextualSpacing w:val="0"/>
        <w:jc w:val="both"/>
        <w:rPr>
          <w:rFonts w:ascii="Times New Roman" w:hAnsi="Times New Roman" w:cs="Times New Roman"/>
          <w:color w:val="000000" w:themeColor="text1"/>
        </w:rPr>
      </w:pPr>
      <w:r>
        <w:rPr>
          <w:rFonts w:ascii="Times New Roman" w:hAnsi="Times New Roman" w:cs="Times New Roman"/>
          <w:color w:val="000000" w:themeColor="text1"/>
        </w:rPr>
        <w:t xml:space="preserve">The </w:t>
      </w:r>
      <w:r w:rsidR="00AC33D6" w:rsidRPr="005948DE">
        <w:rPr>
          <w:rFonts w:ascii="Times New Roman" w:hAnsi="Times New Roman" w:cs="Times New Roman"/>
          <w:color w:val="000000" w:themeColor="text1"/>
        </w:rPr>
        <w:t xml:space="preserve">CFA has been duly signed by both parties, i.e. </w:t>
      </w:r>
      <w:r w:rsidR="00047F96">
        <w:rPr>
          <w:rFonts w:ascii="Times New Roman" w:hAnsi="Times New Roman" w:cs="Times New Roman"/>
          <w:color w:val="000000" w:themeColor="text1"/>
        </w:rPr>
        <w:t xml:space="preserve">the </w:t>
      </w:r>
      <w:r w:rsidR="00AC33D6" w:rsidRPr="005948DE">
        <w:rPr>
          <w:rFonts w:ascii="Times New Roman" w:hAnsi="Times New Roman" w:cs="Times New Roman"/>
          <w:color w:val="000000" w:themeColor="text1"/>
        </w:rPr>
        <w:t xml:space="preserve">AFD and </w:t>
      </w:r>
      <w:r w:rsidR="00047F96">
        <w:rPr>
          <w:rFonts w:ascii="Times New Roman" w:hAnsi="Times New Roman" w:cs="Times New Roman"/>
          <w:color w:val="000000" w:themeColor="text1"/>
        </w:rPr>
        <w:t xml:space="preserve">the </w:t>
      </w:r>
      <w:r w:rsidR="0036760F" w:rsidRPr="00665F55">
        <w:rPr>
          <w:rFonts w:ascii="Times New Roman" w:hAnsi="Times New Roman" w:cs="Times New Roman"/>
          <w:color w:val="000000" w:themeColor="text1"/>
        </w:rPr>
        <w:t>Republic of Serbia</w:t>
      </w:r>
      <w:r w:rsidR="00AC33D6" w:rsidRPr="00665F55">
        <w:rPr>
          <w:rFonts w:ascii="Times New Roman" w:hAnsi="Times New Roman" w:cs="Times New Roman"/>
          <w:color w:val="000000" w:themeColor="text1"/>
        </w:rPr>
        <w:t>;</w:t>
      </w:r>
    </w:p>
    <w:p w14:paraId="3972CED8" w14:textId="4B2923ED" w:rsidR="00AC33D6" w:rsidRPr="005948DE" w:rsidRDefault="00AC33D6" w:rsidP="005948DE">
      <w:pPr>
        <w:pStyle w:val="ListParagraph"/>
        <w:numPr>
          <w:ilvl w:val="0"/>
          <w:numId w:val="132"/>
        </w:numPr>
        <w:spacing w:after="120" w:line="276" w:lineRule="auto"/>
        <w:ind w:left="1134"/>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Submission to the AFD </w:t>
      </w:r>
      <w:r w:rsidR="00B844EA">
        <w:rPr>
          <w:rFonts w:ascii="Times New Roman" w:hAnsi="Times New Roman" w:cs="Times New Roman"/>
          <w:color w:val="000000" w:themeColor="text1"/>
        </w:rPr>
        <w:t xml:space="preserve">of the </w:t>
      </w:r>
      <w:r w:rsidRPr="005948DE">
        <w:rPr>
          <w:rFonts w:ascii="Times New Roman" w:hAnsi="Times New Roman" w:cs="Times New Roman"/>
          <w:color w:val="000000" w:themeColor="text1"/>
        </w:rPr>
        <w:t xml:space="preserve">following documents: </w:t>
      </w:r>
    </w:p>
    <w:p w14:paraId="047605D8" w14:textId="2512C04C" w:rsidR="00AC33D6" w:rsidRPr="005948DE" w:rsidRDefault="00AC33D6" w:rsidP="005948DE">
      <w:pPr>
        <w:pStyle w:val="ListParagraph"/>
        <w:numPr>
          <w:ilvl w:val="0"/>
          <w:numId w:val="131"/>
        </w:numPr>
        <w:spacing w:after="120" w:line="276" w:lineRule="auto"/>
        <w:ind w:left="1276"/>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an original of the legal opinion from the </w:t>
      </w:r>
      <w:r w:rsidR="00B844EA" w:rsidRPr="005948DE">
        <w:rPr>
          <w:rFonts w:ascii="Times New Roman" w:hAnsi="Times New Roman" w:cs="Times New Roman"/>
          <w:color w:val="000000" w:themeColor="text1"/>
        </w:rPr>
        <w:t>Minist</w:t>
      </w:r>
      <w:r w:rsidR="00B844EA">
        <w:rPr>
          <w:rFonts w:ascii="Times New Roman" w:hAnsi="Times New Roman" w:cs="Times New Roman"/>
          <w:color w:val="000000" w:themeColor="text1"/>
        </w:rPr>
        <w:t>ry</w:t>
      </w:r>
      <w:r w:rsidR="00B844EA"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of Justice customary for this type of transaction in form and content satisfactory to the AFD with certified copies (each with an official translation into the language of the CFA) of all documents to which such legal opinion refers, demonstrating that the CFA is legally effective and enforceable and, in particular: (i) that the </w:t>
      </w:r>
      <w:r w:rsidR="00FA3B57" w:rsidRPr="005948DE">
        <w:rPr>
          <w:rFonts w:ascii="Times New Roman" w:hAnsi="Times New Roman" w:cs="Times New Roman"/>
          <w:color w:val="000000" w:themeColor="text1"/>
        </w:rPr>
        <w:t>Republic of Serbia</w:t>
      </w:r>
      <w:r w:rsidRPr="005948DE">
        <w:rPr>
          <w:rFonts w:ascii="Times New Roman" w:hAnsi="Times New Roman" w:cs="Times New Roman"/>
          <w:color w:val="000000" w:themeColor="text1"/>
        </w:rPr>
        <w:t xml:space="preserve"> has met all requirements under its constitutional law and other applicable legal provisions for the valid assumption of all its obligations under the CFA, (ii) that no official authorizations, consents, licenses, registrations and/or approvals of any governmental authority or agency (including the National Bank of Serbia</w:t>
      </w:r>
      <w:r w:rsidR="006A7416">
        <w:rPr>
          <w:rFonts w:ascii="Times New Roman" w:hAnsi="Times New Roman" w:cs="Times New Roman"/>
          <w:color w:val="000000" w:themeColor="text1"/>
        </w:rPr>
        <w:t>, hereinafter: NBS</w:t>
      </w:r>
      <w:r w:rsidRPr="005948DE">
        <w:rPr>
          <w:rFonts w:ascii="Times New Roman" w:hAnsi="Times New Roman" w:cs="Times New Roman"/>
          <w:color w:val="000000" w:themeColor="text1"/>
        </w:rPr>
        <w:t xml:space="preserve">) are required or advisable in connection with the execution and performance of the CFA by the </w:t>
      </w:r>
      <w:r w:rsidR="006A7416">
        <w:rPr>
          <w:rFonts w:ascii="Times New Roman" w:hAnsi="Times New Roman" w:cs="Times New Roman"/>
          <w:color w:val="000000" w:themeColor="text1"/>
        </w:rPr>
        <w:t>Republic of Serbia</w:t>
      </w:r>
      <w:r w:rsidR="006A7416"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(including without limitation that all amounts due by the </w:t>
      </w:r>
      <w:r w:rsidR="006A7416">
        <w:rPr>
          <w:rFonts w:ascii="Times New Roman" w:hAnsi="Times New Roman" w:cs="Times New Roman"/>
          <w:color w:val="000000" w:themeColor="text1"/>
        </w:rPr>
        <w:t>Republic of Serbia</w:t>
      </w:r>
      <w:r w:rsidRPr="005948DE">
        <w:rPr>
          <w:rFonts w:ascii="Times New Roman" w:hAnsi="Times New Roman" w:cs="Times New Roman"/>
          <w:color w:val="000000" w:themeColor="text1"/>
        </w:rPr>
        <w:t xml:space="preserve"> to the AFD under the CFA whether as principal or interest, late payment interest, Prepayment Indemnity, incidental costs and expenses or any other sum are freely convertible and transferable), (iii) that choice of French law to govern the CFA and the submission to arbitration are valid and binding, as well as that arbitration awards against the </w:t>
      </w:r>
      <w:r w:rsidR="006A7416">
        <w:rPr>
          <w:rFonts w:ascii="Times New Roman" w:hAnsi="Times New Roman" w:cs="Times New Roman"/>
          <w:color w:val="000000" w:themeColor="text1"/>
        </w:rPr>
        <w:t>Republic of Serbia</w:t>
      </w:r>
      <w:r w:rsidR="006A7416"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will be recognized and enforceable in the Republic of Serbia, and (iv) that neither the </w:t>
      </w:r>
      <w:r w:rsidR="006A7416">
        <w:rPr>
          <w:rFonts w:ascii="Times New Roman" w:hAnsi="Times New Roman" w:cs="Times New Roman"/>
          <w:color w:val="000000" w:themeColor="text1"/>
        </w:rPr>
        <w:t>Republic of Serbia</w:t>
      </w:r>
      <w:r w:rsidRPr="005948DE">
        <w:rPr>
          <w:rFonts w:ascii="Times New Roman" w:hAnsi="Times New Roman" w:cs="Times New Roman"/>
          <w:color w:val="000000" w:themeColor="text1"/>
        </w:rPr>
        <w:t xml:space="preserve"> nor any of its property has any right of immunity from arbitration, suit, execution or other legal process; </w:t>
      </w:r>
    </w:p>
    <w:p w14:paraId="3ECAECFC" w14:textId="4C88D31C" w:rsidR="00AC33D6" w:rsidRPr="005948DE" w:rsidRDefault="00AC33D6" w:rsidP="005948DE">
      <w:pPr>
        <w:pStyle w:val="ListParagraph"/>
        <w:numPr>
          <w:ilvl w:val="0"/>
          <w:numId w:val="131"/>
        </w:numPr>
        <w:spacing w:after="120" w:line="276" w:lineRule="auto"/>
        <w:ind w:left="1276"/>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Evidence of the enactment by the National Assembly</w:t>
      </w:r>
      <w:r w:rsidR="00B844EA">
        <w:rPr>
          <w:rFonts w:ascii="Times New Roman" w:hAnsi="Times New Roman" w:cs="Times New Roman"/>
          <w:color w:val="000000" w:themeColor="text1"/>
        </w:rPr>
        <w:t xml:space="preserve"> of the Republic of Serbia</w:t>
      </w:r>
      <w:r w:rsidRPr="005948DE">
        <w:rPr>
          <w:rFonts w:ascii="Times New Roman" w:hAnsi="Times New Roman" w:cs="Times New Roman"/>
          <w:color w:val="000000" w:themeColor="text1"/>
        </w:rPr>
        <w:t xml:space="preserve"> of the law ratifying the CFA (together with evidence of such law being promulgated by the President of the Republic of Serbia) and published in the Official Gazette of the Republic of Serbia; </w:t>
      </w:r>
    </w:p>
    <w:p w14:paraId="09F25E43" w14:textId="77777777" w:rsidR="00AC33D6" w:rsidRPr="005948DE" w:rsidRDefault="00AC33D6" w:rsidP="005948DE">
      <w:pPr>
        <w:pStyle w:val="ListParagraph"/>
        <w:numPr>
          <w:ilvl w:val="0"/>
          <w:numId w:val="131"/>
        </w:numPr>
        <w:spacing w:after="120" w:line="276" w:lineRule="auto"/>
        <w:ind w:left="1276"/>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Confirmation of the MoF that the CFA has been duly evidenced therewith; </w:t>
      </w:r>
    </w:p>
    <w:p w14:paraId="3216D43B" w14:textId="77777777" w:rsidR="00AC33D6" w:rsidRPr="005948DE" w:rsidRDefault="00AC33D6" w:rsidP="005948DE">
      <w:pPr>
        <w:pStyle w:val="ListParagraph"/>
        <w:numPr>
          <w:ilvl w:val="0"/>
          <w:numId w:val="131"/>
        </w:numPr>
        <w:spacing w:after="120" w:line="276" w:lineRule="auto"/>
        <w:ind w:left="1276"/>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Evidence of any filing or registration, deposit or publication requirements of the CFA and payment of any stamp duty, registration fees or similar duties in connection with the CFA, as applicable.</w:t>
      </w:r>
    </w:p>
    <w:p w14:paraId="529E6693" w14:textId="7F2D17EA"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Nomination of the Project Steering Committee – </w:t>
      </w:r>
      <w:r w:rsidR="00B844EA">
        <w:rPr>
          <w:rFonts w:ascii="Times New Roman" w:hAnsi="Times New Roman" w:cs="Times New Roman"/>
          <w:color w:val="000000" w:themeColor="text1"/>
        </w:rPr>
        <w:t xml:space="preserve">the </w:t>
      </w:r>
      <w:r w:rsidR="00C46D99" w:rsidRPr="005948DE">
        <w:rPr>
          <w:rFonts w:ascii="Times New Roman" w:hAnsi="Times New Roman" w:cs="Times New Roman"/>
          <w:color w:val="000000" w:themeColor="text1"/>
        </w:rPr>
        <w:t>MCTI</w:t>
      </w:r>
      <w:r w:rsidRPr="005948DE">
        <w:rPr>
          <w:rFonts w:ascii="Times New Roman" w:hAnsi="Times New Roman" w:cs="Times New Roman"/>
          <w:color w:val="000000" w:themeColor="text1"/>
        </w:rPr>
        <w:t xml:space="preserve"> establishe</w:t>
      </w:r>
      <w:r w:rsidR="00C46D99" w:rsidRPr="005948DE">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the Committee comprised of high-level policy decision makers;</w:t>
      </w:r>
    </w:p>
    <w:p w14:paraId="0FE1F788" w14:textId="1290F5F3"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Designated Accounts</w:t>
      </w:r>
      <w:r w:rsidR="006A7416">
        <w:rPr>
          <w:rFonts w:ascii="Times New Roman" w:hAnsi="Times New Roman" w:cs="Times New Roman"/>
          <w:color w:val="000000" w:themeColor="text1"/>
        </w:rPr>
        <w:t xml:space="preserve"> (D</w:t>
      </w:r>
      <w:r w:rsidR="00FC7E54">
        <w:rPr>
          <w:rFonts w:ascii="Times New Roman" w:hAnsi="Times New Roman" w:cs="Times New Roman"/>
          <w:color w:val="000000" w:themeColor="text1"/>
        </w:rPr>
        <w:t>A</w:t>
      </w:r>
      <w:r w:rsidR="006A7416">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 will ensure that </w:t>
      </w:r>
      <w:r w:rsidR="00D242BC" w:rsidRPr="005948DE">
        <w:rPr>
          <w:rFonts w:ascii="Times New Roman" w:hAnsi="Times New Roman" w:cs="Times New Roman"/>
          <w:color w:val="000000" w:themeColor="text1"/>
        </w:rPr>
        <w:t xml:space="preserve">two segregated </w:t>
      </w:r>
      <w:r w:rsidR="006A7416">
        <w:rPr>
          <w:rFonts w:ascii="Times New Roman" w:hAnsi="Times New Roman" w:cs="Times New Roman"/>
          <w:color w:val="000000" w:themeColor="text1"/>
        </w:rPr>
        <w:t>DAs</w:t>
      </w:r>
      <w:r w:rsidRPr="005948DE">
        <w:rPr>
          <w:rFonts w:ascii="Times New Roman" w:hAnsi="Times New Roman" w:cs="Times New Roman"/>
          <w:color w:val="000000" w:themeColor="text1"/>
        </w:rPr>
        <w:t xml:space="preserve"> </w:t>
      </w:r>
      <w:r w:rsidR="00D242BC" w:rsidRPr="005948DE">
        <w:rPr>
          <w:rFonts w:ascii="Times New Roman" w:hAnsi="Times New Roman" w:cs="Times New Roman"/>
          <w:color w:val="000000" w:themeColor="text1"/>
        </w:rPr>
        <w:t>are</w:t>
      </w:r>
      <w:r w:rsidRPr="005948DE">
        <w:rPr>
          <w:rFonts w:ascii="Times New Roman" w:hAnsi="Times New Roman" w:cs="Times New Roman"/>
          <w:color w:val="000000" w:themeColor="text1"/>
        </w:rPr>
        <w:t xml:space="preserve"> opened following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Project effectiveness</w:t>
      </w:r>
      <w:r w:rsidR="00D242BC" w:rsidRPr="005948DE">
        <w:rPr>
          <w:rFonts w:ascii="Times New Roman" w:hAnsi="Times New Roman" w:cs="Times New Roman"/>
          <w:color w:val="000000" w:themeColor="text1"/>
        </w:rPr>
        <w:t>:</w:t>
      </w:r>
    </w:p>
    <w:p w14:paraId="6AE1DC8B" w14:textId="03F6AE6D"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Authorized Signatories – the GoS will nominate authorized signatories for </w:t>
      </w:r>
      <w:r w:rsidR="006A7416">
        <w:rPr>
          <w:rFonts w:ascii="Times New Roman" w:hAnsi="Times New Roman" w:cs="Times New Roman"/>
          <w:color w:val="000000" w:themeColor="text1"/>
        </w:rPr>
        <w:t>L</w:t>
      </w:r>
      <w:r w:rsidRPr="005948DE">
        <w:rPr>
          <w:rFonts w:ascii="Times New Roman" w:hAnsi="Times New Roman" w:cs="Times New Roman"/>
          <w:color w:val="000000" w:themeColor="text1"/>
        </w:rPr>
        <w:t xml:space="preserve">oan disbursement and management of </w:t>
      </w:r>
      <w:r w:rsidR="0060294B" w:rsidRPr="005948DE">
        <w:rPr>
          <w:rFonts w:ascii="Times New Roman" w:hAnsi="Times New Roman" w:cs="Times New Roman"/>
          <w:color w:val="000000" w:themeColor="text1"/>
        </w:rPr>
        <w:t>two segregated</w:t>
      </w:r>
      <w:r w:rsidRPr="005948DE">
        <w:rPr>
          <w:rFonts w:ascii="Times New Roman" w:hAnsi="Times New Roman" w:cs="Times New Roman"/>
          <w:color w:val="000000" w:themeColor="text1"/>
        </w:rPr>
        <w:t xml:space="preserve"> </w:t>
      </w:r>
      <w:r w:rsidR="006A7416">
        <w:rPr>
          <w:rFonts w:ascii="Times New Roman" w:hAnsi="Times New Roman" w:cs="Times New Roman"/>
          <w:color w:val="000000" w:themeColor="text1"/>
        </w:rPr>
        <w:t>DAs</w:t>
      </w:r>
      <w:r w:rsidRPr="005948DE">
        <w:rPr>
          <w:rFonts w:ascii="Times New Roman" w:hAnsi="Times New Roman" w:cs="Times New Roman"/>
          <w:color w:val="000000" w:themeColor="text1"/>
        </w:rPr>
        <w:t xml:space="preserve"> before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Project effectiveness;</w:t>
      </w:r>
    </w:p>
    <w:p w14:paraId="75D6ACEA" w14:textId="1CC63246"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Record Account in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 –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 will open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Project record account in RSD following opening of </w:t>
      </w:r>
      <w:r w:rsidR="00842328" w:rsidRPr="005948DE">
        <w:rPr>
          <w:rFonts w:ascii="Times New Roman" w:hAnsi="Times New Roman" w:cs="Times New Roman"/>
          <w:color w:val="000000" w:themeColor="text1"/>
        </w:rPr>
        <w:t xml:space="preserve">two segregated </w:t>
      </w:r>
      <w:r w:rsidR="006A7416">
        <w:rPr>
          <w:rFonts w:ascii="Times New Roman" w:hAnsi="Times New Roman" w:cs="Times New Roman"/>
          <w:color w:val="000000" w:themeColor="text1"/>
        </w:rPr>
        <w:t>DAs</w:t>
      </w:r>
      <w:r w:rsidRPr="005948DE">
        <w:rPr>
          <w:rFonts w:ascii="Times New Roman" w:hAnsi="Times New Roman" w:cs="Times New Roman"/>
          <w:color w:val="000000" w:themeColor="text1"/>
        </w:rPr>
        <w:t>;</w:t>
      </w:r>
    </w:p>
    <w:p w14:paraId="47B486EA" w14:textId="3E4F1EAA"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Project registration –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MCTI will through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CFU register the Project at the Tax Authority</w:t>
      </w:r>
      <w:r w:rsidR="00B844EA">
        <w:rPr>
          <w:rFonts w:ascii="Times New Roman" w:hAnsi="Times New Roman" w:cs="Times New Roman"/>
          <w:color w:val="000000" w:themeColor="text1"/>
        </w:rPr>
        <w:t xml:space="preserve"> of the Republic of Serbia</w:t>
      </w:r>
      <w:r w:rsidR="0036760F" w:rsidRPr="005948DE">
        <w:rPr>
          <w:rFonts w:ascii="Times New Roman" w:hAnsi="Times New Roman" w:cs="Times New Roman"/>
          <w:color w:val="000000" w:themeColor="text1"/>
        </w:rPr>
        <w:t xml:space="preserve"> for the purpose of VAT exemption</w:t>
      </w:r>
      <w:r w:rsidRPr="005948DE">
        <w:rPr>
          <w:rFonts w:ascii="Times New Roman" w:hAnsi="Times New Roman" w:cs="Times New Roman"/>
          <w:color w:val="000000" w:themeColor="text1"/>
        </w:rPr>
        <w:t>;</w:t>
      </w:r>
    </w:p>
    <w:p w14:paraId="73A8AD39" w14:textId="7A835CB3" w:rsidR="00AC33D6"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General Procurement Notice – Publishing of General Procurement Notice (GPN) in </w:t>
      </w:r>
      <w:r w:rsidR="00B844EA">
        <w:rPr>
          <w:rFonts w:ascii="Times New Roman" w:hAnsi="Times New Roman" w:cs="Times New Roman"/>
          <w:color w:val="000000" w:themeColor="text1"/>
        </w:rPr>
        <w:t xml:space="preserve">the </w:t>
      </w:r>
      <w:r w:rsidRPr="004B03E6">
        <w:rPr>
          <w:rFonts w:ascii="Times New Roman" w:hAnsi="Times New Roman" w:cs="Times New Roman"/>
          <w:color w:val="000000" w:themeColor="text1"/>
        </w:rPr>
        <w:t>UNDB</w:t>
      </w:r>
      <w:r w:rsidRPr="005948DE">
        <w:rPr>
          <w:rFonts w:ascii="Times New Roman" w:hAnsi="Times New Roman" w:cs="Times New Roman"/>
          <w:color w:val="000000" w:themeColor="text1"/>
        </w:rPr>
        <w:t xml:space="preserve"> and local papers is obligatory according to the “World Bank Procurement Regulations for IPF Borrowers”, dated July 2016, revised November 2017, August 2018 and November 2020.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PIU</w:t>
      </w:r>
      <w:r w:rsidR="00B844EA">
        <w:rPr>
          <w:rFonts w:ascii="Times New Roman" w:hAnsi="Times New Roman" w:cs="Times New Roman"/>
          <w:color w:val="000000" w:themeColor="text1"/>
        </w:rPr>
        <w:t>,</w:t>
      </w:r>
      <w:r w:rsidRPr="005948DE">
        <w:rPr>
          <w:rFonts w:ascii="Times New Roman" w:hAnsi="Times New Roman" w:cs="Times New Roman"/>
          <w:color w:val="000000" w:themeColor="text1"/>
        </w:rPr>
        <w:t xml:space="preserve"> with assistance of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CFU</w:t>
      </w:r>
      <w:r w:rsidR="00B844EA">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will prepare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GNP and submit it to the Bank following negotiations;</w:t>
      </w:r>
    </w:p>
    <w:p w14:paraId="015550B9" w14:textId="2CFD4615" w:rsidR="00926872" w:rsidRPr="005948DE" w:rsidRDefault="00AC33D6" w:rsidP="005948DE">
      <w:pPr>
        <w:pStyle w:val="ListParagraph"/>
        <w:numPr>
          <w:ilvl w:val="0"/>
          <w:numId w:val="121"/>
        </w:numPr>
        <w:spacing w:after="120" w:line="276" w:lineRule="auto"/>
        <w:contextualSpacing w:val="0"/>
        <w:jc w:val="both"/>
        <w:rPr>
          <w:rFonts w:ascii="Times New Roman" w:hAnsi="Times New Roman" w:cs="Times New Roman"/>
          <w:color w:val="7030A0"/>
        </w:rPr>
      </w:pPr>
      <w:r w:rsidRPr="005948DE">
        <w:rPr>
          <w:rFonts w:ascii="Times New Roman" w:hAnsi="Times New Roman" w:cs="Times New Roman"/>
          <w:color w:val="000000" w:themeColor="text1"/>
        </w:rPr>
        <w:t xml:space="preserve">PPSD – Prepared by the PIU with assistance of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CFU during </w:t>
      </w:r>
      <w:r w:rsidR="00B844EA">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Project preparation and approved by the Bank</w:t>
      </w:r>
      <w:r w:rsidR="001F4367" w:rsidRPr="005948DE">
        <w:rPr>
          <w:rFonts w:ascii="Times New Roman" w:hAnsi="Times New Roman" w:cs="Times New Roman"/>
          <w:color w:val="000000" w:themeColor="text1"/>
        </w:rPr>
        <w:t>.</w:t>
      </w:r>
    </w:p>
    <w:p w14:paraId="724CCC4B" w14:textId="7A3F3081" w:rsidR="00926872" w:rsidRPr="005948DE" w:rsidRDefault="00926872" w:rsidP="005948DE">
      <w:pPr>
        <w:pStyle w:val="Heading2"/>
        <w:numPr>
          <w:ilvl w:val="1"/>
          <w:numId w:val="330"/>
        </w:numPr>
        <w:spacing w:before="240" w:after="120" w:line="276" w:lineRule="auto"/>
        <w:ind w:left="578" w:hanging="578"/>
        <w:jc w:val="both"/>
        <w:rPr>
          <w:rFonts w:ascii="Times New Roman" w:hAnsi="Times New Roman" w:cs="Times New Roman"/>
          <w:sz w:val="24"/>
        </w:rPr>
      </w:pPr>
      <w:bookmarkStart w:id="243" w:name="_Toc93342238"/>
      <w:r w:rsidRPr="005948DE">
        <w:rPr>
          <w:rFonts w:ascii="Times New Roman" w:hAnsi="Times New Roman" w:cs="Times New Roman"/>
          <w:smallCaps w:val="0"/>
          <w:color w:val="auto"/>
          <w:sz w:val="24"/>
        </w:rPr>
        <w:t>Activities to be implemented</w:t>
      </w:r>
      <w:bookmarkEnd w:id="243"/>
      <w:r w:rsidRPr="005948DE">
        <w:rPr>
          <w:rFonts w:ascii="Times New Roman" w:hAnsi="Times New Roman" w:cs="Times New Roman"/>
          <w:smallCaps w:val="0"/>
          <w:color w:val="auto"/>
          <w:sz w:val="24"/>
        </w:rPr>
        <w:t xml:space="preserve"> </w:t>
      </w:r>
    </w:p>
    <w:p w14:paraId="28573067" w14:textId="1A6ACA0A" w:rsidR="00926872" w:rsidRPr="005948DE" w:rsidRDefault="007D1144"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Project may finance smaller greenfield </w:t>
      </w:r>
      <w:r w:rsidR="00D23E88" w:rsidRPr="005948DE">
        <w:rPr>
          <w:rFonts w:ascii="Times New Roman" w:hAnsi="Times New Roman" w:cs="Times New Roman"/>
        </w:rPr>
        <w:t>investments, for</w:t>
      </w:r>
      <w:r w:rsidRPr="005948DE">
        <w:rPr>
          <w:rFonts w:ascii="Times New Roman" w:hAnsi="Times New Roman" w:cs="Times New Roman"/>
        </w:rPr>
        <w:t xml:space="preserve"> example bicycle lanes and sidewalks which are currently missing in Serbia. </w:t>
      </w:r>
      <w:r w:rsidR="000C4AB9">
        <w:rPr>
          <w:rFonts w:ascii="Times New Roman" w:hAnsi="Times New Roman" w:cs="Times New Roman"/>
        </w:rPr>
        <w:t>C</w:t>
      </w:r>
      <w:r w:rsidR="00926872" w:rsidRPr="005948DE">
        <w:rPr>
          <w:rFonts w:ascii="Times New Roman" w:hAnsi="Times New Roman" w:cs="Times New Roman"/>
        </w:rPr>
        <w:t xml:space="preserve">ivil works will be </w:t>
      </w:r>
      <w:r w:rsidR="000C4AB9">
        <w:rPr>
          <w:rFonts w:ascii="Times New Roman" w:hAnsi="Times New Roman" w:cs="Times New Roman"/>
        </w:rPr>
        <w:t xml:space="preserve">focused </w:t>
      </w:r>
      <w:r w:rsidR="00926872" w:rsidRPr="005948DE">
        <w:rPr>
          <w:rFonts w:ascii="Times New Roman" w:hAnsi="Times New Roman" w:cs="Times New Roman"/>
        </w:rPr>
        <w:t xml:space="preserve">mainly </w:t>
      </w:r>
      <w:r w:rsidR="000C4AB9">
        <w:rPr>
          <w:rFonts w:ascii="Times New Roman" w:hAnsi="Times New Roman" w:cs="Times New Roman"/>
        </w:rPr>
        <w:t xml:space="preserve">on </w:t>
      </w:r>
      <w:r w:rsidR="00926872" w:rsidRPr="005948DE">
        <w:rPr>
          <w:rFonts w:ascii="Times New Roman" w:hAnsi="Times New Roman" w:cs="Times New Roman"/>
        </w:rPr>
        <w:t>rehabilitation and repairs following the existing alignments, while slight corrections and widening may occur where necessary to improve safety, resilience, and accessibility</w:t>
      </w:r>
      <w:r w:rsidRPr="005948DE">
        <w:rPr>
          <w:rFonts w:ascii="Times New Roman" w:hAnsi="Times New Roman" w:cs="Times New Roman"/>
        </w:rPr>
        <w:t xml:space="preserve">. </w:t>
      </w:r>
      <w:r w:rsidR="00926872" w:rsidRPr="005948DE">
        <w:rPr>
          <w:rFonts w:ascii="Times New Roman" w:hAnsi="Times New Roman" w:cs="Times New Roman"/>
        </w:rPr>
        <w:t>The Project will also repair, and upgrade drainage facilities, small bridges, and culverts as needed, improve resilience, and relocate and repair aboveground and belowground utilities. The technical designs will include safety features such as guardrails, pavement markings, and speed reduction measures in urban and residential areas. In addition, designs will include features to improve safety and accessibility for nonmotorized road</w:t>
      </w:r>
      <w:r w:rsidR="000C4AB9">
        <w:rPr>
          <w:rFonts w:ascii="Times New Roman" w:hAnsi="Times New Roman" w:cs="Times New Roman"/>
        </w:rPr>
        <w:t xml:space="preserve"> </w:t>
      </w:r>
      <w:r w:rsidR="00926872" w:rsidRPr="005948DE">
        <w:rPr>
          <w:rFonts w:ascii="Times New Roman" w:hAnsi="Times New Roman" w:cs="Times New Roman"/>
        </w:rPr>
        <w:t xml:space="preserve">and transit users, such as sidewalks; new or improved bus stops; bicycle lanes; lighting; and other facilities to improve safety of access to schools, health </w:t>
      </w:r>
      <w:r w:rsidR="00B364C3" w:rsidRPr="005948DE">
        <w:rPr>
          <w:rFonts w:ascii="Times New Roman" w:hAnsi="Times New Roman" w:cs="Times New Roman"/>
        </w:rPr>
        <w:t>centres</w:t>
      </w:r>
      <w:r w:rsidR="00926872" w:rsidRPr="005948DE">
        <w:rPr>
          <w:rFonts w:ascii="Times New Roman" w:hAnsi="Times New Roman" w:cs="Times New Roman"/>
        </w:rPr>
        <w:t xml:space="preserve">, and other public amenities. The Project will install ducts and pipes for </w:t>
      </w:r>
      <w:r w:rsidR="00B364C3" w:rsidRPr="005948DE">
        <w:rPr>
          <w:rFonts w:ascii="Times New Roman" w:hAnsi="Times New Roman" w:cs="Times New Roman"/>
        </w:rPr>
        <w:t>fibre</w:t>
      </w:r>
      <w:r w:rsidR="00926872" w:rsidRPr="005948DE">
        <w:rPr>
          <w:rFonts w:ascii="Times New Roman" w:hAnsi="Times New Roman" w:cs="Times New Roman"/>
        </w:rPr>
        <w:t xml:space="preserve"> optic cables, where appropriate.</w:t>
      </w:r>
    </w:p>
    <w:p w14:paraId="20A0B8C6" w14:textId="3B9A4735" w:rsidR="00CE3131" w:rsidRPr="005948DE" w:rsidRDefault="007D1144"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During </w:t>
      </w:r>
      <w:r w:rsidR="000C4AB9">
        <w:rPr>
          <w:rFonts w:ascii="Times New Roman" w:hAnsi="Times New Roman" w:cs="Times New Roman"/>
        </w:rPr>
        <w:t xml:space="preserve">the </w:t>
      </w:r>
      <w:r w:rsidRPr="005948DE">
        <w:rPr>
          <w:rFonts w:ascii="Times New Roman" w:hAnsi="Times New Roman" w:cs="Times New Roman"/>
        </w:rPr>
        <w:t>preparation of the Project</w:t>
      </w:r>
      <w:r w:rsidR="00B844EA">
        <w:rPr>
          <w:rFonts w:ascii="Times New Roman" w:hAnsi="Times New Roman" w:cs="Times New Roman"/>
        </w:rPr>
        <w:t>, the</w:t>
      </w:r>
      <w:r w:rsidRPr="005948DE">
        <w:rPr>
          <w:rFonts w:ascii="Times New Roman" w:hAnsi="Times New Roman" w:cs="Times New Roman"/>
        </w:rPr>
        <w:t xml:space="preserve"> </w:t>
      </w:r>
      <w:r w:rsidR="00926872" w:rsidRPr="005948DE">
        <w:rPr>
          <w:rFonts w:ascii="Times New Roman" w:hAnsi="Times New Roman" w:cs="Times New Roman"/>
        </w:rPr>
        <w:t xml:space="preserve">MCTI and </w:t>
      </w:r>
      <w:r w:rsidRPr="005948DE">
        <w:rPr>
          <w:rFonts w:ascii="Times New Roman" w:hAnsi="Times New Roman" w:cs="Times New Roman"/>
        </w:rPr>
        <w:t xml:space="preserve">the </w:t>
      </w:r>
      <w:r w:rsidR="00926872" w:rsidRPr="005948DE">
        <w:rPr>
          <w:rFonts w:ascii="Times New Roman" w:hAnsi="Times New Roman" w:cs="Times New Roman"/>
        </w:rPr>
        <w:t xml:space="preserve">LSGs prepared </w:t>
      </w:r>
      <w:r w:rsidRPr="005948DE">
        <w:rPr>
          <w:rFonts w:ascii="Times New Roman" w:hAnsi="Times New Roman" w:cs="Times New Roman"/>
        </w:rPr>
        <w:t xml:space="preserve">a </w:t>
      </w:r>
      <w:r w:rsidR="00926872" w:rsidRPr="005948DE">
        <w:rPr>
          <w:rFonts w:ascii="Times New Roman" w:hAnsi="Times New Roman" w:cs="Times New Roman"/>
        </w:rPr>
        <w:t xml:space="preserve">sample list of potential </w:t>
      </w:r>
      <w:r w:rsidR="00230712" w:rsidRPr="005948DE">
        <w:rPr>
          <w:rFonts w:ascii="Times New Roman" w:hAnsi="Times New Roman" w:cs="Times New Roman"/>
        </w:rPr>
        <w:t xml:space="preserve">infrastructure investment </w:t>
      </w:r>
      <w:r w:rsidR="00926872" w:rsidRPr="005948DE">
        <w:rPr>
          <w:rFonts w:ascii="Times New Roman" w:hAnsi="Times New Roman" w:cs="Times New Roman"/>
        </w:rPr>
        <w:t>projects for the first-year investment program in 40</w:t>
      </w:r>
      <w:r w:rsidR="006A7416">
        <w:rPr>
          <w:rFonts w:ascii="Times New Roman" w:hAnsi="Times New Roman" w:cs="Times New Roman"/>
        </w:rPr>
        <w:t xml:space="preserve"> (forty)</w:t>
      </w:r>
      <w:r w:rsidR="00926872" w:rsidRPr="005948DE">
        <w:rPr>
          <w:rFonts w:ascii="Times New Roman" w:hAnsi="Times New Roman" w:cs="Times New Roman"/>
        </w:rPr>
        <w:t xml:space="preserve"> LSGs. </w:t>
      </w:r>
      <w:r w:rsidR="00926872" w:rsidRPr="005948DE">
        <w:rPr>
          <w:rFonts w:ascii="Times New Roman" w:hAnsi="Times New Roman" w:cs="Times New Roman"/>
          <w:b/>
          <w:bCs/>
        </w:rPr>
        <w:t>The sample list of potential projects was developed through a four-step process</w:t>
      </w:r>
      <w:r w:rsidR="00926872" w:rsidRPr="005948DE">
        <w:rPr>
          <w:rFonts w:ascii="Times New Roman" w:hAnsi="Times New Roman" w:cs="Times New Roman"/>
          <w:color w:val="FF9900"/>
        </w:rPr>
        <w:t>.</w:t>
      </w:r>
      <w:r w:rsidR="00926872" w:rsidRPr="005948DE">
        <w:rPr>
          <w:rFonts w:ascii="Times New Roman" w:hAnsi="Times New Roman" w:cs="Times New Roman"/>
          <w:sz w:val="16"/>
          <w:szCs w:val="16"/>
          <w:vertAlign w:val="superscript"/>
        </w:rPr>
        <w:footnoteReference w:id="5"/>
      </w:r>
      <w:r w:rsidR="0065067B" w:rsidRPr="005948DE">
        <w:rPr>
          <w:rFonts w:ascii="Times New Roman" w:hAnsi="Times New Roman" w:cs="Times New Roman"/>
          <w:color w:val="FF9900"/>
        </w:rPr>
        <w:t xml:space="preserve"> </w:t>
      </w:r>
      <w:r w:rsidR="0065067B" w:rsidRPr="005948DE">
        <w:rPr>
          <w:rFonts w:ascii="Times New Roman" w:hAnsi="Times New Roman" w:cs="Times New Roman"/>
        </w:rPr>
        <w:t>This Manual has built upon the four-step exercise and has developed a sophisticated but streamlined assessment process for</w:t>
      </w:r>
      <w:r w:rsidR="000C4AB9">
        <w:rPr>
          <w:rFonts w:ascii="Times New Roman" w:hAnsi="Times New Roman" w:cs="Times New Roman"/>
        </w:rPr>
        <w:t xml:space="preserve"> the</w:t>
      </w:r>
      <w:r w:rsidR="0065067B" w:rsidRPr="005948DE">
        <w:rPr>
          <w:rFonts w:ascii="Times New Roman" w:hAnsi="Times New Roman" w:cs="Times New Roman"/>
        </w:rPr>
        <w:t xml:space="preserve"> selection of eligible infrastructure investments.</w:t>
      </w:r>
      <w:r w:rsidR="00921B17" w:rsidRPr="005948DE">
        <w:rPr>
          <w:rFonts w:ascii="Times New Roman" w:hAnsi="Times New Roman" w:cs="Times New Roman"/>
        </w:rPr>
        <w:t xml:space="preserve"> </w:t>
      </w:r>
    </w:p>
    <w:p w14:paraId="59780E1F" w14:textId="04ACDB8F" w:rsidR="00926872" w:rsidRPr="005948DE" w:rsidRDefault="00926872"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According to the </w:t>
      </w:r>
      <w:r w:rsidR="00B844EA">
        <w:rPr>
          <w:rFonts w:ascii="Times New Roman" w:hAnsi="Times New Roman" w:cs="Times New Roman"/>
        </w:rPr>
        <w:t xml:space="preserve">mentioned </w:t>
      </w:r>
      <w:r w:rsidRPr="005948DE">
        <w:rPr>
          <w:rFonts w:ascii="Times New Roman" w:hAnsi="Times New Roman" w:cs="Times New Roman"/>
        </w:rPr>
        <w:t xml:space="preserve">preliminary list, the composition of the </w:t>
      </w:r>
      <w:r w:rsidR="00230712" w:rsidRPr="005948DE">
        <w:rPr>
          <w:rFonts w:ascii="Times New Roman" w:hAnsi="Times New Roman" w:cs="Times New Roman"/>
        </w:rPr>
        <w:t xml:space="preserve">infrastructure investment </w:t>
      </w:r>
      <w:r w:rsidRPr="005948DE">
        <w:rPr>
          <w:rFonts w:ascii="Times New Roman" w:hAnsi="Times New Roman" w:cs="Times New Roman"/>
        </w:rPr>
        <w:t>projects to be financed will consist of 49.5 percent of roads/streets, 32.5 percent active mobility, 6 percent street lighting, and 12 percent disaster risk management related investments.</w:t>
      </w:r>
      <w:r w:rsidR="00CE3131" w:rsidRPr="005948DE">
        <w:rPr>
          <w:rStyle w:val="FootnoteReference"/>
          <w:rFonts w:ascii="Times New Roman" w:hAnsi="Times New Roman" w:cs="Times New Roman"/>
        </w:rPr>
        <w:footnoteReference w:id="6"/>
      </w:r>
      <w:r w:rsidRPr="005948DE">
        <w:rPr>
          <w:rFonts w:ascii="Times New Roman" w:hAnsi="Times New Roman" w:cs="Times New Roman"/>
        </w:rPr>
        <w:t xml:space="preserve"> </w:t>
      </w:r>
    </w:p>
    <w:p w14:paraId="4282BEFD" w14:textId="1042B555" w:rsidR="00E71EE6" w:rsidRPr="005948DE" w:rsidRDefault="00E71EE6" w:rsidP="005948DE">
      <w:pPr>
        <w:pStyle w:val="Heading2"/>
        <w:numPr>
          <w:ilvl w:val="1"/>
          <w:numId w:val="330"/>
        </w:numPr>
        <w:spacing w:before="240" w:after="120" w:line="276" w:lineRule="auto"/>
        <w:ind w:left="578" w:hanging="578"/>
        <w:jc w:val="both"/>
        <w:rPr>
          <w:rFonts w:ascii="Times New Roman" w:hAnsi="Times New Roman" w:cs="Times New Roman"/>
          <w:sz w:val="24"/>
        </w:rPr>
      </w:pPr>
      <w:bookmarkStart w:id="244" w:name="_Toc93342239"/>
      <w:r w:rsidRPr="005948DE">
        <w:rPr>
          <w:rFonts w:ascii="Times New Roman" w:hAnsi="Times New Roman" w:cs="Times New Roman"/>
          <w:smallCaps w:val="0"/>
          <w:color w:val="auto"/>
          <w:sz w:val="24"/>
        </w:rPr>
        <w:t xml:space="preserve">Selection and approval of </w:t>
      </w:r>
      <w:r w:rsidR="00B76AC7" w:rsidRPr="005948DE">
        <w:rPr>
          <w:rFonts w:ascii="Times New Roman" w:hAnsi="Times New Roman" w:cs="Times New Roman"/>
          <w:smallCaps w:val="0"/>
          <w:color w:val="auto"/>
          <w:sz w:val="24"/>
        </w:rPr>
        <w:t xml:space="preserve">strictly </w:t>
      </w:r>
      <w:r w:rsidRPr="005948DE">
        <w:rPr>
          <w:rFonts w:ascii="Times New Roman" w:hAnsi="Times New Roman" w:cs="Times New Roman"/>
          <w:smallCaps w:val="0"/>
          <w:color w:val="auto"/>
          <w:sz w:val="24"/>
        </w:rPr>
        <w:t>targeted grant activities</w:t>
      </w:r>
      <w:bookmarkEnd w:id="244"/>
      <w:r w:rsidRPr="005948DE">
        <w:rPr>
          <w:rFonts w:ascii="Times New Roman" w:hAnsi="Times New Roman" w:cs="Times New Roman"/>
          <w:sz w:val="24"/>
        </w:rPr>
        <w:t xml:space="preserve"> </w:t>
      </w:r>
    </w:p>
    <w:p w14:paraId="66AB4B88" w14:textId="358ED495" w:rsidR="00B76AC7" w:rsidRPr="005948DE" w:rsidRDefault="00A254D0"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Project has been designed to benefit all 145 LSGs and has determined </w:t>
      </w:r>
      <w:r w:rsidR="000C4AB9">
        <w:rPr>
          <w:rFonts w:ascii="Times New Roman" w:hAnsi="Times New Roman" w:cs="Times New Roman"/>
          <w:color w:val="000000" w:themeColor="text1"/>
        </w:rPr>
        <w:t xml:space="preserve">that </w:t>
      </w:r>
      <w:r w:rsidRPr="005948DE">
        <w:rPr>
          <w:rFonts w:ascii="Times New Roman" w:hAnsi="Times New Roman" w:cs="Times New Roman"/>
          <w:color w:val="000000" w:themeColor="text1"/>
        </w:rPr>
        <w:t>all</w:t>
      </w:r>
      <w:r w:rsidR="000C4AB9">
        <w:rPr>
          <w:rFonts w:ascii="Times New Roman" w:hAnsi="Times New Roman" w:cs="Times New Roman"/>
          <w:color w:val="000000" w:themeColor="text1"/>
        </w:rPr>
        <w:t xml:space="preserve"> LSGs</w:t>
      </w:r>
      <w:r w:rsidRPr="005948DE">
        <w:rPr>
          <w:rFonts w:ascii="Times New Roman" w:hAnsi="Times New Roman" w:cs="Times New Roman"/>
          <w:color w:val="000000" w:themeColor="text1"/>
        </w:rPr>
        <w:t xml:space="preserve"> are eligible to receive grant transfer subject t</w:t>
      </w:r>
      <w:r w:rsidR="00187811" w:rsidRPr="005948DE">
        <w:rPr>
          <w:rFonts w:ascii="Times New Roman" w:hAnsi="Times New Roman" w:cs="Times New Roman"/>
          <w:color w:val="000000" w:themeColor="text1"/>
        </w:rPr>
        <w:t xml:space="preserve">o </w:t>
      </w:r>
      <w:r w:rsidR="00B364C3" w:rsidRPr="005948DE">
        <w:rPr>
          <w:rFonts w:ascii="Times New Roman" w:hAnsi="Times New Roman" w:cs="Times New Roman"/>
          <w:color w:val="000000" w:themeColor="text1"/>
        </w:rPr>
        <w:t xml:space="preserve">nominating infrastructure investments </w:t>
      </w:r>
      <w:r w:rsidR="000C4AB9">
        <w:rPr>
          <w:rFonts w:ascii="Times New Roman" w:hAnsi="Times New Roman" w:cs="Times New Roman"/>
          <w:color w:val="000000" w:themeColor="text1"/>
        </w:rPr>
        <w:t xml:space="preserve">and provided they meet </w:t>
      </w:r>
      <w:r w:rsidR="00187811" w:rsidRPr="005948DE">
        <w:rPr>
          <w:rFonts w:ascii="Times New Roman" w:hAnsi="Times New Roman" w:cs="Times New Roman"/>
          <w:color w:val="000000" w:themeColor="text1"/>
        </w:rPr>
        <w:t xml:space="preserve">eligibility </w:t>
      </w:r>
      <w:r w:rsidR="000C4AB9">
        <w:rPr>
          <w:rFonts w:ascii="Times New Roman" w:hAnsi="Times New Roman" w:cs="Times New Roman"/>
          <w:color w:val="000000" w:themeColor="text1"/>
        </w:rPr>
        <w:t>criteria.</w:t>
      </w:r>
    </w:p>
    <w:p w14:paraId="15D21DF7" w14:textId="5B69A79A" w:rsidR="008D2492" w:rsidRPr="005948DE" w:rsidRDefault="008D2492" w:rsidP="005948DE">
      <w:pPr>
        <w:spacing w:after="120" w:line="276" w:lineRule="auto"/>
        <w:jc w:val="both"/>
        <w:rPr>
          <w:rFonts w:ascii="Times New Roman" w:hAnsi="Times New Roman" w:cs="Times New Roman"/>
          <w:color w:val="FF0000"/>
        </w:rPr>
      </w:pPr>
      <w:r w:rsidRPr="005948DE">
        <w:rPr>
          <w:rFonts w:ascii="Times New Roman" w:hAnsi="Times New Roman" w:cs="Times New Roman"/>
          <w:color w:val="000000" w:themeColor="text1"/>
        </w:rPr>
        <w:t xml:space="preserve">Infrastructure investments will be implemented in </w:t>
      </w:r>
      <w:r w:rsidR="000C4AB9">
        <w:rPr>
          <w:rFonts w:ascii="Times New Roman" w:hAnsi="Times New Roman" w:cs="Times New Roman"/>
          <w:color w:val="000000" w:themeColor="text1"/>
        </w:rPr>
        <w:t xml:space="preserve">a </w:t>
      </w:r>
      <w:r w:rsidRPr="005948DE">
        <w:rPr>
          <w:rFonts w:ascii="Times New Roman" w:hAnsi="Times New Roman" w:cs="Times New Roman"/>
          <w:color w:val="000000" w:themeColor="text1"/>
        </w:rPr>
        <w:t xml:space="preserve">decentralized manner </w:t>
      </w:r>
      <w:r w:rsidR="000C4AB9">
        <w:rPr>
          <w:rFonts w:ascii="Times New Roman" w:hAnsi="Times New Roman" w:cs="Times New Roman"/>
          <w:color w:val="000000" w:themeColor="text1"/>
        </w:rPr>
        <w:t>by</w:t>
      </w:r>
      <w:r w:rsidR="000C4AB9"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the LSGs. To this end, the LSGs will be responsible for the implementation of infrastructure investments including project prioritization, preparation, procurement, </w:t>
      </w:r>
      <w:r w:rsidR="00AF5692">
        <w:rPr>
          <w:rFonts w:ascii="Times New Roman" w:hAnsi="Times New Roman" w:cs="Times New Roman"/>
          <w:color w:val="000000" w:themeColor="text1"/>
        </w:rPr>
        <w:t xml:space="preserve">and payment for works and services related to infrastructure investments, </w:t>
      </w:r>
      <w:r w:rsidR="0079119F">
        <w:rPr>
          <w:rFonts w:ascii="Times New Roman" w:hAnsi="Times New Roman" w:cs="Times New Roman"/>
          <w:color w:val="000000" w:themeColor="text1"/>
        </w:rPr>
        <w:t>environmental and social management</w:t>
      </w:r>
      <w:r w:rsidRPr="005948DE">
        <w:rPr>
          <w:rFonts w:ascii="Times New Roman" w:hAnsi="Times New Roman" w:cs="Times New Roman"/>
          <w:color w:val="000000" w:themeColor="text1"/>
        </w:rPr>
        <w:t>, supervision, monitoring and reporting and on-going management of infrastructure</w:t>
      </w:r>
      <w:r w:rsidRPr="005948DE">
        <w:rPr>
          <w:rFonts w:ascii="Times New Roman" w:hAnsi="Times New Roman" w:cs="Times New Roman"/>
          <w:color w:val="FF0000"/>
        </w:rPr>
        <w:t>.</w:t>
      </w:r>
    </w:p>
    <w:p w14:paraId="7F0D982C" w14:textId="2BC4C745" w:rsidR="002A588D" w:rsidRPr="005948DE" w:rsidRDefault="00AE02A6"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Total available grant funds for each LSG will be defined per formula</w:t>
      </w:r>
      <w:r w:rsidR="00A254D0" w:rsidRPr="005948DE">
        <w:rPr>
          <w:rFonts w:ascii="Times New Roman" w:hAnsi="Times New Roman" w:cs="Times New Roman"/>
          <w:color w:val="000000" w:themeColor="text1"/>
        </w:rPr>
        <w:t xml:space="preserve"> </w:t>
      </w:r>
      <w:r w:rsidR="00B76AC7" w:rsidRPr="005948DE">
        <w:rPr>
          <w:rFonts w:ascii="Times New Roman" w:hAnsi="Times New Roman" w:cs="Times New Roman"/>
          <w:color w:val="000000" w:themeColor="text1"/>
        </w:rPr>
        <w:t>pro</w:t>
      </w:r>
      <w:r w:rsidR="00A254D0" w:rsidRPr="005948DE">
        <w:rPr>
          <w:rFonts w:ascii="Times New Roman" w:hAnsi="Times New Roman" w:cs="Times New Roman"/>
          <w:color w:val="000000" w:themeColor="text1"/>
        </w:rPr>
        <w:t xml:space="preserve">vided in </w:t>
      </w:r>
      <w:r w:rsidR="00787027">
        <w:rPr>
          <w:rFonts w:ascii="Times New Roman" w:hAnsi="Times New Roman" w:cs="Times New Roman"/>
          <w:color w:val="000000" w:themeColor="text1"/>
        </w:rPr>
        <w:t xml:space="preserve">the </w:t>
      </w:r>
      <w:r w:rsidR="00A254D0" w:rsidRPr="005948DE">
        <w:rPr>
          <w:rFonts w:ascii="Times New Roman" w:hAnsi="Times New Roman" w:cs="Times New Roman"/>
          <w:color w:val="000000" w:themeColor="text1"/>
        </w:rPr>
        <w:t xml:space="preserve">Annex </w:t>
      </w:r>
      <w:r w:rsidR="00187811" w:rsidRPr="005948DE">
        <w:rPr>
          <w:rFonts w:ascii="Times New Roman" w:hAnsi="Times New Roman" w:cs="Times New Roman"/>
          <w:color w:val="000000" w:themeColor="text1"/>
        </w:rPr>
        <w:t>1</w:t>
      </w:r>
      <w:r w:rsidR="00E2669C" w:rsidRPr="005948DE">
        <w:rPr>
          <w:rFonts w:ascii="Times New Roman" w:hAnsi="Times New Roman" w:cs="Times New Roman"/>
          <w:color w:val="000000" w:themeColor="text1"/>
        </w:rPr>
        <w:t>0</w:t>
      </w:r>
      <w:r w:rsidR="00187811" w:rsidRPr="005948DE">
        <w:rPr>
          <w:rFonts w:ascii="Times New Roman" w:hAnsi="Times New Roman" w:cs="Times New Roman"/>
          <w:color w:val="000000" w:themeColor="text1"/>
        </w:rPr>
        <w:t xml:space="preserve"> of the </w:t>
      </w:r>
      <w:r w:rsidR="002F0FE9" w:rsidRPr="005948DE">
        <w:rPr>
          <w:rFonts w:ascii="Times New Roman" w:hAnsi="Times New Roman" w:cs="Times New Roman"/>
          <w:color w:val="000000" w:themeColor="text1"/>
        </w:rPr>
        <w:t>Manual</w:t>
      </w:r>
      <w:r w:rsidR="00544F6F" w:rsidRPr="005948DE">
        <w:rPr>
          <w:rFonts w:ascii="Times New Roman" w:hAnsi="Times New Roman" w:cs="Times New Roman"/>
          <w:color w:val="000000" w:themeColor="text1"/>
        </w:rPr>
        <w:t xml:space="preserve"> and per </w:t>
      </w:r>
      <w:r w:rsidR="000C4AB9">
        <w:rPr>
          <w:rFonts w:ascii="Times New Roman" w:hAnsi="Times New Roman" w:cs="Times New Roman"/>
          <w:color w:val="000000" w:themeColor="text1"/>
        </w:rPr>
        <w:t xml:space="preserve">the </w:t>
      </w:r>
      <w:r w:rsidR="00016618" w:rsidRPr="005948DE">
        <w:rPr>
          <w:rFonts w:ascii="Times New Roman" w:hAnsi="Times New Roman" w:cs="Times New Roman"/>
          <w:color w:val="000000" w:themeColor="text1"/>
        </w:rPr>
        <w:t>methodology</w:t>
      </w:r>
      <w:r w:rsidR="00544F6F" w:rsidRPr="005948DE">
        <w:rPr>
          <w:rFonts w:ascii="Times New Roman" w:hAnsi="Times New Roman" w:cs="Times New Roman"/>
          <w:color w:val="000000" w:themeColor="text1"/>
        </w:rPr>
        <w:t xml:space="preserve"> </w:t>
      </w:r>
      <w:r w:rsidR="000C4AB9">
        <w:rPr>
          <w:rFonts w:ascii="Times New Roman" w:hAnsi="Times New Roman" w:cs="Times New Roman"/>
          <w:color w:val="000000" w:themeColor="text1"/>
        </w:rPr>
        <w:t>described</w:t>
      </w:r>
      <w:r w:rsidR="00677EA9">
        <w:rPr>
          <w:rFonts w:ascii="Times New Roman" w:hAnsi="Times New Roman" w:cs="Times New Roman"/>
          <w:color w:val="000000" w:themeColor="text1"/>
        </w:rPr>
        <w:t xml:space="preserve"> </w:t>
      </w:r>
      <w:r w:rsidR="00544F6F" w:rsidRPr="005948DE">
        <w:rPr>
          <w:rFonts w:ascii="Times New Roman" w:hAnsi="Times New Roman" w:cs="Times New Roman"/>
          <w:color w:val="000000" w:themeColor="text1"/>
        </w:rPr>
        <w:t>in</w:t>
      </w:r>
      <w:r w:rsidR="00677EA9">
        <w:rPr>
          <w:rFonts w:ascii="Times New Roman" w:hAnsi="Times New Roman" w:cs="Times New Roman"/>
          <w:color w:val="000000" w:themeColor="text1"/>
        </w:rPr>
        <w:t xml:space="preserve"> the</w:t>
      </w:r>
      <w:r w:rsidR="00544F6F" w:rsidRPr="005948DE">
        <w:rPr>
          <w:rFonts w:ascii="Times New Roman" w:hAnsi="Times New Roman" w:cs="Times New Roman"/>
          <w:color w:val="000000" w:themeColor="text1"/>
        </w:rPr>
        <w:t xml:space="preserve"> </w:t>
      </w:r>
      <w:r w:rsidR="00677EA9">
        <w:rPr>
          <w:rFonts w:ascii="Times New Roman" w:hAnsi="Times New Roman" w:cs="Times New Roman"/>
          <w:color w:val="000000" w:themeColor="text1"/>
        </w:rPr>
        <w:t>C</w:t>
      </w:r>
      <w:r w:rsidR="00544F6F" w:rsidRPr="005948DE">
        <w:rPr>
          <w:rFonts w:ascii="Times New Roman" w:hAnsi="Times New Roman" w:cs="Times New Roman"/>
          <w:color w:val="000000" w:themeColor="text1"/>
        </w:rPr>
        <w:t xml:space="preserve">hapter 4.4. </w:t>
      </w:r>
    </w:p>
    <w:p w14:paraId="124196A6" w14:textId="0695762D" w:rsidR="002A588D" w:rsidRPr="005948DE" w:rsidRDefault="002A588D"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infrastructure financing will be provided through existing mechanisms for strictly targeted grant transfers from the central government to </w:t>
      </w:r>
      <w:r w:rsidR="00787027">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w:t>
      </w:r>
      <w:r w:rsidR="00787027">
        <w:rPr>
          <w:rFonts w:ascii="Times New Roman" w:hAnsi="Times New Roman" w:cs="Times New Roman"/>
          <w:color w:val="000000" w:themeColor="text1"/>
        </w:rPr>
        <w:t>and</w:t>
      </w:r>
      <w:r w:rsidR="00787027"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each </w:t>
      </w:r>
      <w:r w:rsidR="001F4367" w:rsidRPr="005948DE">
        <w:rPr>
          <w:rFonts w:ascii="Times New Roman" w:hAnsi="Times New Roman" w:cs="Times New Roman"/>
          <w:color w:val="000000" w:themeColor="text1"/>
        </w:rPr>
        <w:t>LSG</w:t>
      </w:r>
      <w:r w:rsidRPr="005948DE">
        <w:rPr>
          <w:rFonts w:ascii="Times New Roman" w:hAnsi="Times New Roman" w:cs="Times New Roman"/>
          <w:color w:val="000000" w:themeColor="text1"/>
        </w:rPr>
        <w:t xml:space="preserve"> will sign a FA with the MCTI </w:t>
      </w:r>
      <w:r w:rsidR="000C4AB9">
        <w:rPr>
          <w:rFonts w:ascii="Times New Roman" w:hAnsi="Times New Roman" w:cs="Times New Roman"/>
          <w:color w:val="000000" w:themeColor="text1"/>
        </w:rPr>
        <w:t xml:space="preserve">in which respective </w:t>
      </w:r>
      <w:r w:rsidRPr="005948DE">
        <w:rPr>
          <w:rFonts w:ascii="Times New Roman" w:hAnsi="Times New Roman" w:cs="Times New Roman"/>
          <w:color w:val="000000" w:themeColor="text1"/>
        </w:rPr>
        <w:t xml:space="preserve">responsibilities and obligations </w:t>
      </w:r>
      <w:r w:rsidR="000C4AB9">
        <w:rPr>
          <w:rFonts w:ascii="Times New Roman" w:hAnsi="Times New Roman" w:cs="Times New Roman"/>
          <w:color w:val="000000" w:themeColor="text1"/>
        </w:rPr>
        <w:t>under</w:t>
      </w:r>
      <w:r w:rsidR="000C4AB9"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the Project are defined and </w:t>
      </w:r>
      <w:r w:rsidR="000C4AB9">
        <w:rPr>
          <w:rFonts w:ascii="Times New Roman" w:hAnsi="Times New Roman" w:cs="Times New Roman"/>
          <w:color w:val="000000" w:themeColor="text1"/>
        </w:rPr>
        <w:t xml:space="preserve">signature of </w:t>
      </w:r>
      <w:r w:rsidRPr="005948DE">
        <w:rPr>
          <w:rFonts w:ascii="Times New Roman" w:hAnsi="Times New Roman" w:cs="Times New Roman"/>
          <w:color w:val="000000" w:themeColor="text1"/>
        </w:rPr>
        <w:t xml:space="preserve">which is prerequisite for </w:t>
      </w:r>
      <w:r w:rsidR="00677EA9">
        <w:rPr>
          <w:rFonts w:ascii="Times New Roman" w:hAnsi="Times New Roman" w:cs="Times New Roman"/>
          <w:color w:val="000000" w:themeColor="text1"/>
        </w:rPr>
        <w:t xml:space="preserve">the </w:t>
      </w:r>
      <w:r w:rsidR="0060294B" w:rsidRPr="005948DE">
        <w:rPr>
          <w:rFonts w:ascii="Times New Roman" w:hAnsi="Times New Roman" w:cs="Times New Roman"/>
          <w:color w:val="000000" w:themeColor="text1"/>
        </w:rPr>
        <w:t>LSGs to</w:t>
      </w:r>
      <w:r w:rsidRPr="005948DE">
        <w:rPr>
          <w:rFonts w:ascii="Times New Roman" w:hAnsi="Times New Roman" w:cs="Times New Roman"/>
          <w:color w:val="000000" w:themeColor="text1"/>
        </w:rPr>
        <w:t xml:space="preserve"> access the resources. The LSGs will have an option to contribute additional </w:t>
      </w:r>
      <w:r w:rsidR="000C4AB9">
        <w:rPr>
          <w:rFonts w:ascii="Times New Roman" w:hAnsi="Times New Roman" w:cs="Times New Roman"/>
          <w:color w:val="000000" w:themeColor="text1"/>
        </w:rPr>
        <w:t>financial contributions</w:t>
      </w:r>
      <w:r w:rsidRPr="005948DE">
        <w:rPr>
          <w:rFonts w:ascii="Times New Roman" w:hAnsi="Times New Roman" w:cs="Times New Roman"/>
          <w:color w:val="000000" w:themeColor="text1"/>
        </w:rPr>
        <w:t xml:space="preserve">. The detailed FA content is defined in the </w:t>
      </w:r>
      <w:r w:rsidR="002830E8" w:rsidRPr="005948DE">
        <w:rPr>
          <w:rFonts w:ascii="Times New Roman" w:hAnsi="Times New Roman" w:cs="Times New Roman"/>
          <w:color w:val="000000" w:themeColor="text1"/>
        </w:rPr>
        <w:t>Manual</w:t>
      </w:r>
      <w:r w:rsidRPr="005948DE">
        <w:rPr>
          <w:rFonts w:ascii="Times New Roman" w:hAnsi="Times New Roman" w:cs="Times New Roman"/>
          <w:color w:val="000000" w:themeColor="text1"/>
        </w:rPr>
        <w:t xml:space="preserve"> (Annex 3). Among </w:t>
      </w:r>
      <w:r w:rsidR="000C4AB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obligations of </w:t>
      </w:r>
      <w:r w:rsidR="00677EA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are to perform investment selection according to planning documents and best practices; ensure </w:t>
      </w:r>
      <w:r w:rsidR="00677EA9">
        <w:rPr>
          <w:rFonts w:ascii="Times New Roman" w:hAnsi="Times New Roman" w:cs="Times New Roman"/>
          <w:color w:val="000000" w:themeColor="text1"/>
        </w:rPr>
        <w:t>B</w:t>
      </w:r>
      <w:r w:rsidR="00677EA9" w:rsidRPr="005948DE">
        <w:rPr>
          <w:rFonts w:ascii="Times New Roman" w:hAnsi="Times New Roman" w:cs="Times New Roman"/>
          <w:color w:val="000000" w:themeColor="text1"/>
        </w:rPr>
        <w:t xml:space="preserve">ank </w:t>
      </w:r>
      <w:r w:rsidR="00E749DB">
        <w:rPr>
          <w:rFonts w:ascii="Times New Roman" w:hAnsi="Times New Roman" w:cs="Times New Roman"/>
          <w:color w:val="000000" w:themeColor="text1"/>
        </w:rPr>
        <w:t xml:space="preserve">ESSs </w:t>
      </w:r>
      <w:r w:rsidRPr="005948DE">
        <w:rPr>
          <w:rFonts w:ascii="Times New Roman" w:hAnsi="Times New Roman" w:cs="Times New Roman"/>
          <w:color w:val="000000" w:themeColor="text1"/>
        </w:rPr>
        <w:t xml:space="preserve">are enforced; deliver data and reports needed for the </w:t>
      </w:r>
      <w:r w:rsidR="00677EA9">
        <w:rPr>
          <w:rFonts w:ascii="Times New Roman" w:hAnsi="Times New Roman" w:cs="Times New Roman"/>
          <w:color w:val="000000" w:themeColor="text1"/>
        </w:rPr>
        <w:t>P</w:t>
      </w:r>
      <w:r w:rsidRPr="005948DE">
        <w:rPr>
          <w:rFonts w:ascii="Times New Roman" w:hAnsi="Times New Roman" w:cs="Times New Roman"/>
          <w:color w:val="000000" w:themeColor="text1"/>
        </w:rPr>
        <w:t xml:space="preserve">roject implementation; implement proposed improved planning and budgeting approaches and documents; implement easy-to-use road asset management systems and project management tool; ensure transparency in procurement; more elaborated preparation of individual project(s) including resilience, safety, and active mobility considerations; streamlined supervision of works; usage of open data platforms where applicable; improved planning documents, etc. </w:t>
      </w:r>
    </w:p>
    <w:p w14:paraId="793D087C" w14:textId="0DD59496" w:rsidR="002A588D" w:rsidRPr="005948DE" w:rsidRDefault="002A588D"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LSGs involved in the Project and interested in the specific topics will have opportunity to gather in a Community of Practice (CoPs) and attend targeted trainings aiming at increasing </w:t>
      </w:r>
      <w:r w:rsidR="00677EA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capacity to deliver sustainable infrastructure services. The CoPs will meet quarterly </w:t>
      </w:r>
      <w:r w:rsidR="000C4AB9">
        <w:rPr>
          <w:rFonts w:ascii="Times New Roman" w:hAnsi="Times New Roman" w:cs="Times New Roman"/>
          <w:color w:val="000000" w:themeColor="text1"/>
        </w:rPr>
        <w:t>(virtually</w:t>
      </w:r>
      <w:r w:rsidR="00126225">
        <w:rPr>
          <w:rFonts w:ascii="Times New Roman" w:hAnsi="Times New Roman" w:cs="Times New Roman"/>
          <w:color w:val="000000" w:themeColor="text1"/>
        </w:rPr>
        <w:t xml:space="preserve"> </w:t>
      </w:r>
      <w:r w:rsidR="000C4AB9">
        <w:rPr>
          <w:rFonts w:ascii="Times New Roman" w:hAnsi="Times New Roman" w:cs="Times New Roman"/>
          <w:color w:val="000000" w:themeColor="text1"/>
        </w:rPr>
        <w:t xml:space="preserve">through video) </w:t>
      </w:r>
      <w:r w:rsidR="00126225">
        <w:rPr>
          <w:rFonts w:ascii="Times New Roman" w:hAnsi="Times New Roman" w:cs="Times New Roman"/>
          <w:color w:val="000000" w:themeColor="text1"/>
        </w:rPr>
        <w:t>at least o</w:t>
      </w:r>
      <w:r w:rsidRPr="005948DE">
        <w:rPr>
          <w:rFonts w:ascii="Times New Roman" w:hAnsi="Times New Roman" w:cs="Times New Roman"/>
          <w:color w:val="000000" w:themeColor="text1"/>
        </w:rPr>
        <w:t xml:space="preserve">nce a year in person should </w:t>
      </w:r>
      <w:r w:rsidR="00677EA9">
        <w:rPr>
          <w:rFonts w:ascii="Times New Roman" w:hAnsi="Times New Roman" w:cs="Times New Roman"/>
          <w:color w:val="000000" w:themeColor="text1"/>
        </w:rPr>
        <w:t xml:space="preserve">Covid-19 </w:t>
      </w:r>
      <w:r w:rsidRPr="005948DE">
        <w:rPr>
          <w:rFonts w:ascii="Times New Roman" w:hAnsi="Times New Roman" w:cs="Times New Roman"/>
          <w:color w:val="000000" w:themeColor="text1"/>
        </w:rPr>
        <w:t>pandemic situation allow. The Project will also have a dedicated webpage, with all relevant documents, templates, and other information needed for implementation of the Project activities, as well as the information available to public. It will als</w:t>
      </w:r>
      <w:r w:rsidR="00126225">
        <w:rPr>
          <w:rFonts w:ascii="Times New Roman" w:hAnsi="Times New Roman" w:cs="Times New Roman"/>
          <w:color w:val="000000" w:themeColor="text1"/>
        </w:rPr>
        <w:t>o</w:t>
      </w:r>
      <w:r w:rsidRPr="005948DE">
        <w:rPr>
          <w:rFonts w:ascii="Times New Roman" w:hAnsi="Times New Roman" w:cs="Times New Roman"/>
          <w:color w:val="000000" w:themeColor="text1"/>
        </w:rPr>
        <w:t xml:space="preserve"> serve to collect and distribute information, collect citizen feedback, enable online supervision, </w:t>
      </w:r>
      <w:r w:rsidR="00D23E88" w:rsidRPr="005948DE">
        <w:rPr>
          <w:rFonts w:ascii="Times New Roman" w:hAnsi="Times New Roman" w:cs="Times New Roman"/>
          <w:color w:val="000000" w:themeColor="text1"/>
        </w:rPr>
        <w:t>and to</w:t>
      </w:r>
      <w:r w:rsidRPr="005948DE">
        <w:rPr>
          <w:rFonts w:ascii="Times New Roman" w:hAnsi="Times New Roman" w:cs="Times New Roman"/>
          <w:color w:val="000000" w:themeColor="text1"/>
        </w:rPr>
        <w:t xml:space="preserve"> help monitor progress. </w:t>
      </w:r>
      <w:r w:rsidR="00126225">
        <w:rPr>
          <w:rFonts w:ascii="Times New Roman" w:hAnsi="Times New Roman" w:cs="Times New Roman"/>
          <w:color w:val="000000" w:themeColor="text1"/>
        </w:rPr>
        <w:t xml:space="preserve">Trainings on </w:t>
      </w:r>
      <w:r w:rsidRPr="00126225">
        <w:rPr>
          <w:rFonts w:ascii="Times New Roman" w:hAnsi="Times New Roman" w:cs="Times New Roman"/>
          <w:color w:val="000000" w:themeColor="text1"/>
        </w:rPr>
        <w:t>PFM</w:t>
      </w:r>
      <w:r w:rsidRPr="005948DE">
        <w:rPr>
          <w:rFonts w:ascii="Times New Roman" w:hAnsi="Times New Roman" w:cs="Times New Roman"/>
          <w:color w:val="000000" w:themeColor="text1"/>
        </w:rPr>
        <w:t xml:space="preserve">, </w:t>
      </w:r>
      <w:r w:rsidR="00677EA9">
        <w:rPr>
          <w:rFonts w:ascii="Times New Roman" w:hAnsi="Times New Roman" w:cs="Times New Roman"/>
          <w:color w:val="000000" w:themeColor="text1"/>
        </w:rPr>
        <w:t xml:space="preserve">PIM, </w:t>
      </w:r>
      <w:r w:rsidRPr="005948DE">
        <w:rPr>
          <w:rFonts w:ascii="Times New Roman" w:hAnsi="Times New Roman" w:cs="Times New Roman"/>
          <w:color w:val="000000" w:themeColor="text1"/>
        </w:rPr>
        <w:t>procurement, SUMPs, engineering, contract management will be delivered on regular basis through the web page.</w:t>
      </w:r>
    </w:p>
    <w:p w14:paraId="357B875E" w14:textId="0283FAF8" w:rsidR="002A588D" w:rsidRPr="005948DE" w:rsidRDefault="002A588D" w:rsidP="005948DE">
      <w:pPr>
        <w:spacing w:after="120" w:line="276" w:lineRule="auto"/>
        <w:jc w:val="both"/>
        <w:rPr>
          <w:rFonts w:ascii="Times New Roman" w:hAnsi="Times New Roman" w:cs="Times New Roman"/>
        </w:rPr>
      </w:pPr>
      <w:r w:rsidRPr="005948DE">
        <w:rPr>
          <w:rFonts w:ascii="Times New Roman" w:eastAsia="Times New Roman" w:hAnsi="Times New Roman" w:cs="Times New Roman"/>
        </w:rPr>
        <w:t xml:space="preserve">The </w:t>
      </w:r>
      <w:r w:rsidRPr="005948DE">
        <w:rPr>
          <w:rFonts w:ascii="Times New Roman" w:hAnsi="Times New Roman" w:cs="Times New Roman"/>
        </w:rPr>
        <w:t>selection process for infrastructure investments comprises the following mandatory steps</w:t>
      </w:r>
      <w:r w:rsidR="00016618" w:rsidRPr="005948DE">
        <w:rPr>
          <w:rFonts w:ascii="Times New Roman" w:hAnsi="Times New Roman" w:cs="Times New Roman"/>
        </w:rPr>
        <w:t xml:space="preserve"> as provided in table </w:t>
      </w:r>
      <w:r w:rsidR="00A213C8">
        <w:rPr>
          <w:rFonts w:ascii="Times New Roman" w:hAnsi="Times New Roman" w:cs="Times New Roman"/>
        </w:rPr>
        <w:t xml:space="preserve">3 </w:t>
      </w:r>
      <w:r w:rsidR="00016618" w:rsidRPr="005948DE">
        <w:rPr>
          <w:rFonts w:ascii="Times New Roman" w:hAnsi="Times New Roman" w:cs="Times New Roman"/>
        </w:rPr>
        <w:t>below</w:t>
      </w:r>
      <w:r w:rsidRPr="005948DE">
        <w:rPr>
          <w:rFonts w:ascii="Times New Roman" w:hAnsi="Times New Roman" w:cs="Times New Roman"/>
        </w:rPr>
        <w:t>:</w:t>
      </w:r>
    </w:p>
    <w:p w14:paraId="5F04E09C" w14:textId="77777777" w:rsidR="002A588D" w:rsidRPr="005948DE" w:rsidRDefault="002A588D" w:rsidP="005948DE">
      <w:pPr>
        <w:spacing w:after="120" w:line="276" w:lineRule="auto"/>
        <w:jc w:val="both"/>
        <w:rPr>
          <w:rFonts w:ascii="Times New Roman" w:hAnsi="Times New Roman" w:cs="Times New Roman"/>
        </w:rPr>
        <w:sectPr w:rsidR="002A588D" w:rsidRPr="005948DE" w:rsidSect="002A588D">
          <w:footerReference w:type="default" r:id="rId21"/>
          <w:headerReference w:type="first" r:id="rId22"/>
          <w:pgSz w:w="11905" w:h="16837" w:code="9"/>
          <w:pgMar w:top="1134" w:right="1134" w:bottom="1134" w:left="1418" w:header="510" w:footer="340" w:gutter="0"/>
          <w:cols w:space="720"/>
          <w:titlePg/>
          <w:docGrid w:linePitch="326"/>
        </w:sectPr>
      </w:pPr>
    </w:p>
    <w:p w14:paraId="23284C02" w14:textId="1E68A36F" w:rsidR="00016618" w:rsidRPr="00A213C8" w:rsidRDefault="00016618" w:rsidP="005948DE">
      <w:pPr>
        <w:pStyle w:val="Caption"/>
        <w:spacing w:line="276" w:lineRule="auto"/>
        <w:jc w:val="both"/>
        <w:rPr>
          <w:rFonts w:ascii="Times New Roman" w:hAnsi="Times New Roman" w:cs="Times New Roman"/>
          <w:color w:val="auto"/>
        </w:rPr>
      </w:pPr>
      <w:r w:rsidRPr="00A213C8">
        <w:rPr>
          <w:rFonts w:ascii="Times New Roman" w:hAnsi="Times New Roman" w:cs="Times New Roman"/>
          <w:color w:val="auto"/>
        </w:rPr>
        <w:t xml:space="preserve">Table </w:t>
      </w:r>
      <w:r w:rsidRPr="00A213C8">
        <w:rPr>
          <w:rFonts w:ascii="Times New Roman" w:hAnsi="Times New Roman" w:cs="Times New Roman"/>
          <w:color w:val="auto"/>
        </w:rPr>
        <w:fldChar w:fldCharType="begin"/>
      </w:r>
      <w:r w:rsidRPr="00A213C8">
        <w:rPr>
          <w:rFonts w:ascii="Times New Roman" w:hAnsi="Times New Roman" w:cs="Times New Roman"/>
          <w:color w:val="auto"/>
        </w:rPr>
        <w:instrText xml:space="preserve"> SEQ Table \* ARABIC </w:instrText>
      </w:r>
      <w:r w:rsidRPr="00A213C8">
        <w:rPr>
          <w:rFonts w:ascii="Times New Roman" w:hAnsi="Times New Roman" w:cs="Times New Roman"/>
          <w:color w:val="auto"/>
        </w:rPr>
        <w:fldChar w:fldCharType="separate"/>
      </w:r>
      <w:r w:rsidR="00A07DB4" w:rsidRPr="00A213C8">
        <w:rPr>
          <w:rFonts w:ascii="Times New Roman" w:hAnsi="Times New Roman" w:cs="Times New Roman"/>
          <w:noProof/>
          <w:color w:val="auto"/>
        </w:rPr>
        <w:t>3</w:t>
      </w:r>
      <w:r w:rsidRPr="00A213C8">
        <w:rPr>
          <w:rFonts w:ascii="Times New Roman" w:hAnsi="Times New Roman" w:cs="Times New Roman"/>
          <w:color w:val="auto"/>
        </w:rPr>
        <w:fldChar w:fldCharType="end"/>
      </w:r>
      <w:r w:rsidRPr="00A213C8">
        <w:rPr>
          <w:rFonts w:ascii="Times New Roman" w:hAnsi="Times New Roman" w:cs="Times New Roman"/>
          <w:color w:val="auto"/>
        </w:rPr>
        <w:t>: Selection and approval STEPS</w:t>
      </w:r>
    </w:p>
    <w:tbl>
      <w:tblPr>
        <w:tblStyle w:val="TableGrid"/>
        <w:tblW w:w="14992" w:type="dxa"/>
        <w:tblBorders>
          <w:top w:val="single" w:sz="2" w:space="0" w:color="auto"/>
          <w:left w:val="single" w:sz="2" w:space="0" w:color="auto"/>
          <w:bottom w:val="single" w:sz="2" w:space="0" w:color="auto"/>
          <w:right w:val="single" w:sz="2" w:space="0" w:color="auto"/>
          <w:insideH w:val="dotted" w:sz="2" w:space="0" w:color="auto"/>
          <w:insideV w:val="dotted" w:sz="2" w:space="0" w:color="auto"/>
        </w:tblBorders>
        <w:tblCellMar>
          <w:top w:w="28" w:type="dxa"/>
          <w:left w:w="28" w:type="dxa"/>
          <w:bottom w:w="28" w:type="dxa"/>
          <w:right w:w="28" w:type="dxa"/>
        </w:tblCellMar>
        <w:tblLook w:val="04A0" w:firstRow="1" w:lastRow="0" w:firstColumn="1" w:lastColumn="0" w:noHBand="0" w:noVBand="1"/>
      </w:tblPr>
      <w:tblGrid>
        <w:gridCol w:w="730"/>
        <w:gridCol w:w="3631"/>
        <w:gridCol w:w="3301"/>
        <w:gridCol w:w="7330"/>
      </w:tblGrid>
      <w:tr w:rsidR="00016618" w:rsidRPr="005948DE" w14:paraId="512E9D39" w14:textId="77777777" w:rsidTr="00BD438F">
        <w:trPr>
          <w:trHeight w:val="397"/>
          <w:tblHeader/>
        </w:trPr>
        <w:tc>
          <w:tcPr>
            <w:tcW w:w="730" w:type="dxa"/>
            <w:tcBorders>
              <w:top w:val="single" w:sz="2" w:space="0" w:color="auto"/>
              <w:bottom w:val="single" w:sz="2" w:space="0" w:color="auto"/>
            </w:tcBorders>
            <w:shd w:val="clear" w:color="auto" w:fill="E5DFEC" w:themeFill="accent4" w:themeFillTint="33"/>
            <w:vAlign w:val="center"/>
          </w:tcPr>
          <w:p w14:paraId="332A9709" w14:textId="77777777" w:rsidR="00016618" w:rsidRPr="00655FB8" w:rsidRDefault="00016618" w:rsidP="005948DE">
            <w:pPr>
              <w:spacing w:after="0" w:line="276" w:lineRule="auto"/>
              <w:jc w:val="both"/>
              <w:rPr>
                <w:rFonts w:ascii="Times New Roman" w:hAnsi="Times New Roman" w:cs="Times New Roman"/>
                <w:b/>
              </w:rPr>
            </w:pPr>
            <w:r w:rsidRPr="00655FB8">
              <w:rPr>
                <w:rFonts w:ascii="Times New Roman" w:hAnsi="Times New Roman" w:cs="Times New Roman"/>
                <w:b/>
              </w:rPr>
              <w:t>STEP</w:t>
            </w:r>
          </w:p>
        </w:tc>
        <w:tc>
          <w:tcPr>
            <w:tcW w:w="3631" w:type="dxa"/>
            <w:tcBorders>
              <w:top w:val="single" w:sz="2" w:space="0" w:color="auto"/>
              <w:bottom w:val="single" w:sz="2" w:space="0" w:color="auto"/>
            </w:tcBorders>
            <w:shd w:val="clear" w:color="auto" w:fill="E5DFEC" w:themeFill="accent4" w:themeFillTint="33"/>
            <w:vAlign w:val="center"/>
          </w:tcPr>
          <w:p w14:paraId="03F0FA8E" w14:textId="77777777" w:rsidR="00016618" w:rsidRPr="0098570E" w:rsidRDefault="00016618" w:rsidP="005948DE">
            <w:pPr>
              <w:spacing w:after="0" w:line="276" w:lineRule="auto"/>
              <w:ind w:right="52"/>
              <w:jc w:val="both"/>
              <w:rPr>
                <w:rFonts w:ascii="Times New Roman" w:hAnsi="Times New Roman" w:cs="Times New Roman"/>
                <w:b/>
              </w:rPr>
            </w:pPr>
            <w:r w:rsidRPr="0098570E">
              <w:rPr>
                <w:rFonts w:ascii="Times New Roman" w:hAnsi="Times New Roman" w:cs="Times New Roman"/>
                <w:b/>
              </w:rPr>
              <w:t>ACTIVITY</w:t>
            </w:r>
          </w:p>
        </w:tc>
        <w:tc>
          <w:tcPr>
            <w:tcW w:w="3301" w:type="dxa"/>
            <w:tcBorders>
              <w:top w:val="single" w:sz="2" w:space="0" w:color="auto"/>
              <w:bottom w:val="single" w:sz="2" w:space="0" w:color="auto"/>
            </w:tcBorders>
            <w:shd w:val="clear" w:color="auto" w:fill="E5DFEC" w:themeFill="accent4" w:themeFillTint="33"/>
            <w:vAlign w:val="center"/>
          </w:tcPr>
          <w:p w14:paraId="4EC8DB99" w14:textId="77777777" w:rsidR="00016618" w:rsidRPr="007F435F" w:rsidRDefault="00016618" w:rsidP="005948DE">
            <w:pPr>
              <w:spacing w:after="0" w:line="276" w:lineRule="auto"/>
              <w:ind w:right="93"/>
              <w:jc w:val="both"/>
              <w:rPr>
                <w:rFonts w:ascii="Times New Roman" w:hAnsi="Times New Roman" w:cs="Times New Roman"/>
                <w:b/>
              </w:rPr>
            </w:pPr>
            <w:r w:rsidRPr="007F435F">
              <w:rPr>
                <w:rFonts w:ascii="Times New Roman" w:hAnsi="Times New Roman" w:cs="Times New Roman"/>
                <w:b/>
              </w:rPr>
              <w:t>RESPONSIBILITY</w:t>
            </w:r>
          </w:p>
        </w:tc>
        <w:tc>
          <w:tcPr>
            <w:tcW w:w="7330" w:type="dxa"/>
            <w:tcBorders>
              <w:top w:val="single" w:sz="2" w:space="0" w:color="auto"/>
              <w:bottom w:val="single" w:sz="2" w:space="0" w:color="auto"/>
            </w:tcBorders>
            <w:shd w:val="clear" w:color="auto" w:fill="E5DFEC" w:themeFill="accent4" w:themeFillTint="33"/>
            <w:vAlign w:val="center"/>
          </w:tcPr>
          <w:p w14:paraId="0A9D5766" w14:textId="77777777" w:rsidR="00016618" w:rsidRPr="00D31D43" w:rsidRDefault="00016618" w:rsidP="005948DE">
            <w:pPr>
              <w:spacing w:after="0" w:line="276" w:lineRule="auto"/>
              <w:jc w:val="both"/>
              <w:rPr>
                <w:rFonts w:ascii="Times New Roman" w:hAnsi="Times New Roman" w:cs="Times New Roman"/>
                <w:b/>
              </w:rPr>
            </w:pPr>
            <w:r w:rsidRPr="00D31D43">
              <w:rPr>
                <w:rFonts w:ascii="Times New Roman" w:hAnsi="Times New Roman" w:cs="Times New Roman"/>
                <w:b/>
              </w:rPr>
              <w:t>OUTCOME/RESULT</w:t>
            </w:r>
          </w:p>
        </w:tc>
      </w:tr>
      <w:tr w:rsidR="00016618" w:rsidRPr="005948DE" w14:paraId="4191FACD" w14:textId="77777777" w:rsidTr="00BD438F">
        <w:trPr>
          <w:trHeight w:val="397"/>
        </w:trPr>
        <w:tc>
          <w:tcPr>
            <w:tcW w:w="730" w:type="dxa"/>
            <w:tcBorders>
              <w:top w:val="single" w:sz="2" w:space="0" w:color="auto"/>
            </w:tcBorders>
          </w:tcPr>
          <w:p w14:paraId="04528441"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Borders>
              <w:top w:val="single" w:sz="2" w:space="0" w:color="auto"/>
            </w:tcBorders>
          </w:tcPr>
          <w:p w14:paraId="6CA85E58"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Call for Proposal </w:t>
            </w:r>
          </w:p>
        </w:tc>
        <w:tc>
          <w:tcPr>
            <w:tcW w:w="3301" w:type="dxa"/>
            <w:tcBorders>
              <w:top w:val="single" w:sz="2" w:space="0" w:color="auto"/>
            </w:tcBorders>
          </w:tcPr>
          <w:p w14:paraId="123840AB" w14:textId="77777777" w:rsidR="00016618" w:rsidRPr="007F435F"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MCTI/PIU</w:t>
            </w:r>
          </w:p>
        </w:tc>
        <w:tc>
          <w:tcPr>
            <w:tcW w:w="7330" w:type="dxa"/>
            <w:tcBorders>
              <w:top w:val="single" w:sz="2" w:space="0" w:color="auto"/>
            </w:tcBorders>
          </w:tcPr>
          <w:p w14:paraId="14488029" w14:textId="77777777" w:rsidR="00655FB8" w:rsidRDefault="00016618" w:rsidP="005948DE">
            <w:pPr>
              <w:spacing w:after="120" w:line="276" w:lineRule="auto"/>
              <w:jc w:val="both"/>
              <w:rPr>
                <w:rFonts w:ascii="Times New Roman" w:hAnsi="Times New Roman" w:cs="Times New Roman"/>
                <w:color w:val="000000" w:themeColor="text1"/>
              </w:rPr>
            </w:pPr>
            <w:r w:rsidRPr="00D31D43">
              <w:rPr>
                <w:rFonts w:ascii="Times New Roman" w:hAnsi="Times New Roman" w:cs="Times New Roman"/>
              </w:rPr>
              <w:t xml:space="preserve">Sharing project information including eligibility criteria, date for submission and deadline for </w:t>
            </w:r>
            <w:r w:rsidRPr="00D31D43">
              <w:rPr>
                <w:rFonts w:ascii="Times New Roman" w:hAnsi="Times New Roman" w:cs="Times New Roman"/>
                <w:color w:val="000000" w:themeColor="text1"/>
              </w:rPr>
              <w:t>submission</w:t>
            </w:r>
            <w:r w:rsidR="00655FB8">
              <w:rPr>
                <w:rFonts w:ascii="Times New Roman" w:hAnsi="Times New Roman" w:cs="Times New Roman"/>
                <w:color w:val="000000" w:themeColor="text1"/>
              </w:rPr>
              <w:t>.</w:t>
            </w:r>
            <w:r w:rsidRPr="00655FB8">
              <w:rPr>
                <w:rFonts w:ascii="Times New Roman" w:hAnsi="Times New Roman" w:cs="Times New Roman"/>
                <w:color w:val="000000" w:themeColor="text1"/>
              </w:rPr>
              <w:t xml:space="preserve"> </w:t>
            </w:r>
          </w:p>
          <w:p w14:paraId="1315ACC7" w14:textId="3E5E3642" w:rsidR="00016618" w:rsidRPr="007F435F" w:rsidRDefault="00655FB8" w:rsidP="005948DE">
            <w:pPr>
              <w:spacing w:after="120" w:line="276" w:lineRule="auto"/>
              <w:jc w:val="both"/>
              <w:rPr>
                <w:rFonts w:ascii="Times New Roman" w:hAnsi="Times New Roman" w:cs="Times New Roman"/>
              </w:rPr>
            </w:pPr>
            <w:r>
              <w:rPr>
                <w:rFonts w:ascii="Times New Roman" w:hAnsi="Times New Roman" w:cs="Times New Roman"/>
                <w:color w:val="000000" w:themeColor="text1"/>
              </w:rPr>
              <w:t>T</w:t>
            </w:r>
            <w:r w:rsidR="00016618" w:rsidRPr="00655FB8">
              <w:rPr>
                <w:rFonts w:ascii="Times New Roman" w:hAnsi="Times New Roman" w:cs="Times New Roman"/>
                <w:color w:val="000000" w:themeColor="text1"/>
              </w:rPr>
              <w:t xml:space="preserve">he defined criteria with weighting for selection and prioritization will be developed and shared with </w:t>
            </w:r>
            <w:r w:rsidR="00677EA9" w:rsidRPr="00655FB8">
              <w:rPr>
                <w:rFonts w:ascii="Times New Roman" w:hAnsi="Times New Roman" w:cs="Times New Roman"/>
                <w:color w:val="000000" w:themeColor="text1"/>
              </w:rPr>
              <w:t xml:space="preserve">the </w:t>
            </w:r>
            <w:r w:rsidR="00016618" w:rsidRPr="00655FB8">
              <w:rPr>
                <w:rFonts w:ascii="Times New Roman" w:hAnsi="Times New Roman" w:cs="Times New Roman"/>
                <w:color w:val="000000" w:themeColor="text1"/>
              </w:rPr>
              <w:t>LSGs and will be prerequisite for selection of</w:t>
            </w:r>
            <w:r w:rsidR="0060294B" w:rsidRPr="00655FB8">
              <w:rPr>
                <w:rFonts w:ascii="Times New Roman" w:hAnsi="Times New Roman" w:cs="Times New Roman"/>
                <w:color w:val="000000" w:themeColor="text1"/>
              </w:rPr>
              <w:t xml:space="preserve"> eligible investments</w:t>
            </w:r>
            <w:r w:rsidR="00016618" w:rsidRPr="0098570E">
              <w:rPr>
                <w:rFonts w:ascii="Times New Roman" w:hAnsi="Times New Roman" w:cs="Times New Roman"/>
                <w:color w:val="000000" w:themeColor="text1"/>
              </w:rPr>
              <w:t xml:space="preserve"> that will be covered.</w:t>
            </w:r>
          </w:p>
        </w:tc>
      </w:tr>
      <w:tr w:rsidR="00016618" w:rsidRPr="005948DE" w14:paraId="74444BB7" w14:textId="77777777" w:rsidTr="00BD438F">
        <w:trPr>
          <w:trHeight w:val="397"/>
        </w:trPr>
        <w:tc>
          <w:tcPr>
            <w:tcW w:w="730" w:type="dxa"/>
          </w:tcPr>
          <w:p w14:paraId="184F6045"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382CE9B8"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Submission of proposal /Expression of interest together with Self-assessment </w:t>
            </w:r>
          </w:p>
        </w:tc>
        <w:tc>
          <w:tcPr>
            <w:tcW w:w="3301" w:type="dxa"/>
          </w:tcPr>
          <w:p w14:paraId="2E0F0998" w14:textId="77777777" w:rsidR="00016618" w:rsidRPr="007F435F"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 xml:space="preserve">LSG </w:t>
            </w:r>
          </w:p>
          <w:p w14:paraId="11EFC637" w14:textId="77777777" w:rsidR="00016618" w:rsidRPr="00D31D43"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SCTM</w:t>
            </w:r>
          </w:p>
          <w:p w14:paraId="3693F616" w14:textId="7E444CDD" w:rsidR="00016618" w:rsidRPr="00655FB8" w:rsidRDefault="00016618" w:rsidP="005948DE">
            <w:pPr>
              <w:spacing w:after="120" w:line="276" w:lineRule="auto"/>
              <w:jc w:val="both"/>
              <w:rPr>
                <w:rFonts w:ascii="Times New Roman" w:hAnsi="Times New Roman" w:cs="Times New Roman"/>
              </w:rPr>
            </w:pPr>
            <w:r w:rsidRPr="00665F55">
              <w:rPr>
                <w:rFonts w:ascii="Times New Roman" w:eastAsia="Times New Roman" w:hAnsi="Times New Roman" w:cs="Times New Roman"/>
              </w:rPr>
              <w:t>Targeted TA</w:t>
            </w:r>
            <w:r w:rsidR="00787027">
              <w:rPr>
                <w:rFonts w:ascii="Times New Roman" w:eastAsia="Times New Roman" w:hAnsi="Times New Roman" w:cs="Times New Roman"/>
              </w:rPr>
              <w:t xml:space="preserve"> - </w:t>
            </w:r>
            <w:r w:rsidRPr="00665F55">
              <w:rPr>
                <w:rFonts w:ascii="Times New Roman" w:eastAsia="Times New Roman" w:hAnsi="Times New Roman" w:cs="Times New Roman"/>
              </w:rPr>
              <w:t xml:space="preserve">Consultant to support the early identification and </w:t>
            </w:r>
            <w:r w:rsidR="00655FB8">
              <w:rPr>
                <w:rFonts w:ascii="Times New Roman" w:eastAsia="Times New Roman" w:hAnsi="Times New Roman" w:cs="Times New Roman"/>
              </w:rPr>
              <w:t xml:space="preserve">the </w:t>
            </w:r>
            <w:r w:rsidRPr="00665F55">
              <w:rPr>
                <w:rFonts w:ascii="Times New Roman" w:eastAsia="Times New Roman" w:hAnsi="Times New Roman" w:cs="Times New Roman"/>
              </w:rPr>
              <w:t>preparation of LSG investment infrastructure investments</w:t>
            </w:r>
          </w:p>
        </w:tc>
        <w:tc>
          <w:tcPr>
            <w:tcW w:w="7330" w:type="dxa"/>
          </w:tcPr>
          <w:p w14:paraId="6554761E" w14:textId="54E84CAD" w:rsidR="00016618" w:rsidRPr="00655FB8" w:rsidRDefault="00016618" w:rsidP="005948DE">
            <w:pPr>
              <w:spacing w:after="120" w:line="276" w:lineRule="auto"/>
              <w:jc w:val="both"/>
              <w:rPr>
                <w:rFonts w:ascii="Times New Roman" w:hAnsi="Times New Roman" w:cs="Times New Roman"/>
              </w:rPr>
            </w:pPr>
            <w:r w:rsidRPr="00655FB8">
              <w:rPr>
                <w:rFonts w:ascii="Times New Roman" w:hAnsi="Times New Roman" w:cs="Times New Roman"/>
              </w:rPr>
              <w:t>Identification of viable and eligible infrastructure investments in line with the Project targets</w:t>
            </w:r>
            <w:r w:rsidR="00655FB8">
              <w:rPr>
                <w:rFonts w:ascii="Times New Roman" w:hAnsi="Times New Roman" w:cs="Times New Roman"/>
              </w:rPr>
              <w:t>.</w:t>
            </w:r>
          </w:p>
        </w:tc>
      </w:tr>
      <w:tr w:rsidR="00016618" w:rsidRPr="005948DE" w14:paraId="6EE3A639" w14:textId="77777777" w:rsidTr="00BD438F">
        <w:trPr>
          <w:trHeight w:val="397"/>
        </w:trPr>
        <w:tc>
          <w:tcPr>
            <w:tcW w:w="730" w:type="dxa"/>
          </w:tcPr>
          <w:p w14:paraId="7B199E1E"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20D3E1CE" w14:textId="56949E79" w:rsidR="00016618" w:rsidRPr="007F435F" w:rsidRDefault="00081447" w:rsidP="005948DE">
            <w:pPr>
              <w:spacing w:after="120" w:line="276" w:lineRule="auto"/>
              <w:jc w:val="both"/>
              <w:rPr>
                <w:rFonts w:ascii="Times New Roman" w:hAnsi="Times New Roman" w:cs="Times New Roman"/>
                <w:b/>
              </w:rPr>
            </w:pPr>
            <w:r w:rsidRPr="0098570E">
              <w:rPr>
                <w:rFonts w:ascii="Times New Roman" w:hAnsi="Times New Roman" w:cs="Times New Roman"/>
                <w:b/>
              </w:rPr>
              <w:t>Assessment and budgeting</w:t>
            </w:r>
          </w:p>
        </w:tc>
        <w:tc>
          <w:tcPr>
            <w:tcW w:w="3301" w:type="dxa"/>
          </w:tcPr>
          <w:p w14:paraId="7B8A6DE1" w14:textId="77777777" w:rsidR="00016618" w:rsidRPr="00D31D43"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PIU</w:t>
            </w:r>
          </w:p>
        </w:tc>
        <w:tc>
          <w:tcPr>
            <w:tcW w:w="7330" w:type="dxa"/>
          </w:tcPr>
          <w:p w14:paraId="08A64CF9" w14:textId="1D45B8D7" w:rsidR="00016618" w:rsidRPr="00655FB8"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 xml:space="preserve">Application of formula </w:t>
            </w:r>
            <w:r w:rsidR="00655FB8">
              <w:rPr>
                <w:rFonts w:ascii="Times New Roman" w:hAnsi="Times New Roman" w:cs="Times New Roman"/>
              </w:rPr>
              <w:t xml:space="preserve">defined </w:t>
            </w:r>
            <w:r w:rsidRPr="00655FB8">
              <w:rPr>
                <w:rFonts w:ascii="Times New Roman" w:hAnsi="Times New Roman" w:cs="Times New Roman"/>
              </w:rPr>
              <w:t xml:space="preserve">in </w:t>
            </w:r>
            <w:r w:rsidR="00655FB8">
              <w:rPr>
                <w:rFonts w:ascii="Times New Roman" w:hAnsi="Times New Roman" w:cs="Times New Roman"/>
              </w:rPr>
              <w:t xml:space="preserve">the </w:t>
            </w:r>
            <w:r w:rsidRPr="00655FB8">
              <w:rPr>
                <w:rFonts w:ascii="Times New Roman" w:hAnsi="Times New Roman" w:cs="Times New Roman"/>
              </w:rPr>
              <w:t>Annex 1</w:t>
            </w:r>
            <w:r w:rsidR="00E2669C" w:rsidRPr="00655FB8">
              <w:rPr>
                <w:rFonts w:ascii="Times New Roman" w:hAnsi="Times New Roman" w:cs="Times New Roman"/>
              </w:rPr>
              <w:t>0</w:t>
            </w:r>
            <w:r w:rsidRPr="00655FB8">
              <w:rPr>
                <w:rFonts w:ascii="Times New Roman" w:hAnsi="Times New Roman" w:cs="Times New Roman"/>
              </w:rPr>
              <w:t xml:space="preserve"> to determine the maximum grant value </w:t>
            </w:r>
            <w:r w:rsidR="00655FB8">
              <w:rPr>
                <w:rFonts w:ascii="Times New Roman" w:hAnsi="Times New Roman" w:cs="Times New Roman"/>
              </w:rPr>
              <w:t>each</w:t>
            </w:r>
            <w:r w:rsidRPr="00655FB8">
              <w:rPr>
                <w:rFonts w:ascii="Times New Roman" w:hAnsi="Times New Roman" w:cs="Times New Roman"/>
              </w:rPr>
              <w:t xml:space="preserve"> LSG may receive for eligible infrastructure investments</w:t>
            </w:r>
            <w:r w:rsidR="00655FB8">
              <w:rPr>
                <w:rFonts w:ascii="Times New Roman" w:hAnsi="Times New Roman" w:cs="Times New Roman"/>
              </w:rPr>
              <w:t>.</w:t>
            </w:r>
            <w:r w:rsidRPr="00655FB8">
              <w:rPr>
                <w:rFonts w:ascii="Times New Roman" w:hAnsi="Times New Roman" w:cs="Times New Roman"/>
              </w:rPr>
              <w:t xml:space="preserve"> </w:t>
            </w:r>
          </w:p>
        </w:tc>
      </w:tr>
      <w:tr w:rsidR="00016618" w:rsidRPr="005948DE" w14:paraId="64A07D65" w14:textId="77777777" w:rsidTr="00BD438F">
        <w:trPr>
          <w:trHeight w:val="397"/>
        </w:trPr>
        <w:tc>
          <w:tcPr>
            <w:tcW w:w="730" w:type="dxa"/>
          </w:tcPr>
          <w:p w14:paraId="2E6CDAA2"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210C517E"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Assessment of technical eligibility</w:t>
            </w:r>
          </w:p>
        </w:tc>
        <w:tc>
          <w:tcPr>
            <w:tcW w:w="3301" w:type="dxa"/>
          </w:tcPr>
          <w:p w14:paraId="709F240A" w14:textId="77777777" w:rsidR="00016618" w:rsidRPr="00EA79C9" w:rsidRDefault="00016618" w:rsidP="005948DE">
            <w:pPr>
              <w:spacing w:after="120" w:line="276" w:lineRule="auto"/>
              <w:jc w:val="both"/>
              <w:rPr>
                <w:rFonts w:ascii="Times New Roman" w:hAnsi="Times New Roman" w:cs="Times New Roman"/>
                <w:vertAlign w:val="superscript"/>
              </w:rPr>
            </w:pPr>
            <w:r w:rsidRPr="007F435F">
              <w:rPr>
                <w:rFonts w:ascii="Times New Roman" w:hAnsi="Times New Roman" w:cs="Times New Roman"/>
              </w:rPr>
              <w:t xml:space="preserve">SCTM </w:t>
            </w:r>
          </w:p>
          <w:p w14:paraId="24368899" w14:textId="77777777" w:rsidR="00016618" w:rsidRPr="00D31D43"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PIU</w:t>
            </w:r>
          </w:p>
          <w:p w14:paraId="5B231DE3" w14:textId="667B084B" w:rsidR="00016618" w:rsidRPr="00655FB8" w:rsidRDefault="00016618" w:rsidP="005948DE">
            <w:pPr>
              <w:spacing w:after="120" w:line="276" w:lineRule="auto"/>
              <w:jc w:val="both"/>
              <w:rPr>
                <w:rFonts w:ascii="Times New Roman" w:hAnsi="Times New Roman" w:cs="Times New Roman"/>
              </w:rPr>
            </w:pPr>
            <w:r w:rsidRPr="00665F55">
              <w:rPr>
                <w:rFonts w:ascii="Times New Roman" w:eastAsia="Times New Roman" w:hAnsi="Times New Roman" w:cs="Times New Roman"/>
              </w:rPr>
              <w:t>Targeted TA</w:t>
            </w:r>
            <w:r w:rsidR="00787027">
              <w:rPr>
                <w:rFonts w:ascii="Times New Roman" w:eastAsia="Times New Roman" w:hAnsi="Times New Roman" w:cs="Times New Roman"/>
              </w:rPr>
              <w:t xml:space="preserve"> -</w:t>
            </w:r>
            <w:r w:rsidRPr="00665F55">
              <w:rPr>
                <w:rFonts w:ascii="Times New Roman" w:eastAsia="Times New Roman" w:hAnsi="Times New Roman" w:cs="Times New Roman"/>
              </w:rPr>
              <w:t xml:space="preserve"> Consultant to support the early identification and preparation of LSG investment infrastructure investments</w:t>
            </w:r>
          </w:p>
        </w:tc>
        <w:tc>
          <w:tcPr>
            <w:tcW w:w="7330" w:type="dxa"/>
          </w:tcPr>
          <w:p w14:paraId="455EE4A1" w14:textId="66B91F1E" w:rsidR="00655FB8" w:rsidRPr="00665F55" w:rsidRDefault="00655FB8" w:rsidP="00665F55">
            <w:pPr>
              <w:spacing w:after="120" w:line="276" w:lineRule="auto"/>
              <w:jc w:val="both"/>
              <w:rPr>
                <w:rFonts w:ascii="Times New Roman" w:hAnsi="Times New Roman" w:cs="Times New Roman"/>
              </w:rPr>
            </w:pPr>
            <w:r>
              <w:rPr>
                <w:rFonts w:ascii="Times New Roman" w:hAnsi="Times New Roman" w:cs="Times New Roman"/>
              </w:rPr>
              <w:t>Possible decisions:</w:t>
            </w:r>
          </w:p>
          <w:p w14:paraId="6D3E722B" w14:textId="77777777" w:rsidR="00016618" w:rsidRPr="00655FB8" w:rsidRDefault="00016618" w:rsidP="005948DE">
            <w:pPr>
              <w:pStyle w:val="ListParagraph"/>
              <w:numPr>
                <w:ilvl w:val="1"/>
                <w:numId w:val="268"/>
              </w:numPr>
              <w:spacing w:after="120" w:line="276" w:lineRule="auto"/>
              <w:ind w:left="206" w:hanging="206"/>
              <w:jc w:val="both"/>
              <w:rPr>
                <w:rFonts w:ascii="Times New Roman" w:hAnsi="Times New Roman" w:cs="Times New Roman"/>
              </w:rPr>
            </w:pPr>
            <w:r w:rsidRPr="00655FB8">
              <w:rPr>
                <w:rFonts w:ascii="Times New Roman" w:hAnsi="Times New Roman" w:cs="Times New Roman"/>
              </w:rPr>
              <w:t>Decision that proposed infrastructure investment is not eligible (in this case the LSG is informed that the proposed infrastructure investment is dropped).</w:t>
            </w:r>
          </w:p>
          <w:p w14:paraId="0FAEBA42" w14:textId="77777777" w:rsidR="00016618" w:rsidRPr="00655FB8" w:rsidRDefault="00016618" w:rsidP="005948DE">
            <w:pPr>
              <w:pStyle w:val="ListParagraph"/>
              <w:numPr>
                <w:ilvl w:val="1"/>
                <w:numId w:val="268"/>
              </w:numPr>
              <w:spacing w:after="120" w:line="276" w:lineRule="auto"/>
              <w:ind w:left="206" w:hanging="206"/>
              <w:jc w:val="both"/>
              <w:rPr>
                <w:rFonts w:ascii="Times New Roman" w:hAnsi="Times New Roman" w:cs="Times New Roman"/>
              </w:rPr>
            </w:pPr>
            <w:r w:rsidRPr="00655FB8">
              <w:rPr>
                <w:rFonts w:ascii="Times New Roman" w:hAnsi="Times New Roman" w:cs="Times New Roman"/>
              </w:rPr>
              <w:t xml:space="preserve">Decision that the proposed infrastructure investment may be eligible subject to further technical adjustments and improvements. Documentation sent back to LSG for adjustments with the support of TA </w:t>
            </w:r>
          </w:p>
          <w:p w14:paraId="3D2C3956" w14:textId="77777777" w:rsidR="00016618" w:rsidRPr="0098570E" w:rsidRDefault="00016618" w:rsidP="005948DE">
            <w:pPr>
              <w:pStyle w:val="ListParagraph"/>
              <w:numPr>
                <w:ilvl w:val="1"/>
                <w:numId w:val="268"/>
              </w:numPr>
              <w:spacing w:after="120" w:line="276" w:lineRule="auto"/>
              <w:ind w:left="206" w:hanging="206"/>
              <w:jc w:val="both"/>
              <w:rPr>
                <w:rFonts w:ascii="Times New Roman" w:hAnsi="Times New Roman" w:cs="Times New Roman"/>
              </w:rPr>
            </w:pPr>
            <w:r w:rsidRPr="0098570E">
              <w:rPr>
                <w:rFonts w:ascii="Times New Roman" w:hAnsi="Times New Roman" w:cs="Times New Roman"/>
              </w:rPr>
              <w:t xml:space="preserve">Decision that the proposed infrastructure investment meets the technical eligibility criteria. </w:t>
            </w:r>
          </w:p>
        </w:tc>
      </w:tr>
      <w:tr w:rsidR="00016618" w:rsidRPr="005948DE" w14:paraId="4C0D1A98" w14:textId="77777777" w:rsidTr="00BD438F">
        <w:trPr>
          <w:trHeight w:val="397"/>
        </w:trPr>
        <w:tc>
          <w:tcPr>
            <w:tcW w:w="730" w:type="dxa"/>
          </w:tcPr>
          <w:p w14:paraId="7BF76DC5"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5E3B15DA" w14:textId="77777777" w:rsidR="00016618" w:rsidRPr="007F435F"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Environmenta</w:t>
            </w:r>
            <w:r w:rsidRPr="007F435F">
              <w:rPr>
                <w:rFonts w:ascii="Times New Roman" w:hAnsi="Times New Roman" w:cs="Times New Roman"/>
                <w:b/>
              </w:rPr>
              <w:t>l and social screening and risk assessment</w:t>
            </w:r>
          </w:p>
        </w:tc>
        <w:tc>
          <w:tcPr>
            <w:tcW w:w="3301" w:type="dxa"/>
          </w:tcPr>
          <w:p w14:paraId="1BC22CA1" w14:textId="77AA7E27" w:rsidR="00016618" w:rsidRPr="00655FB8"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 xml:space="preserve">PIU through their Environmental specialists and Social </w:t>
            </w:r>
            <w:r w:rsidR="00655FB8">
              <w:rPr>
                <w:rFonts w:ascii="Times New Roman" w:hAnsi="Times New Roman" w:cs="Times New Roman"/>
              </w:rPr>
              <w:t>S</w:t>
            </w:r>
            <w:r w:rsidR="00655FB8" w:rsidRPr="00655FB8">
              <w:rPr>
                <w:rFonts w:ascii="Times New Roman" w:hAnsi="Times New Roman" w:cs="Times New Roman"/>
              </w:rPr>
              <w:t xml:space="preserve">afeguard </w:t>
            </w:r>
            <w:r w:rsidRPr="00655FB8">
              <w:rPr>
                <w:rFonts w:ascii="Times New Roman" w:hAnsi="Times New Roman" w:cs="Times New Roman"/>
              </w:rPr>
              <w:t xml:space="preserve">and </w:t>
            </w:r>
            <w:r w:rsidR="00655FB8">
              <w:rPr>
                <w:rFonts w:ascii="Times New Roman" w:hAnsi="Times New Roman" w:cs="Times New Roman"/>
              </w:rPr>
              <w:t>C</w:t>
            </w:r>
            <w:r w:rsidR="00655FB8" w:rsidRPr="00655FB8">
              <w:rPr>
                <w:rFonts w:ascii="Times New Roman" w:hAnsi="Times New Roman" w:cs="Times New Roman"/>
              </w:rPr>
              <w:t xml:space="preserve">itizen </w:t>
            </w:r>
            <w:r w:rsidR="00655FB8">
              <w:rPr>
                <w:rFonts w:ascii="Times New Roman" w:hAnsi="Times New Roman" w:cs="Times New Roman"/>
              </w:rPr>
              <w:t>E</w:t>
            </w:r>
            <w:r w:rsidR="00655FB8" w:rsidRPr="00655FB8">
              <w:rPr>
                <w:rFonts w:ascii="Times New Roman" w:hAnsi="Times New Roman" w:cs="Times New Roman"/>
              </w:rPr>
              <w:t xml:space="preserve">ngagement </w:t>
            </w:r>
            <w:r w:rsidRPr="00655FB8">
              <w:rPr>
                <w:rFonts w:ascii="Times New Roman" w:hAnsi="Times New Roman" w:cs="Times New Roman"/>
              </w:rPr>
              <w:t xml:space="preserve">specialist </w:t>
            </w:r>
          </w:p>
        </w:tc>
        <w:tc>
          <w:tcPr>
            <w:tcW w:w="7330" w:type="dxa"/>
          </w:tcPr>
          <w:p w14:paraId="12635D87" w14:textId="77777777" w:rsidR="00655FB8" w:rsidRPr="00EE61AC" w:rsidRDefault="00655FB8" w:rsidP="00655FB8">
            <w:pPr>
              <w:spacing w:after="120" w:line="276" w:lineRule="auto"/>
              <w:jc w:val="both"/>
              <w:rPr>
                <w:rFonts w:ascii="Times New Roman" w:hAnsi="Times New Roman" w:cs="Times New Roman"/>
              </w:rPr>
            </w:pPr>
            <w:r>
              <w:rPr>
                <w:rFonts w:ascii="Times New Roman" w:hAnsi="Times New Roman" w:cs="Times New Roman"/>
              </w:rPr>
              <w:t>Possible decisions:</w:t>
            </w:r>
          </w:p>
          <w:p w14:paraId="7BFF9570" w14:textId="62B68DF6" w:rsidR="00655FB8" w:rsidRPr="00655FB8" w:rsidRDefault="00016618" w:rsidP="005948DE">
            <w:pPr>
              <w:pStyle w:val="ListParagraph"/>
              <w:numPr>
                <w:ilvl w:val="1"/>
                <w:numId w:val="492"/>
              </w:numPr>
              <w:spacing w:after="120" w:line="276" w:lineRule="auto"/>
              <w:ind w:left="420"/>
              <w:jc w:val="both"/>
              <w:rPr>
                <w:rFonts w:ascii="Times New Roman" w:hAnsi="Times New Roman" w:cs="Times New Roman"/>
              </w:rPr>
            </w:pPr>
            <w:r w:rsidRPr="00655FB8">
              <w:rPr>
                <w:rFonts w:ascii="Times New Roman" w:hAnsi="Times New Roman" w:cs="Times New Roman"/>
              </w:rPr>
              <w:t>Decision that the proposed infrastructure investment is not eligible due to exclusion of activities based on their E&amp;S risk defined in the ESMF</w:t>
            </w:r>
          </w:p>
          <w:p w14:paraId="6D447551" w14:textId="1070F082" w:rsidR="00016618" w:rsidRPr="00655FB8" w:rsidRDefault="00016618" w:rsidP="00665F55">
            <w:pPr>
              <w:pStyle w:val="ListParagraph"/>
              <w:numPr>
                <w:ilvl w:val="1"/>
                <w:numId w:val="492"/>
              </w:numPr>
              <w:spacing w:after="120" w:line="276" w:lineRule="auto"/>
              <w:ind w:left="420"/>
              <w:jc w:val="both"/>
              <w:rPr>
                <w:rFonts w:ascii="Times New Roman" w:hAnsi="Times New Roman" w:cs="Times New Roman"/>
              </w:rPr>
            </w:pPr>
            <w:r w:rsidRPr="00665F55">
              <w:rPr>
                <w:rFonts w:ascii="Times New Roman" w:hAnsi="Times New Roman" w:cs="Times New Roman"/>
              </w:rPr>
              <w:t>Decision that the proposed infrastructure investment has met the E&amp;S eligibility criteria. For eligible proposed infrastructure investment decision on risk classification based on social and environmental impacts to determine</w:t>
            </w:r>
            <w:r w:rsidRPr="00655FB8">
              <w:rPr>
                <w:rFonts w:ascii="Times New Roman" w:hAnsi="Times New Roman" w:cs="Times New Roman"/>
              </w:rPr>
              <w:t xml:space="preserve"> the ESF </w:t>
            </w:r>
            <w:r w:rsidR="00655FB8">
              <w:rPr>
                <w:rFonts w:ascii="Times New Roman" w:hAnsi="Times New Roman" w:cs="Times New Roman"/>
              </w:rPr>
              <w:t>i</w:t>
            </w:r>
            <w:r w:rsidRPr="00655FB8">
              <w:rPr>
                <w:rFonts w:ascii="Times New Roman" w:hAnsi="Times New Roman" w:cs="Times New Roman"/>
              </w:rPr>
              <w:t xml:space="preserve">nstruments to be prepared to manage the E&amp;S risks of the infrastructure investment. </w:t>
            </w:r>
          </w:p>
          <w:p w14:paraId="7655939E" w14:textId="57C77268" w:rsidR="00016618" w:rsidRPr="00655FB8" w:rsidRDefault="00016618" w:rsidP="005948DE">
            <w:pPr>
              <w:pStyle w:val="ListParagraph"/>
              <w:numPr>
                <w:ilvl w:val="1"/>
                <w:numId w:val="492"/>
              </w:numPr>
              <w:spacing w:after="120" w:line="276" w:lineRule="auto"/>
              <w:ind w:left="206" w:hanging="206"/>
              <w:jc w:val="both"/>
              <w:rPr>
                <w:rFonts w:ascii="Times New Roman" w:hAnsi="Times New Roman" w:cs="Times New Roman"/>
              </w:rPr>
            </w:pPr>
            <w:r w:rsidRPr="00655FB8">
              <w:rPr>
                <w:rFonts w:ascii="Times New Roman" w:hAnsi="Times New Roman" w:cs="Times New Roman"/>
              </w:rPr>
              <w:t xml:space="preserve"> Substantial and High-risk infrastructure investment</w:t>
            </w:r>
            <w:r w:rsidR="00655FB8">
              <w:rPr>
                <w:rFonts w:ascii="Times New Roman" w:hAnsi="Times New Roman" w:cs="Times New Roman"/>
              </w:rPr>
              <w:t xml:space="preserve"> thus</w:t>
            </w:r>
            <w:r w:rsidRPr="00655FB8">
              <w:rPr>
                <w:rFonts w:ascii="Times New Roman" w:hAnsi="Times New Roman" w:cs="Times New Roman"/>
              </w:rPr>
              <w:t xml:space="preserve"> not eligible</w:t>
            </w:r>
            <w:r w:rsidR="00655FB8">
              <w:rPr>
                <w:rFonts w:ascii="Times New Roman" w:hAnsi="Times New Roman" w:cs="Times New Roman"/>
              </w:rPr>
              <w:t>.</w:t>
            </w:r>
          </w:p>
        </w:tc>
      </w:tr>
      <w:tr w:rsidR="00016618" w:rsidRPr="005948DE" w14:paraId="21DADF76" w14:textId="77777777" w:rsidTr="00BD438F">
        <w:trPr>
          <w:trHeight w:val="397"/>
        </w:trPr>
        <w:tc>
          <w:tcPr>
            <w:tcW w:w="730" w:type="dxa"/>
          </w:tcPr>
          <w:p w14:paraId="2DC21F59"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0B3962EA"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Final decision on eligibility </w:t>
            </w:r>
          </w:p>
        </w:tc>
        <w:tc>
          <w:tcPr>
            <w:tcW w:w="3301" w:type="dxa"/>
          </w:tcPr>
          <w:p w14:paraId="33946CB9" w14:textId="77777777" w:rsidR="00016618" w:rsidRPr="007F435F"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 xml:space="preserve">PIU </w:t>
            </w:r>
          </w:p>
        </w:tc>
        <w:tc>
          <w:tcPr>
            <w:tcW w:w="7330" w:type="dxa"/>
          </w:tcPr>
          <w:p w14:paraId="601BB425" w14:textId="54473032" w:rsidR="00016618" w:rsidRPr="00655FB8"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 xml:space="preserve">Notification to </w:t>
            </w:r>
            <w:r w:rsidR="00655FB8">
              <w:rPr>
                <w:rFonts w:ascii="Times New Roman" w:hAnsi="Times New Roman" w:cs="Times New Roman"/>
              </w:rPr>
              <w:t xml:space="preserve">the </w:t>
            </w:r>
            <w:r w:rsidRPr="00655FB8">
              <w:rPr>
                <w:rFonts w:ascii="Times New Roman" w:hAnsi="Times New Roman" w:cs="Times New Roman"/>
              </w:rPr>
              <w:t>MCTI and</w:t>
            </w:r>
            <w:r w:rsidR="00655FB8">
              <w:rPr>
                <w:rFonts w:ascii="Times New Roman" w:hAnsi="Times New Roman" w:cs="Times New Roman"/>
              </w:rPr>
              <w:t xml:space="preserve"> the</w:t>
            </w:r>
            <w:r w:rsidRPr="00655FB8">
              <w:rPr>
                <w:rFonts w:ascii="Times New Roman" w:hAnsi="Times New Roman" w:cs="Times New Roman"/>
              </w:rPr>
              <w:t xml:space="preserve"> LSG that the proposed infrastructure investment has met </w:t>
            </w:r>
            <w:r w:rsidRPr="00655FB8">
              <w:rPr>
                <w:rFonts w:ascii="Times New Roman" w:hAnsi="Times New Roman" w:cs="Times New Roman"/>
                <w:b/>
                <w:bCs/>
              </w:rPr>
              <w:t>ALL</w:t>
            </w:r>
            <w:r w:rsidRPr="00655FB8">
              <w:rPr>
                <w:rFonts w:ascii="Times New Roman" w:hAnsi="Times New Roman" w:cs="Times New Roman"/>
              </w:rPr>
              <w:t xml:space="preserve"> eligibility criteria (technical and E&amp;S)</w:t>
            </w:r>
            <w:r w:rsidR="00655FB8">
              <w:rPr>
                <w:rFonts w:ascii="Times New Roman" w:hAnsi="Times New Roman" w:cs="Times New Roman"/>
              </w:rPr>
              <w:t>.</w:t>
            </w:r>
            <w:r w:rsidRPr="00655FB8">
              <w:rPr>
                <w:rFonts w:ascii="Times New Roman" w:hAnsi="Times New Roman" w:cs="Times New Roman"/>
              </w:rPr>
              <w:t xml:space="preserve"> </w:t>
            </w:r>
          </w:p>
        </w:tc>
      </w:tr>
      <w:tr w:rsidR="00016618" w:rsidRPr="005948DE" w14:paraId="2DE688F9" w14:textId="77777777" w:rsidTr="00BD438F">
        <w:trPr>
          <w:trHeight w:val="397"/>
        </w:trPr>
        <w:tc>
          <w:tcPr>
            <w:tcW w:w="730" w:type="dxa"/>
          </w:tcPr>
          <w:p w14:paraId="64BB7A8C"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07592E0C"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Prioritization of infrastructure investments (if needed) </w:t>
            </w:r>
          </w:p>
        </w:tc>
        <w:tc>
          <w:tcPr>
            <w:tcW w:w="3301" w:type="dxa"/>
          </w:tcPr>
          <w:p w14:paraId="03482607" w14:textId="77777777" w:rsidR="00016618" w:rsidRPr="007F435F"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 xml:space="preserve">LSG assisted by SCTM and TA </w:t>
            </w:r>
          </w:p>
        </w:tc>
        <w:tc>
          <w:tcPr>
            <w:tcW w:w="7330" w:type="dxa"/>
          </w:tcPr>
          <w:p w14:paraId="01E79FB5" w14:textId="136DFC81" w:rsidR="00016618" w:rsidRPr="00D31D43"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Final list of prioritized eligible infrastructure investment to fit into the maximum grant value the LSG may receive for eligible infrastructure investments</w:t>
            </w:r>
            <w:r w:rsidR="00787027">
              <w:rPr>
                <w:rFonts w:ascii="Times New Roman" w:hAnsi="Times New Roman" w:cs="Times New Roman"/>
              </w:rPr>
              <w:t>.</w:t>
            </w:r>
          </w:p>
        </w:tc>
      </w:tr>
      <w:tr w:rsidR="00016618" w:rsidRPr="005948DE" w14:paraId="5EBA43A6" w14:textId="77777777" w:rsidTr="00BD438F">
        <w:trPr>
          <w:trHeight w:val="397"/>
        </w:trPr>
        <w:tc>
          <w:tcPr>
            <w:tcW w:w="730" w:type="dxa"/>
          </w:tcPr>
          <w:p w14:paraId="00217500"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1E9223D8"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Framework Agreement (FA)</w:t>
            </w:r>
          </w:p>
        </w:tc>
        <w:tc>
          <w:tcPr>
            <w:tcW w:w="3301" w:type="dxa"/>
          </w:tcPr>
          <w:p w14:paraId="6775DAB4" w14:textId="77777777" w:rsidR="00016618" w:rsidRPr="007F435F"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MCTI and LSG</w:t>
            </w:r>
          </w:p>
        </w:tc>
        <w:tc>
          <w:tcPr>
            <w:tcW w:w="7330" w:type="dxa"/>
          </w:tcPr>
          <w:p w14:paraId="2F540D53" w14:textId="77777777" w:rsidR="00016618" w:rsidRPr="00655FB8" w:rsidRDefault="00016618" w:rsidP="005948DE">
            <w:pPr>
              <w:pStyle w:val="ps"/>
              <w:spacing w:before="0" w:after="120" w:line="276" w:lineRule="auto"/>
              <w:ind w:left="0" w:firstLine="0"/>
              <w:rPr>
                <w:rFonts w:ascii="Times New Roman" w:hAnsi="Times New Roman" w:cs="Times New Roman"/>
                <w:lang w:val="en-GB"/>
              </w:rPr>
            </w:pPr>
            <w:r w:rsidRPr="00D31D43">
              <w:rPr>
                <w:rFonts w:ascii="Times New Roman" w:hAnsi="Times New Roman" w:cs="Times New Roman"/>
                <w:lang w:val="en-GB"/>
              </w:rPr>
              <w:t xml:space="preserve">Condition precedent for LSG to formally </w:t>
            </w:r>
            <w:r w:rsidRPr="00655FB8">
              <w:rPr>
                <w:rFonts w:ascii="Times New Roman" w:hAnsi="Times New Roman" w:cs="Times New Roman"/>
                <w:lang w:val="en-GB"/>
              </w:rPr>
              <w:t xml:space="preserve">enter in the Investment cycle </w:t>
            </w:r>
          </w:p>
          <w:p w14:paraId="1A62E364" w14:textId="68EB9572" w:rsidR="00016618" w:rsidRPr="00665F55" w:rsidRDefault="00016618" w:rsidP="00665F55">
            <w:pPr>
              <w:widowControl w:val="0"/>
              <w:autoSpaceDE w:val="0"/>
              <w:autoSpaceDN w:val="0"/>
              <w:adjustRightInd w:val="0"/>
              <w:spacing w:after="0" w:line="276" w:lineRule="auto"/>
              <w:jc w:val="both"/>
              <w:rPr>
                <w:lang w:val="en-US"/>
              </w:rPr>
            </w:pPr>
            <w:r w:rsidRPr="00655FB8">
              <w:rPr>
                <w:rFonts w:ascii="Times New Roman" w:hAnsi="Times New Roman" w:cs="Times New Roman"/>
              </w:rPr>
              <w:t>Signed FA –</w:t>
            </w:r>
            <w:r w:rsidR="00655FB8">
              <w:rPr>
                <w:rFonts w:ascii="Times New Roman" w:hAnsi="Times New Roman" w:cs="Times New Roman"/>
              </w:rPr>
              <w:t xml:space="preserve"> </w:t>
            </w:r>
            <w:r w:rsidRPr="00655FB8">
              <w:rPr>
                <w:rFonts w:ascii="Times New Roman" w:hAnsi="Times New Roman" w:cs="Times New Roman"/>
              </w:rPr>
              <w:t xml:space="preserve">defining overarching duties and responsibilities related to the requirements of </w:t>
            </w:r>
            <w:r w:rsidR="00787027">
              <w:rPr>
                <w:rFonts w:ascii="Times New Roman" w:hAnsi="Times New Roman" w:cs="Times New Roman"/>
              </w:rPr>
              <w:t xml:space="preserve">the </w:t>
            </w:r>
            <w:r w:rsidRPr="00655FB8">
              <w:rPr>
                <w:rFonts w:ascii="Times New Roman" w:hAnsi="Times New Roman" w:cs="Times New Roman"/>
              </w:rPr>
              <w:t xml:space="preserve">Project implementation and setting </w:t>
            </w:r>
            <w:r w:rsidRPr="00655FB8">
              <w:rPr>
                <w:rFonts w:ascii="Times New Roman" w:eastAsia="Calibri" w:hAnsi="Times New Roman" w:cs="Times New Roman"/>
              </w:rPr>
              <w:t xml:space="preserve">out performance expectations and compliance with the Bank procedures. </w:t>
            </w:r>
          </w:p>
        </w:tc>
      </w:tr>
      <w:tr w:rsidR="00016618" w:rsidRPr="005948DE" w14:paraId="050997B9" w14:textId="77777777" w:rsidTr="00BD438F">
        <w:trPr>
          <w:trHeight w:val="397"/>
        </w:trPr>
        <w:tc>
          <w:tcPr>
            <w:tcW w:w="730" w:type="dxa"/>
          </w:tcPr>
          <w:p w14:paraId="2AC22CB8"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763A5A85"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Grant Agreement (GA) </w:t>
            </w:r>
          </w:p>
        </w:tc>
        <w:tc>
          <w:tcPr>
            <w:tcW w:w="3301" w:type="dxa"/>
          </w:tcPr>
          <w:p w14:paraId="37AF8BB1" w14:textId="77777777" w:rsidR="00016618" w:rsidRPr="007F435F"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 xml:space="preserve">MCTI and LSG </w:t>
            </w:r>
          </w:p>
        </w:tc>
        <w:tc>
          <w:tcPr>
            <w:tcW w:w="7330" w:type="dxa"/>
          </w:tcPr>
          <w:p w14:paraId="648EC404" w14:textId="61127B6C" w:rsidR="00016618" w:rsidRPr="00D31D43"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Condition precedent to procurement activities</w:t>
            </w:r>
            <w:r w:rsidR="00DE7B3C" w:rsidRPr="00D31D43">
              <w:rPr>
                <w:rFonts w:ascii="Times New Roman" w:hAnsi="Times New Roman" w:cs="Times New Roman"/>
              </w:rPr>
              <w:t xml:space="preserve"> and commencement of works</w:t>
            </w:r>
            <w:r w:rsidR="009E3A94" w:rsidRPr="00D31D43">
              <w:rPr>
                <w:rFonts w:ascii="Times New Roman" w:hAnsi="Times New Roman" w:cs="Times New Roman"/>
              </w:rPr>
              <w:t>.</w:t>
            </w:r>
            <w:r w:rsidRPr="00D31D43">
              <w:rPr>
                <w:rFonts w:ascii="Times New Roman" w:hAnsi="Times New Roman" w:cs="Times New Roman"/>
              </w:rPr>
              <w:t xml:space="preserve"> </w:t>
            </w:r>
          </w:p>
          <w:p w14:paraId="5402A891" w14:textId="60F04DB2" w:rsidR="00016618" w:rsidRPr="00655FB8" w:rsidRDefault="00016618" w:rsidP="005948DE">
            <w:pPr>
              <w:pStyle w:val="ps"/>
              <w:spacing w:before="0" w:after="120" w:line="276" w:lineRule="auto"/>
              <w:ind w:left="0" w:firstLine="0"/>
              <w:rPr>
                <w:rFonts w:ascii="Times New Roman" w:hAnsi="Times New Roman" w:cs="Times New Roman"/>
                <w:lang w:val="en-GB"/>
              </w:rPr>
            </w:pPr>
            <w:r w:rsidRPr="00D31D43">
              <w:rPr>
                <w:rFonts w:ascii="Times New Roman" w:hAnsi="Times New Roman" w:cs="Times New Roman"/>
                <w:lang w:val="en-GB"/>
              </w:rPr>
              <w:t>Executed GA – Securing funds to implement the investment project through t</w:t>
            </w:r>
            <w:r w:rsidRPr="00D31D43">
              <w:rPr>
                <w:rFonts w:ascii="Times New Roman" w:hAnsi="Times New Roman" w:cs="Times New Roman"/>
                <w:color w:val="000000" w:themeColor="text1"/>
                <w:lang w:val="en-GB"/>
              </w:rPr>
              <w:t xml:space="preserve">he MCTI undertaking to pay the LSG earmarked </w:t>
            </w:r>
            <w:r w:rsidRPr="00D31D43">
              <w:rPr>
                <w:rFonts w:ascii="Times New Roman" w:hAnsi="Times New Roman" w:cs="Times New Roman"/>
                <w:lang w:val="en-GB"/>
              </w:rPr>
              <w:t xml:space="preserve">funds to the </w:t>
            </w:r>
            <w:r w:rsidR="0060294B" w:rsidRPr="00D31D43">
              <w:rPr>
                <w:rFonts w:ascii="Times New Roman" w:hAnsi="Times New Roman" w:cs="Times New Roman"/>
                <w:lang w:val="en-GB"/>
              </w:rPr>
              <w:t>local Consolidated Treasury Account</w:t>
            </w:r>
            <w:r w:rsidRPr="00D31D43">
              <w:rPr>
                <w:rFonts w:ascii="Times New Roman" w:hAnsi="Times New Roman" w:cs="Times New Roman"/>
                <w:lang w:val="en-GB"/>
              </w:rPr>
              <w:t xml:space="preserve">, </w:t>
            </w:r>
            <w:r w:rsidR="0060294B" w:rsidRPr="00D31D43">
              <w:rPr>
                <w:rFonts w:ascii="Times New Roman" w:hAnsi="Times New Roman" w:cs="Times New Roman"/>
                <w:lang w:val="en-GB"/>
              </w:rPr>
              <w:t xml:space="preserve">to meet eligible </w:t>
            </w:r>
            <w:r w:rsidR="00655FB8">
              <w:rPr>
                <w:rFonts w:ascii="Times New Roman" w:hAnsi="Times New Roman" w:cs="Times New Roman"/>
                <w:lang w:val="en-GB"/>
              </w:rPr>
              <w:t>p</w:t>
            </w:r>
            <w:r w:rsidR="0060294B" w:rsidRPr="00655FB8">
              <w:rPr>
                <w:rFonts w:ascii="Times New Roman" w:hAnsi="Times New Roman" w:cs="Times New Roman"/>
                <w:lang w:val="en-GB"/>
              </w:rPr>
              <w:t>roject expenditures</w:t>
            </w:r>
            <w:r w:rsidR="009E3A94" w:rsidRPr="00655FB8">
              <w:rPr>
                <w:rFonts w:ascii="Times New Roman" w:hAnsi="Times New Roman" w:cs="Times New Roman"/>
                <w:lang w:val="en-GB"/>
              </w:rPr>
              <w:t>.</w:t>
            </w:r>
          </w:p>
        </w:tc>
      </w:tr>
      <w:tr w:rsidR="00016618" w:rsidRPr="005948DE" w14:paraId="625A1132" w14:textId="77777777" w:rsidTr="00BD438F">
        <w:trPr>
          <w:trHeight w:val="397"/>
        </w:trPr>
        <w:tc>
          <w:tcPr>
            <w:tcW w:w="730" w:type="dxa"/>
          </w:tcPr>
          <w:p w14:paraId="5C0E4DE7"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2BCF6B83" w14:textId="0F804197" w:rsidR="00016618" w:rsidRPr="007F435F"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Procurement of services for design, supervision, technical audit</w:t>
            </w:r>
            <w:r w:rsidRPr="007F435F">
              <w:rPr>
                <w:rFonts w:ascii="Times New Roman" w:hAnsi="Times New Roman" w:cs="Times New Roman"/>
                <w:b/>
              </w:rPr>
              <w:t xml:space="preserve">, and road safety audit and works </w:t>
            </w:r>
          </w:p>
        </w:tc>
        <w:tc>
          <w:tcPr>
            <w:tcW w:w="3301" w:type="dxa"/>
          </w:tcPr>
          <w:p w14:paraId="4F5C5D33" w14:textId="6E0831BD" w:rsidR="00016618" w:rsidRPr="00655FB8" w:rsidRDefault="00655FB8" w:rsidP="005948DE">
            <w:pPr>
              <w:spacing w:after="120" w:line="276" w:lineRule="auto"/>
              <w:jc w:val="both"/>
              <w:rPr>
                <w:rFonts w:ascii="Times New Roman" w:hAnsi="Times New Roman" w:cs="Times New Roman"/>
              </w:rPr>
            </w:pPr>
            <w:r>
              <w:rPr>
                <w:rFonts w:ascii="Times New Roman" w:hAnsi="Times New Roman" w:cs="Times New Roman"/>
              </w:rPr>
              <w:t xml:space="preserve">The </w:t>
            </w:r>
            <w:r w:rsidR="00016618" w:rsidRPr="00655FB8">
              <w:rPr>
                <w:rFonts w:ascii="Times New Roman" w:hAnsi="Times New Roman" w:cs="Times New Roman"/>
              </w:rPr>
              <w:t xml:space="preserve">LSG with support of TA and </w:t>
            </w:r>
            <w:r>
              <w:rPr>
                <w:rFonts w:ascii="Times New Roman" w:hAnsi="Times New Roman" w:cs="Times New Roman"/>
              </w:rPr>
              <w:t xml:space="preserve">the </w:t>
            </w:r>
            <w:r w:rsidR="00016618" w:rsidRPr="00655FB8">
              <w:rPr>
                <w:rFonts w:ascii="Times New Roman" w:hAnsi="Times New Roman" w:cs="Times New Roman"/>
              </w:rPr>
              <w:t xml:space="preserve">PIU and fiduciary support of the CFU </w:t>
            </w:r>
          </w:p>
        </w:tc>
        <w:tc>
          <w:tcPr>
            <w:tcW w:w="7330" w:type="dxa"/>
          </w:tcPr>
          <w:p w14:paraId="25705ADA" w14:textId="5F98BF1F" w:rsidR="00016618" w:rsidRPr="00655FB8" w:rsidRDefault="00016618" w:rsidP="005948DE">
            <w:pPr>
              <w:pStyle w:val="ps"/>
              <w:spacing w:before="0" w:after="120" w:line="276" w:lineRule="auto"/>
              <w:ind w:left="0" w:firstLine="0"/>
              <w:rPr>
                <w:rFonts w:ascii="Times New Roman" w:hAnsi="Times New Roman" w:cs="Times New Roman"/>
                <w:lang w:val="en-GB"/>
              </w:rPr>
            </w:pPr>
            <w:r w:rsidRPr="0098570E">
              <w:rPr>
                <w:rFonts w:ascii="Times New Roman" w:hAnsi="Times New Roman" w:cs="Times New Roman"/>
                <w:lang w:val="en-GB"/>
              </w:rPr>
              <w:t xml:space="preserve">For eligible infrastructure investments for which the design and technical documentation including RSA has not been developed by the LSG prior to </w:t>
            </w:r>
            <w:r w:rsidR="00655FB8">
              <w:rPr>
                <w:rFonts w:ascii="Times New Roman" w:hAnsi="Times New Roman" w:cs="Times New Roman"/>
                <w:lang w:val="en-GB"/>
              </w:rPr>
              <w:t xml:space="preserve">the </w:t>
            </w:r>
            <w:r w:rsidRPr="00655FB8">
              <w:rPr>
                <w:rFonts w:ascii="Times New Roman" w:hAnsi="Times New Roman" w:cs="Times New Roman"/>
                <w:lang w:val="en-GB"/>
              </w:rPr>
              <w:t xml:space="preserve">submission of </w:t>
            </w:r>
            <w:r w:rsidR="00655FB8">
              <w:rPr>
                <w:rFonts w:ascii="Times New Roman" w:hAnsi="Times New Roman" w:cs="Times New Roman"/>
                <w:lang w:val="en-GB"/>
              </w:rPr>
              <w:t xml:space="preserve">the </w:t>
            </w:r>
            <w:r w:rsidRPr="00655FB8">
              <w:rPr>
                <w:rFonts w:ascii="Times New Roman" w:hAnsi="Times New Roman" w:cs="Times New Roman"/>
                <w:lang w:val="en-GB"/>
              </w:rPr>
              <w:t xml:space="preserve">proposal. If the LSG </w:t>
            </w:r>
            <w:r w:rsidRPr="00655FB8">
              <w:rPr>
                <w:rFonts w:ascii="Times New Roman" w:eastAsia="Times New Roman" w:hAnsi="Times New Roman" w:cs="Times New Roman"/>
                <w:lang w:val="en-GB"/>
              </w:rPr>
              <w:t>decide</w:t>
            </w:r>
            <w:r w:rsidR="00655FB8">
              <w:rPr>
                <w:rFonts w:ascii="Times New Roman" w:eastAsia="Times New Roman" w:hAnsi="Times New Roman" w:cs="Times New Roman"/>
                <w:lang w:val="en-GB"/>
              </w:rPr>
              <w:t>s</w:t>
            </w:r>
            <w:r w:rsidRPr="00655FB8">
              <w:rPr>
                <w:rFonts w:ascii="Times New Roman" w:eastAsia="Times New Roman" w:hAnsi="Times New Roman" w:cs="Times New Roman"/>
                <w:lang w:val="en-GB"/>
              </w:rPr>
              <w:t xml:space="preserve"> to use grant proceeds for project design and/or supervision, these will have to follow </w:t>
            </w:r>
            <w:r w:rsidR="00655FB8">
              <w:rPr>
                <w:rFonts w:ascii="Times New Roman" w:eastAsia="Times New Roman" w:hAnsi="Times New Roman" w:cs="Times New Roman"/>
                <w:lang w:val="en-GB"/>
              </w:rPr>
              <w:t xml:space="preserve">the </w:t>
            </w:r>
            <w:r w:rsidRPr="00655FB8">
              <w:rPr>
                <w:rFonts w:ascii="Times New Roman" w:eastAsia="Times New Roman" w:hAnsi="Times New Roman" w:cs="Times New Roman"/>
                <w:lang w:val="en-GB"/>
              </w:rPr>
              <w:t>Bank procurement rules</w:t>
            </w:r>
            <w:r w:rsidR="009E3A94" w:rsidRPr="00655FB8">
              <w:rPr>
                <w:rFonts w:ascii="Times New Roman" w:eastAsia="Times New Roman" w:hAnsi="Times New Roman" w:cs="Times New Roman"/>
                <w:lang w:val="en-GB"/>
              </w:rPr>
              <w:t>.</w:t>
            </w:r>
          </w:p>
        </w:tc>
      </w:tr>
      <w:tr w:rsidR="00016618" w:rsidRPr="005948DE" w14:paraId="0B17AA21" w14:textId="77777777" w:rsidTr="00BD438F">
        <w:trPr>
          <w:trHeight w:val="397"/>
        </w:trPr>
        <w:tc>
          <w:tcPr>
            <w:tcW w:w="730" w:type="dxa"/>
          </w:tcPr>
          <w:p w14:paraId="34528741"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5D1B8527"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Technical assistance and capacity building </w:t>
            </w:r>
          </w:p>
        </w:tc>
        <w:tc>
          <w:tcPr>
            <w:tcW w:w="3301" w:type="dxa"/>
          </w:tcPr>
          <w:p w14:paraId="627702B3" w14:textId="2A265650" w:rsidR="00016618" w:rsidRPr="00655FB8" w:rsidRDefault="00655FB8" w:rsidP="005948DE">
            <w:pPr>
              <w:spacing w:after="120" w:line="276" w:lineRule="auto"/>
              <w:jc w:val="both"/>
              <w:rPr>
                <w:rFonts w:ascii="Times New Roman" w:hAnsi="Times New Roman" w:cs="Times New Roman"/>
              </w:rPr>
            </w:pPr>
            <w:r>
              <w:rPr>
                <w:rFonts w:ascii="Times New Roman" w:hAnsi="Times New Roman" w:cs="Times New Roman"/>
              </w:rPr>
              <w:t xml:space="preserve">The </w:t>
            </w:r>
            <w:r w:rsidR="00016618" w:rsidRPr="00655FB8">
              <w:rPr>
                <w:rFonts w:ascii="Times New Roman" w:hAnsi="Times New Roman" w:cs="Times New Roman"/>
              </w:rPr>
              <w:t xml:space="preserve">PIU on technical, </w:t>
            </w:r>
            <w:r w:rsidR="0079119F">
              <w:rPr>
                <w:rFonts w:ascii="Times New Roman" w:hAnsi="Times New Roman" w:cs="Times New Roman"/>
              </w:rPr>
              <w:t>environmental/social</w:t>
            </w:r>
            <w:r w:rsidR="0079119F" w:rsidRPr="00655FB8">
              <w:rPr>
                <w:rFonts w:ascii="Times New Roman" w:hAnsi="Times New Roman" w:cs="Times New Roman"/>
              </w:rPr>
              <w:t xml:space="preserve"> </w:t>
            </w:r>
            <w:r w:rsidR="00016618" w:rsidRPr="00655FB8">
              <w:rPr>
                <w:rFonts w:ascii="Times New Roman" w:hAnsi="Times New Roman" w:cs="Times New Roman"/>
              </w:rPr>
              <w:t>and design requirements</w:t>
            </w:r>
            <w:r w:rsidR="00F32453">
              <w:rPr>
                <w:rFonts w:ascii="Times New Roman" w:hAnsi="Times New Roman" w:cs="Times New Roman"/>
              </w:rPr>
              <w:t xml:space="preserve"> with the CFU support on fiduciary activities (Procurement and Financial Management)</w:t>
            </w:r>
          </w:p>
        </w:tc>
        <w:tc>
          <w:tcPr>
            <w:tcW w:w="7330" w:type="dxa"/>
          </w:tcPr>
          <w:p w14:paraId="0AAF8896" w14:textId="437122FE" w:rsidR="00016618" w:rsidRPr="007F435F" w:rsidRDefault="00016618" w:rsidP="005948DE">
            <w:pPr>
              <w:spacing w:after="120" w:line="276" w:lineRule="auto"/>
              <w:jc w:val="both"/>
              <w:rPr>
                <w:rFonts w:ascii="Times New Roman" w:hAnsi="Times New Roman" w:cs="Times New Roman"/>
              </w:rPr>
            </w:pPr>
            <w:r w:rsidRPr="00655FB8">
              <w:rPr>
                <w:rFonts w:ascii="Times New Roman" w:hAnsi="Times New Roman" w:cs="Times New Roman"/>
              </w:rPr>
              <w:t xml:space="preserve">Strengthening of </w:t>
            </w:r>
            <w:r w:rsidR="00655FB8">
              <w:rPr>
                <w:rFonts w:ascii="Times New Roman" w:hAnsi="Times New Roman" w:cs="Times New Roman"/>
              </w:rPr>
              <w:t xml:space="preserve">the </w:t>
            </w:r>
            <w:r w:rsidRPr="00655FB8">
              <w:rPr>
                <w:rFonts w:ascii="Times New Roman" w:hAnsi="Times New Roman" w:cs="Times New Roman"/>
              </w:rPr>
              <w:t>LSG</w:t>
            </w:r>
            <w:r w:rsidR="00655FB8">
              <w:rPr>
                <w:rFonts w:ascii="Times New Roman" w:hAnsi="Times New Roman" w:cs="Times New Roman"/>
              </w:rPr>
              <w:t>s</w:t>
            </w:r>
            <w:r w:rsidRPr="00655FB8">
              <w:rPr>
                <w:rFonts w:ascii="Times New Roman" w:hAnsi="Times New Roman" w:cs="Times New Roman"/>
              </w:rPr>
              <w:t xml:space="preserve"> capacities to procure, implement, supervise and monitor infrastructure investments</w:t>
            </w:r>
            <w:r w:rsidR="009E3A94" w:rsidRPr="0098570E">
              <w:rPr>
                <w:rFonts w:ascii="Times New Roman" w:hAnsi="Times New Roman" w:cs="Times New Roman"/>
              </w:rPr>
              <w:t>.</w:t>
            </w:r>
            <w:r w:rsidRPr="007F435F">
              <w:rPr>
                <w:rFonts w:ascii="Times New Roman" w:hAnsi="Times New Roman" w:cs="Times New Roman"/>
              </w:rPr>
              <w:t xml:space="preserve"> </w:t>
            </w:r>
          </w:p>
        </w:tc>
      </w:tr>
      <w:tr w:rsidR="00016618" w:rsidRPr="005948DE" w14:paraId="47D87E70" w14:textId="77777777" w:rsidTr="00BD438F">
        <w:trPr>
          <w:trHeight w:val="397"/>
        </w:trPr>
        <w:tc>
          <w:tcPr>
            <w:tcW w:w="730" w:type="dxa"/>
          </w:tcPr>
          <w:p w14:paraId="25E659FB"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1116A92F" w14:textId="5E9F24F2" w:rsidR="00016618" w:rsidRPr="00655FB8" w:rsidRDefault="00016618" w:rsidP="005948DE">
            <w:pPr>
              <w:spacing w:after="120" w:line="276" w:lineRule="auto"/>
              <w:jc w:val="both"/>
              <w:rPr>
                <w:rFonts w:ascii="Times New Roman" w:hAnsi="Times New Roman" w:cs="Times New Roman"/>
                <w:b/>
              </w:rPr>
            </w:pPr>
            <w:r w:rsidRPr="00655FB8">
              <w:rPr>
                <w:rFonts w:ascii="Times New Roman" w:hAnsi="Times New Roman" w:cs="Times New Roman"/>
                <w:b/>
              </w:rPr>
              <w:t xml:space="preserve">Preparation of ESF Instruments including training to </w:t>
            </w:r>
            <w:r w:rsidR="00655FB8">
              <w:rPr>
                <w:rFonts w:ascii="Times New Roman" w:hAnsi="Times New Roman" w:cs="Times New Roman"/>
                <w:b/>
              </w:rPr>
              <w:t xml:space="preserve">the </w:t>
            </w:r>
            <w:r w:rsidRPr="00655FB8">
              <w:rPr>
                <w:rFonts w:ascii="Times New Roman" w:hAnsi="Times New Roman" w:cs="Times New Roman"/>
                <w:b/>
              </w:rPr>
              <w:t>LSGs employees in supervision, and environmental and social requirements under the ESF</w:t>
            </w:r>
          </w:p>
        </w:tc>
        <w:tc>
          <w:tcPr>
            <w:tcW w:w="3301" w:type="dxa"/>
          </w:tcPr>
          <w:p w14:paraId="1DEED46E" w14:textId="1A594875" w:rsidR="00016618" w:rsidRPr="0098570E" w:rsidRDefault="00016618" w:rsidP="005948DE">
            <w:pPr>
              <w:spacing w:after="120" w:line="276" w:lineRule="auto"/>
              <w:jc w:val="both"/>
              <w:rPr>
                <w:rFonts w:ascii="Times New Roman" w:hAnsi="Times New Roman" w:cs="Times New Roman"/>
              </w:rPr>
            </w:pPr>
            <w:r w:rsidRPr="00655FB8">
              <w:rPr>
                <w:rFonts w:ascii="Times New Roman" w:hAnsi="Times New Roman" w:cs="Times New Roman"/>
              </w:rPr>
              <w:t xml:space="preserve">Low risks – </w:t>
            </w:r>
            <w:r w:rsidR="00655FB8">
              <w:rPr>
                <w:rFonts w:ascii="Times New Roman" w:hAnsi="Times New Roman" w:cs="Times New Roman"/>
              </w:rPr>
              <w:t xml:space="preserve">the </w:t>
            </w:r>
            <w:r w:rsidRPr="00655FB8">
              <w:rPr>
                <w:rFonts w:ascii="Times New Roman" w:hAnsi="Times New Roman" w:cs="Times New Roman"/>
              </w:rPr>
              <w:t>LSG</w:t>
            </w:r>
            <w:r w:rsidR="00655FB8">
              <w:rPr>
                <w:rFonts w:ascii="Times New Roman" w:hAnsi="Times New Roman" w:cs="Times New Roman"/>
              </w:rPr>
              <w:t>s</w:t>
            </w:r>
            <w:r w:rsidRPr="00655FB8">
              <w:rPr>
                <w:rFonts w:ascii="Times New Roman" w:hAnsi="Times New Roman" w:cs="Times New Roman"/>
              </w:rPr>
              <w:t xml:space="preserve"> </w:t>
            </w:r>
          </w:p>
          <w:p w14:paraId="6E58396E" w14:textId="0A799C98" w:rsidR="00016618" w:rsidRPr="00655FB8"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 xml:space="preserve">Moderate risk – </w:t>
            </w:r>
            <w:r w:rsidR="00655FB8">
              <w:rPr>
                <w:rFonts w:ascii="Times New Roman" w:hAnsi="Times New Roman" w:cs="Times New Roman"/>
              </w:rPr>
              <w:t xml:space="preserve">the </w:t>
            </w:r>
            <w:r w:rsidRPr="00655FB8">
              <w:rPr>
                <w:rFonts w:ascii="Times New Roman" w:hAnsi="Times New Roman" w:cs="Times New Roman"/>
              </w:rPr>
              <w:t xml:space="preserve">PIU through External consultants for development of ESMPs and RAPs including training </w:t>
            </w:r>
          </w:p>
        </w:tc>
        <w:tc>
          <w:tcPr>
            <w:tcW w:w="7330" w:type="dxa"/>
          </w:tcPr>
          <w:p w14:paraId="1D9FB737" w14:textId="6E3D8399" w:rsidR="00016618" w:rsidRPr="0098570E" w:rsidRDefault="00016618" w:rsidP="005948DE">
            <w:pPr>
              <w:spacing w:after="120" w:line="276" w:lineRule="auto"/>
              <w:jc w:val="both"/>
              <w:rPr>
                <w:rFonts w:ascii="Times New Roman" w:hAnsi="Times New Roman" w:cs="Times New Roman"/>
              </w:rPr>
            </w:pPr>
            <w:r w:rsidRPr="0098570E">
              <w:rPr>
                <w:rFonts w:ascii="Times New Roman" w:hAnsi="Times New Roman" w:cs="Times New Roman"/>
              </w:rPr>
              <w:t>LSGs prepare, disclose and consults on the ESMP checklist</w:t>
            </w:r>
            <w:r w:rsidR="00655FB8">
              <w:rPr>
                <w:rFonts w:ascii="Times New Roman" w:hAnsi="Times New Roman" w:cs="Times New Roman"/>
              </w:rPr>
              <w:t>.</w:t>
            </w:r>
            <w:r w:rsidRPr="00655FB8">
              <w:rPr>
                <w:rFonts w:ascii="Times New Roman" w:hAnsi="Times New Roman" w:cs="Times New Roman"/>
              </w:rPr>
              <w:t xml:space="preserve"> </w:t>
            </w:r>
          </w:p>
          <w:p w14:paraId="13448CC1" w14:textId="7DD42A38" w:rsidR="00016618" w:rsidRPr="00655FB8" w:rsidRDefault="00655FB8" w:rsidP="005948DE">
            <w:pPr>
              <w:spacing w:after="120" w:line="276" w:lineRule="auto"/>
              <w:jc w:val="both"/>
              <w:rPr>
                <w:rFonts w:ascii="Times New Roman" w:hAnsi="Times New Roman" w:cs="Times New Roman"/>
              </w:rPr>
            </w:pPr>
            <w:r>
              <w:rPr>
                <w:rFonts w:ascii="Times New Roman" w:hAnsi="Times New Roman" w:cs="Times New Roman"/>
              </w:rPr>
              <w:t xml:space="preserve">The </w:t>
            </w:r>
            <w:r w:rsidR="00016618" w:rsidRPr="00655FB8">
              <w:rPr>
                <w:rFonts w:ascii="Times New Roman" w:hAnsi="Times New Roman" w:cs="Times New Roman"/>
              </w:rPr>
              <w:t>PIU develops the ESMP, Resettlement Action Plan/Abbreviated Resettlement Action Plan (RAP/ARAP) and conducts the Stakeholder Engagement and public consultation in line with the SEP</w:t>
            </w:r>
            <w:r>
              <w:rPr>
                <w:rFonts w:ascii="Times New Roman" w:hAnsi="Times New Roman" w:cs="Times New Roman"/>
              </w:rPr>
              <w:t>.</w:t>
            </w:r>
          </w:p>
        </w:tc>
      </w:tr>
      <w:tr w:rsidR="00016618" w:rsidRPr="005948DE" w14:paraId="7259323D" w14:textId="77777777" w:rsidTr="00BD438F">
        <w:trPr>
          <w:trHeight w:val="397"/>
        </w:trPr>
        <w:tc>
          <w:tcPr>
            <w:tcW w:w="730" w:type="dxa"/>
          </w:tcPr>
          <w:p w14:paraId="57775C9D"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1928C948"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Procurement of works </w:t>
            </w:r>
          </w:p>
        </w:tc>
        <w:tc>
          <w:tcPr>
            <w:tcW w:w="3301" w:type="dxa"/>
          </w:tcPr>
          <w:p w14:paraId="4CBE8541" w14:textId="01818E55" w:rsidR="00016618" w:rsidRPr="00655FB8" w:rsidRDefault="00655FB8" w:rsidP="005948DE">
            <w:pPr>
              <w:spacing w:after="120" w:line="276" w:lineRule="auto"/>
              <w:jc w:val="both"/>
              <w:rPr>
                <w:rFonts w:ascii="Times New Roman" w:hAnsi="Times New Roman" w:cs="Times New Roman"/>
              </w:rPr>
            </w:pPr>
            <w:r>
              <w:rPr>
                <w:rFonts w:ascii="Times New Roman" w:hAnsi="Times New Roman" w:cs="Times New Roman"/>
              </w:rPr>
              <w:t xml:space="preserve">The </w:t>
            </w:r>
            <w:r w:rsidR="00016618" w:rsidRPr="00655FB8">
              <w:rPr>
                <w:rFonts w:ascii="Times New Roman" w:hAnsi="Times New Roman" w:cs="Times New Roman"/>
              </w:rPr>
              <w:t xml:space="preserve">LSG with close support of </w:t>
            </w:r>
            <w:r>
              <w:rPr>
                <w:rFonts w:ascii="Times New Roman" w:hAnsi="Times New Roman" w:cs="Times New Roman"/>
              </w:rPr>
              <w:t xml:space="preserve">the </w:t>
            </w:r>
            <w:r w:rsidR="00016618" w:rsidRPr="00655FB8">
              <w:rPr>
                <w:rFonts w:ascii="Times New Roman" w:hAnsi="Times New Roman" w:cs="Times New Roman"/>
              </w:rPr>
              <w:t xml:space="preserve">PIU and fiduciary support of </w:t>
            </w:r>
            <w:r>
              <w:rPr>
                <w:rFonts w:ascii="Times New Roman" w:hAnsi="Times New Roman" w:cs="Times New Roman"/>
              </w:rPr>
              <w:t xml:space="preserve">the </w:t>
            </w:r>
            <w:r w:rsidR="00016618" w:rsidRPr="00655FB8">
              <w:rPr>
                <w:rFonts w:ascii="Times New Roman" w:hAnsi="Times New Roman" w:cs="Times New Roman"/>
              </w:rPr>
              <w:t xml:space="preserve">CFU </w:t>
            </w:r>
          </w:p>
        </w:tc>
        <w:tc>
          <w:tcPr>
            <w:tcW w:w="7330" w:type="dxa"/>
          </w:tcPr>
          <w:p w14:paraId="440AEDFF" w14:textId="6CA70817" w:rsidR="00016618" w:rsidRPr="00655FB8" w:rsidRDefault="00655FB8" w:rsidP="005948DE">
            <w:pPr>
              <w:spacing w:after="120" w:line="276" w:lineRule="auto"/>
              <w:jc w:val="both"/>
              <w:rPr>
                <w:rFonts w:ascii="Times New Roman" w:hAnsi="Times New Roman" w:cs="Times New Roman"/>
              </w:rPr>
            </w:pPr>
            <w:r>
              <w:rPr>
                <w:rFonts w:ascii="Times New Roman" w:hAnsi="Times New Roman" w:cs="Times New Roman"/>
              </w:rPr>
              <w:t xml:space="preserve">The </w:t>
            </w:r>
            <w:r w:rsidR="00016618" w:rsidRPr="00655FB8">
              <w:rPr>
                <w:rFonts w:ascii="Times New Roman" w:hAnsi="Times New Roman" w:cs="Times New Roman"/>
              </w:rPr>
              <w:t>LSG</w:t>
            </w:r>
            <w:r>
              <w:rPr>
                <w:rFonts w:ascii="Times New Roman" w:hAnsi="Times New Roman" w:cs="Times New Roman"/>
              </w:rPr>
              <w:t>s</w:t>
            </w:r>
            <w:r w:rsidR="00016618" w:rsidRPr="00655FB8">
              <w:rPr>
                <w:rFonts w:ascii="Times New Roman" w:hAnsi="Times New Roman" w:cs="Times New Roman"/>
              </w:rPr>
              <w:t xml:space="preserve"> will use the model Bidding document</w:t>
            </w:r>
            <w:r w:rsidR="00762393">
              <w:rPr>
                <w:rFonts w:ascii="Times New Roman" w:hAnsi="Times New Roman" w:cs="Times New Roman"/>
              </w:rPr>
              <w:t xml:space="preserve"> (given in Annex 5)</w:t>
            </w:r>
            <w:r w:rsidR="00016618" w:rsidRPr="00655FB8">
              <w:rPr>
                <w:rFonts w:ascii="Times New Roman" w:hAnsi="Times New Roman" w:cs="Times New Roman"/>
              </w:rPr>
              <w:t xml:space="preserve"> for small works and may use the Serbian electronic Government Procurement (e-GP) with necessary customization to make it consistent with the Bank's Core Procurement Principles.</w:t>
            </w:r>
          </w:p>
        </w:tc>
      </w:tr>
      <w:tr w:rsidR="00016618" w:rsidRPr="005948DE" w14:paraId="53B9DE99" w14:textId="77777777" w:rsidTr="00BD438F">
        <w:trPr>
          <w:trHeight w:val="397"/>
        </w:trPr>
        <w:tc>
          <w:tcPr>
            <w:tcW w:w="730" w:type="dxa"/>
          </w:tcPr>
          <w:p w14:paraId="62E94FDC"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2BA994F2" w14:textId="77777777" w:rsidR="00016618" w:rsidRPr="007F435F"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Implementation of infrastructure investments and Contract administrati</w:t>
            </w:r>
            <w:r w:rsidRPr="007F435F">
              <w:rPr>
                <w:rFonts w:ascii="Times New Roman" w:hAnsi="Times New Roman" w:cs="Times New Roman"/>
                <w:b/>
              </w:rPr>
              <w:t xml:space="preserve">on </w:t>
            </w:r>
          </w:p>
        </w:tc>
        <w:tc>
          <w:tcPr>
            <w:tcW w:w="3301" w:type="dxa"/>
          </w:tcPr>
          <w:p w14:paraId="23C3E294" w14:textId="5536955A" w:rsidR="00016618" w:rsidRPr="00A5249A"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 xml:space="preserve">LSG supported by the Supervision Consultant with reporting requirements on physical, financial progress and </w:t>
            </w:r>
            <w:r w:rsidR="00A5249A">
              <w:rPr>
                <w:rFonts w:ascii="Times New Roman" w:hAnsi="Times New Roman" w:cs="Times New Roman"/>
              </w:rPr>
              <w:t xml:space="preserve">the </w:t>
            </w:r>
            <w:r w:rsidRPr="00A5249A">
              <w:rPr>
                <w:rFonts w:ascii="Times New Roman" w:hAnsi="Times New Roman" w:cs="Times New Roman"/>
              </w:rPr>
              <w:t>ESF compliance</w:t>
            </w:r>
          </w:p>
        </w:tc>
        <w:tc>
          <w:tcPr>
            <w:tcW w:w="7330" w:type="dxa"/>
          </w:tcPr>
          <w:p w14:paraId="2CD8195D" w14:textId="48EE6F48" w:rsidR="00016618" w:rsidRPr="00A5249A" w:rsidRDefault="00016618" w:rsidP="005948DE">
            <w:pPr>
              <w:spacing w:after="120" w:line="276" w:lineRule="auto"/>
              <w:jc w:val="both"/>
              <w:rPr>
                <w:rFonts w:ascii="Times New Roman" w:hAnsi="Times New Roman" w:cs="Times New Roman"/>
              </w:rPr>
            </w:pPr>
            <w:r w:rsidRPr="00A5249A">
              <w:rPr>
                <w:rFonts w:ascii="Times New Roman" w:hAnsi="Times New Roman" w:cs="Times New Roman"/>
              </w:rPr>
              <w:t>The LSG shall submit project progress reports on physical progress of works.</w:t>
            </w:r>
          </w:p>
          <w:p w14:paraId="7951D734" w14:textId="3E1E543D" w:rsidR="00016618" w:rsidRPr="00A5249A" w:rsidRDefault="00016618" w:rsidP="005948DE">
            <w:pPr>
              <w:spacing w:after="120" w:line="276" w:lineRule="auto"/>
              <w:jc w:val="both"/>
              <w:rPr>
                <w:rFonts w:ascii="Times New Roman" w:hAnsi="Times New Roman" w:cs="Times New Roman"/>
              </w:rPr>
            </w:pPr>
            <w:r w:rsidRPr="0098570E">
              <w:rPr>
                <w:rFonts w:ascii="Times New Roman" w:hAnsi="Times New Roman" w:cs="Times New Roman"/>
              </w:rPr>
              <w:t>The LSG shall be responsible for submittin</w:t>
            </w:r>
            <w:r w:rsidRPr="007F435F">
              <w:rPr>
                <w:rFonts w:ascii="Times New Roman" w:hAnsi="Times New Roman" w:cs="Times New Roman"/>
              </w:rPr>
              <w:t>g financial reports covering one calendar quarter, or the report on total expenditures for the first tranche, if shorter than one quarter</w:t>
            </w:r>
            <w:r w:rsidR="00A5249A">
              <w:rPr>
                <w:rFonts w:ascii="Times New Roman" w:hAnsi="Times New Roman" w:cs="Times New Roman"/>
              </w:rPr>
              <w:t>,</w:t>
            </w:r>
            <w:r w:rsidRPr="00A5249A">
              <w:rPr>
                <w:rFonts w:ascii="Times New Roman" w:hAnsi="Times New Roman" w:cs="Times New Roman"/>
              </w:rPr>
              <w:t xml:space="preserve"> and shall also prepare quarterly financial reports on the use of grants.</w:t>
            </w:r>
          </w:p>
        </w:tc>
      </w:tr>
      <w:tr w:rsidR="00016618" w:rsidRPr="005948DE" w14:paraId="2326A939" w14:textId="77777777" w:rsidTr="00BD438F">
        <w:trPr>
          <w:trHeight w:val="397"/>
        </w:trPr>
        <w:tc>
          <w:tcPr>
            <w:tcW w:w="730" w:type="dxa"/>
          </w:tcPr>
          <w:p w14:paraId="1C9D8567" w14:textId="77777777" w:rsidR="00016618" w:rsidRPr="00655FB8"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62137085" w14:textId="77777777" w:rsidR="00016618" w:rsidRPr="0098570E" w:rsidRDefault="00016618" w:rsidP="005948DE">
            <w:pPr>
              <w:spacing w:after="120" w:line="276" w:lineRule="auto"/>
              <w:jc w:val="both"/>
              <w:rPr>
                <w:rFonts w:ascii="Times New Roman" w:hAnsi="Times New Roman" w:cs="Times New Roman"/>
                <w:b/>
              </w:rPr>
            </w:pPr>
            <w:r w:rsidRPr="0098570E">
              <w:rPr>
                <w:rFonts w:ascii="Times New Roman" w:hAnsi="Times New Roman" w:cs="Times New Roman"/>
                <w:b/>
              </w:rPr>
              <w:t xml:space="preserve">Monitoring and Evaluation </w:t>
            </w:r>
          </w:p>
        </w:tc>
        <w:tc>
          <w:tcPr>
            <w:tcW w:w="3301" w:type="dxa"/>
          </w:tcPr>
          <w:p w14:paraId="1ED08FAF" w14:textId="77777777" w:rsidR="00016618" w:rsidRPr="003F57F7" w:rsidRDefault="00016618" w:rsidP="005948DE">
            <w:pPr>
              <w:spacing w:after="120" w:line="276" w:lineRule="auto"/>
              <w:jc w:val="both"/>
              <w:rPr>
                <w:rFonts w:ascii="Times New Roman" w:hAnsi="Times New Roman" w:cs="Times New Roman"/>
              </w:rPr>
            </w:pPr>
            <w:r w:rsidRPr="007F435F">
              <w:rPr>
                <w:rFonts w:ascii="Times New Roman" w:hAnsi="Times New Roman" w:cs="Times New Roman"/>
              </w:rPr>
              <w:t>Supe</w:t>
            </w:r>
            <w:r w:rsidRPr="003F57F7">
              <w:rPr>
                <w:rFonts w:ascii="Times New Roman" w:hAnsi="Times New Roman" w:cs="Times New Roman"/>
              </w:rPr>
              <w:t>rvision Consultant</w:t>
            </w:r>
          </w:p>
          <w:p w14:paraId="4224FF98" w14:textId="77777777" w:rsidR="00016618" w:rsidRPr="00D31D43"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 xml:space="preserve">PIU </w:t>
            </w:r>
          </w:p>
        </w:tc>
        <w:tc>
          <w:tcPr>
            <w:tcW w:w="7330" w:type="dxa"/>
          </w:tcPr>
          <w:p w14:paraId="42B1340D" w14:textId="09CFE2A4" w:rsidR="00016618" w:rsidRPr="00A5249A" w:rsidRDefault="00016618" w:rsidP="005948DE">
            <w:pPr>
              <w:spacing w:after="120" w:line="276" w:lineRule="auto"/>
              <w:jc w:val="both"/>
              <w:rPr>
                <w:rFonts w:ascii="Times New Roman" w:hAnsi="Times New Roman" w:cs="Times New Roman"/>
              </w:rPr>
            </w:pPr>
            <w:r w:rsidRPr="00D31D43">
              <w:rPr>
                <w:rFonts w:ascii="Times New Roman" w:hAnsi="Times New Roman" w:cs="Times New Roman"/>
              </w:rPr>
              <w:t>The PIU through the Civil engineer,</w:t>
            </w:r>
            <w:r w:rsidR="00DB78E0" w:rsidRPr="00D31D43">
              <w:rPr>
                <w:rFonts w:ascii="Times New Roman" w:hAnsi="Times New Roman" w:cs="Times New Roman"/>
              </w:rPr>
              <w:t xml:space="preserve"> Environmental specialists and S</w:t>
            </w:r>
            <w:r w:rsidRPr="00D31D43">
              <w:rPr>
                <w:rFonts w:ascii="Times New Roman" w:hAnsi="Times New Roman" w:cs="Times New Roman"/>
              </w:rPr>
              <w:t xml:space="preserve">ocial safeguard and </w:t>
            </w:r>
            <w:r w:rsidR="00A5249A">
              <w:rPr>
                <w:rFonts w:ascii="Times New Roman" w:hAnsi="Times New Roman" w:cs="Times New Roman"/>
              </w:rPr>
              <w:t>C</w:t>
            </w:r>
            <w:r w:rsidR="00A5249A" w:rsidRPr="00A5249A">
              <w:rPr>
                <w:rFonts w:ascii="Times New Roman" w:hAnsi="Times New Roman" w:cs="Times New Roman"/>
              </w:rPr>
              <w:t xml:space="preserve">itizen </w:t>
            </w:r>
            <w:r w:rsidR="00A5249A">
              <w:rPr>
                <w:rFonts w:ascii="Times New Roman" w:hAnsi="Times New Roman" w:cs="Times New Roman"/>
              </w:rPr>
              <w:t>E</w:t>
            </w:r>
            <w:r w:rsidR="00A5249A" w:rsidRPr="00A5249A">
              <w:rPr>
                <w:rFonts w:ascii="Times New Roman" w:hAnsi="Times New Roman" w:cs="Times New Roman"/>
              </w:rPr>
              <w:t xml:space="preserve">ngagement </w:t>
            </w:r>
            <w:r w:rsidRPr="00A5249A">
              <w:rPr>
                <w:rFonts w:ascii="Times New Roman" w:hAnsi="Times New Roman" w:cs="Times New Roman"/>
              </w:rPr>
              <w:t>specialist shall perform the site visit checks on a regular basis once a month to ground truth information from LSGs progress reports. The PIU shall also monitor the environmental and social performance as per the respective monitoring plans to be included in infrastructure investment specific ESMPs</w:t>
            </w:r>
            <w:r w:rsidR="00A5249A">
              <w:rPr>
                <w:rFonts w:ascii="Times New Roman" w:hAnsi="Times New Roman" w:cs="Times New Roman"/>
              </w:rPr>
              <w:t>.</w:t>
            </w:r>
          </w:p>
        </w:tc>
      </w:tr>
      <w:tr w:rsidR="00016618" w:rsidRPr="005948DE" w14:paraId="2C918D7D" w14:textId="77777777" w:rsidTr="00BD438F">
        <w:trPr>
          <w:trHeight w:val="397"/>
        </w:trPr>
        <w:tc>
          <w:tcPr>
            <w:tcW w:w="730" w:type="dxa"/>
          </w:tcPr>
          <w:p w14:paraId="1D36A2A9" w14:textId="77777777" w:rsidR="00016618" w:rsidRPr="005948DE" w:rsidRDefault="00016618" w:rsidP="005948DE">
            <w:pPr>
              <w:pStyle w:val="ListParagraph"/>
              <w:numPr>
                <w:ilvl w:val="0"/>
                <w:numId w:val="491"/>
              </w:numPr>
              <w:spacing w:after="120" w:line="276" w:lineRule="auto"/>
              <w:jc w:val="both"/>
              <w:rPr>
                <w:rFonts w:ascii="Times New Roman" w:hAnsi="Times New Roman" w:cs="Times New Roman"/>
              </w:rPr>
            </w:pPr>
          </w:p>
        </w:tc>
        <w:tc>
          <w:tcPr>
            <w:tcW w:w="3631" w:type="dxa"/>
          </w:tcPr>
          <w:p w14:paraId="540AF4A7" w14:textId="77777777" w:rsidR="00016618" w:rsidRPr="005948DE" w:rsidRDefault="00016618" w:rsidP="005948DE">
            <w:pPr>
              <w:spacing w:after="120" w:line="276" w:lineRule="auto"/>
              <w:jc w:val="both"/>
              <w:rPr>
                <w:rFonts w:ascii="Times New Roman" w:hAnsi="Times New Roman" w:cs="Times New Roman"/>
                <w:b/>
              </w:rPr>
            </w:pPr>
            <w:r w:rsidRPr="005948DE">
              <w:rPr>
                <w:rFonts w:ascii="Times New Roman" w:eastAsia="MS Mincho" w:hAnsi="Times New Roman" w:cs="Times New Roman"/>
                <w:b/>
                <w:color w:val="000000"/>
                <w:lang w:val="en-US"/>
              </w:rPr>
              <w:t xml:space="preserve">Implementation of modern asset management practices </w:t>
            </w:r>
            <w:r w:rsidRPr="005948DE">
              <w:rPr>
                <w:rFonts w:ascii="Times New Roman" w:hAnsi="Times New Roman" w:cs="Times New Roman"/>
                <w:b/>
              </w:rPr>
              <w:t>for local road network and of sustainable urban mobility plans</w:t>
            </w:r>
          </w:p>
        </w:tc>
        <w:tc>
          <w:tcPr>
            <w:tcW w:w="3301" w:type="dxa"/>
          </w:tcPr>
          <w:p w14:paraId="43587A8B" w14:textId="77777777" w:rsidR="00016618" w:rsidRPr="005948DE" w:rsidRDefault="00016618"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LSGs with support of TA </w:t>
            </w:r>
          </w:p>
        </w:tc>
        <w:tc>
          <w:tcPr>
            <w:tcW w:w="7330" w:type="dxa"/>
          </w:tcPr>
          <w:p w14:paraId="3461F21A" w14:textId="073650B9" w:rsidR="00016618" w:rsidRPr="005948DE" w:rsidRDefault="00016618" w:rsidP="005948DE">
            <w:pPr>
              <w:spacing w:after="120" w:line="276" w:lineRule="auto"/>
              <w:jc w:val="both"/>
              <w:rPr>
                <w:rFonts w:ascii="Times New Roman" w:hAnsi="Times New Roman" w:cs="Times New Roman"/>
              </w:rPr>
            </w:pPr>
            <w:r w:rsidRPr="005948DE">
              <w:rPr>
                <w:rStyle w:val="normaltextrun"/>
                <w:rFonts w:ascii="Times New Roman" w:eastAsia="Times New Roman" w:hAnsi="Times New Roman" w:cs="Times New Roman"/>
              </w:rPr>
              <w:t>Developing the local transport network climate vulnerability guidelines and incorporation of the analyses into road asset management system</w:t>
            </w:r>
            <w:r w:rsidR="00A5249A">
              <w:rPr>
                <w:rStyle w:val="normaltextrun"/>
                <w:rFonts w:ascii="Times New Roman" w:eastAsia="Times New Roman" w:hAnsi="Times New Roman" w:cs="Times New Roman"/>
              </w:rPr>
              <w:t>.</w:t>
            </w:r>
          </w:p>
        </w:tc>
      </w:tr>
    </w:tbl>
    <w:p w14:paraId="2F941A22" w14:textId="6E112794" w:rsidR="00016618" w:rsidRPr="005948DE" w:rsidRDefault="00016618" w:rsidP="005948DE">
      <w:pPr>
        <w:spacing w:after="120" w:line="276" w:lineRule="auto"/>
        <w:jc w:val="both"/>
        <w:rPr>
          <w:rFonts w:ascii="Times New Roman" w:hAnsi="Times New Roman" w:cs="Times New Roman"/>
        </w:rPr>
        <w:sectPr w:rsidR="00016618" w:rsidRPr="005948DE" w:rsidSect="002D62FD">
          <w:pgSz w:w="16837" w:h="11905" w:orient="landscape" w:code="9"/>
          <w:pgMar w:top="1077" w:right="1134" w:bottom="1304" w:left="1134" w:header="510" w:footer="340" w:gutter="0"/>
          <w:cols w:space="720"/>
          <w:titlePg/>
          <w:docGrid w:linePitch="326"/>
        </w:sectPr>
      </w:pPr>
    </w:p>
    <w:p w14:paraId="040AEE76" w14:textId="536198A7" w:rsidR="00377A44" w:rsidRDefault="002A588D" w:rsidP="005948DE">
      <w:pPr>
        <w:spacing w:after="120" w:line="276" w:lineRule="auto"/>
        <w:jc w:val="both"/>
        <w:rPr>
          <w:rFonts w:ascii="Times New Roman" w:eastAsia="Calibri" w:hAnsi="Times New Roman" w:cs="Times New Roman"/>
          <w:bCs/>
        </w:rPr>
      </w:pPr>
      <w:r w:rsidRPr="005948DE">
        <w:rPr>
          <w:rFonts w:ascii="Times New Roman" w:eastAsia="Calibri" w:hAnsi="Times New Roman" w:cs="Times New Roman"/>
          <w:bCs/>
        </w:rPr>
        <w:t>Approval of the nominated infrastructure investment projects will follow the robust and straightforward eligibility and compliance approval process as depicted in table</w:t>
      </w:r>
      <w:r w:rsidR="00A213C8">
        <w:rPr>
          <w:rFonts w:ascii="Times New Roman" w:eastAsia="Calibri" w:hAnsi="Times New Roman" w:cs="Times New Roman"/>
          <w:bCs/>
        </w:rPr>
        <w:t xml:space="preserve"> 3</w:t>
      </w:r>
      <w:r w:rsidRPr="005948DE">
        <w:rPr>
          <w:rFonts w:ascii="Times New Roman" w:eastAsia="Calibri" w:hAnsi="Times New Roman" w:cs="Times New Roman"/>
          <w:bCs/>
        </w:rPr>
        <w:t xml:space="preserve"> above.</w:t>
      </w:r>
      <w:r w:rsidR="00377A44">
        <w:rPr>
          <w:rFonts w:ascii="Times New Roman" w:eastAsia="Calibri" w:hAnsi="Times New Roman" w:cs="Times New Roman"/>
          <w:bCs/>
        </w:rPr>
        <w:t xml:space="preserve"> </w:t>
      </w:r>
    </w:p>
    <w:p w14:paraId="337B17EA" w14:textId="77777777" w:rsidR="002A588D" w:rsidRPr="005948DE" w:rsidRDefault="002A588D" w:rsidP="005948DE">
      <w:p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The main elements are as follows:</w:t>
      </w:r>
    </w:p>
    <w:p w14:paraId="14512DA6" w14:textId="77777777" w:rsidR="002A588D" w:rsidRPr="005948DE" w:rsidRDefault="002A588D" w:rsidP="005948DE">
      <w:pPr>
        <w:pStyle w:val="ListParagraph"/>
        <w:numPr>
          <w:ilvl w:val="0"/>
          <w:numId w:val="494"/>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Proposal(s) by each of the LSGs will be submitted to the PIU for the eligibility and compliance check. </w:t>
      </w:r>
    </w:p>
    <w:p w14:paraId="0950F148" w14:textId="6BBFBAB3" w:rsidR="002A588D" w:rsidRPr="005948DE" w:rsidRDefault="002A588D" w:rsidP="005948DE">
      <w:pPr>
        <w:pStyle w:val="ListParagraph"/>
        <w:numPr>
          <w:ilvl w:val="0"/>
          <w:numId w:val="494"/>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Eligibility check will confirm if</w:t>
      </w:r>
      <w:r w:rsidR="00B711D2" w:rsidRPr="00B711D2">
        <w:rPr>
          <w:rFonts w:ascii="Times New Roman" w:eastAsia="Calibri" w:hAnsi="Times New Roman" w:cs="Times New Roman"/>
        </w:rPr>
        <w:t xml:space="preserve"> </w:t>
      </w:r>
      <w:r w:rsidR="00B711D2">
        <w:rPr>
          <w:rFonts w:ascii="Times New Roman" w:eastAsia="Calibri" w:hAnsi="Times New Roman" w:cs="Times New Roman"/>
        </w:rPr>
        <w:t>t</w:t>
      </w:r>
      <w:r w:rsidR="00B711D2" w:rsidRPr="005948DE">
        <w:rPr>
          <w:rFonts w:ascii="Times New Roman" w:eastAsia="Calibri" w:hAnsi="Times New Roman" w:cs="Times New Roman"/>
        </w:rPr>
        <w:t xml:space="preserve">he proposed </w:t>
      </w:r>
      <w:r w:rsidR="00B711D2">
        <w:rPr>
          <w:rFonts w:ascii="Times New Roman" w:eastAsia="Calibri" w:hAnsi="Times New Roman" w:cs="Times New Roman"/>
        </w:rPr>
        <w:t>sub</w:t>
      </w:r>
      <w:r w:rsidR="00B711D2" w:rsidRPr="005948DE">
        <w:rPr>
          <w:rFonts w:ascii="Times New Roman" w:eastAsia="Calibri" w:hAnsi="Times New Roman" w:cs="Times New Roman"/>
        </w:rPr>
        <w:t>project</w:t>
      </w:r>
      <w:r w:rsidR="00A5249A">
        <w:rPr>
          <w:rFonts w:ascii="Times New Roman" w:eastAsia="Calibri" w:hAnsi="Times New Roman" w:cs="Times New Roman"/>
        </w:rPr>
        <w:t>:</w:t>
      </w:r>
      <w:r w:rsidRPr="005948DE">
        <w:rPr>
          <w:rFonts w:ascii="Times New Roman" w:eastAsia="Calibri" w:hAnsi="Times New Roman" w:cs="Times New Roman"/>
        </w:rPr>
        <w:t xml:space="preserve"> </w:t>
      </w:r>
    </w:p>
    <w:p w14:paraId="0144FE93" w14:textId="6CA9EAB3" w:rsidR="002A588D" w:rsidRPr="005948DE" w:rsidRDefault="00B711D2" w:rsidP="005948DE">
      <w:pPr>
        <w:pStyle w:val="ListParagraph"/>
        <w:numPr>
          <w:ilvl w:val="2"/>
          <w:numId w:val="492"/>
        </w:numPr>
        <w:spacing w:after="120" w:line="276" w:lineRule="auto"/>
        <w:jc w:val="both"/>
        <w:rPr>
          <w:rFonts w:ascii="Times New Roman" w:eastAsia="Calibri" w:hAnsi="Times New Roman" w:cs="Times New Roman"/>
        </w:rPr>
      </w:pPr>
      <w:r>
        <w:rPr>
          <w:rFonts w:ascii="Times New Roman" w:eastAsia="Calibri" w:hAnsi="Times New Roman" w:cs="Times New Roman"/>
        </w:rPr>
        <w:t>B</w:t>
      </w:r>
      <w:r w:rsidR="002A588D" w:rsidRPr="005948DE">
        <w:rPr>
          <w:rFonts w:ascii="Times New Roman" w:eastAsia="Calibri" w:hAnsi="Times New Roman" w:cs="Times New Roman"/>
        </w:rPr>
        <w:t xml:space="preserve">elongs to the group of investments to be financed under the Project, as defined in the </w:t>
      </w:r>
      <w:r w:rsidR="002A588D" w:rsidRPr="005948DE">
        <w:rPr>
          <w:rFonts w:ascii="Times New Roman" w:eastAsia="Calibri" w:hAnsi="Times New Roman" w:cs="Times New Roman"/>
        </w:rPr>
        <w:fldChar w:fldCharType="begin"/>
      </w:r>
      <w:r w:rsidR="002A588D" w:rsidRPr="005948DE">
        <w:rPr>
          <w:rFonts w:ascii="Times New Roman" w:eastAsia="Calibri" w:hAnsi="Times New Roman" w:cs="Times New Roman"/>
        </w:rPr>
        <w:instrText xml:space="preserve"> REF _Ref85056594 \h  \* MERGEFORMAT </w:instrText>
      </w:r>
      <w:r w:rsidR="002A588D" w:rsidRPr="005948DE">
        <w:rPr>
          <w:rFonts w:ascii="Times New Roman" w:eastAsia="Calibri" w:hAnsi="Times New Roman" w:cs="Times New Roman"/>
        </w:rPr>
      </w:r>
      <w:r w:rsidR="002A588D" w:rsidRPr="005948DE">
        <w:rPr>
          <w:rFonts w:ascii="Times New Roman" w:eastAsia="Calibri" w:hAnsi="Times New Roman" w:cs="Times New Roman"/>
        </w:rPr>
        <w:fldChar w:fldCharType="separate"/>
      </w:r>
      <w:r w:rsidR="00A07DB4" w:rsidRPr="005948DE">
        <w:rPr>
          <w:rFonts w:ascii="Times New Roman" w:eastAsia="Calibri" w:hAnsi="Times New Roman" w:cs="Times New Roman"/>
        </w:rPr>
        <w:t>Table 1</w:t>
      </w:r>
      <w:r w:rsidR="002A588D" w:rsidRPr="005948DE">
        <w:rPr>
          <w:rFonts w:ascii="Times New Roman" w:eastAsia="Calibri" w:hAnsi="Times New Roman" w:cs="Times New Roman"/>
        </w:rPr>
        <w:fldChar w:fldCharType="end"/>
      </w:r>
      <w:r w:rsidR="002A588D" w:rsidRPr="005948DE">
        <w:rPr>
          <w:rFonts w:ascii="Times New Roman" w:eastAsia="Calibri" w:hAnsi="Times New Roman" w:cs="Times New Roman"/>
        </w:rPr>
        <w:t xml:space="preserve">; </w:t>
      </w:r>
    </w:p>
    <w:p w14:paraId="4EE6EF58" w14:textId="77777777" w:rsidR="002A588D" w:rsidRPr="005948DE" w:rsidRDefault="002A588D" w:rsidP="005948DE">
      <w:pPr>
        <w:pStyle w:val="ListParagraph"/>
        <w:numPr>
          <w:ilvl w:val="2"/>
          <w:numId w:val="492"/>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Is included in the planning documents as defined in the Law on Planning and Construction; </w:t>
      </w:r>
    </w:p>
    <w:p w14:paraId="0C78E7AD" w14:textId="77777777" w:rsidR="002A588D" w:rsidRPr="005948DE" w:rsidRDefault="002A588D" w:rsidP="005948DE">
      <w:pPr>
        <w:pStyle w:val="ListParagraph"/>
        <w:numPr>
          <w:ilvl w:val="2"/>
          <w:numId w:val="492"/>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Is economically and socially justifiable; and </w:t>
      </w:r>
    </w:p>
    <w:p w14:paraId="2AFD22DC" w14:textId="4D9DC4AC" w:rsidR="00B711D2" w:rsidRPr="005948DE" w:rsidRDefault="002A588D" w:rsidP="005948DE">
      <w:pPr>
        <w:pStyle w:val="ListParagraph"/>
        <w:numPr>
          <w:ilvl w:val="2"/>
          <w:numId w:val="492"/>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Has designs ready or secured funds for design completion. </w:t>
      </w:r>
    </w:p>
    <w:p w14:paraId="1CC984C3" w14:textId="388EC6D6" w:rsidR="002A588D" w:rsidRPr="00665F55" w:rsidRDefault="002A588D" w:rsidP="00665F55">
      <w:pPr>
        <w:spacing w:after="120" w:line="276" w:lineRule="auto"/>
        <w:ind w:left="720"/>
        <w:jc w:val="both"/>
        <w:rPr>
          <w:rFonts w:ascii="Times New Roman" w:eastAsia="Calibri" w:hAnsi="Times New Roman" w:cs="Times New Roman"/>
        </w:rPr>
      </w:pPr>
      <w:r w:rsidRPr="00665F55">
        <w:rPr>
          <w:rFonts w:ascii="Times New Roman" w:eastAsia="Calibri" w:hAnsi="Times New Roman" w:cs="Times New Roman"/>
        </w:rPr>
        <w:t xml:space="preserve">At later stage of the </w:t>
      </w:r>
      <w:r w:rsidR="00A5249A" w:rsidRPr="00665F55">
        <w:rPr>
          <w:rFonts w:ascii="Times New Roman" w:eastAsia="Calibri" w:hAnsi="Times New Roman" w:cs="Times New Roman"/>
        </w:rPr>
        <w:t>P</w:t>
      </w:r>
      <w:r w:rsidRPr="00665F55">
        <w:rPr>
          <w:rFonts w:ascii="Times New Roman" w:eastAsia="Calibri" w:hAnsi="Times New Roman" w:cs="Times New Roman"/>
        </w:rPr>
        <w:t xml:space="preserve">roject, once the road asset management methodology is developed, the eligibility check will also confirm that the road asset management methodology supports the proposed </w:t>
      </w:r>
      <w:r w:rsidR="00A5249A" w:rsidRPr="00665F55">
        <w:rPr>
          <w:rFonts w:ascii="Times New Roman" w:eastAsia="Calibri" w:hAnsi="Times New Roman" w:cs="Times New Roman"/>
        </w:rPr>
        <w:t>sub</w:t>
      </w:r>
      <w:r w:rsidRPr="00665F55">
        <w:rPr>
          <w:rFonts w:ascii="Times New Roman" w:eastAsia="Calibri" w:hAnsi="Times New Roman" w:cs="Times New Roman"/>
        </w:rPr>
        <w:t xml:space="preserve">project. </w:t>
      </w:r>
    </w:p>
    <w:p w14:paraId="79F6FA50" w14:textId="302514B9" w:rsidR="002A588D" w:rsidRPr="005948DE" w:rsidRDefault="002A588D" w:rsidP="005948DE">
      <w:pPr>
        <w:pStyle w:val="ListParagraph"/>
        <w:numPr>
          <w:ilvl w:val="0"/>
          <w:numId w:val="494"/>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Once the proposal is approved, the LSG should finalize project design (if relevant) and accompanying documents. Once the final documents for the proposal are delivered, the PIU will confirm if proposed design is compliant with the requirements under the </w:t>
      </w:r>
      <w:r w:rsidR="00A5249A">
        <w:rPr>
          <w:rFonts w:ascii="Times New Roman" w:eastAsia="Calibri" w:hAnsi="Times New Roman" w:cs="Times New Roman"/>
        </w:rPr>
        <w:t>P</w:t>
      </w:r>
      <w:r w:rsidR="00A5249A" w:rsidRPr="005948DE">
        <w:rPr>
          <w:rFonts w:ascii="Times New Roman" w:eastAsia="Calibri" w:hAnsi="Times New Roman" w:cs="Times New Roman"/>
        </w:rPr>
        <w:t>roject</w:t>
      </w:r>
      <w:r w:rsidRPr="005948DE">
        <w:rPr>
          <w:rFonts w:ascii="Times New Roman" w:eastAsia="Calibri" w:hAnsi="Times New Roman" w:cs="Times New Roman"/>
        </w:rPr>
        <w:t xml:space="preserve">, in particular if: </w:t>
      </w:r>
    </w:p>
    <w:p w14:paraId="12EDC83A" w14:textId="1998D4BA" w:rsidR="002A588D" w:rsidRPr="005948DE" w:rsidRDefault="00B711D2" w:rsidP="00665F55">
      <w:pPr>
        <w:pStyle w:val="ListParagraph"/>
        <w:numPr>
          <w:ilvl w:val="2"/>
          <w:numId w:val="708"/>
        </w:numPr>
        <w:spacing w:after="120" w:line="276" w:lineRule="auto"/>
        <w:jc w:val="both"/>
        <w:rPr>
          <w:rFonts w:ascii="Times New Roman" w:eastAsia="Calibri" w:hAnsi="Times New Roman" w:cs="Times New Roman"/>
        </w:rPr>
      </w:pPr>
      <w:r>
        <w:rPr>
          <w:rFonts w:ascii="Times New Roman" w:eastAsia="Calibri" w:hAnsi="Times New Roman" w:cs="Times New Roman"/>
        </w:rPr>
        <w:t>C</w:t>
      </w:r>
      <w:r w:rsidRPr="005948DE">
        <w:rPr>
          <w:rFonts w:ascii="Times New Roman" w:eastAsia="Calibri" w:hAnsi="Times New Roman" w:cs="Times New Roman"/>
        </w:rPr>
        <w:t xml:space="preserve">ompliant </w:t>
      </w:r>
      <w:r w:rsidR="002A588D" w:rsidRPr="005948DE">
        <w:rPr>
          <w:rFonts w:ascii="Times New Roman" w:eastAsia="Calibri" w:hAnsi="Times New Roman" w:cs="Times New Roman"/>
        </w:rPr>
        <w:t>safeguard documents as per the Bank policies are delivered;</w:t>
      </w:r>
    </w:p>
    <w:p w14:paraId="4727019B" w14:textId="17259D0B" w:rsidR="002A588D" w:rsidRPr="005948DE" w:rsidRDefault="00B711D2" w:rsidP="00665F55">
      <w:pPr>
        <w:pStyle w:val="ListParagraph"/>
        <w:numPr>
          <w:ilvl w:val="2"/>
          <w:numId w:val="708"/>
        </w:numPr>
        <w:spacing w:after="120" w:line="276" w:lineRule="auto"/>
        <w:jc w:val="both"/>
        <w:rPr>
          <w:rFonts w:ascii="Times New Roman" w:eastAsia="Calibri" w:hAnsi="Times New Roman" w:cs="Times New Roman"/>
        </w:rPr>
      </w:pPr>
      <w:r>
        <w:rPr>
          <w:rFonts w:ascii="Times New Roman" w:eastAsia="Calibri" w:hAnsi="Times New Roman" w:cs="Times New Roman"/>
        </w:rPr>
        <w:t>D</w:t>
      </w:r>
      <w:r w:rsidRPr="005948DE">
        <w:rPr>
          <w:rFonts w:ascii="Times New Roman" w:eastAsia="Calibri" w:hAnsi="Times New Roman" w:cs="Times New Roman"/>
        </w:rPr>
        <w:t xml:space="preserve">esign </w:t>
      </w:r>
      <w:r w:rsidR="002A588D" w:rsidRPr="005948DE">
        <w:rPr>
          <w:rFonts w:ascii="Times New Roman" w:eastAsia="Calibri" w:hAnsi="Times New Roman" w:cs="Times New Roman"/>
        </w:rPr>
        <w:t xml:space="preserve">properly addressed resilience, safety and, where applicable, natural based design; </w:t>
      </w:r>
    </w:p>
    <w:p w14:paraId="3E757B6A" w14:textId="26D1188D" w:rsidR="002A588D" w:rsidRPr="005948DE" w:rsidRDefault="00B711D2" w:rsidP="00665F55">
      <w:pPr>
        <w:pStyle w:val="ListParagraph"/>
        <w:numPr>
          <w:ilvl w:val="2"/>
          <w:numId w:val="708"/>
        </w:numPr>
        <w:spacing w:after="120" w:line="276" w:lineRule="auto"/>
        <w:jc w:val="both"/>
        <w:rPr>
          <w:rFonts w:ascii="Times New Roman" w:eastAsia="Calibri" w:hAnsi="Times New Roman" w:cs="Times New Roman"/>
        </w:rPr>
      </w:pPr>
      <w:r>
        <w:rPr>
          <w:rFonts w:ascii="Times New Roman" w:eastAsia="Calibri" w:hAnsi="Times New Roman" w:cs="Times New Roman"/>
        </w:rPr>
        <w:t>W</w:t>
      </w:r>
      <w:r w:rsidRPr="005948DE">
        <w:rPr>
          <w:rFonts w:ascii="Times New Roman" w:eastAsia="Calibri" w:hAnsi="Times New Roman" w:cs="Times New Roman"/>
        </w:rPr>
        <w:t xml:space="preserve">here </w:t>
      </w:r>
      <w:r w:rsidR="002A588D" w:rsidRPr="005948DE">
        <w:rPr>
          <w:rFonts w:ascii="Times New Roman" w:eastAsia="Calibri" w:hAnsi="Times New Roman" w:cs="Times New Roman"/>
        </w:rPr>
        <w:t xml:space="preserve">applicable, if design included infrastructure for active mobility and </w:t>
      </w:r>
      <w:r w:rsidR="00A5249A">
        <w:rPr>
          <w:rFonts w:ascii="Times New Roman" w:eastAsia="Calibri" w:hAnsi="Times New Roman" w:cs="Times New Roman"/>
        </w:rPr>
        <w:t>favorized</w:t>
      </w:r>
      <w:r w:rsidR="002A588D" w:rsidRPr="005948DE">
        <w:rPr>
          <w:rFonts w:ascii="Times New Roman" w:eastAsia="Calibri" w:hAnsi="Times New Roman" w:cs="Times New Roman"/>
        </w:rPr>
        <w:t xml:space="preserve"> public transport. </w:t>
      </w:r>
    </w:p>
    <w:p w14:paraId="3C0C5EC2" w14:textId="54D4EAD6" w:rsidR="002A588D" w:rsidRPr="005948DE" w:rsidRDefault="002A588D" w:rsidP="005948DE">
      <w:pPr>
        <w:pStyle w:val="ListParagraph"/>
        <w:numPr>
          <w:ilvl w:val="0"/>
          <w:numId w:val="494"/>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The PIU will support </w:t>
      </w:r>
      <w:r w:rsidR="00C83409">
        <w:rPr>
          <w:rFonts w:ascii="Times New Roman" w:eastAsia="Calibri" w:hAnsi="Times New Roman" w:cs="Times New Roman"/>
        </w:rPr>
        <w:t xml:space="preserve">the </w:t>
      </w:r>
      <w:r w:rsidRPr="005948DE">
        <w:rPr>
          <w:rFonts w:ascii="Times New Roman" w:eastAsia="Calibri" w:hAnsi="Times New Roman" w:cs="Times New Roman"/>
        </w:rPr>
        <w:t xml:space="preserve">LSGs in </w:t>
      </w:r>
      <w:r w:rsidR="00C83409">
        <w:rPr>
          <w:rFonts w:ascii="Times New Roman" w:eastAsia="Calibri" w:hAnsi="Times New Roman" w:cs="Times New Roman"/>
        </w:rPr>
        <w:t>sub</w:t>
      </w:r>
      <w:r w:rsidRPr="005948DE">
        <w:rPr>
          <w:rFonts w:ascii="Times New Roman" w:eastAsia="Calibri" w:hAnsi="Times New Roman" w:cs="Times New Roman"/>
        </w:rPr>
        <w:t>project</w:t>
      </w:r>
      <w:r w:rsidR="00C83409">
        <w:rPr>
          <w:rFonts w:ascii="Times New Roman" w:eastAsia="Calibri" w:hAnsi="Times New Roman" w:cs="Times New Roman"/>
        </w:rPr>
        <w:t>s</w:t>
      </w:r>
      <w:r w:rsidRPr="005948DE">
        <w:rPr>
          <w:rFonts w:ascii="Times New Roman" w:eastAsia="Calibri" w:hAnsi="Times New Roman" w:cs="Times New Roman"/>
        </w:rPr>
        <w:t xml:space="preserve"> preparation and will review the quality of the submitted infrastructure investment projects against the best practices and eligibility criteria. </w:t>
      </w:r>
    </w:p>
    <w:p w14:paraId="419C1CBB" w14:textId="1B2185DD" w:rsidR="002A588D" w:rsidRPr="005948DE" w:rsidRDefault="002A588D" w:rsidP="005948DE">
      <w:pPr>
        <w:pStyle w:val="ListParagraph"/>
        <w:numPr>
          <w:ilvl w:val="0"/>
          <w:numId w:val="494"/>
        </w:num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 xml:space="preserve">Upon those approvals, the procurement will be conducted by the LSGs under close support and guidance </w:t>
      </w:r>
      <w:r w:rsidR="00C83409">
        <w:rPr>
          <w:rFonts w:ascii="Times New Roman" w:eastAsia="Calibri" w:hAnsi="Times New Roman" w:cs="Times New Roman"/>
        </w:rPr>
        <w:t xml:space="preserve">of the </w:t>
      </w:r>
      <w:r w:rsidRPr="005948DE">
        <w:rPr>
          <w:rFonts w:ascii="Times New Roman" w:eastAsia="Calibri" w:hAnsi="Times New Roman" w:cs="Times New Roman"/>
        </w:rPr>
        <w:t>PIU and fiduciary support of the CFU.</w:t>
      </w:r>
      <w:r w:rsidRPr="005948DE">
        <w:rPr>
          <w:rFonts w:ascii="Times New Roman" w:eastAsia="Calibri" w:hAnsi="Times New Roman" w:cs="Times New Roman"/>
          <w:bCs/>
        </w:rPr>
        <w:t xml:space="preserve"> </w:t>
      </w:r>
      <w:r w:rsidR="00C83409">
        <w:rPr>
          <w:rFonts w:ascii="Times New Roman" w:eastAsia="Calibri" w:hAnsi="Times New Roman" w:cs="Times New Roman"/>
          <w:bCs/>
        </w:rPr>
        <w:t xml:space="preserve">The </w:t>
      </w:r>
      <w:r w:rsidRPr="005948DE">
        <w:rPr>
          <w:rFonts w:ascii="Times New Roman" w:eastAsia="Calibri" w:hAnsi="Times New Roman" w:cs="Times New Roman"/>
        </w:rPr>
        <w:t>PIU will review bidding documents, bid evaluation reports and amendment</w:t>
      </w:r>
      <w:r w:rsidR="00C83409">
        <w:rPr>
          <w:rFonts w:ascii="Times New Roman" w:eastAsia="Calibri" w:hAnsi="Times New Roman" w:cs="Times New Roman"/>
        </w:rPr>
        <w:t>s</w:t>
      </w:r>
      <w:r w:rsidRPr="005948DE">
        <w:rPr>
          <w:rFonts w:ascii="Times New Roman" w:eastAsia="Calibri" w:hAnsi="Times New Roman" w:cs="Times New Roman"/>
        </w:rPr>
        <w:t xml:space="preserve"> to the contract prepared by the LSGs. The approval of each of those documents by the PIU will be the condition for the next phase in the procurement process implemented by the LSG. </w:t>
      </w:r>
    </w:p>
    <w:p w14:paraId="1D070D20" w14:textId="3C3283A1" w:rsidR="002A588D" w:rsidRDefault="002A588D" w:rsidP="005948DE">
      <w:pPr>
        <w:pStyle w:val="ListParagraph"/>
        <w:numPr>
          <w:ilvl w:val="0"/>
          <w:numId w:val="494"/>
        </w:numPr>
        <w:spacing w:after="120" w:line="276" w:lineRule="auto"/>
        <w:jc w:val="both"/>
        <w:rPr>
          <w:rFonts w:ascii="Times New Roman" w:hAnsi="Times New Roman" w:cs="Times New Roman"/>
        </w:rPr>
      </w:pPr>
      <w:r w:rsidRPr="005948DE">
        <w:rPr>
          <w:rFonts w:ascii="Times New Roman" w:eastAsia="Calibri" w:hAnsi="Times New Roman" w:cs="Times New Roman"/>
        </w:rPr>
        <w:t xml:space="preserve">The </w:t>
      </w:r>
      <w:r w:rsidRPr="005948DE">
        <w:rPr>
          <w:rFonts w:ascii="Times New Roman" w:hAnsi="Times New Roman" w:cs="Times New Roman"/>
        </w:rPr>
        <w:t xml:space="preserve">LSGs will also be responsible for the supervision of </w:t>
      </w:r>
      <w:r w:rsidR="0079119F">
        <w:rPr>
          <w:rFonts w:ascii="Times New Roman" w:hAnsi="Times New Roman" w:cs="Times New Roman"/>
        </w:rPr>
        <w:t>environmental and social</w:t>
      </w:r>
      <w:r w:rsidRPr="005948DE">
        <w:rPr>
          <w:rFonts w:ascii="Times New Roman" w:hAnsi="Times New Roman" w:cs="Times New Roman"/>
        </w:rPr>
        <w:t xml:space="preserve"> related aspects and grievance mechanisms, with close support and oversight by </w:t>
      </w:r>
      <w:r w:rsidR="00C83409">
        <w:rPr>
          <w:rFonts w:ascii="Times New Roman" w:hAnsi="Times New Roman" w:cs="Times New Roman"/>
        </w:rPr>
        <w:t xml:space="preserve">a </w:t>
      </w:r>
      <w:r w:rsidRPr="005948DE">
        <w:rPr>
          <w:rFonts w:ascii="Times New Roman" w:hAnsi="Times New Roman" w:cs="Times New Roman"/>
        </w:rPr>
        <w:t xml:space="preserve">dedicated </w:t>
      </w:r>
      <w:r w:rsidRPr="005948DE">
        <w:rPr>
          <w:rFonts w:ascii="Times New Roman" w:eastAsia="Calibri" w:hAnsi="Times New Roman" w:cs="Times New Roman"/>
        </w:rPr>
        <w:t xml:space="preserve">Social safeguard and </w:t>
      </w:r>
      <w:r w:rsidR="00B711D2">
        <w:rPr>
          <w:rFonts w:ascii="Times New Roman" w:eastAsia="Calibri" w:hAnsi="Times New Roman" w:cs="Times New Roman"/>
        </w:rPr>
        <w:t>C</w:t>
      </w:r>
      <w:r w:rsidR="00B711D2" w:rsidRPr="005948DE">
        <w:rPr>
          <w:rFonts w:ascii="Times New Roman" w:eastAsia="Calibri" w:hAnsi="Times New Roman" w:cs="Times New Roman"/>
        </w:rPr>
        <w:t xml:space="preserve">itizen </w:t>
      </w:r>
      <w:r w:rsidR="00B711D2">
        <w:rPr>
          <w:rFonts w:ascii="Times New Roman" w:eastAsia="Calibri" w:hAnsi="Times New Roman" w:cs="Times New Roman"/>
        </w:rPr>
        <w:t>E</w:t>
      </w:r>
      <w:r w:rsidR="00B711D2" w:rsidRPr="005948DE">
        <w:rPr>
          <w:rFonts w:ascii="Times New Roman" w:eastAsia="Calibri" w:hAnsi="Times New Roman" w:cs="Times New Roman"/>
        </w:rPr>
        <w:t xml:space="preserve">ngagement </w:t>
      </w:r>
      <w:r w:rsidRPr="005948DE">
        <w:rPr>
          <w:rFonts w:ascii="Times New Roman" w:eastAsia="Calibri" w:hAnsi="Times New Roman" w:cs="Times New Roman"/>
        </w:rPr>
        <w:t xml:space="preserve">specialist of the </w:t>
      </w:r>
      <w:r w:rsidRPr="005948DE">
        <w:rPr>
          <w:rFonts w:ascii="Times New Roman" w:hAnsi="Times New Roman" w:cs="Times New Roman"/>
        </w:rPr>
        <w:t xml:space="preserve">PIU. Simplified schematic representation of investment eligibility and compliance approval process is shown in figure below. </w:t>
      </w:r>
    </w:p>
    <w:p w14:paraId="0F1FB617" w14:textId="77777777" w:rsidR="008B5703" w:rsidRDefault="008B5703">
      <w:pPr>
        <w:rPr>
          <w:i/>
          <w:iCs/>
          <w:color w:val="1F497D" w:themeColor="text2"/>
          <w:sz w:val="18"/>
          <w:szCs w:val="18"/>
        </w:rPr>
      </w:pPr>
      <w:r>
        <w:br w:type="page"/>
      </w:r>
    </w:p>
    <w:p w14:paraId="7A58DB5C" w14:textId="4914692D" w:rsidR="008B5703" w:rsidRPr="006F115D" w:rsidRDefault="008B5703" w:rsidP="00665F55">
      <w:pPr>
        <w:pStyle w:val="Caption"/>
        <w:rPr>
          <w:rFonts w:ascii="Times New Roman" w:hAnsi="Times New Roman" w:cs="Times New Roman"/>
          <w:sz w:val="22"/>
          <w:szCs w:val="22"/>
        </w:rPr>
      </w:pPr>
      <w:r w:rsidRPr="006F115D">
        <w:rPr>
          <w:rFonts w:ascii="Times New Roman" w:hAnsi="Times New Roman" w:cs="Times New Roman"/>
          <w:sz w:val="22"/>
          <w:szCs w:val="22"/>
        </w:rPr>
        <w:t xml:space="preserve">Figure </w:t>
      </w:r>
      <w:r w:rsidRPr="006F115D">
        <w:rPr>
          <w:rFonts w:ascii="Times New Roman" w:hAnsi="Times New Roman" w:cs="Times New Roman"/>
          <w:sz w:val="22"/>
          <w:szCs w:val="22"/>
        </w:rPr>
        <w:fldChar w:fldCharType="begin"/>
      </w:r>
      <w:r w:rsidRPr="006F115D">
        <w:rPr>
          <w:rFonts w:ascii="Times New Roman" w:hAnsi="Times New Roman" w:cs="Times New Roman"/>
          <w:sz w:val="22"/>
          <w:szCs w:val="22"/>
        </w:rPr>
        <w:instrText xml:space="preserve"> SEQ Figure \* ARABIC </w:instrText>
      </w:r>
      <w:r w:rsidRPr="006F115D">
        <w:rPr>
          <w:rFonts w:ascii="Times New Roman" w:hAnsi="Times New Roman" w:cs="Times New Roman"/>
          <w:sz w:val="22"/>
          <w:szCs w:val="22"/>
        </w:rPr>
        <w:fldChar w:fldCharType="separate"/>
      </w:r>
      <w:r w:rsidR="00417989" w:rsidRPr="006F115D">
        <w:rPr>
          <w:rFonts w:ascii="Times New Roman" w:hAnsi="Times New Roman" w:cs="Times New Roman"/>
          <w:sz w:val="22"/>
          <w:szCs w:val="22"/>
        </w:rPr>
        <w:t>3</w:t>
      </w:r>
      <w:r w:rsidRPr="006F115D">
        <w:rPr>
          <w:rFonts w:ascii="Times New Roman" w:hAnsi="Times New Roman" w:cs="Times New Roman"/>
          <w:sz w:val="22"/>
          <w:szCs w:val="22"/>
        </w:rPr>
        <w:fldChar w:fldCharType="end"/>
      </w:r>
      <w:r w:rsidRPr="006F115D">
        <w:rPr>
          <w:rFonts w:ascii="Times New Roman" w:hAnsi="Times New Roman" w:cs="Times New Roman"/>
          <w:sz w:val="22"/>
          <w:szCs w:val="22"/>
        </w:rPr>
        <w:t>: Eligibility and Compliance Selection Tool</w:t>
      </w:r>
    </w:p>
    <w:p w14:paraId="313F384D" w14:textId="77777777" w:rsidR="00C173B5" w:rsidRDefault="00C173B5" w:rsidP="005948DE">
      <w:pPr>
        <w:spacing w:after="120" w:line="276" w:lineRule="auto"/>
        <w:jc w:val="both"/>
        <w:rPr>
          <w:rFonts w:ascii="Times New Roman" w:hAnsi="Times New Roman" w:cs="Times New Roman"/>
          <w:color w:val="000000" w:themeColor="text1"/>
        </w:rPr>
      </w:pPr>
    </w:p>
    <w:p w14:paraId="2FD4B653" w14:textId="77777777" w:rsidR="00C173B5" w:rsidRDefault="00C173B5" w:rsidP="005948DE">
      <w:pPr>
        <w:spacing w:after="120" w:line="276" w:lineRule="auto"/>
        <w:jc w:val="both"/>
        <w:rPr>
          <w:rFonts w:ascii="Times New Roman" w:hAnsi="Times New Roman" w:cs="Times New Roman"/>
          <w:color w:val="000000" w:themeColor="text1"/>
        </w:rPr>
      </w:pPr>
    </w:p>
    <w:p w14:paraId="1941C82F" w14:textId="0E634FB8" w:rsidR="002A588D" w:rsidRDefault="00804713" w:rsidP="005948DE">
      <w:pPr>
        <w:spacing w:after="120" w:line="276" w:lineRule="auto"/>
        <w:jc w:val="both"/>
        <w:rPr>
          <w:rFonts w:ascii="Times New Roman" w:hAnsi="Times New Roman" w:cs="Times New Roman"/>
          <w:color w:val="000000" w:themeColor="text1"/>
        </w:rPr>
      </w:pPr>
      <w:r>
        <w:rPr>
          <w:noProof/>
          <w:lang w:val="en-US"/>
        </w:rPr>
        <w:drawing>
          <wp:inline distT="0" distB="0" distL="0" distR="0" wp14:anchorId="0CFC1677" wp14:editId="406FA621">
            <wp:extent cx="5943600" cy="26164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580" t="15350" r="1412" b="11820"/>
                    <a:stretch/>
                  </pic:blipFill>
                  <pic:spPr bwMode="auto">
                    <a:xfrm>
                      <a:off x="0" y="0"/>
                      <a:ext cx="5959451" cy="2623426"/>
                    </a:xfrm>
                    <a:prstGeom prst="rect">
                      <a:avLst/>
                    </a:prstGeom>
                    <a:ln>
                      <a:noFill/>
                    </a:ln>
                    <a:extLst>
                      <a:ext uri="{53640926-AAD7-44D8-BBD7-CCE9431645EC}">
                        <a14:shadowObscured xmlns:a14="http://schemas.microsoft.com/office/drawing/2010/main"/>
                      </a:ext>
                    </a:extLst>
                  </pic:spPr>
                </pic:pic>
              </a:graphicData>
            </a:graphic>
          </wp:inline>
        </w:drawing>
      </w:r>
    </w:p>
    <w:p w14:paraId="12F5F6DA" w14:textId="010BB4BC" w:rsidR="00C173B5" w:rsidRDefault="00C173B5" w:rsidP="005948DE">
      <w:pPr>
        <w:spacing w:after="120" w:line="276" w:lineRule="auto"/>
        <w:jc w:val="both"/>
        <w:rPr>
          <w:rFonts w:ascii="Times New Roman" w:hAnsi="Times New Roman" w:cs="Times New Roman"/>
          <w:color w:val="000000" w:themeColor="text1"/>
        </w:rPr>
      </w:pPr>
    </w:p>
    <w:p w14:paraId="02712A39" w14:textId="60DE5C99" w:rsidR="00C173B5" w:rsidRPr="005948DE" w:rsidRDefault="00C173B5" w:rsidP="00C173B5">
      <w:pPr>
        <w:spacing w:after="120" w:line="276" w:lineRule="auto"/>
        <w:jc w:val="both"/>
        <w:rPr>
          <w:rFonts w:ascii="Times New Roman" w:eastAsia="Calibri" w:hAnsi="Times New Roman" w:cs="Times New Roman"/>
          <w:bCs/>
        </w:rPr>
      </w:pPr>
      <w:r>
        <w:rPr>
          <w:rFonts w:ascii="Times New Roman" w:eastAsia="Calibri" w:hAnsi="Times New Roman" w:cs="Times New Roman"/>
          <w:bCs/>
        </w:rPr>
        <w:t xml:space="preserve">The Eligibility and Compliance Selection Tool has been developed for the Project to allow for transparent and straightforward evaluation of the proposed investments. The PIU will use this </w:t>
      </w:r>
      <w:r w:rsidR="00AD721D">
        <w:rPr>
          <w:rFonts w:ascii="Times New Roman" w:eastAsia="Calibri" w:hAnsi="Times New Roman" w:cs="Times New Roman"/>
          <w:bCs/>
        </w:rPr>
        <w:t>tool</w:t>
      </w:r>
      <w:r>
        <w:rPr>
          <w:rFonts w:ascii="Times New Roman" w:eastAsia="Calibri" w:hAnsi="Times New Roman" w:cs="Times New Roman"/>
          <w:bCs/>
        </w:rPr>
        <w:t xml:space="preserve"> for every proposed investment to determine if the projects are eligible and compliant with the Project goals and objectives. The tool will also provide indication where the submitted project could be improved to increase expected benefits from the investments. Once the Project is effective, the tool will be published at the Project web page where LSGs will be able to do also self-assessment and early adjustments of the intended interventions. </w:t>
      </w:r>
    </w:p>
    <w:p w14:paraId="582EBC84" w14:textId="77777777" w:rsidR="00AE7305" w:rsidRPr="005948DE" w:rsidRDefault="00AE7305"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245" w:name="_Toc93086201"/>
      <w:bookmarkStart w:id="246" w:name="_Toc93244821"/>
      <w:bookmarkStart w:id="247" w:name="_Toc93342240"/>
      <w:bookmarkStart w:id="248" w:name="_Toc93342241"/>
      <w:bookmarkEnd w:id="245"/>
      <w:bookmarkEnd w:id="246"/>
      <w:bookmarkEnd w:id="247"/>
      <w:r w:rsidRPr="005948DE">
        <w:rPr>
          <w:rFonts w:ascii="Times New Roman" w:hAnsi="Times New Roman" w:cs="Times New Roman"/>
          <w:smallCaps w:val="0"/>
          <w:color w:val="auto"/>
          <w:sz w:val="24"/>
        </w:rPr>
        <w:t>Methodology for calculation of grant amounts / formula</w:t>
      </w:r>
      <w:bookmarkEnd w:id="248"/>
      <w:r w:rsidRPr="005948DE">
        <w:rPr>
          <w:rFonts w:ascii="Times New Roman" w:hAnsi="Times New Roman" w:cs="Times New Roman"/>
          <w:smallCaps w:val="0"/>
          <w:color w:val="auto"/>
          <w:sz w:val="24"/>
        </w:rPr>
        <w:t xml:space="preserve"> </w:t>
      </w:r>
    </w:p>
    <w:p w14:paraId="7A489B6D" w14:textId="745C1B91" w:rsidR="00544F6F" w:rsidRPr="005948DE" w:rsidRDefault="00544F6F"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Each LSG will know in advance the maximum amount of grants for which they are eligible, which will contribute to the stability of financing and improve their ability to plan. The formula uses parameters related to the population, area, development class, hazard climate risks, average expenditure on infrastructure of </w:t>
      </w:r>
      <w:r w:rsidR="00C8340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 as well as </w:t>
      </w:r>
      <w:r w:rsidR="00C83409" w:rsidRPr="005948DE">
        <w:rPr>
          <w:rFonts w:ascii="Times New Roman" w:hAnsi="Times New Roman" w:cs="Times New Roman"/>
          <w:color w:val="000000" w:themeColor="text1"/>
        </w:rPr>
        <w:t>t</w:t>
      </w:r>
      <w:r w:rsidR="00C83409">
        <w:rPr>
          <w:rFonts w:ascii="Times New Roman" w:hAnsi="Times New Roman" w:cs="Times New Roman"/>
          <w:color w:val="000000" w:themeColor="text1"/>
        </w:rPr>
        <w:t>he</w:t>
      </w:r>
      <w:r w:rsidR="00C83409"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development gap. More weight is given to the development gap to ensure that a large share of the available resources benefits less developed LSGs. </w:t>
      </w:r>
      <w:r w:rsidR="00C8340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that would need additional support are identified by comparing the amounts for which </w:t>
      </w:r>
      <w:r w:rsidR="00C83409">
        <w:rPr>
          <w:rFonts w:ascii="Times New Roman" w:hAnsi="Times New Roman" w:cs="Times New Roman"/>
          <w:color w:val="000000" w:themeColor="text1"/>
        </w:rPr>
        <w:t xml:space="preserve">an </w:t>
      </w:r>
      <w:r w:rsidRPr="005948DE">
        <w:rPr>
          <w:rFonts w:ascii="Times New Roman" w:hAnsi="Times New Roman" w:cs="Times New Roman"/>
          <w:color w:val="000000" w:themeColor="text1"/>
        </w:rPr>
        <w:t xml:space="preserve">LSG would be eligible and amounts they spend annually for infrastructure investments. These are </w:t>
      </w:r>
      <w:r w:rsidR="00C8340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LSGs that have very low spending on infrastructure investment in the past </w:t>
      </w:r>
      <w:r w:rsidR="00C83409">
        <w:rPr>
          <w:rFonts w:ascii="Times New Roman" w:hAnsi="Times New Roman" w:cs="Times New Roman"/>
          <w:color w:val="000000" w:themeColor="text1"/>
        </w:rPr>
        <w:t>three</w:t>
      </w:r>
      <w:r w:rsidRPr="005948DE">
        <w:rPr>
          <w:rFonts w:ascii="Times New Roman" w:hAnsi="Times New Roman" w:cs="Times New Roman"/>
          <w:color w:val="000000" w:themeColor="text1"/>
        </w:rPr>
        <w:t xml:space="preserve"> years</w:t>
      </w:r>
      <w:r w:rsidRPr="00665F55">
        <w:rPr>
          <w:rFonts w:ascii="Times New Roman" w:hAnsi="Times New Roman" w:cs="Times New Roman"/>
          <w:color w:val="000000" w:themeColor="text1"/>
        </w:rPr>
        <w:t>.</w:t>
      </w:r>
      <w:r w:rsidRPr="005948DE">
        <w:rPr>
          <w:rFonts w:ascii="Times New Roman" w:hAnsi="Times New Roman" w:cs="Times New Roman"/>
          <w:color w:val="FF0000"/>
        </w:rPr>
        <w:t xml:space="preserve"> </w:t>
      </w:r>
      <w:r w:rsidRPr="005948DE">
        <w:rPr>
          <w:rFonts w:ascii="Times New Roman" w:hAnsi="Times New Roman" w:cs="Times New Roman"/>
          <w:color w:val="000000" w:themeColor="text1"/>
        </w:rPr>
        <w:t xml:space="preserve">Technical assistance within the Project will be, in particular, focused on empowering those LSGs to identify and prepare infrastructure investment projects. </w:t>
      </w:r>
      <w:r w:rsidR="008B5703">
        <w:rPr>
          <w:rFonts w:ascii="Times New Roman" w:hAnsi="Times New Roman" w:cs="Times New Roman"/>
          <w:color w:val="000000" w:themeColor="text1"/>
        </w:rPr>
        <w:t>Twenty</w:t>
      </w:r>
      <w:r w:rsidR="00C83409"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LSGs have been identified as being in need for intensive support and will have special attention. </w:t>
      </w:r>
    </w:p>
    <w:p w14:paraId="5BBB9932" w14:textId="161C6300" w:rsidR="00544F6F" w:rsidRPr="005948DE" w:rsidRDefault="00544F6F"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formula is designed as a combination of weightings against indicators and criteria and any activity scoring below the aggregate of 35 points will not be eligible for financing. Activities scoring in the range between 35-50 points may be considered subject to further review, while those scoring 50 points or more are considered eligible. </w:t>
      </w:r>
    </w:p>
    <w:p w14:paraId="51240280" w14:textId="2BB86306" w:rsidR="00AE7305" w:rsidRPr="005948DE" w:rsidRDefault="00AE7305"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Formula for calculation of grant amount (assigned transfer) is as follows:</w:t>
      </w:r>
    </w:p>
    <w:tbl>
      <w:tblPr>
        <w:tblStyle w:val="TableGrid"/>
        <w:tblW w:w="0" w:type="auto"/>
        <w:tblLook w:val="04A0" w:firstRow="1" w:lastRow="0" w:firstColumn="1" w:lastColumn="0" w:noHBand="0" w:noVBand="1"/>
      </w:tblPr>
      <w:tblGrid>
        <w:gridCol w:w="1413"/>
        <w:gridCol w:w="7930"/>
      </w:tblGrid>
      <w:tr w:rsidR="00230D3A" w:rsidRPr="005948DE" w14:paraId="2174CEE3" w14:textId="77777777" w:rsidTr="00C11E24">
        <w:tc>
          <w:tcPr>
            <w:tcW w:w="1413" w:type="dxa"/>
          </w:tcPr>
          <w:p w14:paraId="118440E6" w14:textId="5BDF50AA"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1</w:t>
            </w:r>
            <w:r w:rsidRPr="005948DE">
              <w:rPr>
                <w:rFonts w:ascii="Times New Roman" w:hAnsi="Times New Roman" w:cs="Times New Roman"/>
                <w:color w:val="000000" w:themeColor="text1"/>
                <w:vertAlign w:val="superscript"/>
                <w:lang w:val="en-US"/>
              </w:rPr>
              <w:t>st</w:t>
            </w:r>
            <w:r w:rsidRPr="005948DE">
              <w:rPr>
                <w:rFonts w:ascii="Times New Roman" w:hAnsi="Times New Roman" w:cs="Times New Roman"/>
                <w:color w:val="000000" w:themeColor="text1"/>
                <w:lang w:val="en-US"/>
              </w:rPr>
              <w:t xml:space="preserve"> STEP </w:t>
            </w:r>
          </w:p>
        </w:tc>
        <w:tc>
          <w:tcPr>
            <w:tcW w:w="7930" w:type="dxa"/>
          </w:tcPr>
          <w:p w14:paraId="19BA7706" w14:textId="59840DE4"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Data on population for each LSG is weighted (normalized) with average value of population for 145 LSGs (</w:t>
            </w:r>
            <w:r w:rsidRPr="005948DE">
              <w:rPr>
                <w:rFonts w:ascii="Times New Roman" w:hAnsi="Times New Roman" w:cs="Times New Roman"/>
                <w:b/>
                <w:bCs/>
                <w:color w:val="000000" w:themeColor="text1"/>
                <w:lang w:val="en-US"/>
              </w:rPr>
              <w:t>47.580</w:t>
            </w:r>
            <w:r w:rsidRPr="005948DE">
              <w:rPr>
                <w:rFonts w:ascii="Times New Roman" w:hAnsi="Times New Roman" w:cs="Times New Roman"/>
                <w:color w:val="000000" w:themeColor="text1"/>
                <w:lang w:val="en-US"/>
              </w:rPr>
              <w:t>)</w:t>
            </w:r>
          </w:p>
        </w:tc>
      </w:tr>
      <w:tr w:rsidR="00230D3A" w:rsidRPr="005948DE" w14:paraId="6C1C8344" w14:textId="77777777" w:rsidTr="00C11E24">
        <w:tc>
          <w:tcPr>
            <w:tcW w:w="1413" w:type="dxa"/>
          </w:tcPr>
          <w:p w14:paraId="1931ACAA" w14:textId="74FDD3E2"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2</w:t>
            </w:r>
            <w:r w:rsidRPr="005948DE">
              <w:rPr>
                <w:rFonts w:ascii="Times New Roman" w:hAnsi="Times New Roman" w:cs="Times New Roman"/>
                <w:color w:val="000000" w:themeColor="text1"/>
                <w:vertAlign w:val="superscript"/>
                <w:lang w:val="en-US"/>
              </w:rPr>
              <w:t>nd</w:t>
            </w:r>
            <w:r w:rsidRPr="005948DE">
              <w:rPr>
                <w:rFonts w:ascii="Times New Roman" w:hAnsi="Times New Roman" w:cs="Times New Roman"/>
                <w:color w:val="000000" w:themeColor="text1"/>
                <w:lang w:val="en-US"/>
              </w:rPr>
              <w:t xml:space="preserve"> STEP</w:t>
            </w:r>
          </w:p>
        </w:tc>
        <w:tc>
          <w:tcPr>
            <w:tcW w:w="7930" w:type="dxa"/>
          </w:tcPr>
          <w:p w14:paraId="21B9B334" w14:textId="1C44358B"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Data on area for each LSG is weighted (normalized) with average value of areas for 145 LSGs (</w:t>
            </w:r>
            <w:r w:rsidRPr="005948DE">
              <w:rPr>
                <w:rFonts w:ascii="Times New Roman" w:hAnsi="Times New Roman" w:cs="Times New Roman"/>
                <w:b/>
                <w:bCs/>
                <w:color w:val="000000" w:themeColor="text1"/>
                <w:lang w:val="en-US"/>
              </w:rPr>
              <w:t>535km</w:t>
            </w:r>
            <w:r w:rsidR="00C83409">
              <w:rPr>
                <w:rFonts w:ascii="Times New Roman" w:hAnsi="Times New Roman" w:cs="Times New Roman"/>
                <w:b/>
                <w:bCs/>
                <w:color w:val="000000" w:themeColor="text1"/>
                <w:vertAlign w:val="superscript"/>
                <w:lang w:val="en-US"/>
              </w:rPr>
              <w:t>2</w:t>
            </w:r>
            <w:r w:rsidRPr="005948DE">
              <w:rPr>
                <w:rFonts w:ascii="Times New Roman" w:hAnsi="Times New Roman" w:cs="Times New Roman"/>
                <w:color w:val="000000" w:themeColor="text1"/>
                <w:lang w:val="en-US"/>
              </w:rPr>
              <w:t>)</w:t>
            </w:r>
          </w:p>
        </w:tc>
      </w:tr>
      <w:tr w:rsidR="00230D3A" w:rsidRPr="005948DE" w14:paraId="33144080" w14:textId="77777777" w:rsidTr="00C11E24">
        <w:tc>
          <w:tcPr>
            <w:tcW w:w="1413" w:type="dxa"/>
          </w:tcPr>
          <w:p w14:paraId="1CE4BC72" w14:textId="2A390473"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3</w:t>
            </w:r>
            <w:r w:rsidRPr="005948DE">
              <w:rPr>
                <w:rFonts w:ascii="Times New Roman" w:hAnsi="Times New Roman" w:cs="Times New Roman"/>
                <w:color w:val="000000" w:themeColor="text1"/>
                <w:vertAlign w:val="superscript"/>
                <w:lang w:val="en-US"/>
              </w:rPr>
              <w:t>rd</w:t>
            </w:r>
            <w:r w:rsidRPr="005948DE">
              <w:rPr>
                <w:rFonts w:ascii="Times New Roman" w:hAnsi="Times New Roman" w:cs="Times New Roman"/>
                <w:color w:val="000000" w:themeColor="text1"/>
                <w:lang w:val="en-US"/>
              </w:rPr>
              <w:t xml:space="preserve"> STEP</w:t>
            </w:r>
          </w:p>
        </w:tc>
        <w:tc>
          <w:tcPr>
            <w:tcW w:w="7930" w:type="dxa"/>
          </w:tcPr>
          <w:p w14:paraId="0E1E14E5" w14:textId="27104F69"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Data on development class for each LSG is weighted (normalized) with average value of development class for 145 LSGs (</w:t>
            </w:r>
            <w:r w:rsidRPr="005948DE">
              <w:rPr>
                <w:rFonts w:ascii="Times New Roman" w:hAnsi="Times New Roman" w:cs="Times New Roman"/>
                <w:b/>
                <w:bCs/>
                <w:color w:val="000000" w:themeColor="text1"/>
                <w:lang w:val="en-US"/>
              </w:rPr>
              <w:t>2,92</w:t>
            </w:r>
            <w:r w:rsidRPr="005948DE">
              <w:rPr>
                <w:rFonts w:ascii="Times New Roman" w:hAnsi="Times New Roman" w:cs="Times New Roman"/>
                <w:color w:val="000000" w:themeColor="text1"/>
                <w:lang w:val="en-US"/>
              </w:rPr>
              <w:t xml:space="preserve">); since one of </w:t>
            </w:r>
            <w:r w:rsidR="00C83409">
              <w:rPr>
                <w:rFonts w:ascii="Times New Roman" w:hAnsi="Times New Roman" w:cs="Times New Roman"/>
                <w:color w:val="000000" w:themeColor="text1"/>
                <w:lang w:val="en-US"/>
              </w:rPr>
              <w:t xml:space="preserve">the </w:t>
            </w:r>
            <w:r w:rsidRPr="005948DE">
              <w:rPr>
                <w:rFonts w:ascii="Times New Roman" w:hAnsi="Times New Roman" w:cs="Times New Roman"/>
                <w:color w:val="000000" w:themeColor="text1"/>
                <w:lang w:val="en-US"/>
              </w:rPr>
              <w:t>main goals of</w:t>
            </w:r>
            <w:r w:rsidR="00C83409">
              <w:rPr>
                <w:rFonts w:ascii="Times New Roman" w:hAnsi="Times New Roman" w:cs="Times New Roman"/>
                <w:color w:val="000000" w:themeColor="text1"/>
                <w:lang w:val="en-US"/>
              </w:rPr>
              <w:t xml:space="preserve"> the</w:t>
            </w:r>
            <w:r w:rsidRPr="005948DE">
              <w:rPr>
                <w:rFonts w:ascii="Times New Roman" w:hAnsi="Times New Roman" w:cs="Times New Roman"/>
                <w:color w:val="000000" w:themeColor="text1"/>
                <w:lang w:val="en-US"/>
              </w:rPr>
              <w:t xml:space="preserve"> LIID intervention is to help </w:t>
            </w:r>
            <w:r w:rsidR="00C83409">
              <w:rPr>
                <w:rFonts w:ascii="Times New Roman" w:hAnsi="Times New Roman" w:cs="Times New Roman"/>
                <w:color w:val="000000" w:themeColor="text1"/>
                <w:lang w:val="en-US"/>
              </w:rPr>
              <w:t xml:space="preserve">the </w:t>
            </w:r>
            <w:r w:rsidRPr="005948DE">
              <w:rPr>
                <w:rFonts w:ascii="Times New Roman" w:hAnsi="Times New Roman" w:cs="Times New Roman"/>
                <w:color w:val="000000" w:themeColor="text1"/>
                <w:lang w:val="en-US"/>
              </w:rPr>
              <w:t>least developed LSGs, 5</w:t>
            </w:r>
            <w:r w:rsidRPr="005948DE">
              <w:rPr>
                <w:rFonts w:ascii="Times New Roman" w:hAnsi="Times New Roman" w:cs="Times New Roman"/>
                <w:color w:val="000000" w:themeColor="text1"/>
                <w:vertAlign w:val="superscript"/>
                <w:lang w:val="en-US"/>
              </w:rPr>
              <w:t>th</w:t>
            </w:r>
            <w:r w:rsidRPr="005948DE">
              <w:rPr>
                <w:rFonts w:ascii="Times New Roman" w:hAnsi="Times New Roman" w:cs="Times New Roman"/>
                <w:color w:val="000000" w:themeColor="text1"/>
                <w:lang w:val="en-US"/>
              </w:rPr>
              <w:t xml:space="preserve"> development class was assigned to sub-class of devastated LSGs and in line with stated values they entered calculation. </w:t>
            </w:r>
          </w:p>
        </w:tc>
      </w:tr>
      <w:tr w:rsidR="00230D3A" w:rsidRPr="005948DE" w14:paraId="2FCB18D7" w14:textId="77777777" w:rsidTr="00C11E24">
        <w:tc>
          <w:tcPr>
            <w:tcW w:w="1413" w:type="dxa"/>
          </w:tcPr>
          <w:p w14:paraId="2AFB47E4" w14:textId="77EB2D2A"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4</w:t>
            </w:r>
            <w:r w:rsidRPr="005948DE">
              <w:rPr>
                <w:rFonts w:ascii="Times New Roman" w:hAnsi="Times New Roman" w:cs="Times New Roman"/>
                <w:color w:val="000000" w:themeColor="text1"/>
                <w:vertAlign w:val="superscript"/>
                <w:lang w:val="en-US"/>
              </w:rPr>
              <w:t>th</w:t>
            </w:r>
            <w:r w:rsidRPr="005948DE">
              <w:rPr>
                <w:rFonts w:ascii="Times New Roman" w:hAnsi="Times New Roman" w:cs="Times New Roman"/>
                <w:color w:val="000000" w:themeColor="text1"/>
                <w:lang w:val="en-US"/>
              </w:rPr>
              <w:t xml:space="preserve"> STEP</w:t>
            </w:r>
          </w:p>
        </w:tc>
        <w:tc>
          <w:tcPr>
            <w:tcW w:w="7930" w:type="dxa"/>
          </w:tcPr>
          <w:p w14:paraId="0501C40F" w14:textId="455F5520"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Data on climate risks for each LSG is weighted (normalized) with average value of climate risk class for 145 LSGs (</w:t>
            </w:r>
            <w:r w:rsidRPr="005948DE">
              <w:rPr>
                <w:rFonts w:ascii="Times New Roman" w:hAnsi="Times New Roman" w:cs="Times New Roman"/>
                <w:b/>
                <w:bCs/>
                <w:color w:val="000000" w:themeColor="text1"/>
                <w:lang w:val="en-US"/>
              </w:rPr>
              <w:t>2,9</w:t>
            </w:r>
            <w:r w:rsidRPr="005948DE">
              <w:rPr>
                <w:rFonts w:ascii="Times New Roman" w:hAnsi="Times New Roman" w:cs="Times New Roman"/>
                <w:color w:val="000000" w:themeColor="text1"/>
                <w:lang w:val="en-US"/>
              </w:rPr>
              <w:t>).</w:t>
            </w:r>
          </w:p>
        </w:tc>
      </w:tr>
      <w:tr w:rsidR="00230D3A" w:rsidRPr="005948DE" w14:paraId="40DA401C" w14:textId="77777777" w:rsidTr="00C11E24">
        <w:tc>
          <w:tcPr>
            <w:tcW w:w="1413" w:type="dxa"/>
          </w:tcPr>
          <w:p w14:paraId="1D84BC16" w14:textId="23ABEF9D"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5</w:t>
            </w:r>
            <w:r w:rsidRPr="005948DE">
              <w:rPr>
                <w:rFonts w:ascii="Times New Roman" w:hAnsi="Times New Roman" w:cs="Times New Roman"/>
                <w:color w:val="000000" w:themeColor="text1"/>
                <w:vertAlign w:val="superscript"/>
                <w:lang w:val="en-US"/>
              </w:rPr>
              <w:t>th</w:t>
            </w:r>
            <w:r w:rsidRPr="005948DE">
              <w:rPr>
                <w:rFonts w:ascii="Times New Roman" w:hAnsi="Times New Roman" w:cs="Times New Roman"/>
                <w:color w:val="000000" w:themeColor="text1"/>
                <w:lang w:val="en-US"/>
              </w:rPr>
              <w:t xml:space="preserve"> STEP</w:t>
            </w:r>
          </w:p>
        </w:tc>
        <w:tc>
          <w:tcPr>
            <w:tcW w:w="7930" w:type="dxa"/>
          </w:tcPr>
          <w:p w14:paraId="56507FDE" w14:textId="77777777"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 xml:space="preserve">Calculation of SUM coefficient (weighted sum) per LSG: </w:t>
            </w:r>
          </w:p>
          <w:p w14:paraId="08305284" w14:textId="7B9D9FCC"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(Normalized value for population) multiplies (value of Population indicator 35</w:t>
            </w:r>
            <w:r w:rsidR="00C83409">
              <w:rPr>
                <w:rFonts w:ascii="Times New Roman" w:hAnsi="Times New Roman" w:cs="Times New Roman"/>
                <w:color w:val="000000" w:themeColor="text1"/>
                <w:lang w:val="en-US"/>
              </w:rPr>
              <w:t xml:space="preserve"> percent</w:t>
            </w:r>
            <w:r w:rsidRPr="005948DE">
              <w:rPr>
                <w:rFonts w:ascii="Times New Roman" w:hAnsi="Times New Roman" w:cs="Times New Roman"/>
                <w:color w:val="000000" w:themeColor="text1"/>
                <w:lang w:val="en-US"/>
              </w:rPr>
              <w:t>) plus (Normalized value for area) multiplies (value of area indicator 25</w:t>
            </w:r>
            <w:r w:rsidR="00C83409">
              <w:rPr>
                <w:rFonts w:ascii="Times New Roman" w:hAnsi="Times New Roman" w:cs="Times New Roman"/>
                <w:color w:val="000000" w:themeColor="text1"/>
                <w:lang w:val="en-US"/>
              </w:rPr>
              <w:t xml:space="preserve"> percent</w:t>
            </w:r>
            <w:r w:rsidRPr="005948DE">
              <w:rPr>
                <w:rFonts w:ascii="Times New Roman" w:hAnsi="Times New Roman" w:cs="Times New Roman"/>
                <w:color w:val="000000" w:themeColor="text1"/>
                <w:lang w:val="en-US"/>
              </w:rPr>
              <w:t>) plus (Normalized value for development class) multiplies (value of development class indicator 35</w:t>
            </w:r>
            <w:r w:rsidR="00C83409">
              <w:rPr>
                <w:rFonts w:ascii="Times New Roman" w:hAnsi="Times New Roman" w:cs="Times New Roman"/>
                <w:color w:val="000000" w:themeColor="text1"/>
                <w:lang w:val="en-US"/>
              </w:rPr>
              <w:t xml:space="preserve"> percent</w:t>
            </w:r>
            <w:r w:rsidRPr="005948DE">
              <w:rPr>
                <w:rFonts w:ascii="Times New Roman" w:hAnsi="Times New Roman" w:cs="Times New Roman"/>
                <w:color w:val="000000" w:themeColor="text1"/>
                <w:lang w:val="en-US"/>
              </w:rPr>
              <w:t>) plus (Normalized value for climate index class) multiplies (value of climate index class indicator 5</w:t>
            </w:r>
            <w:r w:rsidR="00C83409">
              <w:rPr>
                <w:rFonts w:ascii="Times New Roman" w:hAnsi="Times New Roman" w:cs="Times New Roman"/>
                <w:color w:val="000000" w:themeColor="text1"/>
                <w:lang w:val="en-US"/>
              </w:rPr>
              <w:t xml:space="preserve"> percent</w:t>
            </w:r>
            <w:r w:rsidRPr="005948DE">
              <w:rPr>
                <w:rFonts w:ascii="Times New Roman" w:hAnsi="Times New Roman" w:cs="Times New Roman"/>
                <w:color w:val="000000" w:themeColor="text1"/>
                <w:lang w:val="en-US"/>
              </w:rPr>
              <w:t>).</w:t>
            </w:r>
          </w:p>
        </w:tc>
      </w:tr>
      <w:tr w:rsidR="00230D3A" w:rsidRPr="005948DE" w14:paraId="182E485B" w14:textId="77777777" w:rsidTr="00C11E24">
        <w:tc>
          <w:tcPr>
            <w:tcW w:w="1413" w:type="dxa"/>
          </w:tcPr>
          <w:p w14:paraId="0FDA47D1" w14:textId="19B64016"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6</w:t>
            </w:r>
            <w:r w:rsidRPr="005948DE">
              <w:rPr>
                <w:rFonts w:ascii="Times New Roman" w:hAnsi="Times New Roman" w:cs="Times New Roman"/>
                <w:color w:val="000000" w:themeColor="text1"/>
                <w:vertAlign w:val="superscript"/>
                <w:lang w:val="en-US"/>
              </w:rPr>
              <w:t>th</w:t>
            </w:r>
            <w:r w:rsidRPr="005948DE">
              <w:rPr>
                <w:rFonts w:ascii="Times New Roman" w:hAnsi="Times New Roman" w:cs="Times New Roman"/>
                <w:color w:val="000000" w:themeColor="text1"/>
                <w:lang w:val="en-US"/>
              </w:rPr>
              <w:t xml:space="preserve"> STEP</w:t>
            </w:r>
          </w:p>
        </w:tc>
        <w:tc>
          <w:tcPr>
            <w:tcW w:w="7930" w:type="dxa"/>
          </w:tcPr>
          <w:p w14:paraId="4401E801" w14:textId="192E4925"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Calculation of multiplayer coefficient per LSG: Data on weighted sum for each LSG is normalized with average value of weighted sum for 145 LSGs (</w:t>
            </w:r>
            <w:r w:rsidRPr="005948DE">
              <w:rPr>
                <w:rFonts w:ascii="Times New Roman" w:hAnsi="Times New Roman" w:cs="Times New Roman"/>
                <w:b/>
                <w:bCs/>
                <w:color w:val="000000" w:themeColor="text1"/>
                <w:lang w:val="en-US"/>
              </w:rPr>
              <w:t>93,69</w:t>
            </w:r>
            <w:r w:rsidRPr="005948DE">
              <w:rPr>
                <w:rFonts w:ascii="Times New Roman" w:hAnsi="Times New Roman" w:cs="Times New Roman"/>
                <w:color w:val="000000" w:themeColor="text1"/>
                <w:lang w:val="en-US"/>
              </w:rPr>
              <w:t>)</w:t>
            </w:r>
          </w:p>
        </w:tc>
      </w:tr>
      <w:tr w:rsidR="00230D3A" w:rsidRPr="005948DE" w14:paraId="70F1E505" w14:textId="77777777" w:rsidTr="00C11E24">
        <w:tc>
          <w:tcPr>
            <w:tcW w:w="1413" w:type="dxa"/>
          </w:tcPr>
          <w:p w14:paraId="429A844E" w14:textId="3B4C05A6"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7</w:t>
            </w:r>
            <w:r w:rsidRPr="005948DE">
              <w:rPr>
                <w:rFonts w:ascii="Times New Roman" w:hAnsi="Times New Roman" w:cs="Times New Roman"/>
                <w:color w:val="000000" w:themeColor="text1"/>
                <w:vertAlign w:val="superscript"/>
                <w:lang w:val="en-US"/>
              </w:rPr>
              <w:t>th</w:t>
            </w:r>
            <w:r w:rsidRPr="005948DE">
              <w:rPr>
                <w:rFonts w:ascii="Times New Roman" w:hAnsi="Times New Roman" w:cs="Times New Roman"/>
                <w:color w:val="000000" w:themeColor="text1"/>
                <w:lang w:val="en-US"/>
              </w:rPr>
              <w:t xml:space="preserve"> STEP</w:t>
            </w:r>
          </w:p>
        </w:tc>
        <w:tc>
          <w:tcPr>
            <w:tcW w:w="7930" w:type="dxa"/>
          </w:tcPr>
          <w:p w14:paraId="3CD2757C" w14:textId="0DD3AE92"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Calculation of assigned transfer for each LSG: total available grant amount multiplies multiplayer coefficient</w:t>
            </w:r>
          </w:p>
        </w:tc>
      </w:tr>
      <w:tr w:rsidR="00230D3A" w:rsidRPr="005948DE" w14:paraId="0C32B582" w14:textId="77777777" w:rsidTr="00C11E24">
        <w:tc>
          <w:tcPr>
            <w:tcW w:w="1413" w:type="dxa"/>
          </w:tcPr>
          <w:p w14:paraId="2487F11C" w14:textId="77777777" w:rsidR="00B324C1"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8</w:t>
            </w:r>
            <w:r w:rsidRPr="005948DE">
              <w:rPr>
                <w:rFonts w:ascii="Times New Roman" w:hAnsi="Times New Roman" w:cs="Times New Roman"/>
                <w:color w:val="000000" w:themeColor="text1"/>
                <w:vertAlign w:val="superscript"/>
                <w:lang w:val="en-US"/>
              </w:rPr>
              <w:t>th</w:t>
            </w:r>
            <w:r w:rsidRPr="005948DE">
              <w:rPr>
                <w:rFonts w:ascii="Times New Roman" w:hAnsi="Times New Roman" w:cs="Times New Roman"/>
                <w:color w:val="000000" w:themeColor="text1"/>
                <w:lang w:val="en-US"/>
              </w:rPr>
              <w:t xml:space="preserve"> STEP</w:t>
            </w:r>
          </w:p>
          <w:p w14:paraId="0AEBDBE4" w14:textId="55EA9CA3"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 xml:space="preserve">Additional fine tuning </w:t>
            </w:r>
          </w:p>
        </w:tc>
        <w:tc>
          <w:tcPr>
            <w:tcW w:w="7930" w:type="dxa"/>
          </w:tcPr>
          <w:p w14:paraId="155F8309" w14:textId="69084D5E" w:rsidR="00230D3A" w:rsidRPr="005948DE" w:rsidRDefault="00230D3A"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Reserving 10 percent for contingencies per each LSG. Meaning final initial value of investments should not be more than 90</w:t>
            </w:r>
            <w:r w:rsidR="00C83409">
              <w:rPr>
                <w:rFonts w:ascii="Times New Roman" w:hAnsi="Times New Roman" w:cs="Times New Roman"/>
                <w:color w:val="000000" w:themeColor="text1"/>
                <w:lang w:val="en-US"/>
              </w:rPr>
              <w:t xml:space="preserve"> percent</w:t>
            </w:r>
            <w:r w:rsidRPr="005948DE">
              <w:rPr>
                <w:rFonts w:ascii="Times New Roman" w:hAnsi="Times New Roman" w:cs="Times New Roman"/>
                <w:color w:val="000000" w:themeColor="text1"/>
                <w:lang w:val="en-US"/>
              </w:rPr>
              <w:t xml:space="preserve"> of</w:t>
            </w:r>
            <w:r w:rsidR="00C83409">
              <w:rPr>
                <w:rFonts w:ascii="Times New Roman" w:hAnsi="Times New Roman" w:cs="Times New Roman"/>
                <w:color w:val="000000" w:themeColor="text1"/>
                <w:lang w:val="en-US"/>
              </w:rPr>
              <w:t xml:space="preserve"> the</w:t>
            </w:r>
            <w:r w:rsidRPr="005948DE">
              <w:rPr>
                <w:rFonts w:ascii="Times New Roman" w:hAnsi="Times New Roman" w:cs="Times New Roman"/>
                <w:color w:val="000000" w:themeColor="text1"/>
                <w:lang w:val="en-US"/>
              </w:rPr>
              <w:t xml:space="preserve"> assigned sum.)</w:t>
            </w:r>
          </w:p>
        </w:tc>
      </w:tr>
    </w:tbl>
    <w:p w14:paraId="4F458883" w14:textId="77777777" w:rsidR="00D45BD0" w:rsidRPr="005948DE" w:rsidRDefault="00D45BD0" w:rsidP="005948DE">
      <w:pPr>
        <w:spacing w:after="120" w:line="276" w:lineRule="auto"/>
        <w:jc w:val="both"/>
        <w:rPr>
          <w:rFonts w:ascii="Times New Roman" w:hAnsi="Times New Roman" w:cs="Times New Roman"/>
          <w:b/>
          <w:bCs/>
          <w:color w:val="000000" w:themeColor="text1"/>
          <w:lang w:val="en-US"/>
        </w:rPr>
      </w:pPr>
    </w:p>
    <w:p w14:paraId="7CAA5F66" w14:textId="24E43580" w:rsidR="00AE7305" w:rsidRPr="005948DE" w:rsidRDefault="00AE7305" w:rsidP="005948DE">
      <w:pPr>
        <w:spacing w:after="120" w:line="276" w:lineRule="auto"/>
        <w:jc w:val="both"/>
        <w:rPr>
          <w:rFonts w:ascii="Times New Roman" w:hAnsi="Times New Roman" w:cs="Times New Roman"/>
          <w:b/>
          <w:bCs/>
          <w:color w:val="000000" w:themeColor="text1"/>
          <w:lang w:val="en-US"/>
        </w:rPr>
      </w:pPr>
      <w:r w:rsidRPr="005948DE">
        <w:rPr>
          <w:rFonts w:ascii="Times New Roman" w:hAnsi="Times New Roman" w:cs="Times New Roman"/>
          <w:b/>
          <w:bCs/>
          <w:color w:val="000000" w:themeColor="text1"/>
          <w:lang w:val="en-US"/>
        </w:rPr>
        <w:t xml:space="preserve">SENSITIVITY ANALYSIS </w:t>
      </w:r>
    </w:p>
    <w:p w14:paraId="2F1AC8F6" w14:textId="01AA1116" w:rsidR="00AE7305" w:rsidRPr="005948DE" w:rsidRDefault="00AE7305" w:rsidP="005948DE">
      <w:pPr>
        <w:spacing w:after="12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 xml:space="preserve">Formula has been revisited several times to include inputs form various stakeholders. </w:t>
      </w:r>
      <w:r w:rsidR="009C3B24" w:rsidRPr="005948DE">
        <w:rPr>
          <w:rFonts w:ascii="Times New Roman" w:hAnsi="Times New Roman" w:cs="Times New Roman"/>
          <w:color w:val="000000" w:themeColor="text1"/>
          <w:lang w:val="en-US"/>
        </w:rPr>
        <w:t>Weights</w:t>
      </w:r>
      <w:r w:rsidRPr="005948DE">
        <w:rPr>
          <w:rFonts w:ascii="Times New Roman" w:hAnsi="Times New Roman" w:cs="Times New Roman"/>
          <w:color w:val="000000" w:themeColor="text1"/>
          <w:lang w:val="en-US"/>
        </w:rPr>
        <w:t xml:space="preserve"> for each indicator have been tested for reality and fairness in iterative process. Based on those sensitivity tests, the following distribution of weights among indicators is considered to provide the best grant distribution among LSGs:</w:t>
      </w:r>
    </w:p>
    <w:p w14:paraId="319C576A" w14:textId="7E8CFD84" w:rsidR="00AE7305" w:rsidRPr="005948DE" w:rsidRDefault="00AE7305" w:rsidP="005948DE">
      <w:pPr>
        <w:numPr>
          <w:ilvl w:val="0"/>
          <w:numId w:val="563"/>
        </w:numPr>
        <w:spacing w:after="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 xml:space="preserve">Population </w:t>
      </w:r>
      <w:r w:rsidRPr="005948DE">
        <w:rPr>
          <w:rFonts w:ascii="Times New Roman" w:hAnsi="Times New Roman" w:cs="Times New Roman"/>
          <w:color w:val="000000" w:themeColor="text1"/>
          <w:lang w:val="en-US"/>
        </w:rPr>
        <w:tab/>
      </w:r>
      <w:r w:rsidRPr="005948DE">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Pr="005948DE">
        <w:rPr>
          <w:rFonts w:ascii="Times New Roman" w:hAnsi="Times New Roman" w:cs="Times New Roman"/>
          <w:color w:val="000000" w:themeColor="text1"/>
          <w:lang w:val="en-US"/>
        </w:rPr>
        <w:t>35</w:t>
      </w:r>
      <w:r w:rsidR="00C83409">
        <w:rPr>
          <w:rFonts w:ascii="Times New Roman" w:hAnsi="Times New Roman" w:cs="Times New Roman"/>
          <w:color w:val="000000" w:themeColor="text1"/>
          <w:lang w:val="en-US"/>
        </w:rPr>
        <w:t xml:space="preserve"> percent</w:t>
      </w:r>
      <w:r w:rsidR="00C83409" w:rsidRPr="005948DE" w:rsidDel="00C83409">
        <w:rPr>
          <w:rFonts w:ascii="Times New Roman" w:hAnsi="Times New Roman" w:cs="Times New Roman"/>
          <w:color w:val="000000" w:themeColor="text1"/>
          <w:lang w:val="en-US"/>
        </w:rPr>
        <w:t xml:space="preserve"> </w:t>
      </w:r>
    </w:p>
    <w:p w14:paraId="55D25360" w14:textId="01E6A027" w:rsidR="00AE7305" w:rsidRPr="005948DE" w:rsidRDefault="00AE7305" w:rsidP="005948DE">
      <w:pPr>
        <w:numPr>
          <w:ilvl w:val="0"/>
          <w:numId w:val="563"/>
        </w:numPr>
        <w:spacing w:after="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 xml:space="preserve">Area </w:t>
      </w:r>
      <w:r w:rsidRPr="005948DE">
        <w:rPr>
          <w:rFonts w:ascii="Times New Roman" w:hAnsi="Times New Roman" w:cs="Times New Roman"/>
          <w:color w:val="000000" w:themeColor="text1"/>
          <w:lang w:val="en-US"/>
        </w:rPr>
        <w:tab/>
      </w:r>
      <w:r w:rsidRPr="005948DE">
        <w:rPr>
          <w:rFonts w:ascii="Times New Roman" w:hAnsi="Times New Roman" w:cs="Times New Roman"/>
          <w:color w:val="000000" w:themeColor="text1"/>
          <w:lang w:val="en-US"/>
        </w:rPr>
        <w:tab/>
      </w:r>
      <w:r w:rsidRPr="005948DE">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Pr="005948DE">
        <w:rPr>
          <w:rFonts w:ascii="Times New Roman" w:hAnsi="Times New Roman" w:cs="Times New Roman"/>
          <w:color w:val="000000" w:themeColor="text1"/>
          <w:lang w:val="en-US"/>
        </w:rPr>
        <w:t>25</w:t>
      </w:r>
      <w:r w:rsidR="00C83409" w:rsidRPr="00C83409">
        <w:rPr>
          <w:rFonts w:ascii="Times New Roman" w:hAnsi="Times New Roman" w:cs="Times New Roman"/>
          <w:color w:val="000000" w:themeColor="text1"/>
          <w:lang w:val="en-US"/>
        </w:rPr>
        <w:t xml:space="preserve"> </w:t>
      </w:r>
      <w:r w:rsidR="00C83409">
        <w:rPr>
          <w:rFonts w:ascii="Times New Roman" w:hAnsi="Times New Roman" w:cs="Times New Roman"/>
          <w:color w:val="000000" w:themeColor="text1"/>
          <w:lang w:val="en-US"/>
        </w:rPr>
        <w:t>percent</w:t>
      </w:r>
      <w:r w:rsidR="00C83409" w:rsidRPr="005948DE" w:rsidDel="00C83409">
        <w:rPr>
          <w:rFonts w:ascii="Times New Roman" w:hAnsi="Times New Roman" w:cs="Times New Roman"/>
          <w:color w:val="000000" w:themeColor="text1"/>
          <w:lang w:val="en-US"/>
        </w:rPr>
        <w:t xml:space="preserve"> </w:t>
      </w:r>
    </w:p>
    <w:p w14:paraId="00D569DD" w14:textId="079A9A90" w:rsidR="00AE7305" w:rsidRPr="005948DE" w:rsidRDefault="00AE7305" w:rsidP="005948DE">
      <w:pPr>
        <w:numPr>
          <w:ilvl w:val="0"/>
          <w:numId w:val="563"/>
        </w:numPr>
        <w:spacing w:after="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Development class</w:t>
      </w:r>
      <w:r w:rsidRPr="005948DE">
        <w:rPr>
          <w:rFonts w:ascii="Times New Roman" w:hAnsi="Times New Roman" w:cs="Times New Roman"/>
          <w:color w:val="000000" w:themeColor="text1"/>
          <w:lang w:val="en-US"/>
        </w:rPr>
        <w:tab/>
        <w:t>35</w:t>
      </w:r>
      <w:r w:rsidR="00C83409">
        <w:rPr>
          <w:rFonts w:ascii="Times New Roman" w:hAnsi="Times New Roman" w:cs="Times New Roman"/>
          <w:color w:val="000000" w:themeColor="text1"/>
          <w:lang w:val="en-US"/>
        </w:rPr>
        <w:t xml:space="preserve"> percent</w:t>
      </w:r>
      <w:r w:rsidR="00C83409" w:rsidRPr="005948DE" w:rsidDel="00C83409">
        <w:rPr>
          <w:rFonts w:ascii="Times New Roman" w:hAnsi="Times New Roman" w:cs="Times New Roman"/>
          <w:color w:val="000000" w:themeColor="text1"/>
          <w:lang w:val="en-US"/>
        </w:rPr>
        <w:t xml:space="preserve"> </w:t>
      </w:r>
    </w:p>
    <w:p w14:paraId="164AEA8D" w14:textId="5128481A" w:rsidR="00AE7305" w:rsidRPr="005948DE" w:rsidRDefault="00AE7305" w:rsidP="005948DE">
      <w:pPr>
        <w:numPr>
          <w:ilvl w:val="0"/>
          <w:numId w:val="563"/>
        </w:numPr>
        <w:spacing w:after="0" w:line="276" w:lineRule="auto"/>
        <w:jc w:val="both"/>
        <w:rPr>
          <w:rFonts w:ascii="Times New Roman" w:hAnsi="Times New Roman" w:cs="Times New Roman"/>
          <w:color w:val="000000" w:themeColor="text1"/>
          <w:lang w:val="en-US"/>
        </w:rPr>
      </w:pPr>
      <w:r w:rsidRPr="005948DE">
        <w:rPr>
          <w:rFonts w:ascii="Times New Roman" w:hAnsi="Times New Roman" w:cs="Times New Roman"/>
          <w:color w:val="000000" w:themeColor="text1"/>
          <w:lang w:val="en-US"/>
        </w:rPr>
        <w:t xml:space="preserve">Climate </w:t>
      </w:r>
      <w:r w:rsidRPr="005948DE">
        <w:rPr>
          <w:rFonts w:ascii="Times New Roman" w:hAnsi="Times New Roman" w:cs="Times New Roman"/>
          <w:color w:val="000000" w:themeColor="text1"/>
          <w:lang w:val="en-US"/>
        </w:rPr>
        <w:tab/>
      </w:r>
      <w:r w:rsidRPr="005948DE">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r>
      <w:r w:rsidR="00C83409">
        <w:rPr>
          <w:rFonts w:ascii="Times New Roman" w:hAnsi="Times New Roman" w:cs="Times New Roman"/>
          <w:color w:val="000000" w:themeColor="text1"/>
          <w:lang w:val="en-US"/>
        </w:rPr>
        <w:tab/>
        <w:t xml:space="preserve"> </w:t>
      </w:r>
      <w:r w:rsidRPr="005948DE">
        <w:rPr>
          <w:rFonts w:ascii="Times New Roman" w:hAnsi="Times New Roman" w:cs="Times New Roman"/>
          <w:color w:val="000000" w:themeColor="text1"/>
          <w:lang w:val="en-US"/>
        </w:rPr>
        <w:t>5</w:t>
      </w:r>
      <w:r w:rsidR="00C83409">
        <w:rPr>
          <w:rFonts w:ascii="Times New Roman" w:hAnsi="Times New Roman" w:cs="Times New Roman"/>
          <w:color w:val="000000" w:themeColor="text1"/>
          <w:lang w:val="en-US"/>
        </w:rPr>
        <w:t xml:space="preserve"> percent.</w:t>
      </w:r>
    </w:p>
    <w:p w14:paraId="5314DD98" w14:textId="77777777" w:rsidR="00AE7305" w:rsidRPr="005948DE" w:rsidRDefault="00AE7305" w:rsidP="005948DE">
      <w:pPr>
        <w:spacing w:after="120" w:line="276" w:lineRule="auto"/>
        <w:jc w:val="both"/>
        <w:rPr>
          <w:rFonts w:ascii="Times New Roman" w:hAnsi="Times New Roman" w:cs="Times New Roman"/>
          <w:b/>
          <w:bCs/>
          <w:color w:val="000000" w:themeColor="text1"/>
          <w:lang w:val="en-US"/>
        </w:rPr>
      </w:pPr>
    </w:p>
    <w:p w14:paraId="45479078" w14:textId="1AC52BE1" w:rsidR="00AE7305" w:rsidRPr="005948DE" w:rsidRDefault="002A588D" w:rsidP="005948DE">
      <w:pPr>
        <w:spacing w:after="120" w:line="276" w:lineRule="auto"/>
        <w:jc w:val="both"/>
        <w:rPr>
          <w:rFonts w:ascii="Times New Roman" w:hAnsi="Times New Roman" w:cs="Times New Roman"/>
          <w:b/>
          <w:bCs/>
          <w:color w:val="000000" w:themeColor="text1"/>
          <w:lang w:val="en-US"/>
        </w:rPr>
      </w:pPr>
      <w:r w:rsidRPr="005948DE">
        <w:rPr>
          <w:rFonts w:ascii="Times New Roman" w:hAnsi="Times New Roman" w:cs="Times New Roman"/>
          <w:b/>
          <w:bCs/>
          <w:color w:val="000000" w:themeColor="text1"/>
          <w:lang w:val="en-US"/>
        </w:rPr>
        <w:t>D</w:t>
      </w:r>
      <w:r w:rsidR="00AE7305" w:rsidRPr="005948DE">
        <w:rPr>
          <w:rFonts w:ascii="Times New Roman" w:hAnsi="Times New Roman" w:cs="Times New Roman"/>
          <w:b/>
          <w:bCs/>
          <w:color w:val="000000" w:themeColor="text1"/>
          <w:lang w:val="en-US"/>
        </w:rPr>
        <w:t xml:space="preserve">istribution of </w:t>
      </w:r>
      <w:r w:rsidR="00C83409">
        <w:rPr>
          <w:rFonts w:ascii="Times New Roman" w:hAnsi="Times New Roman" w:cs="Times New Roman"/>
          <w:b/>
          <w:bCs/>
          <w:color w:val="000000" w:themeColor="text1"/>
          <w:lang w:val="en-US"/>
        </w:rPr>
        <w:t>G</w:t>
      </w:r>
      <w:r w:rsidR="00C83409" w:rsidRPr="005948DE">
        <w:rPr>
          <w:rFonts w:ascii="Times New Roman" w:hAnsi="Times New Roman" w:cs="Times New Roman"/>
          <w:b/>
          <w:bCs/>
          <w:color w:val="000000" w:themeColor="text1"/>
          <w:lang w:val="en-US"/>
        </w:rPr>
        <w:t xml:space="preserve">rant </w:t>
      </w:r>
      <w:r w:rsidR="00C83409">
        <w:rPr>
          <w:rFonts w:ascii="Times New Roman" w:hAnsi="Times New Roman" w:cs="Times New Roman"/>
          <w:b/>
          <w:bCs/>
          <w:color w:val="000000" w:themeColor="text1"/>
          <w:lang w:val="en-US"/>
        </w:rPr>
        <w:t>A</w:t>
      </w:r>
      <w:r w:rsidR="00C83409" w:rsidRPr="005948DE">
        <w:rPr>
          <w:rFonts w:ascii="Times New Roman" w:hAnsi="Times New Roman" w:cs="Times New Roman"/>
          <w:b/>
          <w:bCs/>
          <w:color w:val="000000" w:themeColor="text1"/>
          <w:lang w:val="en-US"/>
        </w:rPr>
        <w:t xml:space="preserve">mount </w:t>
      </w:r>
      <w:r w:rsidR="00AE7305" w:rsidRPr="005948DE">
        <w:rPr>
          <w:rFonts w:ascii="Times New Roman" w:hAnsi="Times New Roman" w:cs="Times New Roman"/>
          <w:b/>
          <w:bCs/>
          <w:color w:val="000000" w:themeColor="text1"/>
          <w:lang w:val="en-US"/>
        </w:rPr>
        <w:t xml:space="preserve">per LSGs </w:t>
      </w:r>
    </w:p>
    <w:p w14:paraId="32873327" w14:textId="19311E86" w:rsidR="00AE7305" w:rsidRPr="005948DE" w:rsidRDefault="00AE7305" w:rsidP="005948DE">
      <w:pPr>
        <w:spacing w:after="120" w:line="276" w:lineRule="auto"/>
        <w:jc w:val="both"/>
        <w:rPr>
          <w:rFonts w:ascii="Times New Roman" w:hAnsi="Times New Roman" w:cs="Times New Roman"/>
          <w:b/>
          <w:bCs/>
          <w:color w:val="000000" w:themeColor="text1"/>
          <w:lang w:val="en-US"/>
        </w:rPr>
      </w:pPr>
      <w:r w:rsidRPr="005948DE">
        <w:rPr>
          <w:rFonts w:ascii="Times New Roman" w:hAnsi="Times New Roman" w:cs="Times New Roman"/>
          <w:color w:val="000000" w:themeColor="text1"/>
          <w:lang w:val="en-US"/>
        </w:rPr>
        <w:t xml:space="preserve">To assess if the formula is properly prioritizing devastated regions but also gives enough weight to population, climate and area parameters, the distribution of assigned sums per LSGs was analyzed. </w:t>
      </w:r>
    </w:p>
    <w:p w14:paraId="06222CE8" w14:textId="1AEC9931" w:rsidR="00AE7305" w:rsidRDefault="00AE7305" w:rsidP="005948DE">
      <w:pPr>
        <w:spacing w:after="120" w:line="276" w:lineRule="auto"/>
        <w:jc w:val="both"/>
        <w:rPr>
          <w:rFonts w:ascii="Times New Roman" w:hAnsi="Times New Roman" w:cs="Times New Roman"/>
          <w:b/>
          <w:bCs/>
          <w:color w:val="000000" w:themeColor="text1"/>
          <w:lang w:val="en-US"/>
        </w:rPr>
      </w:pPr>
    </w:p>
    <w:tbl>
      <w:tblPr>
        <w:tblStyle w:val="TableGrid"/>
        <w:tblW w:w="0" w:type="auto"/>
        <w:tblInd w:w="2056" w:type="dxa"/>
        <w:tblLook w:val="04A0" w:firstRow="1" w:lastRow="0" w:firstColumn="1" w:lastColumn="0" w:noHBand="0" w:noVBand="1"/>
      </w:tblPr>
      <w:tblGrid>
        <w:gridCol w:w="1980"/>
        <w:gridCol w:w="1701"/>
        <w:gridCol w:w="2184"/>
      </w:tblGrid>
      <w:tr w:rsidR="00C0327E" w:rsidRPr="009B2723" w14:paraId="2E9AC71F" w14:textId="77777777" w:rsidTr="00C0327E">
        <w:tc>
          <w:tcPr>
            <w:tcW w:w="1980" w:type="dxa"/>
          </w:tcPr>
          <w:p w14:paraId="1E04C0AD" w14:textId="77777777" w:rsidR="00C0327E"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Amount range</w:t>
            </w:r>
          </w:p>
          <w:p w14:paraId="376078AD"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p>
        </w:tc>
        <w:tc>
          <w:tcPr>
            <w:tcW w:w="1701" w:type="dxa"/>
          </w:tcPr>
          <w:p w14:paraId="0B0257CC"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Number of LSGs</w:t>
            </w:r>
          </w:p>
        </w:tc>
        <w:tc>
          <w:tcPr>
            <w:tcW w:w="2184" w:type="dxa"/>
          </w:tcPr>
          <w:p w14:paraId="73EEE381"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Total amount</w:t>
            </w:r>
          </w:p>
        </w:tc>
      </w:tr>
      <w:tr w:rsidR="00C0327E" w:rsidRPr="009B2723" w14:paraId="6544A06D" w14:textId="77777777" w:rsidTr="00C0327E">
        <w:tc>
          <w:tcPr>
            <w:tcW w:w="1980" w:type="dxa"/>
          </w:tcPr>
          <w:p w14:paraId="02D5C276"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Under 1 mil €</w:t>
            </w:r>
          </w:p>
        </w:tc>
        <w:tc>
          <w:tcPr>
            <w:tcW w:w="1701" w:type="dxa"/>
          </w:tcPr>
          <w:p w14:paraId="5D91E64F"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7</w:t>
            </w:r>
            <w:r w:rsidRPr="009B2723">
              <w:rPr>
                <w:rFonts w:ascii="Times New Roman" w:hAnsi="Times New Roman" w:cs="Times New Roman"/>
                <w:b/>
                <w:bCs/>
                <w:color w:val="000000" w:themeColor="text1"/>
                <w:lang w:val="en-US"/>
              </w:rPr>
              <w:t xml:space="preserve"> </w:t>
            </w:r>
          </w:p>
        </w:tc>
        <w:tc>
          <w:tcPr>
            <w:tcW w:w="2184" w:type="dxa"/>
          </w:tcPr>
          <w:p w14:paraId="413D3C71"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5.665.520</w:t>
            </w:r>
            <w:r w:rsidRPr="009B2723">
              <w:rPr>
                <w:rFonts w:ascii="Times New Roman" w:hAnsi="Times New Roman" w:cs="Times New Roman"/>
                <w:b/>
                <w:bCs/>
                <w:color w:val="000000" w:themeColor="text1"/>
                <w:lang w:val="en-US"/>
              </w:rPr>
              <w:t xml:space="preserve"> </w:t>
            </w:r>
          </w:p>
        </w:tc>
      </w:tr>
      <w:tr w:rsidR="00C0327E" w:rsidRPr="009B2723" w14:paraId="507B27AA" w14:textId="77777777" w:rsidTr="00C0327E">
        <w:tc>
          <w:tcPr>
            <w:tcW w:w="1980" w:type="dxa"/>
          </w:tcPr>
          <w:p w14:paraId="14CB6C96"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1-1,5 mil €</w:t>
            </w:r>
          </w:p>
        </w:tc>
        <w:tc>
          <w:tcPr>
            <w:tcW w:w="1701" w:type="dxa"/>
          </w:tcPr>
          <w:p w14:paraId="5B117B0D"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43</w:t>
            </w:r>
          </w:p>
        </w:tc>
        <w:tc>
          <w:tcPr>
            <w:tcW w:w="2184" w:type="dxa"/>
          </w:tcPr>
          <w:p w14:paraId="48AA8347"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55.305.736</w:t>
            </w:r>
          </w:p>
        </w:tc>
      </w:tr>
      <w:tr w:rsidR="00C0327E" w:rsidRPr="009B2723" w14:paraId="02F304AF" w14:textId="77777777" w:rsidTr="00C0327E">
        <w:tc>
          <w:tcPr>
            <w:tcW w:w="1980" w:type="dxa"/>
          </w:tcPr>
          <w:p w14:paraId="1FAD7BAD"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1,5-2,5 mil €</w:t>
            </w:r>
          </w:p>
        </w:tc>
        <w:tc>
          <w:tcPr>
            <w:tcW w:w="1701" w:type="dxa"/>
          </w:tcPr>
          <w:p w14:paraId="5D6E6A4C"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76</w:t>
            </w:r>
          </w:p>
        </w:tc>
        <w:tc>
          <w:tcPr>
            <w:tcW w:w="2184" w:type="dxa"/>
          </w:tcPr>
          <w:p w14:paraId="6FF0C644"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w:t>
            </w:r>
            <w:r>
              <w:rPr>
                <w:rFonts w:ascii="Times New Roman" w:hAnsi="Times New Roman" w:cs="Times New Roman"/>
                <w:b/>
                <w:bCs/>
                <w:color w:val="000000" w:themeColor="text1"/>
                <w:lang w:val="en-US"/>
              </w:rPr>
              <w:t>41.012.351</w:t>
            </w:r>
          </w:p>
        </w:tc>
      </w:tr>
      <w:tr w:rsidR="00C0327E" w:rsidRPr="009B2723" w14:paraId="6218379A" w14:textId="77777777" w:rsidTr="00C0327E">
        <w:tc>
          <w:tcPr>
            <w:tcW w:w="1980" w:type="dxa"/>
          </w:tcPr>
          <w:p w14:paraId="4007694B"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2,5 mil € - 5 mil €</w:t>
            </w:r>
          </w:p>
        </w:tc>
        <w:tc>
          <w:tcPr>
            <w:tcW w:w="1701" w:type="dxa"/>
          </w:tcPr>
          <w:p w14:paraId="775F332B"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w:t>
            </w:r>
            <w:r>
              <w:rPr>
                <w:rFonts w:ascii="Times New Roman" w:hAnsi="Times New Roman" w:cs="Times New Roman"/>
                <w:b/>
                <w:bCs/>
                <w:color w:val="000000" w:themeColor="text1"/>
                <w:lang w:val="en-US"/>
              </w:rPr>
              <w:t>7</w:t>
            </w:r>
          </w:p>
        </w:tc>
        <w:tc>
          <w:tcPr>
            <w:tcW w:w="2184" w:type="dxa"/>
          </w:tcPr>
          <w:p w14:paraId="1A3AF00F"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52.726.676</w:t>
            </w:r>
          </w:p>
        </w:tc>
      </w:tr>
      <w:tr w:rsidR="00C0327E" w:rsidRPr="009B2723" w14:paraId="1D9E5F08" w14:textId="77777777" w:rsidTr="00C0327E">
        <w:tc>
          <w:tcPr>
            <w:tcW w:w="1980" w:type="dxa"/>
          </w:tcPr>
          <w:p w14:paraId="561A0C13"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Above 5 mil €</w:t>
            </w:r>
          </w:p>
        </w:tc>
        <w:tc>
          <w:tcPr>
            <w:tcW w:w="1701" w:type="dxa"/>
          </w:tcPr>
          <w:p w14:paraId="404E1BC7"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2</w:t>
            </w:r>
          </w:p>
        </w:tc>
        <w:tc>
          <w:tcPr>
            <w:tcW w:w="2184" w:type="dxa"/>
          </w:tcPr>
          <w:p w14:paraId="0F8C8A32"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w:t>
            </w:r>
            <w:r>
              <w:rPr>
                <w:rFonts w:ascii="Times New Roman" w:hAnsi="Times New Roman" w:cs="Times New Roman"/>
                <w:b/>
                <w:bCs/>
                <w:color w:val="000000" w:themeColor="text1"/>
                <w:lang w:val="en-US"/>
              </w:rPr>
              <w:t>6.289.717</w:t>
            </w:r>
          </w:p>
        </w:tc>
      </w:tr>
      <w:tr w:rsidR="00C0327E" w:rsidRPr="009B2723" w14:paraId="183D73AE" w14:textId="77777777" w:rsidTr="00C0327E">
        <w:tc>
          <w:tcPr>
            <w:tcW w:w="1980" w:type="dxa"/>
          </w:tcPr>
          <w:p w14:paraId="5FB07897"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p>
        </w:tc>
        <w:tc>
          <w:tcPr>
            <w:tcW w:w="1701" w:type="dxa"/>
          </w:tcPr>
          <w:p w14:paraId="100F2C06"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145</w:t>
            </w:r>
          </w:p>
        </w:tc>
        <w:tc>
          <w:tcPr>
            <w:tcW w:w="2184" w:type="dxa"/>
          </w:tcPr>
          <w:p w14:paraId="31189CA0" w14:textId="77777777" w:rsidR="00C0327E" w:rsidRPr="009B2723" w:rsidRDefault="00C0327E" w:rsidP="00B13746">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 xml:space="preserve">240.000.000 </w:t>
            </w:r>
          </w:p>
        </w:tc>
      </w:tr>
    </w:tbl>
    <w:p w14:paraId="57D5EDE9" w14:textId="4514F323" w:rsidR="009B2723" w:rsidRDefault="009B2723" w:rsidP="005948DE">
      <w:pPr>
        <w:spacing w:after="120" w:line="276" w:lineRule="auto"/>
        <w:jc w:val="both"/>
        <w:rPr>
          <w:rFonts w:ascii="Times New Roman" w:hAnsi="Times New Roman" w:cs="Times New Roman"/>
          <w:b/>
          <w:bCs/>
          <w:color w:val="000000" w:themeColor="text1"/>
          <w:lang w:val="en-US"/>
        </w:rPr>
      </w:pPr>
    </w:p>
    <w:p w14:paraId="4FC06A58" w14:textId="77777777" w:rsidR="009B2723" w:rsidRPr="005948DE" w:rsidRDefault="009B2723" w:rsidP="005948DE">
      <w:pPr>
        <w:spacing w:after="120" w:line="276" w:lineRule="auto"/>
        <w:jc w:val="both"/>
        <w:rPr>
          <w:rFonts w:ascii="Times New Roman" w:hAnsi="Times New Roman" w:cs="Times New Roman"/>
          <w:b/>
          <w:bCs/>
          <w:color w:val="000000" w:themeColor="text1"/>
          <w:lang w:val="en-US"/>
        </w:rPr>
      </w:pPr>
    </w:p>
    <w:p w14:paraId="3B564027" w14:textId="77777777" w:rsidR="00C0327E" w:rsidRPr="008E0F38" w:rsidRDefault="00C0327E" w:rsidP="00C0327E">
      <w:pPr>
        <w:spacing w:after="120" w:line="276" w:lineRule="auto"/>
        <w:jc w:val="both"/>
        <w:rPr>
          <w:rFonts w:ascii="Times New Roman" w:hAnsi="Times New Roman" w:cs="Times New Roman"/>
          <w:color w:val="000000" w:themeColor="text1"/>
          <w:lang w:val="en-US"/>
        </w:rPr>
      </w:pPr>
      <w:r w:rsidRPr="000E5FC9">
        <w:rPr>
          <w:rFonts w:ascii="Times New Roman" w:hAnsi="Times New Roman" w:cs="Times New Roman"/>
          <w:color w:val="000000" w:themeColor="text1"/>
          <w:lang w:val="en-US"/>
        </w:rPr>
        <w:t>First group of (</w:t>
      </w:r>
      <w:r w:rsidRPr="008E0F38">
        <w:rPr>
          <w:rFonts w:ascii="Times New Roman" w:hAnsi="Times New Roman" w:cs="Times New Roman"/>
          <w:color w:val="000000" w:themeColor="text1"/>
          <w:lang w:val="en-US"/>
        </w:rPr>
        <w:t xml:space="preserve">7) </w:t>
      </w:r>
      <w:r w:rsidRPr="00B13746">
        <w:rPr>
          <w:rFonts w:ascii="Times New Roman" w:hAnsi="Times New Roman" w:cs="Times New Roman"/>
          <w:color w:val="000000" w:themeColor="text1"/>
          <w:lang w:val="en-US"/>
        </w:rPr>
        <w:t>seven</w:t>
      </w:r>
      <w:r w:rsidRPr="008E0F38">
        <w:rPr>
          <w:rFonts w:ascii="Times New Roman" w:hAnsi="Times New Roman" w:cs="Times New Roman"/>
          <w:color w:val="000000" w:themeColor="text1"/>
          <w:lang w:val="en-US"/>
        </w:rPr>
        <w:t xml:space="preserve"> LSG, does not have devastated,</w:t>
      </w:r>
      <w:r w:rsidRPr="00B13746">
        <w:rPr>
          <w:rFonts w:ascii="Times New Roman" w:hAnsi="Times New Roman" w:cs="Times New Roman"/>
          <w:color w:val="000000" w:themeColor="text1"/>
          <w:lang w:val="en-US"/>
        </w:rPr>
        <w:t xml:space="preserve"> 3</w:t>
      </w:r>
      <w:r w:rsidRPr="00B13746">
        <w:rPr>
          <w:rFonts w:ascii="Times New Roman" w:hAnsi="Times New Roman" w:cs="Times New Roman"/>
          <w:color w:val="000000" w:themeColor="text1"/>
          <w:vertAlign w:val="superscript"/>
          <w:lang w:val="en-US"/>
        </w:rPr>
        <w:t>rd</w:t>
      </w:r>
      <w:r w:rsidRPr="00B13746">
        <w:rPr>
          <w:rFonts w:ascii="Times New Roman" w:hAnsi="Times New Roman" w:cs="Times New Roman"/>
          <w:color w:val="000000" w:themeColor="text1"/>
          <w:lang w:val="en-US"/>
        </w:rPr>
        <w:t xml:space="preserve"> </w:t>
      </w:r>
      <w:r w:rsidRPr="00E0617B">
        <w:rPr>
          <w:rFonts w:ascii="Times New Roman" w:hAnsi="Times New Roman" w:cs="Times New Roman"/>
          <w:color w:val="000000" w:themeColor="text1"/>
          <w:lang w:val="en-US"/>
        </w:rPr>
        <w:t xml:space="preserve">and </w:t>
      </w:r>
      <w:r w:rsidRPr="000E5FC9">
        <w:rPr>
          <w:rFonts w:ascii="Times New Roman" w:hAnsi="Times New Roman" w:cs="Times New Roman"/>
          <w:color w:val="000000" w:themeColor="text1"/>
          <w:lang w:val="en-US"/>
        </w:rPr>
        <w:t>4</w:t>
      </w:r>
      <w:r w:rsidRPr="008E0F38">
        <w:rPr>
          <w:rFonts w:ascii="Times New Roman" w:hAnsi="Times New Roman" w:cs="Times New Roman"/>
          <w:color w:val="000000" w:themeColor="text1"/>
          <w:vertAlign w:val="superscript"/>
          <w:lang w:val="en-US"/>
        </w:rPr>
        <w:t>th</w:t>
      </w:r>
      <w:r w:rsidRPr="008E0F38">
        <w:rPr>
          <w:rFonts w:ascii="Times New Roman" w:hAnsi="Times New Roman" w:cs="Times New Roman"/>
          <w:color w:val="000000" w:themeColor="text1"/>
          <w:lang w:val="en-US"/>
        </w:rPr>
        <w:t xml:space="preserve"> development class LSGs. </w:t>
      </w:r>
      <w:r w:rsidRPr="00B13746">
        <w:rPr>
          <w:rFonts w:ascii="Times New Roman" w:hAnsi="Times New Roman" w:cs="Times New Roman"/>
          <w:color w:val="000000" w:themeColor="text1"/>
          <w:lang w:val="en-US"/>
        </w:rPr>
        <w:t xml:space="preserve"> 4</w:t>
      </w:r>
      <w:r w:rsidRPr="000E5FC9">
        <w:rPr>
          <w:rFonts w:ascii="Times New Roman" w:hAnsi="Times New Roman" w:cs="Times New Roman"/>
          <w:color w:val="000000" w:themeColor="text1"/>
          <w:lang w:val="en-US"/>
        </w:rPr>
        <w:t xml:space="preserve"> (</w:t>
      </w:r>
      <w:r w:rsidRPr="00B13746">
        <w:rPr>
          <w:rFonts w:ascii="Times New Roman" w:hAnsi="Times New Roman" w:cs="Times New Roman"/>
          <w:color w:val="000000" w:themeColor="text1"/>
          <w:lang w:val="en-US"/>
        </w:rPr>
        <w:t>four</w:t>
      </w:r>
      <w:r w:rsidRPr="000E5FC9">
        <w:rPr>
          <w:rFonts w:ascii="Times New Roman" w:hAnsi="Times New Roman" w:cs="Times New Roman"/>
          <w:color w:val="000000" w:themeColor="text1"/>
          <w:lang w:val="en-US"/>
        </w:rPr>
        <w:t>) LSGs from 2</w:t>
      </w:r>
      <w:r w:rsidRPr="008E0F38">
        <w:rPr>
          <w:rFonts w:ascii="Times New Roman" w:hAnsi="Times New Roman" w:cs="Times New Roman"/>
          <w:color w:val="000000" w:themeColor="text1"/>
          <w:vertAlign w:val="superscript"/>
          <w:lang w:val="en-US"/>
        </w:rPr>
        <w:t>nd</w:t>
      </w:r>
      <w:r w:rsidRPr="008E0F38">
        <w:rPr>
          <w:rFonts w:ascii="Times New Roman" w:hAnsi="Times New Roman" w:cs="Times New Roman"/>
          <w:color w:val="000000" w:themeColor="text1"/>
          <w:lang w:val="en-US"/>
        </w:rPr>
        <w:t xml:space="preserve"> development class group and </w:t>
      </w:r>
      <w:r w:rsidRPr="00B13746">
        <w:rPr>
          <w:rFonts w:ascii="Times New Roman" w:hAnsi="Times New Roman" w:cs="Times New Roman"/>
          <w:color w:val="000000" w:themeColor="text1"/>
          <w:lang w:val="en-US"/>
        </w:rPr>
        <w:t>3</w:t>
      </w:r>
      <w:r w:rsidRPr="008E0F38">
        <w:rPr>
          <w:rFonts w:ascii="Times New Roman" w:hAnsi="Times New Roman" w:cs="Times New Roman"/>
          <w:color w:val="000000" w:themeColor="text1"/>
          <w:lang w:val="en-US"/>
        </w:rPr>
        <w:t xml:space="preserve"> (</w:t>
      </w:r>
      <w:r w:rsidRPr="00B13746">
        <w:rPr>
          <w:rFonts w:ascii="Times New Roman" w:hAnsi="Times New Roman" w:cs="Times New Roman"/>
          <w:color w:val="000000" w:themeColor="text1"/>
          <w:lang w:val="en-US"/>
        </w:rPr>
        <w:t>three</w:t>
      </w:r>
      <w:r w:rsidRPr="008E0F38">
        <w:rPr>
          <w:rFonts w:ascii="Times New Roman" w:hAnsi="Times New Roman" w:cs="Times New Roman"/>
          <w:color w:val="000000" w:themeColor="text1"/>
          <w:lang w:val="en-US"/>
        </w:rPr>
        <w:t>) LSGs from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group. Most of LSGs have small area and/or belong to higher development class rank.</w:t>
      </w:r>
    </w:p>
    <w:p w14:paraId="76E7EB56" w14:textId="77777777" w:rsidR="00C0327E" w:rsidRPr="008E0F38" w:rsidRDefault="00C0327E" w:rsidP="00C0327E">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 xml:space="preserve">Second group of </w:t>
      </w:r>
      <w:r w:rsidRPr="00B13746">
        <w:rPr>
          <w:rFonts w:ascii="Times New Roman" w:hAnsi="Times New Roman" w:cs="Times New Roman"/>
          <w:color w:val="000000" w:themeColor="text1"/>
          <w:lang w:val="en-US"/>
        </w:rPr>
        <w:t>43</w:t>
      </w:r>
      <w:r w:rsidRPr="008E0F38">
        <w:rPr>
          <w:rFonts w:ascii="Times New Roman" w:hAnsi="Times New Roman" w:cs="Times New Roman"/>
          <w:color w:val="000000" w:themeColor="text1"/>
          <w:lang w:val="en-US"/>
        </w:rPr>
        <w:t xml:space="preserve"> (</w:t>
      </w:r>
      <w:r w:rsidRPr="00B13746">
        <w:rPr>
          <w:rFonts w:ascii="Times New Roman" w:hAnsi="Times New Roman" w:cs="Times New Roman"/>
          <w:color w:val="000000" w:themeColor="text1"/>
          <w:lang w:val="en-US"/>
        </w:rPr>
        <w:t>forty-three</w:t>
      </w:r>
      <w:r w:rsidRPr="008E0F38">
        <w:rPr>
          <w:rFonts w:ascii="Times New Roman" w:hAnsi="Times New Roman" w:cs="Times New Roman"/>
          <w:color w:val="000000" w:themeColor="text1"/>
          <w:lang w:val="en-US"/>
        </w:rPr>
        <w:t xml:space="preserve">) </w:t>
      </w:r>
      <w:r w:rsidRPr="00B13746">
        <w:rPr>
          <w:rFonts w:ascii="Times New Roman" w:hAnsi="Times New Roman" w:cs="Times New Roman"/>
          <w:color w:val="000000" w:themeColor="text1"/>
          <w:lang w:val="en-US"/>
        </w:rPr>
        <w:t xml:space="preserve">does not contain </w:t>
      </w:r>
      <w:r w:rsidRPr="008E0F38">
        <w:rPr>
          <w:rFonts w:ascii="Times New Roman" w:hAnsi="Times New Roman" w:cs="Times New Roman"/>
          <w:color w:val="000000" w:themeColor="text1"/>
          <w:lang w:val="en-US"/>
        </w:rPr>
        <w:t>devastated</w:t>
      </w:r>
      <w:r w:rsidRPr="00B13746">
        <w:rPr>
          <w:rFonts w:ascii="Times New Roman" w:hAnsi="Times New Roman" w:cs="Times New Roman"/>
          <w:color w:val="000000" w:themeColor="text1"/>
          <w:lang w:val="en-US"/>
        </w:rPr>
        <w:t xml:space="preserve"> 5th development class while 9 (nine) </w:t>
      </w:r>
      <w:r w:rsidRPr="000E5FC9">
        <w:rPr>
          <w:rFonts w:ascii="Times New Roman" w:hAnsi="Times New Roman" w:cs="Times New Roman"/>
          <w:color w:val="000000" w:themeColor="text1"/>
          <w:lang w:val="en-US"/>
        </w:rPr>
        <w:t xml:space="preserve">LSGs </w:t>
      </w:r>
      <w:r w:rsidRPr="00B13746">
        <w:rPr>
          <w:rFonts w:ascii="Times New Roman" w:hAnsi="Times New Roman" w:cs="Times New Roman"/>
          <w:color w:val="000000" w:themeColor="text1"/>
          <w:lang w:val="en-US"/>
        </w:rPr>
        <w:t xml:space="preserve">are with development index 4 th . </w:t>
      </w:r>
      <w:r w:rsidRPr="008E0F38">
        <w:rPr>
          <w:rFonts w:ascii="Times New Roman" w:hAnsi="Times New Roman" w:cs="Times New Roman"/>
          <w:color w:val="000000" w:themeColor="text1"/>
          <w:lang w:val="en-US"/>
        </w:rPr>
        <w:t xml:space="preserve">There are </w:t>
      </w:r>
      <w:r w:rsidRPr="00B13746">
        <w:rPr>
          <w:rFonts w:ascii="Times New Roman" w:hAnsi="Times New Roman" w:cs="Times New Roman"/>
          <w:color w:val="000000" w:themeColor="text1"/>
          <w:lang w:val="en-US"/>
        </w:rPr>
        <w:t>20</w:t>
      </w:r>
      <w:r w:rsidRPr="008E0F38">
        <w:rPr>
          <w:rFonts w:ascii="Times New Roman" w:hAnsi="Times New Roman" w:cs="Times New Roman"/>
          <w:color w:val="000000" w:themeColor="text1"/>
          <w:lang w:val="en-US"/>
        </w:rPr>
        <w:t xml:space="preserve"> (</w:t>
      </w:r>
      <w:r w:rsidRPr="00B13746">
        <w:rPr>
          <w:rFonts w:ascii="Times New Roman" w:hAnsi="Times New Roman" w:cs="Times New Roman"/>
          <w:color w:val="000000" w:themeColor="text1"/>
          <w:lang w:val="en-US"/>
        </w:rPr>
        <w:t>twenty</w:t>
      </w:r>
      <w:r w:rsidRPr="000E5FC9">
        <w:rPr>
          <w:rFonts w:ascii="Times New Roman" w:hAnsi="Times New Roman" w:cs="Times New Roman"/>
          <w:color w:val="000000" w:themeColor="text1"/>
          <w:lang w:val="en-US"/>
        </w:rPr>
        <w:t xml:space="preserve">) LSGs from </w:t>
      </w:r>
      <w:r w:rsidRPr="00B13746">
        <w:rPr>
          <w:rFonts w:ascii="Times New Roman" w:hAnsi="Times New Roman" w:cs="Times New Roman"/>
          <w:color w:val="000000" w:themeColor="text1"/>
          <w:lang w:val="en-US"/>
        </w:rPr>
        <w:t>3rd</w:t>
      </w:r>
      <w:r w:rsidRPr="000E5FC9">
        <w:rPr>
          <w:rFonts w:ascii="Times New Roman" w:hAnsi="Times New Roman" w:cs="Times New Roman"/>
          <w:color w:val="000000" w:themeColor="text1"/>
          <w:lang w:val="en-US"/>
        </w:rPr>
        <w:t xml:space="preserve"> </w:t>
      </w:r>
      <w:r w:rsidRPr="008E0F38">
        <w:rPr>
          <w:rFonts w:ascii="Times New Roman" w:hAnsi="Times New Roman" w:cs="Times New Roman"/>
          <w:color w:val="000000" w:themeColor="text1"/>
          <w:lang w:val="en-US"/>
        </w:rPr>
        <w:t xml:space="preserve">development class group, </w:t>
      </w:r>
      <w:r w:rsidRPr="00B13746">
        <w:rPr>
          <w:rFonts w:ascii="Times New Roman" w:hAnsi="Times New Roman" w:cs="Times New Roman"/>
          <w:color w:val="000000" w:themeColor="text1"/>
          <w:lang w:val="en-US"/>
        </w:rPr>
        <w:t>11</w:t>
      </w:r>
      <w:r w:rsidRPr="000E5FC9">
        <w:rPr>
          <w:rFonts w:ascii="Times New Roman" w:hAnsi="Times New Roman" w:cs="Times New Roman"/>
          <w:color w:val="000000" w:themeColor="text1"/>
          <w:lang w:val="en-US"/>
        </w:rPr>
        <w:t xml:space="preserve"> </w:t>
      </w:r>
      <w:r w:rsidRPr="008E0F38">
        <w:rPr>
          <w:rFonts w:ascii="Times New Roman" w:hAnsi="Times New Roman" w:cs="Times New Roman"/>
          <w:color w:val="000000" w:themeColor="text1"/>
          <w:lang w:val="en-US"/>
        </w:rPr>
        <w:t>(</w:t>
      </w:r>
      <w:r w:rsidRPr="00B13746">
        <w:rPr>
          <w:rFonts w:ascii="Times New Roman" w:hAnsi="Times New Roman" w:cs="Times New Roman"/>
          <w:color w:val="000000" w:themeColor="text1"/>
          <w:lang w:val="en-US"/>
        </w:rPr>
        <w:t>eleven)</w:t>
      </w:r>
      <w:r w:rsidRPr="000E5FC9">
        <w:rPr>
          <w:rFonts w:ascii="Times New Roman" w:hAnsi="Times New Roman" w:cs="Times New Roman"/>
          <w:color w:val="000000" w:themeColor="text1"/>
          <w:lang w:val="en-US"/>
        </w:rPr>
        <w:t xml:space="preserve"> LSGs from 2</w:t>
      </w:r>
      <w:r w:rsidRPr="008E0F38">
        <w:rPr>
          <w:rFonts w:ascii="Times New Roman" w:hAnsi="Times New Roman" w:cs="Times New Roman"/>
          <w:color w:val="000000" w:themeColor="text1"/>
          <w:vertAlign w:val="superscript"/>
          <w:lang w:val="en-US"/>
        </w:rPr>
        <w:t>nd</w:t>
      </w:r>
      <w:r w:rsidRPr="008E0F38">
        <w:rPr>
          <w:rFonts w:ascii="Times New Roman" w:hAnsi="Times New Roman" w:cs="Times New Roman"/>
          <w:color w:val="000000" w:themeColor="text1"/>
          <w:lang w:val="en-US"/>
        </w:rPr>
        <w:t xml:space="preserve"> development class group and </w:t>
      </w:r>
      <w:r w:rsidRPr="00B13746">
        <w:rPr>
          <w:rFonts w:ascii="Times New Roman" w:hAnsi="Times New Roman" w:cs="Times New Roman"/>
          <w:color w:val="000000" w:themeColor="text1"/>
          <w:lang w:val="en-US"/>
        </w:rPr>
        <w:t>3</w:t>
      </w:r>
      <w:r w:rsidRPr="008E0F38">
        <w:rPr>
          <w:rFonts w:ascii="Times New Roman" w:hAnsi="Times New Roman" w:cs="Times New Roman"/>
          <w:color w:val="000000" w:themeColor="text1"/>
          <w:lang w:val="en-US"/>
        </w:rPr>
        <w:t xml:space="preserve"> (three) LSGs from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group. These group covers smaller LSGs or those with medium development index. </w:t>
      </w:r>
    </w:p>
    <w:p w14:paraId="3A3C33E9" w14:textId="77777777" w:rsidR="00C0327E" w:rsidRPr="008E0F38" w:rsidRDefault="00C0327E" w:rsidP="00C0327E">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Third group of</w:t>
      </w:r>
      <w:r>
        <w:rPr>
          <w:rFonts w:ascii="Times New Roman" w:hAnsi="Times New Roman" w:cs="Times New Roman"/>
          <w:color w:val="000000" w:themeColor="text1"/>
          <w:lang w:val="en-US"/>
        </w:rPr>
        <w:t xml:space="preserve"> 76</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seventy -six</w:t>
      </w:r>
      <w:r w:rsidRPr="008E0F38">
        <w:rPr>
          <w:rFonts w:ascii="Times New Roman" w:hAnsi="Times New Roman" w:cs="Times New Roman"/>
          <w:color w:val="000000" w:themeColor="text1"/>
          <w:lang w:val="en-US"/>
        </w:rPr>
        <w:t>) LSGs contains 1</w:t>
      </w:r>
      <w:r>
        <w:rPr>
          <w:rFonts w:ascii="Times New Roman" w:hAnsi="Times New Roman" w:cs="Times New Roman"/>
          <w:color w:val="000000" w:themeColor="text1"/>
          <w:lang w:val="en-US"/>
        </w:rPr>
        <w:t>8</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eighteen</w:t>
      </w:r>
      <w:r w:rsidRPr="008E0F38">
        <w:rPr>
          <w:rFonts w:ascii="Times New Roman" w:hAnsi="Times New Roman" w:cs="Times New Roman"/>
          <w:color w:val="000000" w:themeColor="text1"/>
          <w:lang w:val="en-US"/>
        </w:rPr>
        <w:t>) devastated LSGs</w:t>
      </w:r>
      <w:r>
        <w:rPr>
          <w:rFonts w:ascii="Times New Roman" w:hAnsi="Times New Roman" w:cs="Times New Roman"/>
          <w:color w:val="000000" w:themeColor="text1"/>
          <w:lang w:val="en-US"/>
        </w:rPr>
        <w:t xml:space="preserve"> with development index 5</w:t>
      </w:r>
      <w:r w:rsidRPr="008E0F38">
        <w:rPr>
          <w:rFonts w:ascii="Times New Roman" w:hAnsi="Times New Roman" w:cs="Times New Roman"/>
          <w:color w:val="000000" w:themeColor="text1"/>
          <w:lang w:val="en-US"/>
        </w:rPr>
        <w:t>, 1</w:t>
      </w:r>
      <w:r>
        <w:rPr>
          <w:rFonts w:ascii="Times New Roman" w:hAnsi="Times New Roman" w:cs="Times New Roman"/>
          <w:color w:val="000000" w:themeColor="text1"/>
          <w:lang w:val="en-US"/>
        </w:rPr>
        <w:t>5</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fifteen</w:t>
      </w:r>
      <w:r w:rsidRPr="008E0F38">
        <w:rPr>
          <w:rFonts w:ascii="Times New Roman" w:hAnsi="Times New Roman" w:cs="Times New Roman"/>
          <w:color w:val="000000" w:themeColor="text1"/>
          <w:lang w:val="en-US"/>
        </w:rPr>
        <w:t xml:space="preserve">) LSGs </w:t>
      </w:r>
      <w:r>
        <w:rPr>
          <w:rFonts w:ascii="Times New Roman" w:hAnsi="Times New Roman" w:cs="Times New Roman"/>
          <w:color w:val="000000" w:themeColor="text1"/>
          <w:lang w:val="en-US"/>
        </w:rPr>
        <w:t xml:space="preserve">are </w:t>
      </w:r>
      <w:r w:rsidRPr="008E0F38">
        <w:rPr>
          <w:rFonts w:ascii="Times New Roman" w:hAnsi="Times New Roman" w:cs="Times New Roman"/>
          <w:color w:val="000000" w:themeColor="text1"/>
          <w:lang w:val="en-US"/>
        </w:rPr>
        <w:t>from 4</w:t>
      </w:r>
      <w:r w:rsidRPr="008E0F38">
        <w:rPr>
          <w:rFonts w:ascii="Times New Roman" w:hAnsi="Times New Roman" w:cs="Times New Roman"/>
          <w:color w:val="000000" w:themeColor="text1"/>
          <w:vertAlign w:val="superscript"/>
          <w:lang w:val="en-US"/>
        </w:rPr>
        <w:t>th</w:t>
      </w:r>
      <w:r w:rsidRPr="008E0F38">
        <w:rPr>
          <w:rFonts w:ascii="Times New Roman" w:hAnsi="Times New Roman" w:cs="Times New Roman"/>
          <w:color w:val="000000" w:themeColor="text1"/>
          <w:lang w:val="en-US"/>
        </w:rPr>
        <w:t xml:space="preserve"> development class group, </w:t>
      </w:r>
      <w:r>
        <w:rPr>
          <w:rFonts w:ascii="Times New Roman" w:hAnsi="Times New Roman" w:cs="Times New Roman"/>
          <w:color w:val="000000" w:themeColor="text1"/>
          <w:lang w:val="en-US"/>
        </w:rPr>
        <w:t>24</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twenty-four</w:t>
      </w:r>
      <w:r w:rsidRPr="008E0F38">
        <w:rPr>
          <w:rFonts w:ascii="Times New Roman" w:hAnsi="Times New Roman" w:cs="Times New Roman"/>
          <w:color w:val="000000" w:themeColor="text1"/>
          <w:lang w:val="en-US"/>
        </w:rPr>
        <w:t>) LSGs from 3</w:t>
      </w:r>
      <w:r w:rsidRPr="008E0F38">
        <w:rPr>
          <w:rFonts w:ascii="Times New Roman" w:hAnsi="Times New Roman" w:cs="Times New Roman"/>
          <w:color w:val="000000" w:themeColor="text1"/>
          <w:vertAlign w:val="superscript"/>
          <w:lang w:val="en-US"/>
        </w:rPr>
        <w:t>rd</w:t>
      </w:r>
      <w:r w:rsidRPr="008E0F38">
        <w:rPr>
          <w:rFonts w:ascii="Times New Roman" w:hAnsi="Times New Roman" w:cs="Times New Roman"/>
          <w:color w:val="000000" w:themeColor="text1"/>
          <w:lang w:val="en-US"/>
        </w:rPr>
        <w:t xml:space="preserve"> development class group, </w:t>
      </w:r>
      <w:r>
        <w:rPr>
          <w:rFonts w:ascii="Times New Roman" w:hAnsi="Times New Roman" w:cs="Times New Roman"/>
          <w:color w:val="000000" w:themeColor="text1"/>
          <w:lang w:val="en-US"/>
        </w:rPr>
        <w:t>12</w:t>
      </w:r>
      <w:r w:rsidRPr="008E0F38">
        <w:rPr>
          <w:rFonts w:ascii="Times New Roman" w:hAnsi="Times New Roman" w:cs="Times New Roman"/>
          <w:color w:val="000000" w:themeColor="text1"/>
          <w:lang w:val="en-US"/>
        </w:rPr>
        <w:t>(</w:t>
      </w:r>
      <w:r>
        <w:rPr>
          <w:rFonts w:ascii="Times New Roman" w:hAnsi="Times New Roman" w:cs="Times New Roman"/>
          <w:color w:val="000000" w:themeColor="text1"/>
          <w:lang w:val="en-US"/>
        </w:rPr>
        <w:t>twelve</w:t>
      </w:r>
      <w:r w:rsidRPr="008E0F38">
        <w:rPr>
          <w:rFonts w:ascii="Times New Roman" w:hAnsi="Times New Roman" w:cs="Times New Roman"/>
          <w:color w:val="000000" w:themeColor="text1"/>
          <w:lang w:val="en-US"/>
        </w:rPr>
        <w:t>) LSGs from 2</w:t>
      </w:r>
      <w:r w:rsidRPr="008E0F38">
        <w:rPr>
          <w:rFonts w:ascii="Times New Roman" w:hAnsi="Times New Roman" w:cs="Times New Roman"/>
          <w:color w:val="000000" w:themeColor="text1"/>
          <w:vertAlign w:val="superscript"/>
          <w:lang w:val="en-US"/>
        </w:rPr>
        <w:t>nd</w:t>
      </w:r>
      <w:r w:rsidRPr="008E0F38">
        <w:rPr>
          <w:rFonts w:ascii="Times New Roman" w:hAnsi="Times New Roman" w:cs="Times New Roman"/>
          <w:color w:val="000000" w:themeColor="text1"/>
          <w:lang w:val="en-US"/>
        </w:rPr>
        <w:t xml:space="preserve"> development class group and </w:t>
      </w:r>
      <w:r>
        <w:rPr>
          <w:rFonts w:ascii="Times New Roman" w:hAnsi="Times New Roman" w:cs="Times New Roman"/>
          <w:color w:val="000000" w:themeColor="text1"/>
          <w:lang w:val="en-US"/>
        </w:rPr>
        <w:t>7</w:t>
      </w:r>
      <w:r w:rsidRPr="008E0F38">
        <w:rPr>
          <w:rFonts w:ascii="Times New Roman" w:hAnsi="Times New Roman" w:cs="Times New Roman"/>
          <w:color w:val="000000" w:themeColor="text1"/>
          <w:lang w:val="en-US"/>
        </w:rPr>
        <w:t xml:space="preserve"> (seven) LSGs from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group. This group consists of the biggest number of devastated LSGs and LSGs with lower development class. </w:t>
      </w:r>
    </w:p>
    <w:p w14:paraId="32A03A40" w14:textId="77777777" w:rsidR="00C0327E" w:rsidRPr="008E0F38" w:rsidRDefault="00C0327E" w:rsidP="00C0327E">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 xml:space="preserve">Forth group of </w:t>
      </w:r>
      <w:r>
        <w:rPr>
          <w:rFonts w:ascii="Times New Roman" w:hAnsi="Times New Roman" w:cs="Times New Roman"/>
          <w:color w:val="000000" w:themeColor="text1"/>
          <w:lang w:val="en-US"/>
        </w:rPr>
        <w:t>17</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seventeen</w:t>
      </w:r>
      <w:r w:rsidRPr="008E0F38">
        <w:rPr>
          <w:rFonts w:ascii="Times New Roman" w:hAnsi="Times New Roman" w:cs="Times New Roman"/>
          <w:color w:val="000000" w:themeColor="text1"/>
          <w:lang w:val="en-US"/>
        </w:rPr>
        <w:t xml:space="preserve">) LSGs contains </w:t>
      </w:r>
      <w:r>
        <w:rPr>
          <w:rFonts w:ascii="Times New Roman" w:hAnsi="Times New Roman" w:cs="Times New Roman"/>
          <w:color w:val="000000" w:themeColor="text1"/>
          <w:lang w:val="en-US"/>
        </w:rPr>
        <w:t>1</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one</w:t>
      </w:r>
      <w:r w:rsidRPr="008E0F38">
        <w:rPr>
          <w:rFonts w:ascii="Times New Roman" w:hAnsi="Times New Roman" w:cs="Times New Roman"/>
          <w:color w:val="000000" w:themeColor="text1"/>
          <w:lang w:val="en-US"/>
        </w:rPr>
        <w:t>) LSG from</w:t>
      </w:r>
      <w:r>
        <w:rPr>
          <w:rFonts w:ascii="Times New Roman" w:hAnsi="Times New Roman" w:cs="Times New Roman"/>
          <w:color w:val="000000" w:themeColor="text1"/>
          <w:lang w:val="en-US"/>
        </w:rPr>
        <w:t xml:space="preserve"> 5th </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vertAlign w:val="superscript"/>
          <w:lang w:val="en-US"/>
        </w:rPr>
        <w:t xml:space="preserve"> </w:t>
      </w:r>
      <w:r w:rsidRPr="008E0F38">
        <w:rPr>
          <w:rFonts w:ascii="Times New Roman" w:hAnsi="Times New Roman" w:cs="Times New Roman"/>
          <w:color w:val="000000" w:themeColor="text1"/>
          <w:lang w:val="en-US"/>
        </w:rPr>
        <w:t xml:space="preserve"> development class group, </w:t>
      </w:r>
      <w:r>
        <w:rPr>
          <w:rFonts w:ascii="Times New Roman" w:hAnsi="Times New Roman" w:cs="Times New Roman"/>
          <w:color w:val="000000" w:themeColor="text1"/>
          <w:lang w:val="en-US"/>
        </w:rPr>
        <w:t>1</w:t>
      </w:r>
      <w:r w:rsidRPr="008E0F38">
        <w:rPr>
          <w:rFonts w:ascii="Times New Roman" w:hAnsi="Times New Roman" w:cs="Times New Roman"/>
          <w:color w:val="000000" w:themeColor="text1"/>
          <w:lang w:val="en-US"/>
        </w:rPr>
        <w:t xml:space="preserve"> (</w:t>
      </w:r>
      <w:r>
        <w:rPr>
          <w:rFonts w:ascii="Times New Roman" w:hAnsi="Times New Roman" w:cs="Times New Roman"/>
          <w:color w:val="000000" w:themeColor="text1"/>
          <w:lang w:val="en-US"/>
        </w:rPr>
        <w:t>one</w:t>
      </w:r>
      <w:r w:rsidRPr="008E0F38">
        <w:rPr>
          <w:rFonts w:ascii="Times New Roman" w:hAnsi="Times New Roman" w:cs="Times New Roman"/>
          <w:color w:val="000000" w:themeColor="text1"/>
          <w:lang w:val="en-US"/>
        </w:rPr>
        <w:t xml:space="preserve">) LSG from </w:t>
      </w:r>
      <w:r>
        <w:rPr>
          <w:rFonts w:ascii="Times New Roman" w:hAnsi="Times New Roman" w:cs="Times New Roman"/>
          <w:color w:val="000000" w:themeColor="text1"/>
          <w:lang w:val="en-US"/>
        </w:rPr>
        <w:t>4</w:t>
      </w:r>
      <w:r>
        <w:rPr>
          <w:rFonts w:ascii="Times New Roman" w:hAnsi="Times New Roman" w:cs="Times New Roman"/>
          <w:color w:val="000000" w:themeColor="text1"/>
          <w:vertAlign w:val="superscript"/>
          <w:lang w:val="en-US"/>
        </w:rPr>
        <w:t>th</w:t>
      </w:r>
      <w:r w:rsidRPr="008E0F38">
        <w:rPr>
          <w:rFonts w:ascii="Times New Roman" w:hAnsi="Times New Roman" w:cs="Times New Roman"/>
          <w:color w:val="000000" w:themeColor="text1"/>
          <w:lang w:val="en-US"/>
        </w:rPr>
        <w:t xml:space="preserve"> development class group and </w:t>
      </w:r>
      <w:r>
        <w:rPr>
          <w:rFonts w:ascii="Times New Roman" w:hAnsi="Times New Roman" w:cs="Times New Roman"/>
          <w:color w:val="000000" w:themeColor="text1"/>
          <w:lang w:val="en-US"/>
        </w:rPr>
        <w:t>3</w:t>
      </w:r>
      <w:r w:rsidRPr="008E0F38">
        <w:rPr>
          <w:rFonts w:ascii="Times New Roman" w:hAnsi="Times New Roman" w:cs="Times New Roman"/>
          <w:color w:val="000000" w:themeColor="text1"/>
          <w:lang w:val="en-US"/>
        </w:rPr>
        <w:t xml:space="preserve"> (three) LSGs from </w:t>
      </w:r>
      <w:r>
        <w:rPr>
          <w:rFonts w:ascii="Times New Roman" w:hAnsi="Times New Roman" w:cs="Times New Roman"/>
          <w:color w:val="000000" w:themeColor="text1"/>
          <w:lang w:val="en-US"/>
        </w:rPr>
        <w:t>3</w:t>
      </w:r>
      <w:r>
        <w:rPr>
          <w:rFonts w:ascii="Times New Roman" w:hAnsi="Times New Roman" w:cs="Times New Roman"/>
          <w:color w:val="000000" w:themeColor="text1"/>
          <w:vertAlign w:val="superscript"/>
          <w:lang w:val="en-US"/>
        </w:rPr>
        <w:t>rd</w:t>
      </w:r>
      <w:r w:rsidRPr="008E0F38">
        <w:rPr>
          <w:rFonts w:ascii="Times New Roman" w:hAnsi="Times New Roman" w:cs="Times New Roman"/>
          <w:color w:val="000000" w:themeColor="text1"/>
          <w:lang w:val="en-US"/>
        </w:rPr>
        <w:t xml:space="preserve"> development class group</w:t>
      </w:r>
      <w:r>
        <w:rPr>
          <w:rFonts w:ascii="Times New Roman" w:hAnsi="Times New Roman" w:cs="Times New Roman"/>
          <w:color w:val="000000" w:themeColor="text1"/>
          <w:lang w:val="en-US"/>
        </w:rPr>
        <w:t>, 7 (seven) LSGs from Category 2</w:t>
      </w:r>
      <w:r w:rsidRPr="00B13746">
        <w:rPr>
          <w:rFonts w:ascii="Times New Roman" w:hAnsi="Times New Roman" w:cs="Times New Roman"/>
          <w:color w:val="000000" w:themeColor="text1"/>
          <w:vertAlign w:val="superscript"/>
          <w:lang w:val="en-US"/>
        </w:rPr>
        <w:t>nd</w:t>
      </w:r>
      <w:r>
        <w:rPr>
          <w:rFonts w:ascii="Times New Roman" w:hAnsi="Times New Roman" w:cs="Times New Roman"/>
          <w:color w:val="000000" w:themeColor="text1"/>
          <w:lang w:val="en-US"/>
        </w:rPr>
        <w:t xml:space="preserve"> and 5 (five) LSGs from 1</w:t>
      </w:r>
      <w:r w:rsidRPr="00B13746">
        <w:rPr>
          <w:rFonts w:ascii="Times New Roman" w:hAnsi="Times New Roman" w:cs="Times New Roman"/>
          <w:color w:val="000000" w:themeColor="text1"/>
          <w:vertAlign w:val="superscript"/>
          <w:lang w:val="en-US"/>
        </w:rPr>
        <w:t>st</w:t>
      </w:r>
      <w:r>
        <w:rPr>
          <w:rFonts w:ascii="Times New Roman" w:hAnsi="Times New Roman" w:cs="Times New Roman"/>
          <w:color w:val="000000" w:themeColor="text1"/>
          <w:lang w:val="en-US"/>
        </w:rPr>
        <w:t xml:space="preserve"> development class</w:t>
      </w:r>
      <w:r w:rsidRPr="008E0F38">
        <w:rPr>
          <w:rFonts w:ascii="Times New Roman" w:hAnsi="Times New Roman" w:cs="Times New Roman"/>
          <w:color w:val="000000" w:themeColor="text1"/>
          <w:lang w:val="en-US"/>
        </w:rPr>
        <w:t xml:space="preserve">. Here the majority of LSGs are well developed populated LSGs. </w:t>
      </w:r>
    </w:p>
    <w:p w14:paraId="47E78377" w14:textId="77777777" w:rsidR="00C0327E" w:rsidRDefault="00C0327E" w:rsidP="00C0327E">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Fifth group consist only from Novi Sad and Belgrade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LSG</w:t>
      </w:r>
      <w:r w:rsidRPr="00E0617B">
        <w:rPr>
          <w:rFonts w:ascii="Times New Roman" w:hAnsi="Times New Roman" w:cs="Times New Roman"/>
          <w:color w:val="000000" w:themeColor="text1"/>
          <w:lang w:val="en-US"/>
        </w:rPr>
        <w:t>s).</w:t>
      </w:r>
    </w:p>
    <w:p w14:paraId="17AB3A62" w14:textId="77777777" w:rsidR="00C0327E" w:rsidRPr="00665F55" w:rsidRDefault="00C0327E" w:rsidP="00C0327E">
      <w:pPr>
        <w:spacing w:after="0" w:line="240" w:lineRule="auto"/>
        <w:jc w:val="both"/>
        <w:rPr>
          <w:rFonts w:ascii="Times New Roman" w:hAnsi="Times New Roman" w:cs="Times New Roman"/>
          <w:shd w:val="clear" w:color="auto" w:fill="FFFFFF"/>
        </w:rPr>
      </w:pPr>
    </w:p>
    <w:p w14:paraId="446347F1" w14:textId="77777777" w:rsidR="005D7C87" w:rsidRPr="005948DE" w:rsidRDefault="005D7C87" w:rsidP="009B2723">
      <w:pPr>
        <w:spacing w:after="120" w:line="276" w:lineRule="auto"/>
        <w:jc w:val="both"/>
        <w:rPr>
          <w:rFonts w:ascii="Times New Roman" w:hAnsi="Times New Roman" w:cs="Times New Roman"/>
          <w:color w:val="000000" w:themeColor="text1"/>
          <w:lang w:val="en-US"/>
        </w:rPr>
      </w:pPr>
    </w:p>
    <w:p w14:paraId="750B75B2" w14:textId="641DCB98" w:rsidR="00234F00" w:rsidRPr="00665F55" w:rsidRDefault="00234F00" w:rsidP="00665F55">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249" w:name="_Toc93342242"/>
      <w:bookmarkEnd w:id="236"/>
      <w:bookmarkEnd w:id="237"/>
      <w:bookmarkEnd w:id="238"/>
      <w:bookmarkEnd w:id="239"/>
      <w:bookmarkEnd w:id="240"/>
      <w:bookmarkEnd w:id="241"/>
      <w:r w:rsidRPr="00665F55">
        <w:rPr>
          <w:rFonts w:ascii="Times New Roman" w:hAnsi="Times New Roman" w:cs="Times New Roman"/>
          <w:smallCaps w:val="0"/>
          <w:color w:val="auto"/>
          <w:sz w:val="24"/>
        </w:rPr>
        <w:t xml:space="preserve">Citizen Engagement </w:t>
      </w:r>
      <w:r w:rsidR="00931787" w:rsidRPr="00665F55">
        <w:rPr>
          <w:rFonts w:ascii="Times New Roman" w:hAnsi="Times New Roman" w:cs="Times New Roman"/>
          <w:smallCaps w:val="0"/>
          <w:color w:val="auto"/>
          <w:sz w:val="24"/>
        </w:rPr>
        <w:t>during infrastructure investment selections</w:t>
      </w:r>
      <w:bookmarkEnd w:id="249"/>
    </w:p>
    <w:p w14:paraId="3FF3A029" w14:textId="0EF4ACD0" w:rsidR="007F30FD" w:rsidRPr="005948DE" w:rsidRDefault="00234F00" w:rsidP="005948DE">
      <w:p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 xml:space="preserve">The Project design has incorporated best practice approaches for </w:t>
      </w:r>
      <w:r w:rsidR="00273DF1">
        <w:rPr>
          <w:rFonts w:ascii="Times New Roman" w:eastAsia="Times New Roman" w:hAnsi="Times New Roman" w:cs="Times New Roman"/>
          <w:bCs/>
        </w:rPr>
        <w:t>S</w:t>
      </w:r>
      <w:r w:rsidRPr="005948DE">
        <w:rPr>
          <w:rFonts w:ascii="Times New Roman" w:eastAsia="Times New Roman" w:hAnsi="Times New Roman" w:cs="Times New Roman"/>
          <w:bCs/>
        </w:rPr>
        <w:t xml:space="preserve">takeholder and </w:t>
      </w:r>
      <w:r w:rsidR="0098570E">
        <w:rPr>
          <w:rFonts w:ascii="Times New Roman" w:eastAsia="Times New Roman" w:hAnsi="Times New Roman" w:cs="Times New Roman"/>
          <w:bCs/>
        </w:rPr>
        <w:t>C</w:t>
      </w:r>
      <w:r w:rsidR="0098570E" w:rsidRPr="005948DE">
        <w:rPr>
          <w:rFonts w:ascii="Times New Roman" w:eastAsia="Times New Roman" w:hAnsi="Times New Roman" w:cs="Times New Roman"/>
          <w:bCs/>
        </w:rPr>
        <w:t xml:space="preserve">itizen </w:t>
      </w:r>
      <w:r w:rsidR="0098570E">
        <w:rPr>
          <w:rFonts w:ascii="Times New Roman" w:eastAsia="Times New Roman" w:hAnsi="Times New Roman" w:cs="Times New Roman"/>
          <w:bCs/>
        </w:rPr>
        <w:t>E</w:t>
      </w:r>
      <w:r w:rsidR="0098570E" w:rsidRPr="005948DE">
        <w:rPr>
          <w:rFonts w:ascii="Times New Roman" w:eastAsia="Times New Roman" w:hAnsi="Times New Roman" w:cs="Times New Roman"/>
          <w:bCs/>
        </w:rPr>
        <w:t>ngagement</w:t>
      </w:r>
      <w:r w:rsidR="0098570E">
        <w:rPr>
          <w:rFonts w:ascii="Times New Roman" w:eastAsia="Times New Roman" w:hAnsi="Times New Roman" w:cs="Times New Roman"/>
          <w:bCs/>
        </w:rPr>
        <w:t xml:space="preserve"> (</w:t>
      </w:r>
      <w:r w:rsidR="00273DF1">
        <w:rPr>
          <w:rFonts w:ascii="Times New Roman" w:eastAsia="Times New Roman" w:hAnsi="Times New Roman" w:cs="Times New Roman"/>
          <w:bCs/>
        </w:rPr>
        <w:t>S</w:t>
      </w:r>
      <w:r w:rsidR="00727E4A">
        <w:rPr>
          <w:rFonts w:ascii="Times New Roman" w:eastAsia="Times New Roman" w:hAnsi="Times New Roman" w:cs="Times New Roman"/>
          <w:bCs/>
        </w:rPr>
        <w:t>E/</w:t>
      </w:r>
      <w:r w:rsidR="0098570E">
        <w:rPr>
          <w:rFonts w:ascii="Times New Roman" w:eastAsia="Times New Roman" w:hAnsi="Times New Roman" w:cs="Times New Roman"/>
          <w:bCs/>
        </w:rPr>
        <w:t>CE)</w:t>
      </w:r>
      <w:r w:rsidRPr="005948DE">
        <w:rPr>
          <w:rFonts w:ascii="Times New Roman" w:eastAsia="Times New Roman" w:hAnsi="Times New Roman" w:cs="Times New Roman"/>
          <w:bCs/>
        </w:rPr>
        <w:t xml:space="preserve"> throughout the Project. </w:t>
      </w:r>
      <w:r w:rsidRPr="005948DE">
        <w:rPr>
          <w:rFonts w:ascii="Times New Roman" w:eastAsia="Times New Roman" w:hAnsi="Times New Roman" w:cs="Times New Roman"/>
        </w:rPr>
        <w:t xml:space="preserve">During the Project preparation, </w:t>
      </w:r>
      <w:r w:rsidR="00931787" w:rsidRPr="005948DE">
        <w:rPr>
          <w:rFonts w:ascii="Times New Roman" w:eastAsia="Times New Roman" w:hAnsi="Times New Roman" w:cs="Times New Roman"/>
        </w:rPr>
        <w:t>t</w:t>
      </w:r>
      <w:r w:rsidRPr="005948DE">
        <w:rPr>
          <w:rFonts w:ascii="Times New Roman" w:eastAsia="Times New Roman" w:hAnsi="Times New Roman" w:cs="Times New Roman"/>
        </w:rPr>
        <w:t xml:space="preserve">he LSGs were consulted to understand their needs and challenges through an online survey designed by the Bank team and experts in different topics (finance, infrastructure, governance, etc.). </w:t>
      </w:r>
      <w:r w:rsidR="007F30FD" w:rsidRPr="005948DE">
        <w:rPr>
          <w:rFonts w:ascii="Times New Roman" w:hAnsi="Times New Roman" w:cs="Times New Roman"/>
        </w:rPr>
        <w:t xml:space="preserve">The LSGs, as main beneficiaries of the Project, have been extensively consulted through an online survey and field visits to understand their main challenges and difficulties. </w:t>
      </w:r>
      <w:r w:rsidR="007F30FD" w:rsidRPr="005948DE">
        <w:rPr>
          <w:rFonts w:ascii="Times New Roman" w:eastAsia="Times New Roman" w:hAnsi="Times New Roman" w:cs="Times New Roman"/>
        </w:rPr>
        <w:t>95 LSGs completed the on-line survey.</w:t>
      </w:r>
      <w:r w:rsidR="007F30FD" w:rsidRPr="005948DE">
        <w:rPr>
          <w:rFonts w:ascii="Times New Roman" w:hAnsi="Times New Roman" w:cs="Times New Roman"/>
        </w:rPr>
        <w:t xml:space="preserve"> Moreover, given the nationwide scope and multisectoral character of the Project Component 1, CE activities during implementation will be two dimensional: (</w:t>
      </w:r>
      <w:r w:rsidR="00273DF1">
        <w:rPr>
          <w:rFonts w:ascii="Times New Roman" w:hAnsi="Times New Roman" w:cs="Times New Roman"/>
        </w:rPr>
        <w:t>i</w:t>
      </w:r>
      <w:r w:rsidR="007F30FD" w:rsidRPr="005948DE">
        <w:rPr>
          <w:rFonts w:ascii="Times New Roman" w:hAnsi="Times New Roman" w:cs="Times New Roman"/>
        </w:rPr>
        <w:t>) Presentation of the Project and sector and infrastructure investment selection which will focus on informing the public about the Project and (ii) subproject specific community engagement which will present the public the site-specific impacts, opportunities and challenges of the infrastructure investment</w:t>
      </w:r>
      <w:r w:rsidR="0098570E">
        <w:rPr>
          <w:rFonts w:ascii="Times New Roman" w:hAnsi="Times New Roman" w:cs="Times New Roman"/>
        </w:rPr>
        <w:t>.</w:t>
      </w:r>
    </w:p>
    <w:p w14:paraId="17B17924" w14:textId="12128235" w:rsidR="003C7CCC" w:rsidRPr="005948DE" w:rsidRDefault="0005515F" w:rsidP="005948DE">
      <w:pPr>
        <w:spacing w:after="120" w:line="276" w:lineRule="auto"/>
        <w:jc w:val="both"/>
        <w:rPr>
          <w:rFonts w:ascii="Times New Roman" w:eastAsia="Times New Roman" w:hAnsi="Times New Roman" w:cs="Times New Roman"/>
          <w:bCs/>
        </w:rPr>
      </w:pPr>
      <w:r>
        <w:rPr>
          <w:rFonts w:ascii="Times New Roman" w:eastAsia="Times New Roman" w:hAnsi="Times New Roman" w:cs="Times New Roman"/>
          <w:bCs/>
        </w:rPr>
        <w:t>CE</w:t>
      </w:r>
      <w:r w:rsidR="0098570E" w:rsidRPr="005948DE">
        <w:rPr>
          <w:rFonts w:ascii="Times New Roman" w:eastAsia="Times New Roman" w:hAnsi="Times New Roman" w:cs="Times New Roman"/>
          <w:bCs/>
        </w:rPr>
        <w:t xml:space="preserve"> </w:t>
      </w:r>
      <w:r w:rsidR="00234F00" w:rsidRPr="005948DE">
        <w:rPr>
          <w:rFonts w:ascii="Times New Roman" w:eastAsia="Times New Roman" w:hAnsi="Times New Roman" w:cs="Times New Roman"/>
          <w:bCs/>
        </w:rPr>
        <w:t>will take place at several levels</w:t>
      </w:r>
      <w:r w:rsidR="0098570E">
        <w:rPr>
          <w:rFonts w:ascii="Times New Roman" w:eastAsia="Times New Roman" w:hAnsi="Times New Roman" w:cs="Times New Roman"/>
          <w:bCs/>
        </w:rPr>
        <w:t>:</w:t>
      </w:r>
      <w:r w:rsidR="00234F00" w:rsidRPr="005948DE">
        <w:rPr>
          <w:rFonts w:ascii="Times New Roman" w:eastAsia="Times New Roman" w:hAnsi="Times New Roman" w:cs="Times New Roman"/>
          <w:bCs/>
        </w:rPr>
        <w:t xml:space="preserve"> </w:t>
      </w:r>
    </w:p>
    <w:p w14:paraId="53122231" w14:textId="29D21528" w:rsidR="003C7CCC" w:rsidRPr="005948DE" w:rsidRDefault="00234F00" w:rsidP="005948DE">
      <w:pPr>
        <w:pStyle w:val="ListParagraph"/>
        <w:numPr>
          <w:ilvl w:val="0"/>
          <w:numId w:val="495"/>
        </w:numPr>
        <w:spacing w:after="120" w:line="276" w:lineRule="auto"/>
        <w:jc w:val="both"/>
        <w:rPr>
          <w:rFonts w:ascii="Times New Roman" w:eastAsia="Times New Roman" w:hAnsi="Times New Roman" w:cs="Times New Roman"/>
          <w:bCs/>
        </w:rPr>
      </w:pPr>
      <w:r w:rsidRPr="005948DE">
        <w:rPr>
          <w:rFonts w:ascii="Times New Roman" w:eastAsia="Times New Roman" w:hAnsi="Times New Roman" w:cs="Times New Roman"/>
          <w:bCs/>
        </w:rPr>
        <w:t xml:space="preserve">a participatory approach to develop SUMPs and planning documents </w:t>
      </w:r>
    </w:p>
    <w:p w14:paraId="057ABCFB" w14:textId="6B19E087" w:rsidR="003C7CCC" w:rsidRPr="005948DE" w:rsidRDefault="00234F00" w:rsidP="005948DE">
      <w:pPr>
        <w:pStyle w:val="ListParagraph"/>
        <w:numPr>
          <w:ilvl w:val="0"/>
          <w:numId w:val="495"/>
        </w:num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consultation of medium-term plans and budget</w:t>
      </w:r>
      <w:r w:rsidR="00921B17" w:rsidRPr="005948DE">
        <w:rPr>
          <w:rFonts w:ascii="Times New Roman" w:eastAsia="Times New Roman" w:hAnsi="Times New Roman" w:cs="Times New Roman"/>
          <w:bCs/>
        </w:rPr>
        <w:t xml:space="preserve"> </w:t>
      </w:r>
      <w:r w:rsidR="003C7CCC" w:rsidRPr="005948DE">
        <w:rPr>
          <w:rFonts w:ascii="Times New Roman" w:eastAsia="Times New Roman" w:hAnsi="Times New Roman" w:cs="Times New Roman"/>
          <w:bCs/>
        </w:rPr>
        <w:t>while developing Strengthened infrastructure service delivery enablers</w:t>
      </w:r>
      <w:r w:rsidRPr="005948DE">
        <w:rPr>
          <w:rFonts w:ascii="Times New Roman" w:eastAsia="Times New Roman" w:hAnsi="Times New Roman" w:cs="Times New Roman"/>
          <w:bCs/>
        </w:rPr>
        <w:t xml:space="preserve">; </w:t>
      </w:r>
    </w:p>
    <w:p w14:paraId="19893082" w14:textId="2BE3D3FC" w:rsidR="003C7CCC" w:rsidRPr="005948DE" w:rsidRDefault="00234F00" w:rsidP="005948DE">
      <w:pPr>
        <w:pStyle w:val="ListParagraph"/>
        <w:numPr>
          <w:ilvl w:val="0"/>
          <w:numId w:val="495"/>
        </w:num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development of dedicated Project web page with CE interface;</w:t>
      </w:r>
    </w:p>
    <w:p w14:paraId="3A1FBDA3" w14:textId="5E482EBB" w:rsidR="003C7CCC" w:rsidRPr="005948DE" w:rsidRDefault="00234F00" w:rsidP="005948DE">
      <w:pPr>
        <w:pStyle w:val="ListParagraph"/>
        <w:numPr>
          <w:ilvl w:val="0"/>
          <w:numId w:val="495"/>
        </w:num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 xml:space="preserve">support to community awareness campaigns </w:t>
      </w:r>
    </w:p>
    <w:p w14:paraId="6EDB6BFB" w14:textId="1179F905" w:rsidR="003C7CCC" w:rsidRPr="005948DE" w:rsidRDefault="00234F00" w:rsidP="005948DE">
      <w:pPr>
        <w:pStyle w:val="ListParagraph"/>
        <w:numPr>
          <w:ilvl w:val="0"/>
          <w:numId w:val="495"/>
        </w:num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 xml:space="preserve">development of participatory planning manuals </w:t>
      </w:r>
      <w:r w:rsidR="00A5227C" w:rsidRPr="005948DE">
        <w:rPr>
          <w:rFonts w:ascii="Times New Roman" w:eastAsia="Times New Roman" w:hAnsi="Times New Roman" w:cs="Times New Roman"/>
          <w:bCs/>
        </w:rPr>
        <w:t>and preparation of pipeline projects</w:t>
      </w:r>
      <w:r w:rsidRPr="005948DE">
        <w:rPr>
          <w:rFonts w:ascii="Times New Roman" w:eastAsia="Times New Roman" w:hAnsi="Times New Roman" w:cs="Times New Roman"/>
          <w:bCs/>
        </w:rPr>
        <w:t xml:space="preserve">; and </w:t>
      </w:r>
    </w:p>
    <w:p w14:paraId="778AB357" w14:textId="0F52F389" w:rsidR="00234F00" w:rsidRPr="005948DE" w:rsidRDefault="00234F00" w:rsidP="005948DE">
      <w:pPr>
        <w:pStyle w:val="ListParagraph"/>
        <w:numPr>
          <w:ilvl w:val="0"/>
          <w:numId w:val="495"/>
        </w:num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 xml:space="preserve">enhancement of E-Government portal with Infrastructure consultation service. </w:t>
      </w:r>
      <w:r w:rsidRPr="005948DE">
        <w:rPr>
          <w:rFonts w:ascii="Times New Roman" w:eastAsia="Times New Roman" w:hAnsi="Times New Roman" w:cs="Times New Roman"/>
        </w:rPr>
        <w:t xml:space="preserve">The dedicated webpage will, beside information on the Project and procurements, provide interface for citizens to register their grievances, citizen input in infrastructure prioritization, and citizen feedback related to the achieved infrastructure improvements. Community awareness campaigns will focus on civil society and citizens with the goal of empowering them to actively impact infrastructure development in their LSG. The campaigns will focus on raising awareness on the importance of the green agenda, road safety, ways in which infrastructure could be greener, etc. </w:t>
      </w:r>
    </w:p>
    <w:p w14:paraId="5032F425" w14:textId="32296249" w:rsidR="004C1A36" w:rsidRPr="005948DE" w:rsidRDefault="00234F00" w:rsidP="005948DE">
      <w:pPr>
        <w:spacing w:line="276" w:lineRule="auto"/>
        <w:jc w:val="both"/>
        <w:rPr>
          <w:rFonts w:ascii="Times New Roman" w:eastAsia="Calibri" w:hAnsi="Times New Roman" w:cs="Times New Roman"/>
          <w:bCs/>
        </w:rPr>
      </w:pPr>
      <w:r w:rsidRPr="005948DE">
        <w:rPr>
          <w:rFonts w:ascii="Times New Roman" w:eastAsia="Calibri" w:hAnsi="Times New Roman" w:cs="Times New Roman"/>
          <w:bCs/>
        </w:rPr>
        <w:t>To ensure that voice of vulnerable groups is heard and that their requirements are addressed, all relevant CE activities, including strategic participatory planning and budgeting will entail special feedback sessions and meetings tailored to the needs of such groups.</w:t>
      </w:r>
      <w:r w:rsidR="003440B7" w:rsidRPr="005948DE">
        <w:rPr>
          <w:rFonts w:ascii="Times New Roman" w:eastAsia="Calibri" w:hAnsi="Times New Roman" w:cs="Times New Roman"/>
          <w:bCs/>
        </w:rPr>
        <w:t xml:space="preserve"> The SEP has identified key vulnerable groups and has designed a focused strategy to incorporate views of </w:t>
      </w:r>
      <w:r w:rsidR="004C1A36" w:rsidRPr="005948DE">
        <w:rPr>
          <w:rFonts w:ascii="Times New Roman" w:eastAsia="Calibri" w:hAnsi="Times New Roman" w:cs="Times New Roman"/>
          <w:bCs/>
        </w:rPr>
        <w:t>vulnerable</w:t>
      </w:r>
      <w:r w:rsidR="003440B7" w:rsidRPr="005948DE">
        <w:rPr>
          <w:rFonts w:ascii="Times New Roman" w:eastAsia="Calibri" w:hAnsi="Times New Roman" w:cs="Times New Roman"/>
          <w:bCs/>
        </w:rPr>
        <w:t xml:space="preserve"> groups. The Project will take special measures to ensure that disadvantaged and vulnerable groups have equal opportunity to access information, provide feedback, or submit grievances. The </w:t>
      </w:r>
      <w:r w:rsidR="00B324D4" w:rsidRPr="005948DE">
        <w:rPr>
          <w:rFonts w:ascii="Times New Roman" w:eastAsia="Calibri" w:hAnsi="Times New Roman" w:cs="Times New Roman"/>
          <w:bCs/>
        </w:rPr>
        <w:t>emplo</w:t>
      </w:r>
      <w:r w:rsidR="003440B7" w:rsidRPr="005948DE">
        <w:rPr>
          <w:rFonts w:ascii="Times New Roman" w:eastAsia="Calibri" w:hAnsi="Times New Roman" w:cs="Times New Roman"/>
          <w:bCs/>
        </w:rPr>
        <w:t xml:space="preserve">yment of social </w:t>
      </w:r>
      <w:r w:rsidR="00B324D4" w:rsidRPr="005948DE">
        <w:rPr>
          <w:rFonts w:ascii="Times New Roman" w:eastAsia="Calibri" w:hAnsi="Times New Roman" w:cs="Times New Roman"/>
          <w:bCs/>
        </w:rPr>
        <w:t xml:space="preserve">safeguard and citizen engagement </w:t>
      </w:r>
      <w:r w:rsidR="003440B7" w:rsidRPr="005948DE">
        <w:rPr>
          <w:rFonts w:ascii="Times New Roman" w:eastAsia="Calibri" w:hAnsi="Times New Roman" w:cs="Times New Roman"/>
          <w:bCs/>
        </w:rPr>
        <w:t xml:space="preserve">specialist will help to ensure proactive outreach to all population groups. Training and awareness raising sessions will be conducted in villages rather than municipal </w:t>
      </w:r>
      <w:r w:rsidR="004C1A36" w:rsidRPr="005948DE">
        <w:rPr>
          <w:rFonts w:ascii="Times New Roman" w:eastAsia="Calibri" w:hAnsi="Times New Roman" w:cs="Times New Roman"/>
          <w:bCs/>
        </w:rPr>
        <w:t>centres</w:t>
      </w:r>
      <w:r w:rsidR="003440B7" w:rsidRPr="005948DE">
        <w:rPr>
          <w:rFonts w:ascii="Times New Roman" w:eastAsia="Calibri" w:hAnsi="Times New Roman" w:cs="Times New Roman"/>
          <w:bCs/>
        </w:rPr>
        <w:t xml:space="preserve"> to ensure higher participation of targeted population. Focus groups or individual consultation meetings dedicated specifically to vulnerable groups will be conducted to gauge their views and concerns including for Roma communities, households and individual to identify any cumulative vulnerability stemming from their alienation from the society and under integration and the impacts attributable to project also be envisaged as appropriate.</w:t>
      </w:r>
      <w:r w:rsidR="004C1A36" w:rsidRPr="005948DE">
        <w:rPr>
          <w:rFonts w:ascii="Times New Roman" w:hAnsi="Times New Roman" w:cs="Times New Roman"/>
        </w:rPr>
        <w:t xml:space="preserve"> </w:t>
      </w:r>
      <w:r w:rsidR="004C1A36" w:rsidRPr="005948DE">
        <w:rPr>
          <w:rFonts w:ascii="Times New Roman" w:eastAsia="Calibri" w:hAnsi="Times New Roman" w:cs="Times New Roman"/>
          <w:bCs/>
        </w:rPr>
        <w:t xml:space="preserve">Mainstreaming </w:t>
      </w:r>
      <w:r w:rsidR="00727E4A">
        <w:rPr>
          <w:rFonts w:ascii="Times New Roman" w:eastAsia="Calibri" w:hAnsi="Times New Roman" w:cs="Times New Roman"/>
          <w:bCs/>
        </w:rPr>
        <w:t>CE</w:t>
      </w:r>
      <w:r w:rsidR="0098570E" w:rsidRPr="005948DE">
        <w:rPr>
          <w:rFonts w:ascii="Times New Roman" w:eastAsia="Calibri" w:hAnsi="Times New Roman" w:cs="Times New Roman"/>
          <w:bCs/>
        </w:rPr>
        <w:t xml:space="preserve"> </w:t>
      </w:r>
      <w:r w:rsidR="004C1A36" w:rsidRPr="005948DE">
        <w:rPr>
          <w:rFonts w:ascii="Times New Roman" w:eastAsia="Calibri" w:hAnsi="Times New Roman" w:cs="Times New Roman"/>
          <w:bCs/>
        </w:rPr>
        <w:t>in the infrastructure planning and prioritization will benefit vulnerable groups, including women and the disabled. Improving public transit services, bus stops, and bicycle and pedestrian facilities will also benefit certain socioeconomic and demographic groups</w:t>
      </w:r>
      <w:r w:rsidR="0098570E">
        <w:rPr>
          <w:rFonts w:ascii="Times New Roman" w:eastAsia="Calibri" w:hAnsi="Times New Roman" w:cs="Times New Roman"/>
          <w:bCs/>
        </w:rPr>
        <w:t xml:space="preserve"> - </w:t>
      </w:r>
      <w:r w:rsidR="004C1A36" w:rsidRPr="005948DE">
        <w:rPr>
          <w:rFonts w:ascii="Times New Roman" w:eastAsia="Calibri" w:hAnsi="Times New Roman" w:cs="Times New Roman"/>
          <w:bCs/>
        </w:rPr>
        <w:t>especially the poor and women</w:t>
      </w:r>
      <w:r w:rsidR="0098570E">
        <w:rPr>
          <w:rFonts w:ascii="Times New Roman" w:eastAsia="Calibri" w:hAnsi="Times New Roman" w:cs="Times New Roman"/>
          <w:bCs/>
        </w:rPr>
        <w:t xml:space="preserve"> - </w:t>
      </w:r>
      <w:r w:rsidR="004C1A36" w:rsidRPr="005948DE">
        <w:rPr>
          <w:rFonts w:ascii="Times New Roman" w:eastAsia="Calibri" w:hAnsi="Times New Roman" w:cs="Times New Roman"/>
          <w:bCs/>
        </w:rPr>
        <w:t xml:space="preserve">who are less likely to rely on private automobiles to meet their mobility needs because of very small percentage of private car ownership among vulnerable groups as well as due to differences in travel patterns. These project interventions will also help improve their income-generating opportunities beyond their settlements and towns and contribute to better and more sustainable livelihoods. </w:t>
      </w:r>
    </w:p>
    <w:p w14:paraId="4DCD0037" w14:textId="78AC6AF3" w:rsidR="004C1A36" w:rsidRPr="005948DE" w:rsidRDefault="004C1A36" w:rsidP="005948DE">
      <w:pPr>
        <w:autoSpaceDE w:val="0"/>
        <w:autoSpaceDN w:val="0"/>
        <w:adjustRightInd w:val="0"/>
        <w:spacing w:after="120" w:line="276" w:lineRule="auto"/>
        <w:jc w:val="both"/>
        <w:rPr>
          <w:rFonts w:ascii="Times New Roman" w:eastAsia="Calibri" w:hAnsi="Times New Roman" w:cs="Times New Roman"/>
          <w:bCs/>
        </w:rPr>
      </w:pPr>
      <w:r w:rsidRPr="005948DE">
        <w:rPr>
          <w:rFonts w:ascii="Times New Roman" w:eastAsia="Calibri" w:hAnsi="Times New Roman" w:cs="Times New Roman"/>
          <w:bCs/>
        </w:rPr>
        <w:t xml:space="preserve">Participatory strategic planning under </w:t>
      </w:r>
      <w:r w:rsidR="00C307B0">
        <w:rPr>
          <w:rFonts w:ascii="Times New Roman" w:eastAsia="Calibri" w:hAnsi="Times New Roman" w:cs="Times New Roman"/>
          <w:bCs/>
        </w:rPr>
        <w:t>S</w:t>
      </w:r>
      <w:r w:rsidRPr="005948DE">
        <w:rPr>
          <w:rFonts w:ascii="Times New Roman" w:eastAsia="Calibri" w:hAnsi="Times New Roman" w:cs="Times New Roman"/>
          <w:bCs/>
        </w:rPr>
        <w:t>ubcomponent 2.1 and budgeting under 2.2 will take into account the needs of different gender groups with special focus on women and vulnerable population and will assure both woman’s and man’s involvement in project identification and design</w:t>
      </w:r>
    </w:p>
    <w:p w14:paraId="231197D7" w14:textId="7ECA1E35" w:rsidR="006F3F0A" w:rsidRPr="005948DE" w:rsidRDefault="003440B7" w:rsidP="005948DE">
      <w:p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bCs/>
        </w:rPr>
        <w:t>T</w:t>
      </w:r>
      <w:r w:rsidR="00837A59" w:rsidRPr="005948DE">
        <w:rPr>
          <w:rFonts w:ascii="Times New Roman" w:eastAsia="Times New Roman" w:hAnsi="Times New Roman" w:cs="Times New Roman"/>
          <w:bCs/>
        </w:rPr>
        <w:t>o</w:t>
      </w:r>
      <w:r w:rsidRPr="005948DE">
        <w:rPr>
          <w:rFonts w:ascii="Times New Roman" w:eastAsia="Times New Roman" w:hAnsi="Times New Roman" w:cs="Times New Roman"/>
          <w:bCs/>
        </w:rPr>
        <w:t xml:space="preserve"> ensure inclusive and participatory approach </w:t>
      </w:r>
      <w:r w:rsidR="00234F00" w:rsidRPr="005948DE">
        <w:rPr>
          <w:rFonts w:ascii="Times New Roman" w:eastAsia="Times New Roman" w:hAnsi="Times New Roman" w:cs="Times New Roman"/>
          <w:bCs/>
        </w:rPr>
        <w:t>data collected through participatory planning and budgeting will be disaggregated in terms of living area (rural/urban), people with disabilities, gender, and/or the elderly.</w:t>
      </w:r>
      <w:r w:rsidR="00234F00" w:rsidRPr="005948DE">
        <w:rPr>
          <w:rFonts w:ascii="Times New Roman" w:eastAsia="Times New Roman" w:hAnsi="Times New Roman" w:cs="Times New Roman"/>
        </w:rPr>
        <w:t xml:space="preserve"> Participatory planning will be done in human-possibility-driven, and iterative manner. Problems will be redefined through discussion with stakeholders engaged in co-creation. A large number of possibilities and new ideas will be tested in an iterative process in which people share feedback. Many different tools will be used in the process of participatory planning, including </w:t>
      </w:r>
      <w:r w:rsidR="005C3056">
        <w:rPr>
          <w:rFonts w:ascii="Times New Roman" w:eastAsia="Times New Roman" w:hAnsi="Times New Roman" w:cs="Times New Roman"/>
        </w:rPr>
        <w:t>evidence-based</w:t>
      </w:r>
      <w:r w:rsidR="00234F00" w:rsidRPr="005948DE">
        <w:rPr>
          <w:rFonts w:ascii="Times New Roman" w:eastAsia="Times New Roman" w:hAnsi="Times New Roman" w:cs="Times New Roman"/>
        </w:rPr>
        <w:t xml:space="preserve"> analysis</w:t>
      </w:r>
      <w:r w:rsidR="005C3056">
        <w:rPr>
          <w:rFonts w:ascii="Times New Roman" w:eastAsia="Times New Roman" w:hAnsi="Times New Roman" w:cs="Times New Roman"/>
        </w:rPr>
        <w:t xml:space="preserve"> with use of geo-information technologies</w:t>
      </w:r>
      <w:r w:rsidR="00234F00" w:rsidRPr="005948DE">
        <w:rPr>
          <w:rFonts w:ascii="Times New Roman" w:eastAsia="Times New Roman" w:hAnsi="Times New Roman" w:cs="Times New Roman"/>
        </w:rPr>
        <w:t xml:space="preserve">, interviews, place-based processes that engage local communities in co-creation can create value in the design and creation of planning documents. </w:t>
      </w:r>
      <w:r w:rsidR="00727E4A">
        <w:rPr>
          <w:rFonts w:ascii="Times New Roman" w:eastAsia="Times New Roman" w:hAnsi="Times New Roman" w:cs="Times New Roman"/>
        </w:rPr>
        <w:t>CE</w:t>
      </w:r>
      <w:r w:rsidR="0098570E" w:rsidRPr="005948DE">
        <w:rPr>
          <w:rFonts w:ascii="Times New Roman" w:eastAsia="Times New Roman" w:hAnsi="Times New Roman" w:cs="Times New Roman"/>
        </w:rPr>
        <w:t xml:space="preserve"> </w:t>
      </w:r>
      <w:r w:rsidR="00234F00" w:rsidRPr="005948DE">
        <w:rPr>
          <w:rFonts w:ascii="Times New Roman" w:eastAsia="Times New Roman" w:hAnsi="Times New Roman" w:cs="Times New Roman"/>
        </w:rPr>
        <w:t xml:space="preserve">will be an integral part of improvements of </w:t>
      </w:r>
      <w:r w:rsidR="0098570E">
        <w:rPr>
          <w:rFonts w:ascii="Times New Roman" w:eastAsia="Times New Roman" w:hAnsi="Times New Roman" w:cs="Times New Roman"/>
        </w:rPr>
        <w:t>PFM</w:t>
      </w:r>
      <w:r w:rsidR="00234F00" w:rsidRPr="005948DE">
        <w:rPr>
          <w:rFonts w:ascii="Times New Roman" w:eastAsia="Times New Roman" w:hAnsi="Times New Roman" w:cs="Times New Roman"/>
        </w:rPr>
        <w:t xml:space="preserve"> by making information available to citizens on budget allocations, assets, planned investments and maintenance in their LSG. </w:t>
      </w:r>
    </w:p>
    <w:p w14:paraId="02D58E6E" w14:textId="2490797A" w:rsidR="006F3F0A" w:rsidRPr="005948DE" w:rsidRDefault="006F3F0A" w:rsidP="005948DE">
      <w:pPr>
        <w:spacing w:after="120" w:line="276" w:lineRule="auto"/>
        <w:jc w:val="both"/>
        <w:rPr>
          <w:rFonts w:ascii="Times New Roman" w:eastAsia="Times New Roman" w:hAnsi="Times New Roman" w:cs="Times New Roman"/>
          <w:bCs/>
        </w:rPr>
      </w:pPr>
      <w:r w:rsidRPr="005948DE">
        <w:rPr>
          <w:rFonts w:ascii="Times New Roman" w:eastAsia="Times New Roman" w:hAnsi="Times New Roman" w:cs="Times New Roman"/>
          <w:lang w:eastAsia="en-GB"/>
        </w:rPr>
        <w:t>Interventions planned, funded and coordinated centrally by government are not enough to deal with the complex challenges that some citizens face. In this context, ‘place’ can provide a</w:t>
      </w:r>
      <w:r w:rsidR="001150C6" w:rsidRPr="005948DE">
        <w:rPr>
          <w:rFonts w:ascii="Times New Roman" w:eastAsia="Times New Roman" w:hAnsi="Times New Roman" w:cs="Times New Roman"/>
          <w:lang w:eastAsia="en-GB"/>
        </w:rPr>
        <w:t xml:space="preserve"> </w:t>
      </w:r>
      <w:r w:rsidRPr="005948DE">
        <w:rPr>
          <w:rFonts w:ascii="Times New Roman" w:eastAsia="Times New Roman" w:hAnsi="Times New Roman" w:cs="Times New Roman"/>
          <w:lang w:eastAsia="en-GB"/>
        </w:rPr>
        <w:t xml:space="preserve">valuable focus point for the </w:t>
      </w:r>
      <w:r w:rsidR="001150C6" w:rsidRPr="005948DE">
        <w:rPr>
          <w:rFonts w:ascii="Times New Roman" w:eastAsia="Times New Roman" w:hAnsi="Times New Roman" w:cs="Times New Roman"/>
          <w:lang w:eastAsia="en-GB"/>
        </w:rPr>
        <w:t>PIU.</w:t>
      </w:r>
      <w:r w:rsidRPr="005948DE">
        <w:rPr>
          <w:rFonts w:ascii="Times New Roman" w:eastAsia="Times New Roman" w:hAnsi="Times New Roman" w:cs="Times New Roman"/>
          <w:lang w:eastAsia="en-GB"/>
        </w:rPr>
        <w:t xml:space="preserve"> It can help to:</w:t>
      </w:r>
    </w:p>
    <w:p w14:paraId="55C5D53F" w14:textId="740F17FA" w:rsidR="006F3F0A" w:rsidRPr="005948DE" w:rsidRDefault="006F3F0A" w:rsidP="005948DE">
      <w:pPr>
        <w:numPr>
          <w:ilvl w:val="0"/>
          <w:numId w:val="496"/>
        </w:numPr>
        <w:spacing w:before="100" w:beforeAutospacing="1" w:after="100" w:afterAutospacing="1" w:line="276" w:lineRule="auto"/>
        <w:jc w:val="both"/>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support civic engagement by enabling communities to apply local skills and strengths, and have a sense of ownership over decisions that are made</w:t>
      </w:r>
      <w:r w:rsidR="007F435F">
        <w:rPr>
          <w:rFonts w:ascii="Times New Roman" w:eastAsia="Times New Roman" w:hAnsi="Times New Roman" w:cs="Times New Roman"/>
          <w:lang w:eastAsia="en-GB"/>
        </w:rPr>
        <w:t>,</w:t>
      </w:r>
    </w:p>
    <w:p w14:paraId="2192B013" w14:textId="2AF5CE18" w:rsidR="006F3F0A" w:rsidRPr="005948DE" w:rsidRDefault="006F3F0A" w:rsidP="005948DE">
      <w:pPr>
        <w:numPr>
          <w:ilvl w:val="0"/>
          <w:numId w:val="496"/>
        </w:numPr>
        <w:spacing w:before="100" w:beforeAutospacing="1" w:after="100" w:afterAutospacing="1" w:line="276" w:lineRule="auto"/>
        <w:jc w:val="both"/>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think holistically and systematically by helping to understand how systems impact people’s lives, and bring together players from different portfolios and sectors to develop solutions</w:t>
      </w:r>
      <w:r w:rsidR="007F435F">
        <w:rPr>
          <w:rFonts w:ascii="Times New Roman" w:eastAsia="Times New Roman" w:hAnsi="Times New Roman" w:cs="Times New Roman"/>
          <w:lang w:eastAsia="en-GB"/>
        </w:rPr>
        <w:t>,</w:t>
      </w:r>
    </w:p>
    <w:p w14:paraId="1EF4CE17" w14:textId="71B6E38A" w:rsidR="001150C6" w:rsidRPr="005948DE" w:rsidRDefault="006F3F0A" w:rsidP="005948DE">
      <w:pPr>
        <w:numPr>
          <w:ilvl w:val="0"/>
          <w:numId w:val="496"/>
        </w:numPr>
        <w:spacing w:before="100" w:beforeAutospacing="1" w:after="100" w:afterAutospacing="1" w:line="276" w:lineRule="auto"/>
        <w:jc w:val="both"/>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support preventative, cost effective responses by building resilient communities and targeting investment based on what works locally</w:t>
      </w:r>
      <w:r w:rsidR="001150C6" w:rsidRPr="005948DE">
        <w:rPr>
          <w:rFonts w:ascii="Times New Roman" w:eastAsia="Times New Roman" w:hAnsi="Times New Roman" w:cs="Times New Roman"/>
          <w:lang w:eastAsia="en-GB"/>
        </w:rPr>
        <w:t>.</w:t>
      </w:r>
    </w:p>
    <w:p w14:paraId="516C22D7" w14:textId="655173D3" w:rsidR="00234F00" w:rsidRPr="005948DE" w:rsidRDefault="00234F00" w:rsidP="005948DE">
      <w:pPr>
        <w:autoSpaceDE w:val="0"/>
        <w:autoSpaceDN w:val="0"/>
        <w:adjustRightInd w:val="0"/>
        <w:spacing w:after="120" w:line="276" w:lineRule="auto"/>
        <w:jc w:val="both"/>
        <w:rPr>
          <w:rFonts w:ascii="Times New Roman" w:hAnsi="Times New Roman" w:cs="Times New Roman"/>
          <w:bCs/>
        </w:rPr>
      </w:pPr>
      <w:r w:rsidRPr="005948DE">
        <w:rPr>
          <w:rFonts w:ascii="Times New Roman" w:eastAsia="Calibri" w:hAnsi="Times New Roman" w:cs="Times New Roman"/>
          <w:bCs/>
        </w:rPr>
        <w:t xml:space="preserve">To ensure that the feedback loop is closed, the </w:t>
      </w:r>
      <w:r w:rsidR="00E665EF" w:rsidRPr="005948DE">
        <w:rPr>
          <w:rFonts w:ascii="Times New Roman" w:eastAsia="Calibri" w:hAnsi="Times New Roman" w:cs="Times New Roman"/>
          <w:bCs/>
        </w:rPr>
        <w:t xml:space="preserve">PIU and </w:t>
      </w:r>
      <w:r w:rsidR="007F435F">
        <w:rPr>
          <w:rFonts w:ascii="Times New Roman" w:eastAsia="Calibri" w:hAnsi="Times New Roman" w:cs="Times New Roman"/>
          <w:bCs/>
        </w:rPr>
        <w:t xml:space="preserve">the </w:t>
      </w:r>
      <w:r w:rsidR="00E665EF" w:rsidRPr="005948DE">
        <w:rPr>
          <w:rFonts w:ascii="Times New Roman" w:eastAsia="Calibri" w:hAnsi="Times New Roman" w:cs="Times New Roman"/>
          <w:bCs/>
        </w:rPr>
        <w:t>LSGs</w:t>
      </w:r>
      <w:r w:rsidRPr="005948DE">
        <w:rPr>
          <w:rFonts w:ascii="Times New Roman" w:eastAsia="Calibri" w:hAnsi="Times New Roman" w:cs="Times New Roman"/>
          <w:bCs/>
        </w:rPr>
        <w:t xml:space="preserve"> will provide feedback on respective CE activities to all involved stakeholders.</w:t>
      </w:r>
      <w:r w:rsidRPr="005948DE">
        <w:rPr>
          <w:rFonts w:ascii="Times New Roman" w:eastAsia="Calibri" w:hAnsi="Times New Roman" w:cs="Times New Roman"/>
        </w:rPr>
        <w:t xml:space="preserve"> The report will include a list of all comments/inputs received during the activity and how they were addressed and incorporated into respective Project activities. The report will be delivered to relevant stakeholders by e-mail or post and will be published on the Project web page.</w:t>
      </w:r>
    </w:p>
    <w:p w14:paraId="3F9A2791" w14:textId="6D6027A9" w:rsidR="00BC3ECB" w:rsidRPr="005948DE" w:rsidRDefault="00234F00" w:rsidP="005948DE">
      <w:pPr>
        <w:spacing w:line="276" w:lineRule="auto"/>
        <w:jc w:val="both"/>
        <w:rPr>
          <w:rFonts w:ascii="Times New Roman" w:hAnsi="Times New Roman" w:cs="Times New Roman"/>
          <w:color w:val="FF0000"/>
        </w:rPr>
      </w:pPr>
      <w:r w:rsidRPr="005948DE">
        <w:rPr>
          <w:rFonts w:ascii="Times New Roman" w:eastAsia="Times New Roman" w:hAnsi="Times New Roman" w:cs="Times New Roman"/>
          <w:bCs/>
        </w:rPr>
        <w:t xml:space="preserve">To streamline </w:t>
      </w:r>
      <w:r w:rsidR="00B01CB2">
        <w:rPr>
          <w:rFonts w:ascii="Times New Roman" w:eastAsia="Times New Roman" w:hAnsi="Times New Roman" w:cs="Times New Roman"/>
          <w:bCs/>
        </w:rPr>
        <w:t>CE</w:t>
      </w:r>
      <w:r w:rsidR="007F435F" w:rsidRPr="005948DE">
        <w:rPr>
          <w:rFonts w:ascii="Times New Roman" w:eastAsia="Times New Roman" w:hAnsi="Times New Roman" w:cs="Times New Roman"/>
          <w:bCs/>
        </w:rPr>
        <w:t xml:space="preserve"> </w:t>
      </w:r>
      <w:r w:rsidRPr="005948DE">
        <w:rPr>
          <w:rFonts w:ascii="Times New Roman" w:eastAsia="Times New Roman" w:hAnsi="Times New Roman" w:cs="Times New Roman"/>
          <w:bCs/>
        </w:rPr>
        <w:t>across the country and beyond the Project, the Project will support piloting enhancement of the E-Government portal with infrastructure consultation service</w:t>
      </w:r>
      <w:r w:rsidR="005C3056">
        <w:rPr>
          <w:rFonts w:ascii="Times New Roman" w:eastAsia="Times New Roman" w:hAnsi="Times New Roman" w:cs="Times New Roman"/>
          <w:bCs/>
        </w:rPr>
        <w:t xml:space="preserve"> taking into account creation of the upcoming E-Space platform</w:t>
      </w:r>
      <w:r w:rsidRPr="005948DE">
        <w:rPr>
          <w:rFonts w:ascii="Times New Roman" w:eastAsia="Times New Roman" w:hAnsi="Times New Roman" w:cs="Times New Roman"/>
          <w:bCs/>
        </w:rPr>
        <w:t xml:space="preserve">. </w:t>
      </w:r>
      <w:r w:rsidRPr="005948DE">
        <w:rPr>
          <w:rFonts w:ascii="Times New Roman" w:eastAsia="Times New Roman" w:hAnsi="Times New Roman" w:cs="Times New Roman"/>
        </w:rPr>
        <w:t>The service will allow private users to (i) annually vote for infrastructure priorities in their LSGs and (ii) timely share information on planed infrastructure works in their LSGs and scheduled public consultations.</w:t>
      </w:r>
      <w:r w:rsidR="003C2804">
        <w:rPr>
          <w:rFonts w:ascii="Times New Roman" w:eastAsia="Times New Roman" w:hAnsi="Times New Roman" w:cs="Times New Roman"/>
        </w:rPr>
        <w:t xml:space="preserve"> The upcoming E-Space platform will satisfy both the Project`s </w:t>
      </w:r>
      <w:r w:rsidR="0073723A">
        <w:rPr>
          <w:rFonts w:ascii="Times New Roman" w:eastAsia="Times New Roman" w:hAnsi="Times New Roman" w:cs="Times New Roman"/>
        </w:rPr>
        <w:t xml:space="preserve">stakeholder and </w:t>
      </w:r>
      <w:r w:rsidR="00B01CB2">
        <w:rPr>
          <w:rFonts w:ascii="Times New Roman" w:eastAsia="Times New Roman" w:hAnsi="Times New Roman" w:cs="Times New Roman"/>
        </w:rPr>
        <w:t>CE</w:t>
      </w:r>
      <w:r w:rsidR="007F435F">
        <w:rPr>
          <w:rFonts w:ascii="Times New Roman" w:eastAsia="Times New Roman" w:hAnsi="Times New Roman" w:cs="Times New Roman"/>
        </w:rPr>
        <w:t xml:space="preserve"> </w:t>
      </w:r>
      <w:r w:rsidR="0073723A">
        <w:rPr>
          <w:rFonts w:ascii="Times New Roman" w:eastAsia="Times New Roman" w:hAnsi="Times New Roman" w:cs="Times New Roman"/>
        </w:rPr>
        <w:t>needs</w:t>
      </w:r>
      <w:r w:rsidR="0023601C">
        <w:rPr>
          <w:rFonts w:ascii="Times New Roman" w:eastAsia="Times New Roman" w:hAnsi="Times New Roman" w:cs="Times New Roman"/>
        </w:rPr>
        <w:t xml:space="preserve"> and efforts.</w:t>
      </w:r>
      <w:r w:rsidRPr="005948DE">
        <w:rPr>
          <w:rFonts w:ascii="Times New Roman" w:eastAsia="Times New Roman" w:hAnsi="Times New Roman" w:cs="Times New Roman"/>
        </w:rPr>
        <w:t xml:space="preserve"> </w:t>
      </w:r>
      <w:r w:rsidR="0023601C">
        <w:rPr>
          <w:rFonts w:ascii="Times New Roman" w:eastAsia="Times New Roman" w:hAnsi="Times New Roman" w:cs="Times New Roman"/>
        </w:rPr>
        <w:t>The</w:t>
      </w:r>
      <w:r w:rsidR="00D7547E" w:rsidRPr="00DA5EE0">
        <w:t xml:space="preserve"> planning documents will be linked and published to provide better visibility and information sharing. This operation will employ a strong consultative approach and </w:t>
      </w:r>
      <w:r w:rsidR="00D23E88">
        <w:t xml:space="preserve">CE </w:t>
      </w:r>
      <w:r w:rsidR="00D23E88" w:rsidRPr="00DA5EE0">
        <w:t>through</w:t>
      </w:r>
      <w:r w:rsidR="00D7547E" w:rsidRPr="00DA5EE0">
        <w:t xml:space="preserve"> participatory strategic planning and enhancement of </w:t>
      </w:r>
      <w:r w:rsidR="007F435F">
        <w:t>E</w:t>
      </w:r>
      <w:r w:rsidR="00D7547E" w:rsidRPr="00DA5EE0">
        <w:t>-Government portals to reinforce existing policy</w:t>
      </w:r>
      <w:r w:rsidR="007F435F">
        <w:t>.</w:t>
      </w:r>
    </w:p>
    <w:p w14:paraId="6C9634DC" w14:textId="6851FAA4" w:rsidR="00BC3ECB" w:rsidRPr="005948DE" w:rsidRDefault="00BC3ECB"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rPr>
      </w:pPr>
      <w:bookmarkStart w:id="250" w:name="_Toc93342243"/>
      <w:r w:rsidRPr="005948DE">
        <w:rPr>
          <w:rFonts w:ascii="Times New Roman" w:hAnsi="Times New Roman" w:cs="Times New Roman"/>
          <w:smallCaps w:val="0"/>
          <w:color w:val="auto"/>
        </w:rPr>
        <w:t>Gender</w:t>
      </w:r>
      <w:r w:rsidR="000C73DC" w:rsidRPr="005948DE">
        <w:rPr>
          <w:rFonts w:ascii="Times New Roman" w:hAnsi="Times New Roman" w:cs="Times New Roman"/>
          <w:smallCaps w:val="0"/>
          <w:color w:val="auto"/>
        </w:rPr>
        <w:t xml:space="preserve"> in infrastructure investments</w:t>
      </w:r>
      <w:bookmarkEnd w:id="250"/>
    </w:p>
    <w:p w14:paraId="646DE828" w14:textId="0B19DC03" w:rsidR="00E12AC9" w:rsidRPr="005948DE" w:rsidRDefault="00F01208" w:rsidP="005948DE">
      <w:pPr>
        <w:spacing w:after="120" w:line="276" w:lineRule="auto"/>
        <w:jc w:val="both"/>
        <w:rPr>
          <w:rFonts w:ascii="Times New Roman" w:eastAsia="Times New Roman" w:hAnsi="Times New Roman" w:cs="Times New Roman"/>
          <w:bCs/>
        </w:rPr>
      </w:pPr>
      <w:r w:rsidRPr="005948DE">
        <w:rPr>
          <w:rFonts w:ascii="Times New Roman" w:eastAsia="Times New Roman" w:hAnsi="Times New Roman" w:cs="Times New Roman"/>
          <w:bCs/>
        </w:rPr>
        <w:t xml:space="preserve">The Project will develop a </w:t>
      </w:r>
      <w:r w:rsidR="00BC3ECB" w:rsidRPr="005948DE">
        <w:rPr>
          <w:rFonts w:ascii="Times New Roman" w:eastAsia="Times New Roman" w:hAnsi="Times New Roman" w:cs="Times New Roman"/>
          <w:bCs/>
        </w:rPr>
        <w:t xml:space="preserve">Gender Action </w:t>
      </w:r>
      <w:r w:rsidR="00E12AC9" w:rsidRPr="005948DE">
        <w:rPr>
          <w:rFonts w:ascii="Times New Roman" w:eastAsia="Times New Roman" w:hAnsi="Times New Roman" w:cs="Times New Roman"/>
          <w:bCs/>
        </w:rPr>
        <w:t>Plan</w:t>
      </w:r>
      <w:r w:rsidR="007F435F">
        <w:rPr>
          <w:rFonts w:ascii="Times New Roman" w:eastAsia="Times New Roman" w:hAnsi="Times New Roman" w:cs="Times New Roman"/>
          <w:bCs/>
        </w:rPr>
        <w:t>.</w:t>
      </w:r>
      <w:r w:rsidR="00E12AC9" w:rsidRPr="005948DE">
        <w:rPr>
          <w:rFonts w:ascii="Times New Roman" w:eastAsia="Times New Roman" w:hAnsi="Times New Roman" w:cs="Times New Roman"/>
          <w:bCs/>
        </w:rPr>
        <w:t xml:space="preserve"> This </w:t>
      </w:r>
      <w:r w:rsidR="007F435F">
        <w:rPr>
          <w:rFonts w:ascii="Times New Roman" w:eastAsia="Times New Roman" w:hAnsi="Times New Roman" w:cs="Times New Roman"/>
          <w:bCs/>
        </w:rPr>
        <w:t xml:space="preserve">Plan </w:t>
      </w:r>
      <w:r w:rsidR="00E12AC9" w:rsidRPr="005948DE">
        <w:rPr>
          <w:rFonts w:ascii="Times New Roman" w:eastAsia="Times New Roman" w:hAnsi="Times New Roman" w:cs="Times New Roman"/>
          <w:bCs/>
        </w:rPr>
        <w:t xml:space="preserve">will be prepared in the first </w:t>
      </w:r>
      <w:r w:rsidR="007F435F">
        <w:rPr>
          <w:rFonts w:ascii="Times New Roman" w:eastAsia="Times New Roman" w:hAnsi="Times New Roman" w:cs="Times New Roman"/>
          <w:bCs/>
        </w:rPr>
        <w:t>six</w:t>
      </w:r>
      <w:r w:rsidR="007F435F" w:rsidRPr="005948DE">
        <w:rPr>
          <w:rFonts w:ascii="Times New Roman" w:eastAsia="Times New Roman" w:hAnsi="Times New Roman" w:cs="Times New Roman"/>
          <w:bCs/>
        </w:rPr>
        <w:t xml:space="preserve"> </w:t>
      </w:r>
      <w:r w:rsidR="00E12AC9" w:rsidRPr="005948DE">
        <w:rPr>
          <w:rFonts w:ascii="Times New Roman" w:eastAsia="Times New Roman" w:hAnsi="Times New Roman" w:cs="Times New Roman"/>
          <w:bCs/>
        </w:rPr>
        <w:t xml:space="preserve">months of the Project and shall be integrated in the </w:t>
      </w:r>
      <w:r w:rsidR="007F435F">
        <w:rPr>
          <w:rFonts w:ascii="Times New Roman" w:eastAsia="Times New Roman" w:hAnsi="Times New Roman" w:cs="Times New Roman"/>
          <w:bCs/>
        </w:rPr>
        <w:t>P</w:t>
      </w:r>
      <w:r w:rsidR="00E12AC9" w:rsidRPr="005948DE">
        <w:rPr>
          <w:rFonts w:ascii="Times New Roman" w:eastAsia="Times New Roman" w:hAnsi="Times New Roman" w:cs="Times New Roman"/>
          <w:bCs/>
        </w:rPr>
        <w:t xml:space="preserve">roject design. The Gender Action Pan shall be prepared with in-house and external capacity and shall be provided to the </w:t>
      </w:r>
      <w:r w:rsidR="007F435F">
        <w:rPr>
          <w:rFonts w:ascii="Times New Roman" w:eastAsia="Times New Roman" w:hAnsi="Times New Roman" w:cs="Times New Roman"/>
          <w:bCs/>
        </w:rPr>
        <w:t>Bank</w:t>
      </w:r>
      <w:r w:rsidR="007F435F" w:rsidRPr="005948DE">
        <w:rPr>
          <w:rFonts w:ascii="Times New Roman" w:eastAsia="Times New Roman" w:hAnsi="Times New Roman" w:cs="Times New Roman"/>
          <w:bCs/>
        </w:rPr>
        <w:t xml:space="preserve"> </w:t>
      </w:r>
      <w:r w:rsidR="00E12AC9" w:rsidRPr="005948DE">
        <w:rPr>
          <w:rFonts w:ascii="Times New Roman" w:eastAsia="Times New Roman" w:hAnsi="Times New Roman" w:cs="Times New Roman"/>
          <w:bCs/>
        </w:rPr>
        <w:t xml:space="preserve">for review and comments. </w:t>
      </w:r>
    </w:p>
    <w:p w14:paraId="22759965" w14:textId="5C81953E" w:rsidR="00BC3ECB" w:rsidRPr="005948DE" w:rsidRDefault="00BC3ECB" w:rsidP="005948DE">
      <w:pPr>
        <w:spacing w:after="120" w:line="276" w:lineRule="auto"/>
        <w:jc w:val="both"/>
        <w:rPr>
          <w:rFonts w:ascii="Times New Roman" w:eastAsia="Times New Roman" w:hAnsi="Times New Roman" w:cs="Times New Roman"/>
          <w:bCs/>
        </w:rPr>
      </w:pPr>
      <w:r w:rsidRPr="005948DE">
        <w:rPr>
          <w:rFonts w:ascii="Times New Roman" w:eastAsia="Times New Roman" w:hAnsi="Times New Roman" w:cs="Times New Roman"/>
        </w:rPr>
        <w:t xml:space="preserve">Beside introduction of paid internship for typically man dominated occupations with a target of at least 70 percent of interns being women, all technical assistance will take into consideration needs of different gender groups, as well as intersectionality, while analytical work will ensure that the data are collected in gender disaggregated manner. In particular, development of missing SUMPs across the country will be based on the strong deep dive on different mobility patterns, needs, and challenges among gender groups. Recommendations and identification of future investments will take into consideration gender differences. Participatory strategic planning under </w:t>
      </w:r>
      <w:r w:rsidR="00C307B0">
        <w:rPr>
          <w:rFonts w:ascii="Times New Roman" w:eastAsia="Times New Roman" w:hAnsi="Times New Roman" w:cs="Times New Roman"/>
        </w:rPr>
        <w:t>S</w:t>
      </w:r>
      <w:r w:rsidRPr="005948DE">
        <w:rPr>
          <w:rFonts w:ascii="Times New Roman" w:eastAsia="Times New Roman" w:hAnsi="Times New Roman" w:cs="Times New Roman"/>
        </w:rPr>
        <w:t xml:space="preserve">ubcomponent 2.1 and budgeting under 2.2 will </w:t>
      </w:r>
      <w:r w:rsidR="007F435F" w:rsidRPr="005948DE">
        <w:rPr>
          <w:rFonts w:ascii="Times New Roman" w:eastAsia="Times New Roman" w:hAnsi="Times New Roman" w:cs="Times New Roman"/>
        </w:rPr>
        <w:t>consider</w:t>
      </w:r>
      <w:r w:rsidRPr="005948DE">
        <w:rPr>
          <w:rFonts w:ascii="Times New Roman" w:eastAsia="Times New Roman" w:hAnsi="Times New Roman" w:cs="Times New Roman"/>
        </w:rPr>
        <w:t xml:space="preserve"> the needs of different gender groups with special focus on women and will assure both woman’s and man’s involvement in </w:t>
      </w:r>
      <w:r w:rsidR="007F435F">
        <w:rPr>
          <w:rFonts w:ascii="Times New Roman" w:eastAsia="Times New Roman" w:hAnsi="Times New Roman" w:cs="Times New Roman"/>
        </w:rPr>
        <w:t>P</w:t>
      </w:r>
      <w:r w:rsidRPr="005948DE">
        <w:rPr>
          <w:rFonts w:ascii="Times New Roman" w:eastAsia="Times New Roman" w:hAnsi="Times New Roman" w:cs="Times New Roman"/>
        </w:rPr>
        <w:t xml:space="preserve">roject identification and design. Gender Action Plan for the Project will include a detailed checklist for each activity financed under the Project, with clear guidance on what </w:t>
      </w:r>
      <w:r w:rsidR="007F435F">
        <w:rPr>
          <w:rFonts w:ascii="Times New Roman" w:eastAsia="Times New Roman" w:hAnsi="Times New Roman" w:cs="Times New Roman"/>
        </w:rPr>
        <w:t>G</w:t>
      </w:r>
      <w:r w:rsidR="007F435F" w:rsidRPr="005948DE">
        <w:rPr>
          <w:rFonts w:ascii="Times New Roman" w:eastAsia="Times New Roman" w:hAnsi="Times New Roman" w:cs="Times New Roman"/>
        </w:rPr>
        <w:t xml:space="preserve">ender </w:t>
      </w:r>
      <w:r w:rsidR="007F435F">
        <w:rPr>
          <w:rFonts w:ascii="Times New Roman" w:eastAsia="Times New Roman" w:hAnsi="Times New Roman" w:cs="Times New Roman"/>
        </w:rPr>
        <w:t xml:space="preserve">Equality </w:t>
      </w:r>
      <w:r w:rsidRPr="005948DE">
        <w:rPr>
          <w:rFonts w:ascii="Times New Roman" w:eastAsia="Times New Roman" w:hAnsi="Times New Roman" w:cs="Times New Roman"/>
        </w:rPr>
        <w:t>aspects and support activities should be addressed through it.</w:t>
      </w:r>
      <w:r w:rsidRPr="005948DE">
        <w:rPr>
          <w:rFonts w:ascii="Times New Roman" w:eastAsia="Times New Roman" w:hAnsi="Times New Roman" w:cs="Times New Roman"/>
          <w:bCs/>
        </w:rPr>
        <w:t xml:space="preserve"> </w:t>
      </w:r>
    </w:p>
    <w:p w14:paraId="2245E85B" w14:textId="1CDE79CE" w:rsidR="00BC3ECB" w:rsidRPr="005948DE" w:rsidRDefault="00BC3ECB" w:rsidP="005948DE">
      <w:pPr>
        <w:spacing w:after="120" w:line="276" w:lineRule="auto"/>
        <w:jc w:val="both"/>
        <w:rPr>
          <w:rFonts w:ascii="Times New Roman" w:hAnsi="Times New Roman" w:cs="Times New Roman"/>
        </w:rPr>
      </w:pPr>
      <w:r w:rsidRPr="005948DE">
        <w:rPr>
          <w:rFonts w:ascii="Times New Roman" w:eastAsia="Times New Roman" w:hAnsi="Times New Roman" w:cs="Times New Roman"/>
          <w:bCs/>
        </w:rPr>
        <w:t xml:space="preserve">Proposed innovative interventions: </w:t>
      </w:r>
      <w:r w:rsidRPr="005948DE">
        <w:rPr>
          <w:rFonts w:ascii="Times New Roman" w:eastAsia="Times New Roman" w:hAnsi="Times New Roman" w:cs="Times New Roman"/>
        </w:rPr>
        <w:t>The Project will address reported gender gaps in the transport and construction sector</w:t>
      </w:r>
      <w:r w:rsidR="007F435F">
        <w:rPr>
          <w:rFonts w:ascii="Times New Roman" w:eastAsia="Times New Roman" w:hAnsi="Times New Roman" w:cs="Times New Roman"/>
        </w:rPr>
        <w:t>s</w:t>
      </w:r>
      <w:r w:rsidRPr="005948DE">
        <w:rPr>
          <w:rFonts w:ascii="Times New Roman" w:eastAsia="Times New Roman" w:hAnsi="Times New Roman" w:cs="Times New Roman"/>
        </w:rPr>
        <w:t xml:space="preserve"> through </w:t>
      </w:r>
      <w:r w:rsidRPr="005948DE">
        <w:rPr>
          <w:rFonts w:ascii="Times New Roman" w:hAnsi="Times New Roman" w:cs="Times New Roman"/>
          <w:i/>
          <w:iCs/>
        </w:rPr>
        <w:t xml:space="preserve">Bespoke paid internship program for females at the MCTI and </w:t>
      </w:r>
      <w:r w:rsidR="007F435F">
        <w:rPr>
          <w:rFonts w:ascii="Times New Roman" w:hAnsi="Times New Roman" w:cs="Times New Roman"/>
          <w:i/>
          <w:iCs/>
        </w:rPr>
        <w:t xml:space="preserve">the </w:t>
      </w:r>
      <w:r w:rsidRPr="005948DE">
        <w:rPr>
          <w:rFonts w:ascii="Times New Roman" w:hAnsi="Times New Roman" w:cs="Times New Roman"/>
          <w:i/>
          <w:iCs/>
        </w:rPr>
        <w:t xml:space="preserve">LSGs. </w:t>
      </w:r>
      <w:r w:rsidRPr="005948DE">
        <w:rPr>
          <w:rFonts w:ascii="Times New Roman" w:hAnsi="Times New Roman" w:cs="Times New Roman"/>
        </w:rPr>
        <w:t>The Project will offer three-month internships in the MCTI and/or LSG to at least 28 women who are last-year university students or recent graduates (raising the number of interns from zero to 28), in roles that are traditionally ma</w:t>
      </w:r>
      <w:r w:rsidR="00071B80">
        <w:rPr>
          <w:rFonts w:ascii="Times New Roman" w:hAnsi="Times New Roman" w:cs="Times New Roman"/>
        </w:rPr>
        <w:t>le</w:t>
      </w:r>
      <w:r w:rsidRPr="005948DE">
        <w:rPr>
          <w:rFonts w:ascii="Times New Roman" w:hAnsi="Times New Roman" w:cs="Times New Roman"/>
        </w:rPr>
        <w:t>-dominated (</w:t>
      </w:r>
      <w:r w:rsidR="009E3A94" w:rsidRPr="005948DE">
        <w:rPr>
          <w:rFonts w:ascii="Times New Roman" w:hAnsi="Times New Roman" w:cs="Times New Roman"/>
        </w:rPr>
        <w:t>e.g.,</w:t>
      </w:r>
      <w:r w:rsidRPr="005948DE">
        <w:rPr>
          <w:rFonts w:ascii="Times New Roman" w:hAnsi="Times New Roman" w:cs="Times New Roman"/>
        </w:rPr>
        <w:t xml:space="preserve"> engineers, geologists, hydrologists, etc.), by reaching out to the universities that prepare graduates in the related fields. Given the low share of women employed in the sector and the fact that the MCTI is implementing multiple construction projects in the country, the proposed activity promises to create a demonstration effect and challenge gender stereotypes about ‘acceptable’ jobs for women. It will also signal that the GoS is an </w:t>
      </w:r>
      <w:r w:rsidR="007F435F">
        <w:rPr>
          <w:rFonts w:ascii="Times New Roman" w:hAnsi="Times New Roman" w:cs="Times New Roman"/>
        </w:rPr>
        <w:t>E</w:t>
      </w:r>
      <w:r w:rsidR="007F435F" w:rsidRPr="005948DE">
        <w:rPr>
          <w:rFonts w:ascii="Times New Roman" w:hAnsi="Times New Roman" w:cs="Times New Roman"/>
        </w:rPr>
        <w:t xml:space="preserve">qual </w:t>
      </w:r>
      <w:r w:rsidR="007F435F">
        <w:rPr>
          <w:rFonts w:ascii="Times New Roman" w:hAnsi="Times New Roman" w:cs="Times New Roman"/>
        </w:rPr>
        <w:t>O</w:t>
      </w:r>
      <w:r w:rsidRPr="005948DE">
        <w:rPr>
          <w:rFonts w:ascii="Times New Roman" w:hAnsi="Times New Roman" w:cs="Times New Roman"/>
        </w:rPr>
        <w:t>pportunit</w:t>
      </w:r>
      <w:r w:rsidR="00B01CB2">
        <w:rPr>
          <w:rFonts w:ascii="Times New Roman" w:hAnsi="Times New Roman" w:cs="Times New Roman"/>
        </w:rPr>
        <w:t>ies</w:t>
      </w:r>
      <w:r w:rsidRPr="005948DE">
        <w:rPr>
          <w:rFonts w:ascii="Times New Roman" w:hAnsi="Times New Roman" w:cs="Times New Roman"/>
        </w:rPr>
        <w:t xml:space="preserve"> employer and keen to support gender diversity in its workforce. At the same time, this intervention will facilitate establishing education-employment pathways between the MCTI and local universities. Specifically, the MCTI will establish a cooperation with at least one Serbia-based university with an existing engineering program creating an opportunity for the MCTI to access a broader pool of qualified women candidates and for these candidates to gain hands-on experience that can improve their job prospects after graduation and better inform their future career decisions. </w:t>
      </w:r>
    </w:p>
    <w:p w14:paraId="1464CFAA" w14:textId="02A64608" w:rsidR="006F3C2F" w:rsidRPr="005948DE" w:rsidRDefault="00C80CD9"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rPr>
      </w:pPr>
      <w:bookmarkStart w:id="251" w:name="_Toc93342244"/>
      <w:r w:rsidRPr="005948DE">
        <w:rPr>
          <w:rFonts w:ascii="Times New Roman" w:hAnsi="Times New Roman" w:cs="Times New Roman"/>
          <w:smallCaps w:val="0"/>
          <w:color w:val="auto"/>
        </w:rPr>
        <w:t>Quality of</w:t>
      </w:r>
      <w:r w:rsidR="007A6FEC" w:rsidRPr="005948DE">
        <w:rPr>
          <w:rFonts w:ascii="Times New Roman" w:hAnsi="Times New Roman" w:cs="Times New Roman"/>
          <w:smallCaps w:val="0"/>
          <w:color w:val="auto"/>
        </w:rPr>
        <w:t xml:space="preserve"> technical documentation for the </w:t>
      </w:r>
      <w:r w:rsidR="00420737" w:rsidRPr="005948DE">
        <w:rPr>
          <w:rFonts w:ascii="Times New Roman" w:hAnsi="Times New Roman" w:cs="Times New Roman"/>
          <w:smallCaps w:val="0"/>
          <w:color w:val="auto"/>
        </w:rPr>
        <w:t>infrastructure investment</w:t>
      </w:r>
      <w:r w:rsidR="007A6FEC" w:rsidRPr="005948DE">
        <w:rPr>
          <w:rFonts w:ascii="Times New Roman" w:hAnsi="Times New Roman" w:cs="Times New Roman"/>
          <w:smallCaps w:val="0"/>
          <w:color w:val="auto"/>
        </w:rPr>
        <w:t>s</w:t>
      </w:r>
      <w:bookmarkEnd w:id="251"/>
      <w:r w:rsidR="007A6FEC" w:rsidRPr="005948DE">
        <w:rPr>
          <w:rFonts w:ascii="Times New Roman" w:hAnsi="Times New Roman" w:cs="Times New Roman"/>
          <w:smallCaps w:val="0"/>
          <w:color w:val="auto"/>
        </w:rPr>
        <w:t xml:space="preserve"> </w:t>
      </w:r>
    </w:p>
    <w:p w14:paraId="08D509EC" w14:textId="109B3AA9" w:rsidR="0058300B" w:rsidRPr="005948DE" w:rsidRDefault="0058300B" w:rsidP="005948DE">
      <w:pPr>
        <w:spacing w:after="120" w:line="276" w:lineRule="auto"/>
        <w:jc w:val="both"/>
        <w:rPr>
          <w:rFonts w:ascii="Times New Roman" w:hAnsi="Times New Roman" w:cs="Times New Roman"/>
          <w:b/>
        </w:rPr>
      </w:pPr>
      <w:r w:rsidRPr="005948DE">
        <w:rPr>
          <w:rFonts w:ascii="Times New Roman" w:hAnsi="Times New Roman" w:cs="Times New Roman"/>
        </w:rPr>
        <w:t xml:space="preserve">Technical documentation for civil works under the </w:t>
      </w:r>
      <w:r w:rsidR="00F73153" w:rsidRPr="005948DE">
        <w:rPr>
          <w:rFonts w:ascii="Times New Roman" w:hAnsi="Times New Roman" w:cs="Times New Roman"/>
        </w:rPr>
        <w:t>Project</w:t>
      </w:r>
      <w:r w:rsidRPr="005948DE">
        <w:rPr>
          <w:rFonts w:ascii="Times New Roman" w:hAnsi="Times New Roman" w:cs="Times New Roman"/>
        </w:rPr>
        <w:t xml:space="preserve"> should be completed according to the national legislation requirements</w:t>
      </w:r>
      <w:r w:rsidR="00E12AC9" w:rsidRPr="005948DE">
        <w:rPr>
          <w:rFonts w:ascii="Times New Roman" w:hAnsi="Times New Roman" w:cs="Times New Roman"/>
        </w:rPr>
        <w:t xml:space="preserve">, as supplemented by </w:t>
      </w:r>
      <w:r w:rsidR="007F435F">
        <w:rPr>
          <w:rFonts w:ascii="Times New Roman" w:hAnsi="Times New Roman" w:cs="Times New Roman"/>
        </w:rPr>
        <w:t>the Bank</w:t>
      </w:r>
      <w:r w:rsidR="007F435F" w:rsidRPr="005948DE">
        <w:rPr>
          <w:rFonts w:ascii="Times New Roman" w:hAnsi="Times New Roman" w:cs="Times New Roman"/>
        </w:rPr>
        <w:t xml:space="preserve"> </w:t>
      </w:r>
      <w:r w:rsidR="00E12AC9" w:rsidRPr="005948DE">
        <w:rPr>
          <w:rFonts w:ascii="Times New Roman" w:hAnsi="Times New Roman" w:cs="Times New Roman"/>
        </w:rPr>
        <w:t>requirements, including universal access</w:t>
      </w:r>
      <w:r w:rsidRPr="005948DE">
        <w:rPr>
          <w:rFonts w:ascii="Times New Roman" w:hAnsi="Times New Roman" w:cs="Times New Roman"/>
        </w:rPr>
        <w:t xml:space="preserve"> and designed with acceptable quality that will be </w:t>
      </w:r>
      <w:r w:rsidR="000E3245" w:rsidRPr="005948DE">
        <w:rPr>
          <w:rFonts w:ascii="Times New Roman" w:hAnsi="Times New Roman" w:cs="Times New Roman"/>
        </w:rPr>
        <w:t xml:space="preserve">confirmed </w:t>
      </w:r>
      <w:r w:rsidRPr="005948DE">
        <w:rPr>
          <w:rFonts w:ascii="Times New Roman" w:hAnsi="Times New Roman" w:cs="Times New Roman"/>
        </w:rPr>
        <w:t>by the PIU experts.</w:t>
      </w:r>
      <w:r w:rsidR="007A6FEC" w:rsidRPr="005948DE">
        <w:rPr>
          <w:rFonts w:ascii="Times New Roman" w:hAnsi="Times New Roman" w:cs="Times New Roman"/>
        </w:rPr>
        <w:t xml:space="preserve"> The PIU will provide administrative and technical support to the </w:t>
      </w:r>
      <w:r w:rsidR="00E12AC9" w:rsidRPr="005948DE">
        <w:rPr>
          <w:rFonts w:ascii="Times New Roman" w:hAnsi="Times New Roman" w:cs="Times New Roman"/>
        </w:rPr>
        <w:t>LSGs</w:t>
      </w:r>
      <w:r w:rsidR="007A6FEC" w:rsidRPr="005948DE">
        <w:rPr>
          <w:rFonts w:ascii="Times New Roman" w:hAnsi="Times New Roman" w:cs="Times New Roman"/>
        </w:rPr>
        <w:t xml:space="preserve"> during the process of design completion/preparation/</w:t>
      </w:r>
      <w:r w:rsidR="00293C32" w:rsidRPr="005948DE" w:rsidDel="00293C32">
        <w:rPr>
          <w:rFonts w:ascii="Times New Roman" w:hAnsi="Times New Roman" w:cs="Times New Roman"/>
        </w:rPr>
        <w:t xml:space="preserve"> </w:t>
      </w:r>
      <w:r w:rsidR="002B1905" w:rsidRPr="005948DE">
        <w:rPr>
          <w:rFonts w:ascii="Times New Roman" w:hAnsi="Times New Roman" w:cs="Times New Roman"/>
        </w:rPr>
        <w:t>design audit</w:t>
      </w:r>
      <w:r w:rsidR="007A6FEC" w:rsidRPr="005948DE">
        <w:rPr>
          <w:rFonts w:ascii="Times New Roman" w:hAnsi="Times New Roman" w:cs="Times New Roman"/>
        </w:rPr>
        <w:t xml:space="preserve">, etc. </w:t>
      </w:r>
      <w:r w:rsidR="002B1905" w:rsidRPr="005948DE">
        <w:rPr>
          <w:rFonts w:ascii="Times New Roman" w:hAnsi="Times New Roman" w:cs="Times New Roman"/>
        </w:rPr>
        <w:t>Acceptable civil works designs will provide safe and resilient facilities that appropriately accommodate the needs of non-motorized road users and address local environmental risk factors, such as flooding, landslides, earthquakes or others.</w:t>
      </w:r>
    </w:p>
    <w:p w14:paraId="2FD3D199" w14:textId="67C842BB" w:rsidR="007A6FEC" w:rsidRPr="005948DE" w:rsidRDefault="007F435F" w:rsidP="005948DE">
      <w:pPr>
        <w:pStyle w:val="ps"/>
        <w:spacing w:before="0" w:after="120" w:line="276" w:lineRule="auto"/>
        <w:ind w:left="0" w:firstLine="0"/>
        <w:rPr>
          <w:rFonts w:ascii="Times New Roman" w:hAnsi="Times New Roman" w:cs="Times New Roman"/>
          <w:lang w:val="en-GB"/>
        </w:rPr>
      </w:pPr>
      <w:r>
        <w:rPr>
          <w:rFonts w:ascii="Times New Roman" w:hAnsi="Times New Roman" w:cs="Times New Roman"/>
          <w:lang w:val="en-GB"/>
        </w:rPr>
        <w:t xml:space="preserve">The </w:t>
      </w:r>
      <w:r w:rsidR="0043137A" w:rsidRPr="005948DE">
        <w:rPr>
          <w:rFonts w:ascii="Times New Roman" w:hAnsi="Times New Roman" w:cs="Times New Roman"/>
          <w:lang w:val="en-GB"/>
        </w:rPr>
        <w:t>PIU will carr</w:t>
      </w:r>
      <w:r w:rsidR="00E12AC9" w:rsidRPr="005948DE">
        <w:rPr>
          <w:rFonts w:ascii="Times New Roman" w:hAnsi="Times New Roman" w:cs="Times New Roman"/>
          <w:lang w:val="en-GB"/>
        </w:rPr>
        <w:t>y</w:t>
      </w:r>
      <w:r w:rsidR="0043137A" w:rsidRPr="005948DE">
        <w:rPr>
          <w:rFonts w:ascii="Times New Roman" w:hAnsi="Times New Roman" w:cs="Times New Roman"/>
          <w:lang w:val="en-GB"/>
        </w:rPr>
        <w:t xml:space="preserve"> out a</w:t>
      </w:r>
      <w:r w:rsidR="007A6FEC" w:rsidRPr="005948DE">
        <w:rPr>
          <w:rFonts w:ascii="Times New Roman" w:hAnsi="Times New Roman" w:cs="Times New Roman"/>
          <w:lang w:val="en-GB"/>
        </w:rPr>
        <w:t xml:space="preserve">ssessment </w:t>
      </w:r>
      <w:r w:rsidR="0090030B" w:rsidRPr="005948DE">
        <w:rPr>
          <w:rFonts w:ascii="Times New Roman" w:hAnsi="Times New Roman" w:cs="Times New Roman"/>
          <w:lang w:val="en-GB"/>
        </w:rPr>
        <w:t>of design documents</w:t>
      </w:r>
      <w:r w:rsidR="0043137A" w:rsidRPr="005948DE">
        <w:rPr>
          <w:rFonts w:ascii="Times New Roman" w:hAnsi="Times New Roman" w:cs="Times New Roman"/>
          <w:lang w:val="en-GB"/>
        </w:rPr>
        <w:t xml:space="preserve"> prepared and </w:t>
      </w:r>
      <w:r w:rsidR="0090030B" w:rsidRPr="005948DE">
        <w:rPr>
          <w:rFonts w:ascii="Times New Roman" w:hAnsi="Times New Roman" w:cs="Times New Roman"/>
          <w:lang w:val="en-GB"/>
        </w:rPr>
        <w:t xml:space="preserve">submitted by the </w:t>
      </w:r>
      <w:r w:rsidR="00EF4CB8" w:rsidRPr="005948DE">
        <w:rPr>
          <w:rFonts w:ascii="Times New Roman" w:hAnsi="Times New Roman" w:cs="Times New Roman"/>
          <w:lang w:val="en-GB"/>
        </w:rPr>
        <w:t>LSGs</w:t>
      </w:r>
      <w:r w:rsidR="0043137A" w:rsidRPr="005948DE">
        <w:rPr>
          <w:rFonts w:ascii="Times New Roman" w:hAnsi="Times New Roman" w:cs="Times New Roman"/>
          <w:lang w:val="en-GB"/>
        </w:rPr>
        <w:t xml:space="preserve">. The assessment </w:t>
      </w:r>
      <w:r w:rsidR="007A6FEC" w:rsidRPr="005948DE">
        <w:rPr>
          <w:rFonts w:ascii="Times New Roman" w:hAnsi="Times New Roman" w:cs="Times New Roman"/>
          <w:lang w:val="en-GB"/>
        </w:rPr>
        <w:t xml:space="preserve">will consider quality </w:t>
      </w:r>
      <w:r w:rsidR="0090030B" w:rsidRPr="005948DE">
        <w:rPr>
          <w:rFonts w:ascii="Times New Roman" w:hAnsi="Times New Roman" w:cs="Times New Roman"/>
          <w:lang w:val="en-GB"/>
        </w:rPr>
        <w:t xml:space="preserve">check </w:t>
      </w:r>
      <w:r w:rsidR="007A6FEC" w:rsidRPr="005948DE">
        <w:rPr>
          <w:rFonts w:ascii="Times New Roman" w:hAnsi="Times New Roman" w:cs="Times New Roman"/>
          <w:lang w:val="en-GB"/>
        </w:rPr>
        <w:t>of the design documents, drawings and technical specifications, ensuring B</w:t>
      </w:r>
      <w:r>
        <w:rPr>
          <w:rFonts w:ascii="Times New Roman" w:hAnsi="Times New Roman" w:cs="Times New Roman"/>
          <w:lang w:val="en-GB"/>
        </w:rPr>
        <w:t xml:space="preserve">ills </w:t>
      </w:r>
      <w:r w:rsidR="00EF4CB8" w:rsidRPr="005948DE">
        <w:rPr>
          <w:rFonts w:ascii="Times New Roman" w:hAnsi="Times New Roman" w:cs="Times New Roman"/>
          <w:lang w:val="en-GB"/>
        </w:rPr>
        <w:t>o</w:t>
      </w:r>
      <w:r>
        <w:rPr>
          <w:rFonts w:ascii="Times New Roman" w:hAnsi="Times New Roman" w:cs="Times New Roman"/>
          <w:lang w:val="en-GB"/>
        </w:rPr>
        <w:t xml:space="preserve">f </w:t>
      </w:r>
      <w:r w:rsidR="007A6FEC" w:rsidRPr="005948DE">
        <w:rPr>
          <w:rFonts w:ascii="Times New Roman" w:hAnsi="Times New Roman" w:cs="Times New Roman"/>
          <w:lang w:val="en-GB"/>
        </w:rPr>
        <w:t>Q</w:t>
      </w:r>
      <w:r>
        <w:rPr>
          <w:rFonts w:ascii="Times New Roman" w:hAnsi="Times New Roman" w:cs="Times New Roman"/>
          <w:lang w:val="en-GB"/>
        </w:rPr>
        <w:t>uantity</w:t>
      </w:r>
      <w:r w:rsidR="007A6FEC" w:rsidRPr="005948DE">
        <w:rPr>
          <w:rFonts w:ascii="Times New Roman" w:hAnsi="Times New Roman" w:cs="Times New Roman"/>
          <w:lang w:val="en-GB"/>
        </w:rPr>
        <w:t xml:space="preserve"> are complete and prices of the items are reflecting the updated market prices, drainage system with recipient is incorporated, </w:t>
      </w:r>
      <w:r w:rsidR="002B1905" w:rsidRPr="005948DE">
        <w:rPr>
          <w:rFonts w:ascii="Times New Roman" w:hAnsi="Times New Roman" w:cs="Times New Roman"/>
          <w:lang w:val="en-GB"/>
        </w:rPr>
        <w:t xml:space="preserve">technical designs are audited </w:t>
      </w:r>
      <w:r w:rsidR="0043137A" w:rsidRPr="005948DE">
        <w:rPr>
          <w:rFonts w:ascii="Times New Roman" w:hAnsi="Times New Roman" w:cs="Times New Roman"/>
          <w:lang w:val="en-GB"/>
        </w:rPr>
        <w:t xml:space="preserve">by independent design auditor in </w:t>
      </w:r>
      <w:r w:rsidR="00293C32" w:rsidRPr="005948DE">
        <w:rPr>
          <w:rFonts w:ascii="Times New Roman" w:hAnsi="Times New Roman" w:cs="Times New Roman"/>
          <w:lang w:val="en-GB"/>
        </w:rPr>
        <w:t>accord</w:t>
      </w:r>
      <w:r w:rsidR="0043137A" w:rsidRPr="005948DE">
        <w:rPr>
          <w:rFonts w:ascii="Times New Roman" w:hAnsi="Times New Roman" w:cs="Times New Roman"/>
          <w:lang w:val="en-GB"/>
        </w:rPr>
        <w:t xml:space="preserve">ance with </w:t>
      </w:r>
      <w:r w:rsidR="00293C32" w:rsidRPr="005948DE">
        <w:rPr>
          <w:rFonts w:ascii="Times New Roman" w:hAnsi="Times New Roman" w:cs="Times New Roman"/>
          <w:lang w:val="en-GB"/>
        </w:rPr>
        <w:t xml:space="preserve">the national legislation </w:t>
      </w:r>
      <w:r w:rsidR="002B1905" w:rsidRPr="005948DE">
        <w:rPr>
          <w:rFonts w:ascii="Times New Roman" w:hAnsi="Times New Roman" w:cs="Times New Roman"/>
          <w:lang w:val="en-GB"/>
        </w:rPr>
        <w:t xml:space="preserve">and positive design audit reports are </w:t>
      </w:r>
      <w:r w:rsidR="007A6FEC" w:rsidRPr="005948DE">
        <w:rPr>
          <w:rFonts w:ascii="Times New Roman" w:hAnsi="Times New Roman" w:cs="Times New Roman"/>
          <w:lang w:val="en-GB"/>
        </w:rPr>
        <w:t>in place</w:t>
      </w:r>
      <w:r w:rsidR="00293C32" w:rsidRPr="005948DE">
        <w:rPr>
          <w:rFonts w:ascii="Times New Roman" w:hAnsi="Times New Roman" w:cs="Times New Roman"/>
          <w:lang w:val="en-GB"/>
        </w:rPr>
        <w:t xml:space="preserve"> considering part of the design documents</w:t>
      </w:r>
      <w:r w:rsidR="0043137A" w:rsidRPr="005948DE">
        <w:rPr>
          <w:rFonts w:ascii="Times New Roman" w:hAnsi="Times New Roman" w:cs="Times New Roman"/>
          <w:lang w:val="en-GB"/>
        </w:rPr>
        <w:t xml:space="preserve"> for each </w:t>
      </w:r>
      <w:r w:rsidR="00420737" w:rsidRPr="005948DE">
        <w:rPr>
          <w:rFonts w:ascii="Times New Roman" w:hAnsi="Times New Roman" w:cs="Times New Roman"/>
          <w:lang w:val="en-GB"/>
        </w:rPr>
        <w:t>infrastructure investment</w:t>
      </w:r>
      <w:r w:rsidR="007A6FEC" w:rsidRPr="005948DE">
        <w:rPr>
          <w:rFonts w:ascii="Times New Roman" w:hAnsi="Times New Roman" w:cs="Times New Roman"/>
          <w:lang w:val="en-GB"/>
        </w:rPr>
        <w:t xml:space="preserve">, traffic designs </w:t>
      </w:r>
      <w:r w:rsidR="00293C32" w:rsidRPr="005948DE">
        <w:rPr>
          <w:rFonts w:ascii="Times New Roman" w:hAnsi="Times New Roman" w:cs="Times New Roman"/>
          <w:lang w:val="en-GB"/>
        </w:rPr>
        <w:t xml:space="preserve">(if any) </w:t>
      </w:r>
      <w:r w:rsidR="007A6FEC" w:rsidRPr="005948DE">
        <w:rPr>
          <w:rFonts w:ascii="Times New Roman" w:hAnsi="Times New Roman" w:cs="Times New Roman"/>
          <w:lang w:val="en-GB"/>
        </w:rPr>
        <w:t>are correct or to be improved, expro</w:t>
      </w:r>
      <w:r w:rsidR="0090030B" w:rsidRPr="005948DE">
        <w:rPr>
          <w:rFonts w:ascii="Times New Roman" w:hAnsi="Times New Roman" w:cs="Times New Roman"/>
          <w:lang w:val="en-GB"/>
        </w:rPr>
        <w:t>priation issues are resolved/</w:t>
      </w:r>
      <w:r w:rsidR="007A6FEC" w:rsidRPr="005948DE">
        <w:rPr>
          <w:rFonts w:ascii="Times New Roman" w:hAnsi="Times New Roman" w:cs="Times New Roman"/>
          <w:lang w:val="en-GB"/>
        </w:rPr>
        <w:t>ongoing</w:t>
      </w:r>
      <w:r w:rsidR="0090030B" w:rsidRPr="005948DE">
        <w:rPr>
          <w:rFonts w:ascii="Times New Roman" w:hAnsi="Times New Roman" w:cs="Times New Roman"/>
          <w:lang w:val="en-GB"/>
        </w:rPr>
        <w:t>/to be carried out</w:t>
      </w:r>
      <w:r w:rsidR="007A6FEC" w:rsidRPr="005948DE">
        <w:rPr>
          <w:rFonts w:ascii="Times New Roman" w:hAnsi="Times New Roman" w:cs="Times New Roman"/>
          <w:lang w:val="en-GB"/>
        </w:rPr>
        <w:t xml:space="preserve">, </w:t>
      </w:r>
      <w:r w:rsidR="00BB3AB2" w:rsidRPr="005948DE">
        <w:rPr>
          <w:rFonts w:ascii="Times New Roman" w:hAnsi="Times New Roman" w:cs="Times New Roman"/>
          <w:lang w:val="en-GB"/>
        </w:rPr>
        <w:t xml:space="preserve">pedestrian paths and/or bicycle paths are or can be designed, empty ducts for future installation of </w:t>
      </w:r>
      <w:r w:rsidR="00EF4CB8" w:rsidRPr="005948DE">
        <w:rPr>
          <w:rFonts w:ascii="Times New Roman" w:hAnsi="Times New Roman" w:cs="Times New Roman"/>
          <w:lang w:val="en-GB"/>
        </w:rPr>
        <w:t>fibre</w:t>
      </w:r>
      <w:r w:rsidR="00BB3AB2" w:rsidRPr="005948DE">
        <w:rPr>
          <w:rFonts w:ascii="Times New Roman" w:hAnsi="Times New Roman" w:cs="Times New Roman"/>
          <w:lang w:val="en-GB"/>
        </w:rPr>
        <w:t xml:space="preserve"> optic cables are or might be designed, road/street lightning is or can be designed, </w:t>
      </w:r>
      <w:r w:rsidR="007A6FEC" w:rsidRPr="005948DE">
        <w:rPr>
          <w:rFonts w:ascii="Times New Roman" w:hAnsi="Times New Roman" w:cs="Times New Roman"/>
          <w:lang w:val="en-GB"/>
        </w:rPr>
        <w:t>construction permits are in place or in procedure, etc.</w:t>
      </w:r>
    </w:p>
    <w:p w14:paraId="02343902" w14:textId="0627B99A" w:rsidR="00FA7902" w:rsidRPr="005948DE" w:rsidRDefault="00833B40" w:rsidP="005948DE">
      <w:pPr>
        <w:pStyle w:val="ps"/>
        <w:tabs>
          <w:tab w:val="left" w:pos="-284"/>
        </w:tabs>
        <w:spacing w:before="0" w:after="120" w:line="276" w:lineRule="auto"/>
        <w:ind w:left="0" w:firstLine="0"/>
        <w:rPr>
          <w:rFonts w:ascii="Times New Roman" w:hAnsi="Times New Roman" w:cs="Times New Roman"/>
          <w:color w:val="FF0000"/>
          <w:lang w:val="en-GB"/>
        </w:rPr>
      </w:pPr>
      <w:r w:rsidRPr="005948DE">
        <w:rPr>
          <w:rFonts w:ascii="Times New Roman" w:hAnsi="Times New Roman" w:cs="Times New Roman"/>
          <w:lang w:val="en-GB"/>
        </w:rPr>
        <w:t xml:space="preserve">In order to unify the technical design requirements for the infrastructure </w:t>
      </w:r>
      <w:r w:rsidR="007F435F">
        <w:rPr>
          <w:rFonts w:ascii="Times New Roman" w:hAnsi="Times New Roman" w:cs="Times New Roman"/>
          <w:lang w:val="en-GB"/>
        </w:rPr>
        <w:t>i</w:t>
      </w:r>
      <w:r w:rsidRPr="005948DE">
        <w:rPr>
          <w:rFonts w:ascii="Times New Roman" w:hAnsi="Times New Roman" w:cs="Times New Roman"/>
          <w:lang w:val="en-GB"/>
        </w:rPr>
        <w:t>nvestments, the PIU experts will establish a list of technical design requirements for the LSGs. The process of approving or rejecting the technical designs by the PIU will be transparent through dialogs, meetings and regular communication between the LSG</w:t>
      </w:r>
      <w:r w:rsidR="007F435F">
        <w:rPr>
          <w:rFonts w:ascii="Times New Roman" w:hAnsi="Times New Roman" w:cs="Times New Roman"/>
          <w:lang w:val="en-GB"/>
        </w:rPr>
        <w:t>s</w:t>
      </w:r>
      <w:r w:rsidRPr="005948DE">
        <w:rPr>
          <w:rFonts w:ascii="Times New Roman" w:hAnsi="Times New Roman" w:cs="Times New Roman"/>
          <w:lang w:val="en-GB"/>
        </w:rPr>
        <w:t xml:space="preserve"> and </w:t>
      </w:r>
      <w:r w:rsidR="007F435F">
        <w:rPr>
          <w:rFonts w:ascii="Times New Roman" w:hAnsi="Times New Roman" w:cs="Times New Roman"/>
          <w:lang w:val="en-GB"/>
        </w:rPr>
        <w:t xml:space="preserve">the </w:t>
      </w:r>
      <w:r w:rsidRPr="005948DE">
        <w:rPr>
          <w:rFonts w:ascii="Times New Roman" w:hAnsi="Times New Roman" w:cs="Times New Roman"/>
          <w:lang w:val="en-GB"/>
        </w:rPr>
        <w:t>PIU</w:t>
      </w:r>
      <w:r w:rsidR="007F435F" w:rsidRPr="007F435F">
        <w:rPr>
          <w:rFonts w:ascii="Times New Roman" w:hAnsi="Times New Roman" w:cs="Times New Roman"/>
          <w:lang w:val="en-GB"/>
        </w:rPr>
        <w:t xml:space="preserve"> </w:t>
      </w:r>
      <w:r w:rsidR="007F435F" w:rsidRPr="005948DE">
        <w:rPr>
          <w:rFonts w:ascii="Times New Roman" w:hAnsi="Times New Roman" w:cs="Times New Roman"/>
          <w:lang w:val="en-GB"/>
        </w:rPr>
        <w:t>staff</w:t>
      </w:r>
      <w:r w:rsidRPr="005948DE">
        <w:rPr>
          <w:rFonts w:ascii="Times New Roman" w:hAnsi="Times New Roman" w:cs="Times New Roman"/>
          <w:lang w:val="en-GB"/>
        </w:rPr>
        <w:t xml:space="preserve">. The PIU is </w:t>
      </w:r>
      <w:r w:rsidR="007F435F">
        <w:rPr>
          <w:rFonts w:ascii="Times New Roman" w:hAnsi="Times New Roman" w:cs="Times New Roman"/>
          <w:lang w:val="en-GB"/>
        </w:rPr>
        <w:t xml:space="preserve">also </w:t>
      </w:r>
      <w:r w:rsidRPr="005948DE">
        <w:rPr>
          <w:rFonts w:ascii="Times New Roman" w:hAnsi="Times New Roman" w:cs="Times New Roman"/>
          <w:lang w:val="en-GB"/>
        </w:rPr>
        <w:t>responsible for quality control of the designs</w:t>
      </w:r>
      <w:r w:rsidR="007F435F">
        <w:rPr>
          <w:rFonts w:ascii="Times New Roman" w:hAnsi="Times New Roman" w:cs="Times New Roman"/>
          <w:lang w:val="en-GB"/>
        </w:rPr>
        <w:t>.</w:t>
      </w:r>
    </w:p>
    <w:p w14:paraId="75E254DB" w14:textId="74AD50A0" w:rsidR="008F3C50" w:rsidRPr="005948DE" w:rsidRDefault="008F3C50"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rPr>
      </w:pPr>
      <w:bookmarkStart w:id="252" w:name="_Toc93342245"/>
      <w:r w:rsidRPr="005948DE">
        <w:rPr>
          <w:rFonts w:ascii="Times New Roman" w:hAnsi="Times New Roman" w:cs="Times New Roman"/>
          <w:smallCaps w:val="0"/>
          <w:color w:val="auto"/>
        </w:rPr>
        <w:t>Internship Program</w:t>
      </w:r>
      <w:bookmarkEnd w:id="252"/>
      <w:r w:rsidRPr="005948DE">
        <w:rPr>
          <w:rFonts w:ascii="Times New Roman" w:hAnsi="Times New Roman" w:cs="Times New Roman"/>
          <w:smallCaps w:val="0"/>
          <w:color w:val="auto"/>
        </w:rPr>
        <w:t xml:space="preserve"> </w:t>
      </w:r>
    </w:p>
    <w:p w14:paraId="1DD557B9" w14:textId="69553EBC" w:rsidR="00405FBC" w:rsidRPr="00665F55" w:rsidRDefault="00405FBC" w:rsidP="00665F55">
      <w:pPr>
        <w:spacing w:line="276" w:lineRule="auto"/>
        <w:jc w:val="both"/>
        <w:rPr>
          <w:rFonts w:ascii="Times New Roman" w:hAnsi="Times New Roman" w:cs="Times New Roman"/>
        </w:rPr>
      </w:pPr>
      <w:r w:rsidRPr="005948DE">
        <w:rPr>
          <w:rFonts w:ascii="Times New Roman" w:eastAsia="Times New Roman" w:hAnsi="Times New Roman" w:cs="Times New Roman"/>
          <w:color w:val="0E101A"/>
        </w:rPr>
        <w:t>The Project will address reported gender gaps in the transport and construction sector</w:t>
      </w:r>
      <w:r w:rsidR="007F435F">
        <w:rPr>
          <w:rFonts w:ascii="Times New Roman" w:eastAsia="Times New Roman" w:hAnsi="Times New Roman" w:cs="Times New Roman"/>
          <w:color w:val="0E101A"/>
        </w:rPr>
        <w:t>s</w:t>
      </w:r>
      <w:r w:rsidRPr="005948DE">
        <w:rPr>
          <w:rFonts w:ascii="Times New Roman" w:eastAsia="Times New Roman" w:hAnsi="Times New Roman" w:cs="Times New Roman"/>
          <w:color w:val="0E101A"/>
        </w:rPr>
        <w:t xml:space="preserve"> through</w:t>
      </w:r>
      <w:r w:rsidR="007F435F">
        <w:rPr>
          <w:rFonts w:ascii="Times New Roman" w:eastAsia="Times New Roman" w:hAnsi="Times New Roman" w:cs="Times New Roman"/>
          <w:color w:val="0E101A"/>
        </w:rPr>
        <w:t xml:space="preserve"> the mentioned</w:t>
      </w:r>
      <w:r w:rsidRPr="005948DE">
        <w:rPr>
          <w:rFonts w:ascii="Times New Roman" w:eastAsia="Times New Roman" w:hAnsi="Times New Roman" w:cs="Times New Roman"/>
          <w:color w:val="0E101A"/>
        </w:rPr>
        <w:t xml:space="preserve"> </w:t>
      </w:r>
      <w:r w:rsidRPr="005948DE">
        <w:rPr>
          <w:rFonts w:ascii="Times New Roman" w:hAnsi="Times New Roman" w:cs="Times New Roman"/>
          <w:i/>
          <w:iCs/>
        </w:rPr>
        <w:t xml:space="preserve">Bespoke paid internship program for females at the MCTI and </w:t>
      </w:r>
      <w:r w:rsidR="007F435F">
        <w:rPr>
          <w:rFonts w:ascii="Times New Roman" w:hAnsi="Times New Roman" w:cs="Times New Roman"/>
          <w:i/>
          <w:iCs/>
        </w:rPr>
        <w:t xml:space="preserve">the </w:t>
      </w:r>
      <w:r w:rsidRPr="005948DE">
        <w:rPr>
          <w:rFonts w:ascii="Times New Roman" w:hAnsi="Times New Roman" w:cs="Times New Roman"/>
          <w:i/>
          <w:iCs/>
        </w:rPr>
        <w:t xml:space="preserve">LSGs. </w:t>
      </w:r>
      <w:r w:rsidR="009218D6">
        <w:rPr>
          <w:rFonts w:ascii="Times New Roman" w:eastAsia="Times New Roman" w:hAnsi="Times New Roman" w:cs="Times New Roman"/>
        </w:rPr>
        <w:t>As already explained, the i</w:t>
      </w:r>
      <w:r w:rsidRPr="005948DE">
        <w:rPr>
          <w:rFonts w:ascii="Times New Roman" w:eastAsia="Times New Roman" w:hAnsi="Times New Roman" w:cs="Times New Roman"/>
        </w:rPr>
        <w:t>ntroduction of young workforce to the sector will be supported through</w:t>
      </w:r>
      <w:r w:rsidRPr="005948DE">
        <w:rPr>
          <w:rFonts w:ascii="Times New Roman" w:eastAsia="Times New Roman" w:hAnsi="Times New Roman" w:cs="Times New Roman"/>
          <w:b/>
          <w:bCs/>
        </w:rPr>
        <w:t xml:space="preserve"> </w:t>
      </w:r>
      <w:r w:rsidRPr="005948DE">
        <w:rPr>
          <w:rFonts w:ascii="Times New Roman" w:eastAsia="Times New Roman" w:hAnsi="Times New Roman" w:cs="Times New Roman"/>
        </w:rPr>
        <w:t>40</w:t>
      </w:r>
      <w:r w:rsidR="00160CCF">
        <w:rPr>
          <w:rFonts w:ascii="Times New Roman" w:eastAsia="Times New Roman" w:hAnsi="Times New Roman" w:cs="Times New Roman"/>
        </w:rPr>
        <w:t xml:space="preserve"> (forty)</w:t>
      </w:r>
      <w:r w:rsidRPr="005948DE">
        <w:rPr>
          <w:rFonts w:ascii="Times New Roman" w:eastAsia="Times New Roman" w:hAnsi="Times New Roman" w:cs="Times New Roman"/>
          <w:b/>
          <w:bCs/>
        </w:rPr>
        <w:t xml:space="preserve"> </w:t>
      </w:r>
      <w:r w:rsidRPr="005948DE">
        <w:rPr>
          <w:rFonts w:ascii="Times New Roman" w:eastAsia="Times New Roman" w:hAnsi="Times New Roman" w:cs="Times New Roman"/>
        </w:rPr>
        <w:t xml:space="preserve">paid </w:t>
      </w:r>
      <w:r w:rsidRPr="005948DE">
        <w:rPr>
          <w:rFonts w:ascii="Times New Roman" w:eastAsia="MS Mincho" w:hAnsi="Times New Roman" w:cs="Times New Roman"/>
        </w:rPr>
        <w:t xml:space="preserve">three to six months </w:t>
      </w:r>
      <w:r w:rsidRPr="005948DE">
        <w:rPr>
          <w:rFonts w:ascii="Times New Roman" w:eastAsia="Times New Roman" w:hAnsi="Times New Roman" w:cs="Times New Roman"/>
        </w:rPr>
        <w:t xml:space="preserve">internships placed at </w:t>
      </w:r>
      <w:r w:rsidR="007F435F">
        <w:rPr>
          <w:rFonts w:ascii="Times New Roman" w:eastAsia="Times New Roman" w:hAnsi="Times New Roman" w:cs="Times New Roman"/>
        </w:rPr>
        <w:t xml:space="preserve">the </w:t>
      </w:r>
      <w:r w:rsidRPr="005948DE">
        <w:rPr>
          <w:rFonts w:ascii="Times New Roman" w:eastAsia="Times New Roman" w:hAnsi="Times New Roman" w:cs="Times New Roman"/>
        </w:rPr>
        <w:t>PIU,</w:t>
      </w:r>
      <w:r w:rsidR="007F435F">
        <w:rPr>
          <w:rFonts w:ascii="Times New Roman" w:eastAsia="Times New Roman" w:hAnsi="Times New Roman" w:cs="Times New Roman"/>
        </w:rPr>
        <w:t xml:space="preserve"> the</w:t>
      </w:r>
      <w:r w:rsidRPr="005948DE">
        <w:rPr>
          <w:rFonts w:ascii="Times New Roman" w:eastAsia="Times New Roman" w:hAnsi="Times New Roman" w:cs="Times New Roman"/>
        </w:rPr>
        <w:t xml:space="preserve"> MCTI and </w:t>
      </w:r>
      <w:r w:rsidR="007F435F">
        <w:rPr>
          <w:rFonts w:ascii="Times New Roman" w:eastAsia="Times New Roman" w:hAnsi="Times New Roman" w:cs="Times New Roman"/>
        </w:rPr>
        <w:t xml:space="preserve">the </w:t>
      </w:r>
      <w:r w:rsidRPr="005948DE">
        <w:rPr>
          <w:rFonts w:ascii="Times New Roman" w:eastAsia="Times New Roman" w:hAnsi="Times New Roman" w:cs="Times New Roman"/>
        </w:rPr>
        <w:t xml:space="preserve">LSGs. </w:t>
      </w:r>
      <w:r w:rsidR="009218D6">
        <w:rPr>
          <w:rFonts w:ascii="Times New Roman" w:eastAsia="Times New Roman" w:hAnsi="Times New Roman" w:cs="Times New Roman"/>
        </w:rPr>
        <w:t>This project-</w:t>
      </w:r>
      <w:r w:rsidR="009218D6" w:rsidRPr="005948DE">
        <w:rPr>
          <w:rFonts w:ascii="Times New Roman" w:hAnsi="Times New Roman" w:cs="Times New Roman"/>
          <w:bCs/>
        </w:rPr>
        <w:t xml:space="preserve">based work </w:t>
      </w:r>
      <w:r w:rsidR="009218D6">
        <w:rPr>
          <w:rFonts w:ascii="Times New Roman" w:hAnsi="Times New Roman" w:cs="Times New Roman"/>
          <w:bCs/>
        </w:rPr>
        <w:t xml:space="preserve">will </w:t>
      </w:r>
      <w:r w:rsidR="00B01CB2">
        <w:rPr>
          <w:rFonts w:ascii="Times New Roman" w:hAnsi="Times New Roman" w:cs="Times New Roman"/>
          <w:bCs/>
        </w:rPr>
        <w:t xml:space="preserve">thus </w:t>
      </w:r>
      <w:r w:rsidR="009218D6">
        <w:rPr>
          <w:rFonts w:ascii="Times New Roman" w:hAnsi="Times New Roman" w:cs="Times New Roman"/>
          <w:bCs/>
        </w:rPr>
        <w:t>help bridge</w:t>
      </w:r>
      <w:r w:rsidR="009218D6" w:rsidRPr="005948DE">
        <w:rPr>
          <w:rFonts w:ascii="Times New Roman" w:hAnsi="Times New Roman" w:cs="Times New Roman"/>
          <w:bCs/>
        </w:rPr>
        <w:t xml:space="preserve"> the skills gap in the transition from campus to career</w:t>
      </w:r>
      <w:r w:rsidR="009218D6">
        <w:rPr>
          <w:rFonts w:ascii="Times New Roman" w:hAnsi="Times New Roman" w:cs="Times New Roman"/>
          <w:bCs/>
        </w:rPr>
        <w:t>.</w:t>
      </w:r>
      <w:r w:rsidR="009218D6" w:rsidRPr="005948DE" w:rsidDel="009218D6">
        <w:rPr>
          <w:rFonts w:ascii="Times New Roman" w:eastAsia="MS Mincho" w:hAnsi="Times New Roman" w:cs="Times New Roman"/>
        </w:rPr>
        <w:t xml:space="preserve"> </w:t>
      </w:r>
    </w:p>
    <w:p w14:paraId="601667ED" w14:textId="31013459" w:rsidR="005B26C7" w:rsidRPr="005948DE" w:rsidRDefault="009218D6" w:rsidP="005948DE">
      <w:pPr>
        <w:spacing w:after="0" w:line="276" w:lineRule="auto"/>
        <w:jc w:val="both"/>
        <w:rPr>
          <w:rFonts w:ascii="Times New Roman" w:hAnsi="Times New Roman" w:cs="Times New Roman"/>
          <w:iCs/>
        </w:rPr>
      </w:pPr>
      <w:r>
        <w:rPr>
          <w:rFonts w:ascii="Times New Roman" w:hAnsi="Times New Roman" w:cs="Times New Roman"/>
        </w:rPr>
        <w:t xml:space="preserve">The </w:t>
      </w:r>
      <w:r w:rsidR="005B26C7" w:rsidRPr="005948DE">
        <w:rPr>
          <w:rFonts w:ascii="Times New Roman" w:hAnsi="Times New Roman" w:cs="Times New Roman"/>
          <w:iCs/>
        </w:rPr>
        <w:t xml:space="preserve">MCTI, shall: </w:t>
      </w:r>
    </w:p>
    <w:p w14:paraId="569DE33C" w14:textId="77777777" w:rsidR="005B26C7" w:rsidRPr="005948DE" w:rsidRDefault="005B26C7" w:rsidP="005948DE">
      <w:pPr>
        <w:pStyle w:val="ListParagraph"/>
        <w:spacing w:line="276" w:lineRule="auto"/>
        <w:jc w:val="both"/>
        <w:rPr>
          <w:rFonts w:ascii="Times New Roman" w:hAnsi="Times New Roman" w:cs="Times New Roman"/>
          <w:iCs/>
        </w:rPr>
      </w:pPr>
    </w:p>
    <w:p w14:paraId="22ABB0F0" w14:textId="0B8EDBC9" w:rsidR="005B26C7" w:rsidRPr="005948DE" w:rsidRDefault="005B26C7" w:rsidP="005948DE">
      <w:pPr>
        <w:pStyle w:val="ListParagraph"/>
        <w:numPr>
          <w:ilvl w:val="0"/>
          <w:numId w:val="703"/>
        </w:numPr>
        <w:spacing w:after="0" w:line="276" w:lineRule="auto"/>
        <w:ind w:left="1440" w:hanging="720"/>
        <w:jc w:val="both"/>
        <w:rPr>
          <w:rFonts w:ascii="Times New Roman" w:hAnsi="Times New Roman" w:cs="Times New Roman"/>
          <w:iCs/>
        </w:rPr>
      </w:pPr>
      <w:r w:rsidRPr="005948DE">
        <w:rPr>
          <w:rFonts w:ascii="Times New Roman" w:hAnsi="Times New Roman" w:cs="Times New Roman"/>
          <w:iCs/>
        </w:rPr>
        <w:t xml:space="preserve">provide payments to interns </w:t>
      </w:r>
      <w:r w:rsidRPr="005948DE">
        <w:rPr>
          <w:rFonts w:ascii="Times New Roman" w:hAnsi="Times New Roman" w:cs="Times New Roman"/>
        </w:rPr>
        <w:t xml:space="preserve">to finance all or a portion of the costs of their participation in the </w:t>
      </w:r>
      <w:r w:rsidRPr="005948DE">
        <w:rPr>
          <w:rFonts w:ascii="Times New Roman" w:hAnsi="Times New Roman" w:cs="Times New Roman"/>
          <w:iCs/>
        </w:rPr>
        <w:t xml:space="preserve">Internship Program under Part </w:t>
      </w:r>
      <w:r w:rsidR="003961ED" w:rsidRPr="005948DE">
        <w:rPr>
          <w:rFonts w:ascii="Times New Roman" w:hAnsi="Times New Roman" w:cs="Times New Roman"/>
          <w:iCs/>
        </w:rPr>
        <w:t xml:space="preserve">2.2 </w:t>
      </w:r>
      <w:r w:rsidR="00AF3A3E" w:rsidRPr="005948DE">
        <w:rPr>
          <w:rFonts w:ascii="Times New Roman" w:hAnsi="Times New Roman" w:cs="Times New Roman"/>
        </w:rPr>
        <w:t>Strengthened infrastructure service delivery enablers</w:t>
      </w:r>
      <w:r w:rsidRPr="005948DE">
        <w:rPr>
          <w:rFonts w:ascii="Times New Roman" w:hAnsi="Times New Roman" w:cs="Times New Roman"/>
          <w:iCs/>
        </w:rPr>
        <w:t>, in a manner acceptable to the Bank, and in accordance with the eligibility criteria</w:t>
      </w:r>
      <w:r w:rsidR="00C25E3E" w:rsidRPr="005948DE">
        <w:rPr>
          <w:rFonts w:ascii="Times New Roman" w:hAnsi="Times New Roman" w:cs="Times New Roman"/>
          <w:iCs/>
        </w:rPr>
        <w:t>.</w:t>
      </w:r>
    </w:p>
    <w:p w14:paraId="25AE1596" w14:textId="164202B7" w:rsidR="00580F59" w:rsidRPr="005948DE" w:rsidRDefault="00C25E3E" w:rsidP="005948DE">
      <w:pPr>
        <w:pStyle w:val="ListParagraph"/>
        <w:numPr>
          <w:ilvl w:val="0"/>
          <w:numId w:val="703"/>
        </w:numPr>
        <w:spacing w:after="0" w:line="276" w:lineRule="auto"/>
        <w:ind w:left="1440" w:hanging="720"/>
        <w:jc w:val="both"/>
        <w:rPr>
          <w:rFonts w:ascii="Times New Roman" w:hAnsi="Times New Roman" w:cs="Times New Roman"/>
          <w:iCs/>
        </w:rPr>
      </w:pPr>
      <w:r w:rsidRPr="005948DE">
        <w:rPr>
          <w:rFonts w:ascii="Times New Roman" w:hAnsi="Times New Roman" w:cs="Times New Roman"/>
          <w:iCs/>
        </w:rPr>
        <w:t xml:space="preserve">The duration of the internship will be between </w:t>
      </w:r>
      <w:r w:rsidR="00160CCF" w:rsidRPr="005948DE">
        <w:rPr>
          <w:rFonts w:ascii="Times New Roman" w:eastAsia="MS Mincho" w:hAnsi="Times New Roman" w:cs="Times New Roman"/>
        </w:rPr>
        <w:t xml:space="preserve">three to six </w:t>
      </w:r>
      <w:r w:rsidRPr="005948DE">
        <w:rPr>
          <w:rFonts w:ascii="Times New Roman" w:hAnsi="Times New Roman" w:cs="Times New Roman"/>
          <w:iCs/>
        </w:rPr>
        <w:t>months</w:t>
      </w:r>
      <w:r w:rsidR="00580F59" w:rsidRPr="005948DE">
        <w:rPr>
          <w:rFonts w:ascii="Times New Roman" w:hAnsi="Times New Roman" w:cs="Times New Roman"/>
          <w:iCs/>
        </w:rPr>
        <w:t xml:space="preserve"> and shall be fairly remunerated in line with Labor legislation. </w:t>
      </w:r>
    </w:p>
    <w:p w14:paraId="77917DD9" w14:textId="3C99F038" w:rsidR="00580F59" w:rsidRPr="005948DE" w:rsidRDefault="00580F59" w:rsidP="005948DE">
      <w:pPr>
        <w:pStyle w:val="ListParagraph"/>
        <w:numPr>
          <w:ilvl w:val="0"/>
          <w:numId w:val="703"/>
        </w:numPr>
        <w:spacing w:after="0" w:line="276" w:lineRule="auto"/>
        <w:ind w:left="1440" w:hanging="720"/>
        <w:jc w:val="both"/>
        <w:rPr>
          <w:rFonts w:ascii="Times New Roman" w:hAnsi="Times New Roman" w:cs="Times New Roman"/>
          <w:iCs/>
        </w:rPr>
      </w:pPr>
      <w:r w:rsidRPr="005948DE">
        <w:rPr>
          <w:rFonts w:ascii="Times New Roman" w:hAnsi="Times New Roman" w:cs="Times New Roman"/>
          <w:iCs/>
        </w:rPr>
        <w:t>The maximum number of accumulated payments per internship cycle to any intern in the Internship Program under the Project shall be the equivalent of [$3000].</w:t>
      </w:r>
    </w:p>
    <w:p w14:paraId="2FAF9F76" w14:textId="78732770" w:rsidR="005B26C7" w:rsidRPr="005948DE" w:rsidRDefault="005B26C7" w:rsidP="005948DE">
      <w:pPr>
        <w:pStyle w:val="ListParagraph"/>
        <w:numPr>
          <w:ilvl w:val="0"/>
          <w:numId w:val="703"/>
        </w:numPr>
        <w:spacing w:after="0" w:line="276" w:lineRule="auto"/>
        <w:ind w:left="1440" w:hanging="720"/>
        <w:jc w:val="both"/>
        <w:rPr>
          <w:rFonts w:ascii="Times New Roman" w:hAnsi="Times New Roman" w:cs="Times New Roman"/>
          <w:iCs/>
        </w:rPr>
      </w:pPr>
      <w:r w:rsidRPr="005948DE">
        <w:rPr>
          <w:rFonts w:ascii="Times New Roman" w:hAnsi="Times New Roman" w:cs="Times New Roman"/>
          <w:iCs/>
        </w:rPr>
        <w:t xml:space="preserve">Ensure that payments are disbursed to interns (i) in accordance with the procedures set forth in the Manual; (ii) in accordance with the applicable provisions of the Anti-Corruption Guidelines governing recipients of Loan proceeds other than the </w:t>
      </w:r>
      <w:r w:rsidRPr="004B03E6">
        <w:rPr>
          <w:rFonts w:ascii="Times New Roman" w:hAnsi="Times New Roman" w:cs="Times New Roman"/>
          <w:iCs/>
        </w:rPr>
        <w:t>Borrower</w:t>
      </w:r>
      <w:r w:rsidRPr="005948DE">
        <w:rPr>
          <w:rFonts w:ascii="Times New Roman" w:hAnsi="Times New Roman" w:cs="Times New Roman"/>
          <w:iCs/>
        </w:rPr>
        <w:t>; (iii) in a timely fashion; and (iv) with due diligence and efficiency; and</w:t>
      </w:r>
    </w:p>
    <w:p w14:paraId="37C76FA7" w14:textId="23587EE6" w:rsidR="005B26C7" w:rsidRPr="005948DE" w:rsidRDefault="005B26C7" w:rsidP="005948DE">
      <w:pPr>
        <w:pStyle w:val="ListParagraph"/>
        <w:numPr>
          <w:ilvl w:val="0"/>
          <w:numId w:val="703"/>
        </w:numPr>
        <w:spacing w:after="0" w:line="276" w:lineRule="auto"/>
        <w:ind w:left="1440" w:hanging="720"/>
        <w:jc w:val="both"/>
        <w:rPr>
          <w:rFonts w:ascii="Times New Roman" w:hAnsi="Times New Roman" w:cs="Times New Roman"/>
          <w:iCs/>
        </w:rPr>
      </w:pPr>
      <w:r w:rsidRPr="005948DE">
        <w:rPr>
          <w:rFonts w:ascii="Times New Roman" w:hAnsi="Times New Roman" w:cs="Times New Roman"/>
        </w:rPr>
        <w:t xml:space="preserve">Formalize a cooperation agreement, under terms </w:t>
      </w:r>
      <w:r w:rsidR="00580F59" w:rsidRPr="005948DE">
        <w:rPr>
          <w:rFonts w:ascii="Times New Roman" w:hAnsi="Times New Roman" w:cs="Times New Roman"/>
        </w:rPr>
        <w:t>to be approved by the Bank</w:t>
      </w:r>
      <w:r w:rsidRPr="005948DE">
        <w:rPr>
          <w:rFonts w:ascii="Times New Roman" w:hAnsi="Times New Roman" w:cs="Times New Roman"/>
        </w:rPr>
        <w:t xml:space="preserve">, with at least one </w:t>
      </w:r>
      <w:r w:rsidR="009218D6">
        <w:rPr>
          <w:rFonts w:ascii="Times New Roman" w:hAnsi="Times New Roman" w:cs="Times New Roman"/>
        </w:rPr>
        <w:t>Serbia</w:t>
      </w:r>
      <w:r w:rsidRPr="005948DE">
        <w:rPr>
          <w:rFonts w:ascii="Times New Roman" w:hAnsi="Times New Roman" w:cs="Times New Roman"/>
        </w:rPr>
        <w:t xml:space="preserve">-based university with an existing engineering program which </w:t>
      </w:r>
      <w:r w:rsidR="00C25E3E" w:rsidRPr="005948DE">
        <w:rPr>
          <w:rFonts w:ascii="Times New Roman" w:hAnsi="Times New Roman" w:cs="Times New Roman"/>
        </w:rPr>
        <w:t>includes a</w:t>
      </w:r>
      <w:r w:rsidRPr="005948DE">
        <w:rPr>
          <w:rFonts w:ascii="Times New Roman" w:hAnsi="Times New Roman" w:cs="Times New Roman"/>
        </w:rPr>
        <w:t xml:space="preserve"> broad pool of qualified women candidates.</w:t>
      </w:r>
      <w:r w:rsidR="00580F59" w:rsidRPr="005948DE">
        <w:rPr>
          <w:rFonts w:ascii="Times New Roman" w:hAnsi="Times New Roman" w:cs="Times New Roman"/>
        </w:rPr>
        <w:t xml:space="preserve"> </w:t>
      </w:r>
      <w:r w:rsidR="003961ED" w:rsidRPr="005948DE">
        <w:rPr>
          <w:rFonts w:ascii="Times New Roman" w:hAnsi="Times New Roman" w:cs="Times New Roman"/>
        </w:rPr>
        <w:t>Cooperation Agreements shall be sent in draft forms for prior review to the Bank and shall include eligibility and selection criteria including requirements for stakeholder engagement among the pool of candidates.</w:t>
      </w:r>
    </w:p>
    <w:p w14:paraId="4E81FCD5" w14:textId="0BEE314D" w:rsidR="005B26C7" w:rsidRPr="005948DE" w:rsidRDefault="005B26C7" w:rsidP="005948DE">
      <w:pPr>
        <w:spacing w:after="0" w:line="276" w:lineRule="auto"/>
        <w:jc w:val="both"/>
        <w:rPr>
          <w:rFonts w:ascii="Times New Roman" w:hAnsi="Times New Roman" w:cs="Times New Roman"/>
          <w:iCs/>
        </w:rPr>
      </w:pPr>
    </w:p>
    <w:p w14:paraId="4D6A4DFF" w14:textId="588F6221" w:rsidR="000F154B" w:rsidRPr="005948DE" w:rsidRDefault="000F154B" w:rsidP="005948DE">
      <w:pPr>
        <w:shd w:val="clear" w:color="auto" w:fill="FFFFFF"/>
        <w:spacing w:after="225" w:line="276" w:lineRule="auto"/>
        <w:jc w:val="both"/>
        <w:rPr>
          <w:rFonts w:ascii="Times New Roman" w:eastAsia="Times New Roman" w:hAnsi="Times New Roman" w:cs="Times New Roman"/>
          <w:color w:val="333333"/>
          <w:lang w:eastAsia="en-GB"/>
        </w:rPr>
      </w:pPr>
      <w:r w:rsidRPr="005948DE">
        <w:rPr>
          <w:rFonts w:ascii="Times New Roman" w:eastAsia="Times New Roman" w:hAnsi="Times New Roman" w:cs="Times New Roman"/>
          <w:color w:val="333333"/>
          <w:lang w:eastAsia="en-GB"/>
        </w:rPr>
        <w:t>Implementing the Internship Program will comprise of the following actions:</w:t>
      </w:r>
    </w:p>
    <w:p w14:paraId="6DBA0B28" w14:textId="62564485" w:rsidR="00BE5CFF" w:rsidRPr="005948DE" w:rsidRDefault="00722ABD" w:rsidP="005948DE">
      <w:pPr>
        <w:shd w:val="clear" w:color="auto" w:fill="FFFFFF"/>
        <w:spacing w:after="225" w:line="276" w:lineRule="auto"/>
        <w:jc w:val="both"/>
        <w:rPr>
          <w:rFonts w:ascii="Times New Roman" w:eastAsia="Times New Roman" w:hAnsi="Times New Roman" w:cs="Times New Roman"/>
          <w:color w:val="333333"/>
          <w:lang w:eastAsia="en-GB"/>
        </w:rPr>
      </w:pPr>
      <w:r w:rsidRPr="005948DE">
        <w:rPr>
          <w:rFonts w:ascii="Times New Roman" w:hAnsi="Times New Roman" w:cs="Times New Roman"/>
          <w:noProof/>
          <w:lang w:val="en-US"/>
        </w:rPr>
        <w:drawing>
          <wp:inline distT="0" distB="0" distL="0" distR="0" wp14:anchorId="16B0AADA" wp14:editId="3CD0B804">
            <wp:extent cx="5687251" cy="3118474"/>
            <wp:effectExtent l="0" t="0" r="8890" b="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r w:rsidR="00BE5CFF" w:rsidRPr="005948DE">
        <w:rPr>
          <w:rFonts w:ascii="Times New Roman" w:eastAsia="Times New Roman" w:hAnsi="Times New Roman" w:cs="Times New Roman"/>
          <w:color w:val="333333"/>
          <w:lang w:eastAsia="en-GB"/>
        </w:rPr>
        <w:br/>
      </w:r>
      <w:r w:rsidR="00BE5CFF" w:rsidRPr="005948DE">
        <w:rPr>
          <w:rFonts w:ascii="Times New Roman" w:eastAsia="Times New Roman" w:hAnsi="Times New Roman" w:cs="Times New Roman"/>
          <w:color w:val="333333"/>
          <w:lang w:eastAsia="en-GB"/>
        </w:rPr>
        <w:br/>
      </w:r>
    </w:p>
    <w:p w14:paraId="651B53F1" w14:textId="3BB98728" w:rsidR="00241A83" w:rsidRPr="005948DE" w:rsidRDefault="00241A83" w:rsidP="005948DE">
      <w:pPr>
        <w:spacing w:line="276" w:lineRule="auto"/>
        <w:jc w:val="both"/>
        <w:rPr>
          <w:rFonts w:ascii="Times New Roman" w:eastAsiaTheme="majorEastAsia" w:hAnsi="Times New Roman" w:cs="Times New Roman"/>
          <w:b/>
          <w:bCs/>
          <w:color w:val="0066FF"/>
        </w:rPr>
      </w:pPr>
      <w:bookmarkStart w:id="253" w:name="_Toc89024862"/>
      <w:bookmarkStart w:id="254" w:name="_Toc89024863"/>
      <w:bookmarkStart w:id="255" w:name="_Toc89024864"/>
      <w:bookmarkStart w:id="256" w:name="_Toc89024865"/>
      <w:bookmarkStart w:id="257" w:name="_Toc89024866"/>
      <w:bookmarkStart w:id="258" w:name="_Toc89024867"/>
      <w:bookmarkStart w:id="259" w:name="_Toc89024868"/>
      <w:bookmarkStart w:id="260" w:name="_Toc89024869"/>
      <w:bookmarkStart w:id="261" w:name="_Toc89024870"/>
      <w:bookmarkStart w:id="262" w:name="_Toc89024871"/>
      <w:bookmarkStart w:id="263" w:name="_Toc89024872"/>
      <w:bookmarkStart w:id="264" w:name="_Toc89024873"/>
      <w:bookmarkStart w:id="265" w:name="_Toc89024874"/>
      <w:bookmarkStart w:id="266" w:name="_Toc89024875"/>
      <w:bookmarkStart w:id="267" w:name="_Toc89024876"/>
      <w:bookmarkStart w:id="268" w:name="_Toc89024877"/>
      <w:bookmarkStart w:id="269" w:name="_Toc89024878"/>
      <w:bookmarkStart w:id="270" w:name="_Toc89024879"/>
      <w:bookmarkStart w:id="271" w:name="_Toc89024880"/>
      <w:bookmarkStart w:id="272" w:name="_Toc89024881"/>
      <w:bookmarkStart w:id="273" w:name="_Toc89024882"/>
      <w:bookmarkStart w:id="274" w:name="_Toc89024883"/>
      <w:bookmarkStart w:id="275" w:name="_Toc89024884"/>
      <w:bookmarkStart w:id="276" w:name="_Toc89024885"/>
      <w:bookmarkStart w:id="277" w:name="_Toc89024886"/>
      <w:bookmarkStart w:id="278" w:name="_Toc89024887"/>
      <w:bookmarkStart w:id="279" w:name="_Toc89024888"/>
      <w:bookmarkStart w:id="280" w:name="_Toc89024889"/>
      <w:bookmarkStart w:id="281" w:name="_Toc89024890"/>
      <w:bookmarkStart w:id="282" w:name="_Toc89024891"/>
      <w:bookmarkStart w:id="283" w:name="_Toc89024892"/>
      <w:bookmarkStart w:id="284" w:name="_Toc89024893"/>
      <w:bookmarkStart w:id="285" w:name="_Toc89024894"/>
      <w:bookmarkStart w:id="286" w:name="_Toc89024895"/>
      <w:bookmarkStart w:id="287" w:name="_Toc89024896"/>
      <w:bookmarkStart w:id="288" w:name="_Toc89024897"/>
      <w:bookmarkStart w:id="289" w:name="_Toc89024898"/>
      <w:bookmarkStart w:id="290" w:name="_Toc89024899"/>
      <w:bookmarkStart w:id="291" w:name="_Toc89024900"/>
      <w:bookmarkStart w:id="292" w:name="_Toc89024901"/>
      <w:bookmarkStart w:id="293" w:name="_Toc89024902"/>
      <w:bookmarkStart w:id="294" w:name="_Toc89024903"/>
      <w:bookmarkStart w:id="295" w:name="_Toc89024904"/>
      <w:bookmarkStart w:id="296" w:name="_Toc89024905"/>
      <w:bookmarkStart w:id="297" w:name="_Toc89024906"/>
      <w:bookmarkStart w:id="298" w:name="_Toc89024907"/>
      <w:bookmarkStart w:id="299" w:name="_Toc89024908"/>
      <w:bookmarkStart w:id="300" w:name="_Toc89024909"/>
      <w:bookmarkStart w:id="301" w:name="_Toc89024910"/>
      <w:bookmarkStart w:id="302" w:name="_Toc89024911"/>
      <w:bookmarkStart w:id="303" w:name="_Toc89024912"/>
      <w:bookmarkStart w:id="304" w:name="_Toc89024913"/>
      <w:bookmarkStart w:id="305" w:name="_Toc89024914"/>
      <w:bookmarkStart w:id="306" w:name="_Toc89024915"/>
      <w:bookmarkStart w:id="307" w:name="_Toc89024916"/>
      <w:bookmarkStart w:id="308" w:name="_Toc89024917"/>
      <w:bookmarkStart w:id="309" w:name="_Toc89024918"/>
      <w:bookmarkStart w:id="310" w:name="_Toc89024919"/>
      <w:bookmarkStart w:id="311" w:name="_Toc89024920"/>
      <w:bookmarkStart w:id="312" w:name="_Toc89024921"/>
      <w:bookmarkStart w:id="313" w:name="_Toc89024922"/>
      <w:bookmarkStart w:id="314" w:name="_Toc89024923"/>
      <w:bookmarkStart w:id="315" w:name="_Toc89024924"/>
      <w:bookmarkStart w:id="316" w:name="_Toc89024925"/>
      <w:bookmarkStart w:id="317" w:name="_Toc89024926"/>
      <w:bookmarkStart w:id="318" w:name="_Toc89024927"/>
      <w:bookmarkStart w:id="319" w:name="_Toc89024928"/>
      <w:bookmarkStart w:id="320" w:name="_Toc89024929"/>
      <w:bookmarkStart w:id="321" w:name="_Toc89024930"/>
      <w:bookmarkStart w:id="322" w:name="_Toc89024931"/>
      <w:bookmarkStart w:id="323" w:name="_Toc89024932"/>
      <w:bookmarkStart w:id="324" w:name="_Toc89024933"/>
      <w:bookmarkStart w:id="325" w:name="_Toc89024934"/>
      <w:bookmarkStart w:id="326" w:name="_Toc89024935"/>
      <w:bookmarkStart w:id="327" w:name="_Toc89024936"/>
      <w:bookmarkStart w:id="328" w:name="_Toc89024937"/>
      <w:bookmarkStart w:id="329" w:name="_Toc89024938"/>
      <w:bookmarkStart w:id="330" w:name="_Toc89024939"/>
      <w:bookmarkStart w:id="331" w:name="_Toc89024940"/>
      <w:bookmarkStart w:id="332" w:name="_Toc89024941"/>
      <w:bookmarkStart w:id="333" w:name="_Toc89024942"/>
      <w:bookmarkStart w:id="334" w:name="_Toc89024943"/>
      <w:bookmarkStart w:id="335" w:name="_Toc89024944"/>
      <w:bookmarkStart w:id="336" w:name="_Toc89024945"/>
      <w:bookmarkStart w:id="337" w:name="_Toc89024946"/>
      <w:bookmarkStart w:id="338" w:name="_Toc89024947"/>
      <w:bookmarkStart w:id="339" w:name="_Toc89024948"/>
      <w:bookmarkStart w:id="340" w:name="_Toc89024949"/>
      <w:bookmarkStart w:id="341" w:name="_Toc89024950"/>
      <w:bookmarkStart w:id="342" w:name="_Toc89024951"/>
      <w:bookmarkStart w:id="343" w:name="_Toc89024952"/>
      <w:bookmarkStart w:id="344" w:name="_Toc89024953"/>
      <w:bookmarkStart w:id="345" w:name="_Toc89024954"/>
      <w:bookmarkStart w:id="346" w:name="_Toc89024955"/>
      <w:bookmarkStart w:id="347" w:name="_Toc89024956"/>
      <w:bookmarkStart w:id="348" w:name="_Toc89024957"/>
      <w:bookmarkStart w:id="349" w:name="_Toc89024958"/>
      <w:bookmarkStart w:id="350" w:name="_Toc89024959"/>
      <w:bookmarkStart w:id="351" w:name="_Toc89024960"/>
      <w:bookmarkStart w:id="352" w:name="_Toc89024961"/>
      <w:bookmarkStart w:id="353" w:name="_Toc89024962"/>
      <w:bookmarkStart w:id="354" w:name="_Toc89024963"/>
      <w:bookmarkStart w:id="355" w:name="_Toc89024964"/>
      <w:bookmarkStart w:id="356" w:name="_Toc89024965"/>
      <w:bookmarkStart w:id="357" w:name="_Toc89024966"/>
      <w:bookmarkStart w:id="358" w:name="_Toc89024967"/>
      <w:bookmarkStart w:id="359" w:name="_Toc89024968"/>
      <w:bookmarkStart w:id="360" w:name="_Toc89024969"/>
      <w:bookmarkStart w:id="361" w:name="_Toc89024970"/>
      <w:bookmarkStart w:id="362" w:name="_Toc89024971"/>
      <w:bookmarkStart w:id="363" w:name="_Toc89024972"/>
      <w:bookmarkStart w:id="364" w:name="_Toc89024973"/>
      <w:bookmarkStart w:id="365" w:name="_Toc89024974"/>
      <w:bookmarkStart w:id="366" w:name="_Toc89024975"/>
      <w:bookmarkStart w:id="367" w:name="_Toc89024976"/>
      <w:bookmarkStart w:id="368" w:name="_Toc89024977"/>
      <w:bookmarkStart w:id="369" w:name="_Toc89024978"/>
      <w:bookmarkStart w:id="370" w:name="_Toc89024979"/>
      <w:bookmarkStart w:id="371" w:name="_Toc89024980"/>
      <w:bookmarkStart w:id="372" w:name="_Toc89024981"/>
      <w:bookmarkStart w:id="373" w:name="_Toc89024982"/>
      <w:bookmarkStart w:id="374" w:name="_Toc89024983"/>
      <w:bookmarkStart w:id="375" w:name="_Toc89024984"/>
      <w:bookmarkStart w:id="376" w:name="_Toc89024985"/>
      <w:bookmarkStart w:id="377" w:name="_Toc89024986"/>
      <w:bookmarkStart w:id="378" w:name="_Toc89024987"/>
      <w:bookmarkStart w:id="379" w:name="_Toc89024988"/>
      <w:bookmarkStart w:id="380" w:name="_Toc89024989"/>
      <w:bookmarkStart w:id="381" w:name="_Toc89024990"/>
      <w:bookmarkStart w:id="382" w:name="_Toc89024991"/>
      <w:bookmarkStart w:id="383" w:name="_Toc89024992"/>
      <w:bookmarkStart w:id="384" w:name="_Toc89024993"/>
      <w:bookmarkStart w:id="385" w:name="_Toc89024994"/>
      <w:bookmarkStart w:id="386" w:name="_Toc89024995"/>
      <w:bookmarkStart w:id="387" w:name="_Toc89024996"/>
      <w:bookmarkStart w:id="388" w:name="_Toc89024997"/>
      <w:bookmarkStart w:id="389" w:name="_Toc89024998"/>
      <w:bookmarkStart w:id="390" w:name="_Toc89024999"/>
      <w:bookmarkStart w:id="391" w:name="_Toc89025000"/>
      <w:bookmarkStart w:id="392" w:name="_Toc89025001"/>
      <w:bookmarkStart w:id="393" w:name="_Toc89025002"/>
      <w:bookmarkStart w:id="394" w:name="_Toc89025003"/>
      <w:bookmarkStart w:id="395" w:name="_Toc89025004"/>
      <w:bookmarkStart w:id="396" w:name="_Toc89025005"/>
      <w:bookmarkStart w:id="397" w:name="_Toc89025006"/>
      <w:bookmarkStart w:id="398" w:name="_Toc89025007"/>
      <w:bookmarkStart w:id="399" w:name="_Toc89025008"/>
      <w:bookmarkStart w:id="400" w:name="_Toc89025009"/>
      <w:bookmarkStart w:id="401" w:name="_Toc89025010"/>
      <w:bookmarkStart w:id="402" w:name="_Toc89025011"/>
      <w:bookmarkStart w:id="403" w:name="_Toc89025012"/>
      <w:bookmarkStart w:id="404" w:name="_Toc89025013"/>
      <w:bookmarkStart w:id="405" w:name="_Toc89025014"/>
      <w:bookmarkStart w:id="406" w:name="_Toc89025015"/>
      <w:bookmarkStart w:id="407" w:name="_Toc89025016"/>
      <w:bookmarkStart w:id="408" w:name="_Toc89025017"/>
      <w:bookmarkStart w:id="409" w:name="_Toc89025018"/>
      <w:bookmarkStart w:id="410" w:name="_Toc89025019"/>
      <w:bookmarkStart w:id="411" w:name="_Toc89025020"/>
      <w:bookmarkStart w:id="412" w:name="_Toc89025021"/>
      <w:bookmarkStart w:id="413" w:name="_Toc89025022"/>
      <w:bookmarkStart w:id="414" w:name="_Toc89025023"/>
      <w:bookmarkStart w:id="415" w:name="_Toc89025024"/>
      <w:bookmarkStart w:id="416" w:name="_Toc89025025"/>
      <w:bookmarkStart w:id="417" w:name="_Toc89025026"/>
      <w:bookmarkStart w:id="418" w:name="_Toc89025027"/>
      <w:bookmarkStart w:id="419" w:name="_Toc89025028"/>
      <w:bookmarkStart w:id="420" w:name="_Toc89025029"/>
      <w:bookmarkStart w:id="421" w:name="_Toc89025030"/>
      <w:bookmarkStart w:id="422" w:name="_Toc89025031"/>
      <w:bookmarkStart w:id="423" w:name="_Toc89025032"/>
      <w:bookmarkStart w:id="424" w:name="_Toc89025033"/>
      <w:bookmarkStart w:id="425" w:name="_Toc89025034"/>
      <w:bookmarkStart w:id="426" w:name="_Toc89025035"/>
      <w:bookmarkStart w:id="427" w:name="_Toc89025036"/>
      <w:bookmarkStart w:id="428" w:name="_Toc89025037"/>
      <w:bookmarkStart w:id="429" w:name="_Toc89025038"/>
      <w:bookmarkStart w:id="430" w:name="_Toc89025039"/>
      <w:bookmarkStart w:id="431" w:name="_Toc89025040"/>
      <w:bookmarkStart w:id="432" w:name="_Toc89025041"/>
      <w:bookmarkStart w:id="433" w:name="_Toc89025042"/>
      <w:bookmarkStart w:id="434" w:name="_Toc89025043"/>
      <w:bookmarkStart w:id="435" w:name="_Toc89025044"/>
      <w:bookmarkStart w:id="436" w:name="_Toc89025045"/>
      <w:bookmarkStart w:id="437" w:name="_Toc89025046"/>
      <w:bookmarkStart w:id="438" w:name="_Toc89025047"/>
      <w:bookmarkStart w:id="439" w:name="_Toc89025048"/>
      <w:bookmarkStart w:id="440" w:name="_Toc89025049"/>
      <w:bookmarkStart w:id="441" w:name="_Toc89025050"/>
      <w:bookmarkStart w:id="442" w:name="_Toc89025051"/>
      <w:bookmarkStart w:id="443" w:name="_Toc89025052"/>
      <w:bookmarkStart w:id="444" w:name="_Toc89025053"/>
      <w:bookmarkStart w:id="445" w:name="_Toc89025054"/>
      <w:bookmarkStart w:id="446" w:name="_Toc89025055"/>
      <w:bookmarkStart w:id="447" w:name="_Toc89025056"/>
      <w:bookmarkStart w:id="448" w:name="_Toc89025057"/>
      <w:bookmarkStart w:id="449" w:name="_Toc89025058"/>
      <w:bookmarkStart w:id="450" w:name="_Toc89025059"/>
      <w:bookmarkStart w:id="451" w:name="_Toc89025060"/>
      <w:bookmarkStart w:id="452" w:name="_Toc89025061"/>
      <w:bookmarkStart w:id="453" w:name="_Toc89025062"/>
      <w:bookmarkStart w:id="454" w:name="_Toc89025063"/>
      <w:bookmarkStart w:id="455" w:name="_Toc89025064"/>
      <w:bookmarkStart w:id="456" w:name="_Toc89025065"/>
      <w:bookmarkStart w:id="457" w:name="_Toc89025066"/>
      <w:bookmarkStart w:id="458" w:name="_Toc89025067"/>
      <w:bookmarkStart w:id="459" w:name="_Toc89025068"/>
      <w:bookmarkStart w:id="460" w:name="_Toc89025069"/>
      <w:bookmarkStart w:id="461" w:name="_Toc89025070"/>
      <w:bookmarkStart w:id="462" w:name="_Toc89025071"/>
      <w:bookmarkStart w:id="463" w:name="_Toc89025072"/>
      <w:bookmarkStart w:id="464" w:name="_Toc89025073"/>
      <w:bookmarkStart w:id="465" w:name="_Toc89025074"/>
      <w:bookmarkStart w:id="466" w:name="_Toc89025075"/>
      <w:bookmarkStart w:id="467" w:name="_Toc89025076"/>
      <w:bookmarkStart w:id="468" w:name="_Toc89025077"/>
      <w:bookmarkStart w:id="469" w:name="_Toc89025078"/>
      <w:bookmarkStart w:id="470" w:name="_Toc89025079"/>
      <w:bookmarkStart w:id="471" w:name="_Toc89025080"/>
      <w:bookmarkStart w:id="472" w:name="_Toc89025081"/>
      <w:bookmarkStart w:id="473" w:name="_Toc89025082"/>
      <w:bookmarkStart w:id="474" w:name="_Toc89025083"/>
      <w:bookmarkStart w:id="475" w:name="_Toc89025084"/>
      <w:bookmarkStart w:id="476" w:name="_Toc89025085"/>
      <w:bookmarkStart w:id="477" w:name="_Toc89025086"/>
      <w:bookmarkStart w:id="478" w:name="_Toc89025087"/>
      <w:bookmarkStart w:id="479" w:name="_Toc324499917"/>
      <w:bookmarkStart w:id="480" w:name="_Toc409617870"/>
      <w:bookmarkStart w:id="481" w:name="_Toc413926299"/>
      <w:bookmarkStart w:id="482" w:name="_Toc447615241"/>
      <w:bookmarkStart w:id="483" w:name="_Toc455741830"/>
      <w:bookmarkStart w:id="484" w:name="_Toc455742143"/>
      <w:bookmarkStart w:id="485" w:name="_Toc324499923"/>
      <w:bookmarkStart w:id="486" w:name="_Toc409617876"/>
      <w:bookmarkStart w:id="487" w:name="_Toc413926305"/>
      <w:bookmarkStart w:id="488" w:name="_Toc447615247"/>
      <w:bookmarkStart w:id="489" w:name="_Toc455741836"/>
      <w:bookmarkStart w:id="490" w:name="_Toc455742149"/>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r w:rsidRPr="005948DE">
        <w:rPr>
          <w:rFonts w:ascii="Times New Roman" w:hAnsi="Times New Roman" w:cs="Times New Roman"/>
          <w:smallCaps/>
          <w:color w:val="0066FF"/>
        </w:rPr>
        <w:br w:type="page"/>
      </w:r>
    </w:p>
    <w:p w14:paraId="2C693F5F" w14:textId="15090138" w:rsidR="00C55550" w:rsidRPr="005948DE" w:rsidRDefault="00C55550" w:rsidP="005948DE">
      <w:pPr>
        <w:pStyle w:val="Heading1"/>
        <w:numPr>
          <w:ilvl w:val="0"/>
          <w:numId w:val="330"/>
        </w:numPr>
        <w:pBdr>
          <w:bottom w:val="none" w:sz="0" w:space="0" w:color="auto"/>
        </w:pBdr>
        <w:spacing w:line="276" w:lineRule="auto"/>
        <w:ind w:left="431" w:hanging="431"/>
        <w:jc w:val="both"/>
        <w:rPr>
          <w:rFonts w:ascii="Times New Roman" w:hAnsi="Times New Roman" w:cs="Times New Roman"/>
          <w:smallCaps w:val="0"/>
          <w:color w:val="auto"/>
          <w:sz w:val="30"/>
          <w:szCs w:val="30"/>
        </w:rPr>
      </w:pPr>
      <w:bookmarkStart w:id="491" w:name="_Toc89025097"/>
      <w:bookmarkStart w:id="492" w:name="_Toc89025098"/>
      <w:bookmarkStart w:id="493" w:name="_Toc460112590"/>
      <w:bookmarkStart w:id="494" w:name="_Toc88732358"/>
      <w:bookmarkStart w:id="495" w:name="_Toc93342246"/>
      <w:bookmarkStart w:id="496" w:name="_Hlk90063439"/>
      <w:bookmarkEnd w:id="491"/>
      <w:bookmarkEnd w:id="492"/>
      <w:r w:rsidRPr="005948DE">
        <w:rPr>
          <w:rFonts w:ascii="Times New Roman" w:hAnsi="Times New Roman" w:cs="Times New Roman"/>
          <w:smallCaps w:val="0"/>
          <w:color w:val="auto"/>
          <w:sz w:val="30"/>
          <w:szCs w:val="30"/>
        </w:rPr>
        <w:t xml:space="preserve">ENVIRONMENTAL AND SOCIAL </w:t>
      </w:r>
      <w:bookmarkEnd w:id="493"/>
      <w:bookmarkEnd w:id="494"/>
      <w:r w:rsidR="0079119F">
        <w:rPr>
          <w:rFonts w:ascii="Times New Roman" w:hAnsi="Times New Roman" w:cs="Times New Roman"/>
          <w:smallCaps w:val="0"/>
          <w:color w:val="auto"/>
          <w:sz w:val="30"/>
          <w:szCs w:val="30"/>
        </w:rPr>
        <w:t>FRAMEWORK</w:t>
      </w:r>
      <w:bookmarkEnd w:id="495"/>
    </w:p>
    <w:bookmarkEnd w:id="496"/>
    <w:p w14:paraId="11A15813" w14:textId="77475273" w:rsidR="00C55550" w:rsidRPr="005948DE" w:rsidRDefault="00C55550" w:rsidP="005948DE">
      <w:pPr>
        <w:spacing w:after="120" w:line="276" w:lineRule="auto"/>
        <w:jc w:val="both"/>
        <w:rPr>
          <w:rFonts w:ascii="Times New Roman" w:hAnsi="Times New Roman" w:cs="Times New Roman"/>
        </w:rPr>
      </w:pPr>
      <w:r w:rsidRPr="005948DE">
        <w:rPr>
          <w:rFonts w:ascii="Times New Roman" w:hAnsi="Times New Roman" w:cs="Times New Roman"/>
        </w:rPr>
        <w:t>In response to the commitment of the Go</w:t>
      </w:r>
      <w:r w:rsidR="009218D6">
        <w:rPr>
          <w:rFonts w:ascii="Times New Roman" w:hAnsi="Times New Roman" w:cs="Times New Roman"/>
        </w:rPr>
        <w:t xml:space="preserve">S </w:t>
      </w:r>
      <w:r w:rsidRPr="005948DE">
        <w:rPr>
          <w:rFonts w:ascii="Times New Roman" w:hAnsi="Times New Roman" w:cs="Times New Roman"/>
        </w:rPr>
        <w:t>to comply with the</w:t>
      </w:r>
      <w:r w:rsidR="00F52CE7" w:rsidRPr="005948DE">
        <w:rPr>
          <w:rFonts w:ascii="Times New Roman" w:hAnsi="Times New Roman" w:cs="Times New Roman"/>
        </w:rPr>
        <w:t xml:space="preserve"> Bank</w:t>
      </w:r>
      <w:r w:rsidR="009218D6">
        <w:rPr>
          <w:rFonts w:ascii="Times New Roman" w:hAnsi="Times New Roman" w:cs="Times New Roman"/>
        </w:rPr>
        <w:t>’s</w:t>
      </w:r>
      <w:r w:rsidR="00F52CE7" w:rsidRPr="005948DE">
        <w:rPr>
          <w:rFonts w:ascii="Times New Roman" w:hAnsi="Times New Roman" w:cs="Times New Roman"/>
        </w:rPr>
        <w:t xml:space="preserve"> Environmental and Social Framework (ESF), effective as of October 1, 2018</w:t>
      </w:r>
      <w:r w:rsidRPr="005948DE">
        <w:rPr>
          <w:rFonts w:ascii="Times New Roman" w:hAnsi="Times New Roman" w:cs="Times New Roman"/>
        </w:rPr>
        <w:t>, prior to Appraisal of the Project a set of documents to manage Environmental and Social risks and</w:t>
      </w:r>
      <w:r w:rsidR="00943B59" w:rsidRPr="005948DE">
        <w:rPr>
          <w:rFonts w:ascii="Times New Roman" w:hAnsi="Times New Roman" w:cs="Times New Roman"/>
        </w:rPr>
        <w:t xml:space="preserve"> </w:t>
      </w:r>
      <w:r w:rsidRPr="005948DE">
        <w:rPr>
          <w:rFonts w:ascii="Times New Roman" w:hAnsi="Times New Roman" w:cs="Times New Roman"/>
        </w:rPr>
        <w:t xml:space="preserve">impacts attributable to the Project and promote good E&amp;S practice </w:t>
      </w:r>
      <w:r w:rsidR="009218D6" w:rsidRPr="005948DE">
        <w:rPr>
          <w:rFonts w:ascii="Times New Roman" w:hAnsi="Times New Roman" w:cs="Times New Roman"/>
        </w:rPr>
        <w:t>ha</w:t>
      </w:r>
      <w:r w:rsidR="009218D6">
        <w:rPr>
          <w:rFonts w:ascii="Times New Roman" w:hAnsi="Times New Roman" w:cs="Times New Roman"/>
        </w:rPr>
        <w:t>s</w:t>
      </w:r>
      <w:r w:rsidR="009218D6" w:rsidRPr="005948DE">
        <w:rPr>
          <w:rFonts w:ascii="Times New Roman" w:hAnsi="Times New Roman" w:cs="Times New Roman"/>
        </w:rPr>
        <w:t xml:space="preserve"> </w:t>
      </w:r>
      <w:r w:rsidRPr="005948DE">
        <w:rPr>
          <w:rFonts w:ascii="Times New Roman" w:hAnsi="Times New Roman" w:cs="Times New Roman"/>
        </w:rPr>
        <w:t>been developed. These are: (i) Environmental and Social Commitment Plan (ESCP), (ii) Environmental and Social Management Framework (ESMF), (iii) Resettlement Policy Framework (RPF)</w:t>
      </w:r>
      <w:r w:rsidR="0079119F">
        <w:rPr>
          <w:rFonts w:ascii="Times New Roman" w:hAnsi="Times New Roman" w:cs="Times New Roman"/>
        </w:rPr>
        <w:t>, (iv) Labor Management Procedures (LMP</w:t>
      </w:r>
      <w:r w:rsidR="007554AE" w:rsidRPr="005948DE">
        <w:rPr>
          <w:rFonts w:ascii="Times New Roman" w:hAnsi="Times New Roman" w:cs="Times New Roman"/>
        </w:rPr>
        <w:t xml:space="preserve"> and </w:t>
      </w:r>
      <w:r w:rsidRPr="005948DE">
        <w:rPr>
          <w:rFonts w:ascii="Times New Roman" w:hAnsi="Times New Roman" w:cs="Times New Roman"/>
        </w:rPr>
        <w:t xml:space="preserve">(iv) </w:t>
      </w:r>
      <w:r w:rsidR="007554AE" w:rsidRPr="005948DE">
        <w:rPr>
          <w:rFonts w:ascii="Times New Roman" w:hAnsi="Times New Roman" w:cs="Times New Roman"/>
        </w:rPr>
        <w:t xml:space="preserve">Project Level </w:t>
      </w:r>
      <w:r w:rsidRPr="005948DE">
        <w:rPr>
          <w:rFonts w:ascii="Times New Roman" w:hAnsi="Times New Roman" w:cs="Times New Roman"/>
        </w:rPr>
        <w:t>Stakeholders Engagement Plan (</w:t>
      </w:r>
      <w:r w:rsidR="007554AE" w:rsidRPr="005948DE">
        <w:rPr>
          <w:rFonts w:ascii="Times New Roman" w:hAnsi="Times New Roman" w:cs="Times New Roman"/>
        </w:rPr>
        <w:t>P</w:t>
      </w:r>
      <w:r w:rsidRPr="005948DE">
        <w:rPr>
          <w:rFonts w:ascii="Times New Roman" w:hAnsi="Times New Roman" w:cs="Times New Roman"/>
        </w:rPr>
        <w:t xml:space="preserve">SEP). Implementation of the Project, approval and implementation of all activities and </w:t>
      </w:r>
      <w:r w:rsidR="00420737" w:rsidRPr="005948DE">
        <w:rPr>
          <w:rFonts w:ascii="Times New Roman" w:hAnsi="Times New Roman" w:cs="Times New Roman"/>
        </w:rPr>
        <w:t>infrastructure investment</w:t>
      </w:r>
      <w:r w:rsidRPr="005948DE">
        <w:rPr>
          <w:rFonts w:ascii="Times New Roman" w:hAnsi="Times New Roman" w:cs="Times New Roman"/>
        </w:rPr>
        <w:t xml:space="preserve">s must be compliant to these documents, the overall ESF and </w:t>
      </w:r>
      <w:r w:rsidR="009218D6">
        <w:rPr>
          <w:rFonts w:ascii="Times New Roman" w:hAnsi="Times New Roman" w:cs="Times New Roman"/>
        </w:rPr>
        <w:t>the Bank’s</w:t>
      </w:r>
      <w:r w:rsidR="009218D6" w:rsidRPr="005948DE">
        <w:rPr>
          <w:rFonts w:ascii="Times New Roman" w:hAnsi="Times New Roman" w:cs="Times New Roman"/>
        </w:rPr>
        <w:t xml:space="preserve"> </w:t>
      </w:r>
      <w:r w:rsidRPr="005948DE">
        <w:rPr>
          <w:rFonts w:ascii="Times New Roman" w:hAnsi="Times New Roman" w:cs="Times New Roman"/>
        </w:rPr>
        <w:t>EHSG</w:t>
      </w:r>
      <w:r w:rsidR="00943B59" w:rsidRPr="005948DE">
        <w:rPr>
          <w:rFonts w:ascii="Times New Roman" w:hAnsi="Times New Roman" w:cs="Times New Roman"/>
        </w:rPr>
        <w:t xml:space="preserve"> </w:t>
      </w:r>
      <w:r w:rsidRPr="005948DE">
        <w:rPr>
          <w:rFonts w:ascii="Times New Roman" w:hAnsi="Times New Roman" w:cs="Times New Roman"/>
        </w:rPr>
        <w:t xml:space="preserve">at minimum at all stages of implementation. These ESF instruments </w:t>
      </w:r>
      <w:r w:rsidR="009218D6">
        <w:rPr>
          <w:rFonts w:ascii="Times New Roman" w:hAnsi="Times New Roman" w:cs="Times New Roman"/>
        </w:rPr>
        <w:t>will be</w:t>
      </w:r>
      <w:r w:rsidR="009218D6" w:rsidRPr="005948DE">
        <w:rPr>
          <w:rFonts w:ascii="Times New Roman" w:hAnsi="Times New Roman" w:cs="Times New Roman"/>
        </w:rPr>
        <w:t xml:space="preserve"> </w:t>
      </w:r>
      <w:r w:rsidRPr="005948DE">
        <w:rPr>
          <w:rFonts w:ascii="Times New Roman" w:hAnsi="Times New Roman" w:cs="Times New Roman"/>
        </w:rPr>
        <w:t xml:space="preserve">available at the </w:t>
      </w:r>
      <w:r w:rsidR="009218D6">
        <w:rPr>
          <w:rFonts w:ascii="Times New Roman" w:hAnsi="Times New Roman" w:cs="Times New Roman"/>
        </w:rPr>
        <w:t>P</w:t>
      </w:r>
      <w:r w:rsidRPr="005948DE">
        <w:rPr>
          <w:rFonts w:ascii="Times New Roman" w:hAnsi="Times New Roman" w:cs="Times New Roman"/>
        </w:rPr>
        <w:t>roject website and shall remain in public domain throughout the duration of the Project.</w:t>
      </w:r>
    </w:p>
    <w:p w14:paraId="5F31AC40" w14:textId="6920D920" w:rsidR="00C55550" w:rsidRPr="005948DE" w:rsidRDefault="00C55550" w:rsidP="005948DE">
      <w:pPr>
        <w:pStyle w:val="Caption"/>
        <w:spacing w:after="120" w:line="276" w:lineRule="auto"/>
        <w:jc w:val="both"/>
        <w:rPr>
          <w:rFonts w:ascii="Times New Roman" w:hAnsi="Times New Roman" w:cs="Times New Roman"/>
          <w:color w:val="auto"/>
          <w:sz w:val="22"/>
          <w:szCs w:val="22"/>
        </w:rPr>
      </w:pPr>
      <w:bookmarkStart w:id="497" w:name="_Toc61610227"/>
      <w:r w:rsidRPr="005948DE">
        <w:rPr>
          <w:rFonts w:ascii="Times New Roman" w:hAnsi="Times New Roman" w:cs="Times New Roman"/>
          <w:color w:val="auto"/>
          <w:sz w:val="22"/>
          <w:szCs w:val="22"/>
        </w:rPr>
        <w:t xml:space="preserve">Table </w:t>
      </w:r>
      <w:r w:rsidR="001560C0" w:rsidRPr="005948DE">
        <w:rPr>
          <w:rFonts w:ascii="Times New Roman" w:hAnsi="Times New Roman" w:cs="Times New Roman"/>
          <w:color w:val="auto"/>
          <w:sz w:val="22"/>
          <w:szCs w:val="22"/>
        </w:rPr>
        <w:fldChar w:fldCharType="begin"/>
      </w:r>
      <w:r w:rsidR="001560C0" w:rsidRPr="005948DE">
        <w:rPr>
          <w:rFonts w:ascii="Times New Roman" w:hAnsi="Times New Roman" w:cs="Times New Roman"/>
          <w:color w:val="auto"/>
          <w:sz w:val="22"/>
          <w:szCs w:val="22"/>
        </w:rPr>
        <w:instrText xml:space="preserve"> SEQ Table \* ARABIC </w:instrText>
      </w:r>
      <w:r w:rsidR="001560C0" w:rsidRPr="005948DE">
        <w:rPr>
          <w:rFonts w:ascii="Times New Roman" w:hAnsi="Times New Roman" w:cs="Times New Roman"/>
          <w:color w:val="auto"/>
          <w:sz w:val="22"/>
          <w:szCs w:val="22"/>
        </w:rPr>
        <w:fldChar w:fldCharType="separate"/>
      </w:r>
      <w:r w:rsidR="00A07DB4" w:rsidRPr="005948DE">
        <w:rPr>
          <w:rFonts w:ascii="Times New Roman" w:hAnsi="Times New Roman" w:cs="Times New Roman"/>
          <w:noProof/>
          <w:color w:val="auto"/>
          <w:sz w:val="22"/>
          <w:szCs w:val="22"/>
        </w:rPr>
        <w:t>4</w:t>
      </w:r>
      <w:r w:rsidR="001560C0" w:rsidRPr="005948DE">
        <w:rPr>
          <w:rFonts w:ascii="Times New Roman" w:hAnsi="Times New Roman" w:cs="Times New Roman"/>
          <w:color w:val="auto"/>
          <w:sz w:val="22"/>
          <w:szCs w:val="22"/>
        </w:rPr>
        <w:fldChar w:fldCharType="end"/>
      </w:r>
      <w:bookmarkEnd w:id="497"/>
      <w:r w:rsidRPr="005948DE">
        <w:rPr>
          <w:rFonts w:ascii="Times New Roman" w:hAnsi="Times New Roman" w:cs="Times New Roman"/>
          <w:color w:val="auto"/>
          <w:sz w:val="22"/>
          <w:szCs w:val="22"/>
        </w:rPr>
        <w:t xml:space="preserve">: Overview of ESF Instruments relevant to the </w:t>
      </w:r>
      <w:r w:rsidR="00F52CE7" w:rsidRPr="005948DE">
        <w:rPr>
          <w:rFonts w:ascii="Times New Roman" w:hAnsi="Times New Roman" w:cs="Times New Roman"/>
          <w:color w:val="auto"/>
          <w:sz w:val="22"/>
          <w:szCs w:val="22"/>
        </w:rPr>
        <w:t>Project</w:t>
      </w:r>
      <w:r w:rsidRPr="005948DE">
        <w:rPr>
          <w:rFonts w:ascii="Times New Roman" w:hAnsi="Times New Roman" w:cs="Times New Roman"/>
          <w:color w:val="auto"/>
          <w:sz w:val="22"/>
          <w:szCs w:val="22"/>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8"/>
        <w:gridCol w:w="6955"/>
      </w:tblGrid>
      <w:tr w:rsidR="00F52CE7" w:rsidRPr="005948DE" w14:paraId="5D80DFC7" w14:textId="77777777" w:rsidTr="006A35A1">
        <w:trPr>
          <w:tblHeader/>
        </w:trPr>
        <w:tc>
          <w:tcPr>
            <w:tcW w:w="240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hideMark/>
          </w:tcPr>
          <w:p w14:paraId="0FA9F4BC" w14:textId="77777777" w:rsidR="00C55550" w:rsidRPr="005948DE" w:rsidRDefault="00C55550" w:rsidP="005948DE">
            <w:pPr>
              <w:spacing w:after="120" w:line="276" w:lineRule="auto"/>
              <w:jc w:val="both"/>
              <w:rPr>
                <w:rFonts w:ascii="Times New Roman" w:hAnsi="Times New Roman" w:cs="Times New Roman"/>
                <w:b/>
                <w:lang w:eastAsia="en-GB"/>
              </w:rPr>
            </w:pPr>
            <w:bookmarkStart w:id="498" w:name="_Hlk49784860"/>
            <w:r w:rsidRPr="005948DE">
              <w:rPr>
                <w:rFonts w:ascii="Times New Roman" w:hAnsi="Times New Roman" w:cs="Times New Roman"/>
                <w:b/>
                <w:lang w:eastAsia="en-GB"/>
              </w:rPr>
              <w:t>Document</w:t>
            </w:r>
          </w:p>
        </w:tc>
        <w:tc>
          <w:tcPr>
            <w:tcW w:w="7059"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hideMark/>
          </w:tcPr>
          <w:p w14:paraId="061E8FD7" w14:textId="77777777" w:rsidR="00C55550" w:rsidRPr="005948DE" w:rsidRDefault="00C55550" w:rsidP="005948DE">
            <w:pPr>
              <w:tabs>
                <w:tab w:val="left" w:pos="1808"/>
              </w:tabs>
              <w:spacing w:after="120" w:line="276" w:lineRule="auto"/>
              <w:jc w:val="both"/>
              <w:rPr>
                <w:rFonts w:ascii="Times New Roman" w:hAnsi="Times New Roman" w:cs="Times New Roman"/>
                <w:b/>
                <w:lang w:eastAsia="en-GB"/>
              </w:rPr>
            </w:pPr>
            <w:r w:rsidRPr="005948DE">
              <w:rPr>
                <w:rFonts w:ascii="Times New Roman" w:hAnsi="Times New Roman" w:cs="Times New Roman"/>
                <w:b/>
                <w:lang w:eastAsia="en-GB"/>
              </w:rPr>
              <w:t>Purpose</w:t>
            </w:r>
          </w:p>
        </w:tc>
      </w:tr>
      <w:tr w:rsidR="00F52CE7" w:rsidRPr="005948DE" w14:paraId="7D29FFC0" w14:textId="77777777" w:rsidTr="006A35A1">
        <w:tc>
          <w:tcPr>
            <w:tcW w:w="2405" w:type="dxa"/>
            <w:tcBorders>
              <w:top w:val="single" w:sz="4" w:space="0" w:color="000000"/>
              <w:left w:val="single" w:sz="4" w:space="0" w:color="000000"/>
              <w:bottom w:val="single" w:sz="4" w:space="0" w:color="000000"/>
              <w:right w:val="single" w:sz="4" w:space="0" w:color="000000"/>
            </w:tcBorders>
            <w:vAlign w:val="center"/>
            <w:hideMark/>
          </w:tcPr>
          <w:p w14:paraId="3415C9BC" w14:textId="77777777" w:rsidR="00C55550" w:rsidRPr="005948DE" w:rsidRDefault="00C55550" w:rsidP="00665F55">
            <w:pPr>
              <w:spacing w:after="120" w:line="276" w:lineRule="auto"/>
              <w:rPr>
                <w:rFonts w:ascii="Times New Roman" w:hAnsi="Times New Roman" w:cs="Times New Roman"/>
                <w:bCs/>
                <w:lang w:eastAsia="en-GB"/>
              </w:rPr>
            </w:pPr>
            <w:r w:rsidRPr="005948DE">
              <w:rPr>
                <w:rFonts w:ascii="Times New Roman" w:hAnsi="Times New Roman" w:cs="Times New Roman"/>
                <w:bCs/>
                <w:lang w:eastAsia="en-GB"/>
              </w:rPr>
              <w:t>Environmental and Social Management Framework (ESMF)</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42E8EF1D" w14:textId="3561C814" w:rsidR="00C55550" w:rsidRPr="005948DE" w:rsidRDefault="00C55550" w:rsidP="005948DE">
            <w:pPr>
              <w:autoSpaceDE w:val="0"/>
              <w:autoSpaceDN w:val="0"/>
              <w:adjustRightInd w:val="0"/>
              <w:spacing w:after="120" w:line="276" w:lineRule="auto"/>
              <w:jc w:val="both"/>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Sets out the principles, policies and procedures for environmental and social management that the Go</w:t>
            </w:r>
            <w:r w:rsidR="009218D6">
              <w:rPr>
                <w:rFonts w:ascii="Times New Roman" w:eastAsia="Times New Roman" w:hAnsi="Times New Roman" w:cs="Times New Roman"/>
                <w:lang w:eastAsia="en-GB"/>
              </w:rPr>
              <w:t xml:space="preserve">S </w:t>
            </w:r>
            <w:r w:rsidRPr="005948DE">
              <w:rPr>
                <w:rFonts w:ascii="Times New Roman" w:eastAsia="Times New Roman" w:hAnsi="Times New Roman" w:cs="Times New Roman"/>
                <w:lang w:eastAsia="en-GB"/>
              </w:rPr>
              <w:t xml:space="preserve">agrees to employ in the context of </w:t>
            </w:r>
            <w:r w:rsidR="009218D6">
              <w:rPr>
                <w:rFonts w:ascii="Times New Roman" w:eastAsia="Times New Roman" w:hAnsi="Times New Roman" w:cs="Times New Roman"/>
                <w:lang w:eastAsia="en-GB"/>
              </w:rPr>
              <w:t xml:space="preserve">the </w:t>
            </w:r>
            <w:r w:rsidRPr="005948DE">
              <w:rPr>
                <w:rFonts w:ascii="Times New Roman" w:eastAsia="Times New Roman" w:hAnsi="Times New Roman" w:cs="Times New Roman"/>
                <w:lang w:eastAsia="en-GB"/>
              </w:rPr>
              <w:t xml:space="preserve">Project. The ESMF outlines the project context, possible environmental and social impacts, and their management. The document guides implementation that meets the requirements of the </w:t>
            </w:r>
            <w:r w:rsidR="009218D6">
              <w:rPr>
                <w:rFonts w:ascii="Times New Roman" w:eastAsia="Times New Roman" w:hAnsi="Times New Roman" w:cs="Times New Roman"/>
                <w:lang w:eastAsia="en-GB"/>
              </w:rPr>
              <w:t>Bank’s</w:t>
            </w:r>
            <w:r w:rsidR="009218D6" w:rsidRPr="005948DE">
              <w:rPr>
                <w:rFonts w:ascii="Times New Roman" w:eastAsia="Times New Roman" w:hAnsi="Times New Roman" w:cs="Times New Roman"/>
                <w:lang w:eastAsia="en-GB"/>
              </w:rPr>
              <w:t xml:space="preserve"> </w:t>
            </w:r>
            <w:r w:rsidRPr="005948DE">
              <w:rPr>
                <w:rFonts w:ascii="Times New Roman" w:eastAsia="Times New Roman" w:hAnsi="Times New Roman" w:cs="Times New Roman"/>
                <w:lang w:eastAsia="en-GB"/>
              </w:rPr>
              <w:t>ESF</w:t>
            </w:r>
            <w:r w:rsidR="009218D6">
              <w:rPr>
                <w:rFonts w:ascii="Times New Roman" w:eastAsia="Times New Roman" w:hAnsi="Times New Roman" w:cs="Times New Roman"/>
                <w:lang w:eastAsia="en-GB"/>
              </w:rPr>
              <w:t xml:space="preserve"> and</w:t>
            </w:r>
            <w:r w:rsidRPr="005948DE">
              <w:rPr>
                <w:rFonts w:ascii="Times New Roman" w:eastAsia="Times New Roman" w:hAnsi="Times New Roman" w:cs="Times New Roman"/>
                <w:lang w:eastAsia="en-GB"/>
              </w:rPr>
              <w:t xml:space="preserve"> ESHG</w:t>
            </w:r>
            <w:r w:rsidR="009218D6">
              <w:rPr>
                <w:rFonts w:ascii="Times New Roman" w:eastAsia="Times New Roman" w:hAnsi="Times New Roman" w:cs="Times New Roman"/>
                <w:lang w:eastAsia="en-GB"/>
              </w:rPr>
              <w:t>,</w:t>
            </w:r>
            <w:r w:rsidR="00943B59" w:rsidRPr="005948DE">
              <w:rPr>
                <w:rFonts w:ascii="Times New Roman" w:eastAsia="Times New Roman" w:hAnsi="Times New Roman" w:cs="Times New Roman"/>
                <w:lang w:eastAsia="en-GB"/>
              </w:rPr>
              <w:t xml:space="preserve"> </w:t>
            </w:r>
            <w:r w:rsidRPr="005948DE">
              <w:rPr>
                <w:rFonts w:ascii="Times New Roman" w:eastAsia="Times New Roman" w:hAnsi="Times New Roman" w:cs="Times New Roman"/>
                <w:lang w:eastAsia="en-GB"/>
              </w:rPr>
              <w:t xml:space="preserve">and </w:t>
            </w:r>
            <w:r w:rsidR="009218D6">
              <w:rPr>
                <w:rFonts w:ascii="Times New Roman" w:eastAsia="Times New Roman" w:hAnsi="Times New Roman" w:cs="Times New Roman"/>
                <w:lang w:eastAsia="en-GB"/>
              </w:rPr>
              <w:t xml:space="preserve">the </w:t>
            </w:r>
            <w:r w:rsidRPr="005948DE">
              <w:rPr>
                <w:rFonts w:ascii="Times New Roman" w:eastAsia="Times New Roman" w:hAnsi="Times New Roman" w:cs="Times New Roman"/>
                <w:lang w:eastAsia="en-GB"/>
              </w:rPr>
              <w:t>Serbian legislation</w:t>
            </w:r>
            <w:r w:rsidR="009218D6">
              <w:rPr>
                <w:rFonts w:ascii="Times New Roman" w:eastAsia="Times New Roman" w:hAnsi="Times New Roman" w:cs="Times New Roman"/>
                <w:lang w:eastAsia="en-GB"/>
              </w:rPr>
              <w:t>,</w:t>
            </w:r>
            <w:r w:rsidRPr="005948DE">
              <w:rPr>
                <w:rFonts w:ascii="Times New Roman" w:eastAsia="Times New Roman" w:hAnsi="Times New Roman" w:cs="Times New Roman"/>
                <w:lang w:eastAsia="en-GB"/>
              </w:rPr>
              <w:t xml:space="preserve"> and describes the procedural responses to identifying and managing impacts throughout the </w:t>
            </w:r>
            <w:r w:rsidR="009218D6">
              <w:rPr>
                <w:rFonts w:ascii="Times New Roman" w:eastAsia="Times New Roman" w:hAnsi="Times New Roman" w:cs="Times New Roman"/>
                <w:lang w:eastAsia="en-GB"/>
              </w:rPr>
              <w:t>P</w:t>
            </w:r>
            <w:r w:rsidR="009218D6" w:rsidRPr="005948DE">
              <w:rPr>
                <w:rFonts w:ascii="Times New Roman" w:eastAsia="Times New Roman" w:hAnsi="Times New Roman" w:cs="Times New Roman"/>
                <w:lang w:eastAsia="en-GB"/>
              </w:rPr>
              <w:t>roject</w:t>
            </w:r>
            <w:r w:rsidRPr="005948DE">
              <w:rPr>
                <w:rFonts w:ascii="Times New Roman" w:eastAsia="Times New Roman" w:hAnsi="Times New Roman" w:cs="Times New Roman"/>
                <w:lang w:eastAsia="en-GB"/>
              </w:rPr>
              <w:t>. Finally, the ESMF provides guidance for the process and the content</w:t>
            </w:r>
            <w:r w:rsidR="00701ED7" w:rsidRPr="005948DE">
              <w:rPr>
                <w:rFonts w:ascii="Times New Roman" w:eastAsia="Times New Roman" w:hAnsi="Times New Roman" w:cs="Times New Roman"/>
                <w:lang w:eastAsia="en-GB"/>
              </w:rPr>
              <w:t xml:space="preserve"> of</w:t>
            </w:r>
            <w:r w:rsidRPr="005948DE">
              <w:rPr>
                <w:rFonts w:ascii="Times New Roman" w:eastAsia="Times New Roman" w:hAnsi="Times New Roman" w:cs="Times New Roman"/>
                <w:lang w:eastAsia="en-GB"/>
              </w:rPr>
              <w:t xml:space="preserve"> Environmental and Social Management Plans (ESMPs) and Checklist ESMPs for all </w:t>
            </w:r>
            <w:r w:rsidR="00420737" w:rsidRPr="005948DE">
              <w:rPr>
                <w:rFonts w:ascii="Times New Roman" w:eastAsia="Times New Roman" w:hAnsi="Times New Roman" w:cs="Times New Roman"/>
                <w:lang w:eastAsia="en-GB"/>
              </w:rPr>
              <w:t>infrastructure investment</w:t>
            </w:r>
            <w:r w:rsidRPr="005948DE">
              <w:rPr>
                <w:rFonts w:ascii="Times New Roman" w:eastAsia="Times New Roman" w:hAnsi="Times New Roman" w:cs="Times New Roman"/>
                <w:lang w:eastAsia="en-GB"/>
              </w:rPr>
              <w:t>s which will be implemented under the Project</w:t>
            </w:r>
            <w:r w:rsidR="004714D5" w:rsidRPr="005948DE">
              <w:rPr>
                <w:rFonts w:ascii="Times New Roman" w:eastAsia="Times New Roman" w:hAnsi="Times New Roman" w:cs="Times New Roman"/>
                <w:lang w:eastAsia="en-GB"/>
              </w:rPr>
              <w:t>.</w:t>
            </w:r>
          </w:p>
        </w:tc>
      </w:tr>
      <w:tr w:rsidR="00F52CE7" w:rsidRPr="005948DE" w14:paraId="12F9B724" w14:textId="77777777" w:rsidTr="006A35A1">
        <w:tc>
          <w:tcPr>
            <w:tcW w:w="2405" w:type="dxa"/>
            <w:tcBorders>
              <w:top w:val="single" w:sz="4" w:space="0" w:color="000000"/>
              <w:left w:val="single" w:sz="4" w:space="0" w:color="000000"/>
              <w:bottom w:val="single" w:sz="4" w:space="0" w:color="000000"/>
              <w:right w:val="single" w:sz="4" w:space="0" w:color="000000"/>
            </w:tcBorders>
            <w:vAlign w:val="center"/>
            <w:hideMark/>
          </w:tcPr>
          <w:p w14:paraId="4F456F3F" w14:textId="4D9041EB" w:rsidR="00C55550" w:rsidRPr="005948DE" w:rsidRDefault="004714D5" w:rsidP="00665F55">
            <w:pPr>
              <w:autoSpaceDE w:val="0"/>
              <w:autoSpaceDN w:val="0"/>
              <w:adjustRightInd w:val="0"/>
              <w:spacing w:after="120" w:line="276" w:lineRule="auto"/>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 xml:space="preserve">Project Level </w:t>
            </w:r>
            <w:r w:rsidR="00C55550" w:rsidRPr="005948DE">
              <w:rPr>
                <w:rFonts w:ascii="Times New Roman" w:eastAsia="Times New Roman" w:hAnsi="Times New Roman" w:cs="Times New Roman"/>
                <w:lang w:eastAsia="en-GB"/>
              </w:rPr>
              <w:t>Stakeholder Engagement Plan (</w:t>
            </w:r>
            <w:r w:rsidRPr="005948DE">
              <w:rPr>
                <w:rFonts w:ascii="Times New Roman" w:eastAsia="Times New Roman" w:hAnsi="Times New Roman" w:cs="Times New Roman"/>
                <w:lang w:eastAsia="en-GB"/>
              </w:rPr>
              <w:t>P</w:t>
            </w:r>
            <w:r w:rsidR="00C55550" w:rsidRPr="005948DE">
              <w:rPr>
                <w:rFonts w:ascii="Times New Roman" w:eastAsia="Times New Roman" w:hAnsi="Times New Roman" w:cs="Times New Roman"/>
                <w:lang w:eastAsia="en-GB"/>
              </w:rPr>
              <w:t>SEP)</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35C99F86" w14:textId="77777777" w:rsidR="00C55550" w:rsidRPr="005948DE" w:rsidRDefault="00C55550" w:rsidP="005948DE">
            <w:pPr>
              <w:autoSpaceDE w:val="0"/>
              <w:autoSpaceDN w:val="0"/>
              <w:adjustRightInd w:val="0"/>
              <w:spacing w:after="120" w:line="276" w:lineRule="auto"/>
              <w:jc w:val="both"/>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Sets out the stakeholder engagement and documentation disclosure requirements in the context of the Project, including a Project specific Grievance Redress Mechanism, which will be equipped to handle SEA/SH related grievances.</w:t>
            </w:r>
          </w:p>
        </w:tc>
      </w:tr>
      <w:tr w:rsidR="00F52CE7" w:rsidRPr="005948DE" w14:paraId="4BB81A68" w14:textId="77777777" w:rsidTr="006A35A1">
        <w:tc>
          <w:tcPr>
            <w:tcW w:w="2405" w:type="dxa"/>
            <w:tcBorders>
              <w:top w:val="single" w:sz="4" w:space="0" w:color="000000"/>
              <w:left w:val="single" w:sz="4" w:space="0" w:color="000000"/>
              <w:bottom w:val="single" w:sz="4" w:space="0" w:color="000000"/>
              <w:right w:val="single" w:sz="4" w:space="0" w:color="000000"/>
            </w:tcBorders>
            <w:vAlign w:val="center"/>
            <w:hideMark/>
          </w:tcPr>
          <w:p w14:paraId="10F3A34B" w14:textId="77777777" w:rsidR="00C55550" w:rsidRPr="005948DE" w:rsidRDefault="00C55550" w:rsidP="00665F55">
            <w:pPr>
              <w:autoSpaceDE w:val="0"/>
              <w:autoSpaceDN w:val="0"/>
              <w:adjustRightInd w:val="0"/>
              <w:spacing w:after="120" w:line="276" w:lineRule="auto"/>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 xml:space="preserve">Resettlement Policy Framework (RPF) </w:t>
            </w:r>
          </w:p>
        </w:tc>
        <w:tc>
          <w:tcPr>
            <w:tcW w:w="7059" w:type="dxa"/>
            <w:tcBorders>
              <w:top w:val="single" w:sz="4" w:space="0" w:color="000000"/>
              <w:left w:val="single" w:sz="4" w:space="0" w:color="000000"/>
              <w:bottom w:val="single" w:sz="4" w:space="0" w:color="000000"/>
              <w:right w:val="single" w:sz="4" w:space="0" w:color="000000"/>
            </w:tcBorders>
            <w:vAlign w:val="center"/>
          </w:tcPr>
          <w:p w14:paraId="6DCC2519" w14:textId="03457A24" w:rsidR="00C55550" w:rsidRPr="005948DE" w:rsidRDefault="00C55550" w:rsidP="005948DE">
            <w:pPr>
              <w:autoSpaceDE w:val="0"/>
              <w:autoSpaceDN w:val="0"/>
              <w:adjustRightInd w:val="0"/>
              <w:spacing w:after="120" w:line="276" w:lineRule="auto"/>
              <w:jc w:val="both"/>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The overarching objectives of the RPF is</w:t>
            </w:r>
            <w:r w:rsidR="00943B59" w:rsidRPr="005948DE">
              <w:rPr>
                <w:rFonts w:ascii="Times New Roman" w:eastAsia="Times New Roman" w:hAnsi="Times New Roman" w:cs="Times New Roman"/>
                <w:lang w:eastAsia="en-GB"/>
              </w:rPr>
              <w:t xml:space="preserve"> </w:t>
            </w:r>
            <w:r w:rsidRPr="005948DE">
              <w:rPr>
                <w:rFonts w:ascii="Times New Roman" w:eastAsia="Times New Roman" w:hAnsi="Times New Roman" w:cs="Times New Roman"/>
                <w:lang w:eastAsia="en-GB"/>
              </w:rPr>
              <w:t xml:space="preserve">to define rules, principles, procedures, actions and outline organizational structures and capacity requirements during the lifespan of the Project to avoid, minimize and mitigate the loss of private lands and non-land assets, and resultant loss in livelihoods of affected people. The RPF also provides guidance for development of individual Resettlement Action Plans (RAPs), inclusive of the detailed screening mechanism. Each </w:t>
            </w:r>
            <w:r w:rsidR="00420737" w:rsidRPr="005948DE">
              <w:rPr>
                <w:rFonts w:ascii="Times New Roman" w:eastAsia="Times New Roman" w:hAnsi="Times New Roman" w:cs="Times New Roman"/>
                <w:lang w:eastAsia="en-GB"/>
              </w:rPr>
              <w:t>infrastructure investment</w:t>
            </w:r>
            <w:r w:rsidRPr="005948DE">
              <w:rPr>
                <w:rFonts w:ascii="Times New Roman" w:eastAsia="Times New Roman" w:hAnsi="Times New Roman" w:cs="Times New Roman"/>
                <w:lang w:eastAsia="en-GB"/>
              </w:rPr>
              <w:t xml:space="preserve"> shall be subjected to the social screening mechanism by using the tools under the RPF. The outcome of the screening will determine the complexity, magnitude and scale, including any legacy issues, of the land acquisition and resettlement impacts</w:t>
            </w:r>
            <w:r w:rsidR="00943B59" w:rsidRPr="005948DE">
              <w:rPr>
                <w:rFonts w:ascii="Times New Roman" w:eastAsia="Times New Roman" w:hAnsi="Times New Roman" w:cs="Times New Roman"/>
                <w:lang w:eastAsia="en-GB"/>
              </w:rPr>
              <w:t xml:space="preserve"> </w:t>
            </w:r>
            <w:r w:rsidRPr="005948DE">
              <w:rPr>
                <w:rFonts w:ascii="Times New Roman" w:eastAsia="Times New Roman" w:hAnsi="Times New Roman" w:cs="Times New Roman"/>
                <w:lang w:eastAsia="en-GB"/>
              </w:rPr>
              <w:t xml:space="preserve">under each </w:t>
            </w:r>
            <w:r w:rsidR="00420737" w:rsidRPr="005948DE">
              <w:rPr>
                <w:rFonts w:ascii="Times New Roman" w:eastAsia="Times New Roman" w:hAnsi="Times New Roman" w:cs="Times New Roman"/>
                <w:lang w:eastAsia="en-GB"/>
              </w:rPr>
              <w:t>infrastructure investment</w:t>
            </w:r>
            <w:r w:rsidRPr="005948DE">
              <w:rPr>
                <w:rFonts w:ascii="Times New Roman" w:eastAsia="Times New Roman" w:hAnsi="Times New Roman" w:cs="Times New Roman"/>
                <w:lang w:eastAsia="en-GB"/>
              </w:rPr>
              <w:t xml:space="preserve">s. On ground activities may not commence until and unless the Due Diligence has been completed and RAPs developed commensurate to the nature, complexity, scale and magnitude of impacts covered under </w:t>
            </w:r>
            <w:r w:rsidR="00D7547E" w:rsidRPr="00D7547E">
              <w:rPr>
                <w:rFonts w:ascii="Times New Roman" w:eastAsia="Times New Roman" w:hAnsi="Times New Roman" w:cs="Times New Roman"/>
                <w:lang w:eastAsia="en-GB"/>
              </w:rPr>
              <w:t>the Bank</w:t>
            </w:r>
            <w:r w:rsidR="009218D6">
              <w:rPr>
                <w:rFonts w:ascii="Times New Roman" w:eastAsia="Times New Roman" w:hAnsi="Times New Roman" w:cs="Times New Roman"/>
                <w:lang w:eastAsia="en-GB"/>
              </w:rPr>
              <w:t>’s</w:t>
            </w:r>
            <w:r w:rsidR="00D7547E" w:rsidRPr="00D7547E">
              <w:rPr>
                <w:rFonts w:ascii="Times New Roman" w:eastAsia="Times New Roman" w:hAnsi="Times New Roman" w:cs="Times New Roman"/>
                <w:lang w:eastAsia="en-GB"/>
              </w:rPr>
              <w:t xml:space="preserve"> Environmental and Social Standards </w:t>
            </w:r>
            <w:r w:rsidR="009218D6">
              <w:rPr>
                <w:rFonts w:ascii="Times New Roman" w:eastAsia="Times New Roman" w:hAnsi="Times New Roman" w:cs="Times New Roman"/>
                <w:lang w:eastAsia="en-GB"/>
              </w:rPr>
              <w:t>(</w:t>
            </w:r>
            <w:r w:rsidRPr="005948DE">
              <w:rPr>
                <w:rFonts w:ascii="Times New Roman" w:eastAsia="Times New Roman" w:hAnsi="Times New Roman" w:cs="Times New Roman"/>
                <w:lang w:eastAsia="en-GB"/>
              </w:rPr>
              <w:t>ESS</w:t>
            </w:r>
            <w:r w:rsidR="009218D6">
              <w:rPr>
                <w:rFonts w:ascii="Times New Roman" w:eastAsia="Times New Roman" w:hAnsi="Times New Roman" w:cs="Times New Roman"/>
                <w:lang w:eastAsia="en-GB"/>
              </w:rPr>
              <w:t>)</w:t>
            </w:r>
            <w:r w:rsidRPr="005948DE">
              <w:rPr>
                <w:rFonts w:ascii="Times New Roman" w:eastAsia="Times New Roman" w:hAnsi="Times New Roman" w:cs="Times New Roman"/>
                <w:lang w:eastAsia="en-GB"/>
              </w:rPr>
              <w:t xml:space="preserve">. </w:t>
            </w:r>
          </w:p>
        </w:tc>
      </w:tr>
      <w:tr w:rsidR="00F52CE7" w:rsidRPr="005948DE" w14:paraId="0697C1D5" w14:textId="77777777" w:rsidTr="006A35A1">
        <w:tc>
          <w:tcPr>
            <w:tcW w:w="2405" w:type="dxa"/>
            <w:tcBorders>
              <w:top w:val="single" w:sz="4" w:space="0" w:color="000000"/>
              <w:left w:val="single" w:sz="4" w:space="0" w:color="000000"/>
              <w:bottom w:val="single" w:sz="4" w:space="0" w:color="000000"/>
              <w:right w:val="single" w:sz="4" w:space="0" w:color="000000"/>
            </w:tcBorders>
            <w:vAlign w:val="center"/>
            <w:hideMark/>
          </w:tcPr>
          <w:p w14:paraId="70D9D807" w14:textId="77777777" w:rsidR="00C55550" w:rsidRPr="005948DE" w:rsidRDefault="00C55550" w:rsidP="00665F55">
            <w:pPr>
              <w:autoSpaceDE w:val="0"/>
              <w:autoSpaceDN w:val="0"/>
              <w:adjustRightInd w:val="0"/>
              <w:spacing w:after="120" w:line="276" w:lineRule="auto"/>
              <w:rPr>
                <w:rFonts w:ascii="Times New Roman" w:eastAsia="Times New Roman" w:hAnsi="Times New Roman" w:cs="Times New Roman"/>
                <w:lang w:eastAsia="en-GB"/>
              </w:rPr>
            </w:pPr>
            <w:r w:rsidRPr="005948DE">
              <w:rPr>
                <w:rFonts w:ascii="Times New Roman" w:eastAsia="Times New Roman" w:hAnsi="Times New Roman" w:cs="Times New Roman"/>
                <w:lang w:eastAsia="en-GB"/>
              </w:rPr>
              <w:t>Labor Management Procedures (LMP)</w:t>
            </w:r>
          </w:p>
        </w:tc>
        <w:tc>
          <w:tcPr>
            <w:tcW w:w="7059" w:type="dxa"/>
            <w:tcBorders>
              <w:top w:val="single" w:sz="4" w:space="0" w:color="000000"/>
              <w:left w:val="single" w:sz="4" w:space="0" w:color="000000"/>
              <w:bottom w:val="single" w:sz="4" w:space="0" w:color="000000"/>
              <w:right w:val="single" w:sz="4" w:space="0" w:color="000000"/>
            </w:tcBorders>
            <w:vAlign w:val="center"/>
          </w:tcPr>
          <w:p w14:paraId="19E523B6" w14:textId="0248623F" w:rsidR="00C55550" w:rsidRPr="005948DE" w:rsidRDefault="00C55550" w:rsidP="005948DE">
            <w:pPr>
              <w:spacing w:after="120" w:line="276" w:lineRule="auto"/>
              <w:jc w:val="both"/>
              <w:rPr>
                <w:rFonts w:ascii="Times New Roman" w:eastAsia="Times New Roman" w:hAnsi="Times New Roman" w:cs="Times New Roman"/>
                <w:i/>
                <w:iCs/>
                <w:lang w:eastAsia="en-GB"/>
              </w:rPr>
            </w:pPr>
            <w:r w:rsidRPr="005948DE">
              <w:rPr>
                <w:rFonts w:ascii="Times New Roman" w:hAnsi="Times New Roman" w:cs="Times New Roman"/>
              </w:rPr>
              <w:t xml:space="preserve">Sets out the way in which </w:t>
            </w:r>
            <w:r w:rsidR="00160CCF">
              <w:rPr>
                <w:rFonts w:ascii="Times New Roman" w:hAnsi="Times New Roman" w:cs="Times New Roman"/>
              </w:rPr>
              <w:t xml:space="preserve">the </w:t>
            </w:r>
            <w:r w:rsidR="009218D6">
              <w:rPr>
                <w:rFonts w:ascii="Times New Roman" w:hAnsi="Times New Roman" w:cs="Times New Roman"/>
              </w:rPr>
              <w:t>P</w:t>
            </w:r>
            <w:r w:rsidR="009218D6" w:rsidRPr="005948DE">
              <w:rPr>
                <w:rFonts w:ascii="Times New Roman" w:hAnsi="Times New Roman" w:cs="Times New Roman"/>
              </w:rPr>
              <w:t xml:space="preserve">roject </w:t>
            </w:r>
            <w:r w:rsidRPr="005948DE">
              <w:rPr>
                <w:rFonts w:ascii="Times New Roman" w:hAnsi="Times New Roman" w:cs="Times New Roman"/>
              </w:rPr>
              <w:t xml:space="preserve">workers will be managed, in accordance with the requirements of national law and ESS2 on Labor and Working Conditions. The procedures will address the way in which these requirements will apply to different categories of </w:t>
            </w:r>
            <w:r w:rsidR="00160CCF">
              <w:rPr>
                <w:rFonts w:ascii="Times New Roman" w:hAnsi="Times New Roman" w:cs="Times New Roman"/>
              </w:rPr>
              <w:t xml:space="preserve">the </w:t>
            </w:r>
            <w:r w:rsidR="009218D6">
              <w:rPr>
                <w:rFonts w:ascii="Times New Roman" w:hAnsi="Times New Roman" w:cs="Times New Roman"/>
              </w:rPr>
              <w:t>P</w:t>
            </w:r>
            <w:r w:rsidR="009218D6" w:rsidRPr="005948DE">
              <w:rPr>
                <w:rFonts w:ascii="Times New Roman" w:hAnsi="Times New Roman" w:cs="Times New Roman"/>
              </w:rPr>
              <w:t xml:space="preserve">roject </w:t>
            </w:r>
            <w:r w:rsidRPr="005948DE">
              <w:rPr>
                <w:rFonts w:ascii="Times New Roman" w:hAnsi="Times New Roman" w:cs="Times New Roman"/>
              </w:rPr>
              <w:t xml:space="preserve">workers including direct workers, and the requirement for third parties in managing their workers. </w:t>
            </w:r>
          </w:p>
        </w:tc>
      </w:tr>
      <w:tr w:rsidR="00F52CE7" w:rsidRPr="005948DE" w14:paraId="09397712" w14:textId="77777777" w:rsidTr="006A35A1">
        <w:tc>
          <w:tcPr>
            <w:tcW w:w="2405" w:type="dxa"/>
            <w:tcBorders>
              <w:top w:val="single" w:sz="4" w:space="0" w:color="000000"/>
              <w:left w:val="single" w:sz="4" w:space="0" w:color="000000"/>
              <w:bottom w:val="single" w:sz="4" w:space="0" w:color="000000"/>
              <w:right w:val="single" w:sz="4" w:space="0" w:color="000000"/>
            </w:tcBorders>
            <w:vAlign w:val="center"/>
            <w:hideMark/>
          </w:tcPr>
          <w:p w14:paraId="72C98771" w14:textId="77777777" w:rsidR="00C55550" w:rsidRPr="005948DE" w:rsidRDefault="00C55550" w:rsidP="00665F55">
            <w:pPr>
              <w:autoSpaceDE w:val="0"/>
              <w:autoSpaceDN w:val="0"/>
              <w:adjustRightInd w:val="0"/>
              <w:spacing w:after="120" w:line="276" w:lineRule="auto"/>
              <w:rPr>
                <w:rFonts w:ascii="Times New Roman" w:hAnsi="Times New Roman" w:cs="Times New Roman"/>
              </w:rPr>
            </w:pPr>
            <w:r w:rsidRPr="005948DE">
              <w:rPr>
                <w:rFonts w:ascii="Times New Roman" w:hAnsi="Times New Roman" w:cs="Times New Roman"/>
              </w:rPr>
              <w:t xml:space="preserve">Environmental and Social Commitment Plan (ESCP) </w:t>
            </w:r>
          </w:p>
        </w:tc>
        <w:tc>
          <w:tcPr>
            <w:tcW w:w="7059" w:type="dxa"/>
            <w:tcBorders>
              <w:top w:val="single" w:sz="4" w:space="0" w:color="000000"/>
              <w:left w:val="single" w:sz="4" w:space="0" w:color="000000"/>
              <w:bottom w:val="single" w:sz="4" w:space="0" w:color="000000"/>
              <w:right w:val="single" w:sz="4" w:space="0" w:color="000000"/>
            </w:tcBorders>
            <w:vAlign w:val="center"/>
            <w:hideMark/>
          </w:tcPr>
          <w:p w14:paraId="385E002C" w14:textId="16E8CDBA" w:rsidR="00C55550" w:rsidRPr="005948DE" w:rsidRDefault="00C55550" w:rsidP="005948DE">
            <w:pPr>
              <w:autoSpaceDE w:val="0"/>
              <w:autoSpaceDN w:val="0"/>
              <w:adjustRightInd w:val="0"/>
              <w:spacing w:after="120" w:line="276" w:lineRule="auto"/>
              <w:jc w:val="both"/>
              <w:rPr>
                <w:rFonts w:ascii="Times New Roman" w:hAnsi="Times New Roman" w:cs="Times New Roman"/>
              </w:rPr>
            </w:pPr>
            <w:r w:rsidRPr="005948DE">
              <w:rPr>
                <w:rFonts w:ascii="Times New Roman" w:hAnsi="Times New Roman" w:cs="Times New Roman"/>
              </w:rPr>
              <w:t xml:space="preserve">A legal document, part of the </w:t>
            </w:r>
            <w:r w:rsidR="00160CCF">
              <w:rPr>
                <w:rFonts w:ascii="Times New Roman" w:hAnsi="Times New Roman" w:cs="Times New Roman"/>
              </w:rPr>
              <w:t>LA</w:t>
            </w:r>
            <w:r w:rsidRPr="005948DE">
              <w:rPr>
                <w:rFonts w:ascii="Times New Roman" w:hAnsi="Times New Roman" w:cs="Times New Roman"/>
              </w:rPr>
              <w:t>, setting out material measures and actions,</w:t>
            </w:r>
            <w:r w:rsidR="00943B59" w:rsidRPr="005948DE">
              <w:rPr>
                <w:rFonts w:ascii="Times New Roman" w:hAnsi="Times New Roman" w:cs="Times New Roman"/>
              </w:rPr>
              <w:t xml:space="preserve"> </w:t>
            </w:r>
            <w:r w:rsidRPr="005948DE">
              <w:rPr>
                <w:rFonts w:ascii="Times New Roman" w:hAnsi="Times New Roman" w:cs="Times New Roman"/>
              </w:rPr>
              <w:t xml:space="preserve">specific documents or plans, as well as the timing for each of these the </w:t>
            </w:r>
            <w:r w:rsidR="00160CCF">
              <w:rPr>
                <w:rFonts w:ascii="Times New Roman" w:hAnsi="Times New Roman" w:cs="Times New Roman"/>
              </w:rPr>
              <w:t>Republic of Serbia</w:t>
            </w:r>
            <w:r w:rsidR="00383149" w:rsidRPr="005948DE">
              <w:rPr>
                <w:rFonts w:ascii="Times New Roman" w:hAnsi="Times New Roman" w:cs="Times New Roman"/>
              </w:rPr>
              <w:t xml:space="preserve"> </w:t>
            </w:r>
            <w:r w:rsidRPr="005948DE">
              <w:rPr>
                <w:rFonts w:ascii="Times New Roman" w:hAnsi="Times New Roman" w:cs="Times New Roman"/>
              </w:rPr>
              <w:t xml:space="preserve">through </w:t>
            </w:r>
            <w:r w:rsidR="00383149">
              <w:rPr>
                <w:rFonts w:ascii="Times New Roman" w:hAnsi="Times New Roman" w:cs="Times New Roman"/>
              </w:rPr>
              <w:t xml:space="preserve">the </w:t>
            </w:r>
            <w:r w:rsidRPr="005948DE">
              <w:rPr>
                <w:rFonts w:ascii="Times New Roman" w:hAnsi="Times New Roman" w:cs="Times New Roman"/>
              </w:rPr>
              <w:t xml:space="preserve">MCTI is required to comply with. </w:t>
            </w:r>
          </w:p>
        </w:tc>
        <w:bookmarkEnd w:id="498"/>
      </w:tr>
    </w:tbl>
    <w:p w14:paraId="7C99B445" w14:textId="77777777" w:rsidR="00C55550" w:rsidRPr="005948DE" w:rsidRDefault="00C55550" w:rsidP="005948DE">
      <w:pPr>
        <w:spacing w:after="120" w:line="276" w:lineRule="auto"/>
        <w:jc w:val="both"/>
        <w:rPr>
          <w:rFonts w:ascii="Times New Roman" w:eastAsia="Calibri" w:hAnsi="Times New Roman" w:cs="Times New Roman"/>
          <w:color w:val="0070C0"/>
        </w:rPr>
      </w:pPr>
    </w:p>
    <w:p w14:paraId="2FA5A6E4" w14:textId="0CD93A36" w:rsidR="00C55550" w:rsidRPr="005948DE" w:rsidRDefault="00C55550"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499" w:name="_Toc88732360"/>
      <w:bookmarkStart w:id="500" w:name="_Toc93342247"/>
      <w:bookmarkStart w:id="501" w:name="_Hlk25324020"/>
      <w:r w:rsidRPr="005948DE">
        <w:rPr>
          <w:rFonts w:ascii="Times New Roman" w:hAnsi="Times New Roman" w:cs="Times New Roman"/>
          <w:smallCaps w:val="0"/>
          <w:color w:val="auto"/>
          <w:sz w:val="24"/>
        </w:rPr>
        <w:t>Overview of relevan</w:t>
      </w:r>
      <w:r w:rsidR="00F52CE7" w:rsidRPr="005948DE">
        <w:rPr>
          <w:rFonts w:ascii="Times New Roman" w:hAnsi="Times New Roman" w:cs="Times New Roman"/>
          <w:smallCaps w:val="0"/>
          <w:color w:val="auto"/>
          <w:sz w:val="24"/>
        </w:rPr>
        <w:t>t</w:t>
      </w:r>
      <w:r w:rsidRPr="005948DE">
        <w:rPr>
          <w:rFonts w:ascii="Times New Roman" w:hAnsi="Times New Roman" w:cs="Times New Roman"/>
          <w:smallCaps w:val="0"/>
          <w:color w:val="auto"/>
          <w:sz w:val="24"/>
        </w:rPr>
        <w:t xml:space="preserve"> Environmental and Social Standards for </w:t>
      </w:r>
      <w:r w:rsidR="00383149">
        <w:rPr>
          <w:rFonts w:ascii="Times New Roman" w:hAnsi="Times New Roman" w:cs="Times New Roman"/>
          <w:smallCaps w:val="0"/>
          <w:color w:val="auto"/>
          <w:sz w:val="24"/>
        </w:rPr>
        <w:t xml:space="preserve">the </w:t>
      </w:r>
      <w:r w:rsidR="00C47C23" w:rsidRPr="005948DE">
        <w:rPr>
          <w:rFonts w:ascii="Times New Roman" w:hAnsi="Times New Roman" w:cs="Times New Roman"/>
          <w:smallCaps w:val="0"/>
          <w:color w:val="auto"/>
          <w:sz w:val="24"/>
        </w:rPr>
        <w:t>LIID</w:t>
      </w:r>
      <w:r w:rsidRPr="005948DE">
        <w:rPr>
          <w:rFonts w:ascii="Times New Roman" w:hAnsi="Times New Roman" w:cs="Times New Roman"/>
          <w:smallCaps w:val="0"/>
          <w:color w:val="auto"/>
          <w:sz w:val="24"/>
        </w:rPr>
        <w:t xml:space="preserve"> Project</w:t>
      </w:r>
      <w:bookmarkEnd w:id="499"/>
      <w:bookmarkEnd w:id="500"/>
    </w:p>
    <w:p w14:paraId="01003AFE" w14:textId="4EF66C10" w:rsidR="00C55550" w:rsidRPr="005948DE" w:rsidRDefault="00C55550"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below are the applicable </w:t>
      </w:r>
      <w:r w:rsidR="00383149">
        <w:rPr>
          <w:rFonts w:ascii="Times New Roman" w:hAnsi="Times New Roman" w:cs="Times New Roman"/>
        </w:rPr>
        <w:t>Bank</w:t>
      </w:r>
      <w:r w:rsidR="00383149" w:rsidRPr="005948DE">
        <w:rPr>
          <w:rFonts w:ascii="Times New Roman" w:hAnsi="Times New Roman" w:cs="Times New Roman"/>
        </w:rPr>
        <w:t xml:space="preserve"> </w:t>
      </w:r>
      <w:r w:rsidRPr="005948DE">
        <w:rPr>
          <w:rFonts w:ascii="Times New Roman" w:hAnsi="Times New Roman" w:cs="Times New Roman"/>
        </w:rPr>
        <w:t xml:space="preserve">Environmental and Social Standards. The objectives set forth thereunder shall be met throughout the </w:t>
      </w:r>
      <w:r w:rsidR="00383149">
        <w:rPr>
          <w:rFonts w:ascii="Times New Roman" w:hAnsi="Times New Roman" w:cs="Times New Roman"/>
        </w:rPr>
        <w:t>P</w:t>
      </w:r>
      <w:r w:rsidRPr="005948DE">
        <w:rPr>
          <w:rFonts w:ascii="Times New Roman" w:hAnsi="Times New Roman" w:cs="Times New Roman"/>
        </w:rPr>
        <w:t>roject life cycle:</w:t>
      </w:r>
    </w:p>
    <w:tbl>
      <w:tblPr>
        <w:tblW w:w="9298" w:type="dxa"/>
        <w:tblInd w:w="115" w:type="dxa"/>
        <w:tblBorders>
          <w:top w:val="single" w:sz="12" w:space="0" w:color="D9D9D9"/>
          <w:left w:val="single" w:sz="12" w:space="0" w:color="D9D9D9"/>
          <w:bottom w:val="single" w:sz="12" w:space="0" w:color="D9D9D9"/>
          <w:right w:val="single" w:sz="12" w:space="0" w:color="D9D9D9"/>
          <w:insideH w:val="single" w:sz="12" w:space="0" w:color="D9D9D9"/>
          <w:insideV w:val="single" w:sz="12" w:space="0" w:color="D9D9D9"/>
        </w:tblBorders>
        <w:shd w:val="clear" w:color="auto" w:fill="F7F7F7"/>
        <w:tblCellMar>
          <w:top w:w="57" w:type="dxa"/>
          <w:left w:w="57" w:type="dxa"/>
          <w:bottom w:w="57" w:type="dxa"/>
          <w:right w:w="57" w:type="dxa"/>
        </w:tblCellMar>
        <w:tblLook w:val="04A0" w:firstRow="1" w:lastRow="0" w:firstColumn="1" w:lastColumn="0" w:noHBand="0" w:noVBand="1"/>
      </w:tblPr>
      <w:tblGrid>
        <w:gridCol w:w="861"/>
        <w:gridCol w:w="7020"/>
        <w:gridCol w:w="1417"/>
      </w:tblGrid>
      <w:tr w:rsidR="00F52CE7" w:rsidRPr="005948DE" w14:paraId="18E9E5E3" w14:textId="77777777" w:rsidTr="00A7490B">
        <w:trPr>
          <w:trHeight w:val="284"/>
          <w:tblHeader/>
        </w:trPr>
        <w:tc>
          <w:tcPr>
            <w:tcW w:w="843" w:type="dxa"/>
            <w:shd w:val="clear" w:color="auto" w:fill="BFBFBF"/>
          </w:tcPr>
          <w:p w14:paraId="00E3E4AA" w14:textId="77777777" w:rsidR="00C55550" w:rsidRPr="005948DE" w:rsidRDefault="00C55550" w:rsidP="005948DE">
            <w:pPr>
              <w:keepNext/>
              <w:spacing w:after="0" w:line="276" w:lineRule="auto"/>
              <w:ind w:right="90"/>
              <w:jc w:val="both"/>
              <w:rPr>
                <w:rFonts w:ascii="Times New Roman" w:eastAsia="Calibri" w:hAnsi="Times New Roman" w:cs="Times New Roman"/>
              </w:rPr>
            </w:pPr>
          </w:p>
        </w:tc>
        <w:tc>
          <w:tcPr>
            <w:tcW w:w="7037" w:type="dxa"/>
            <w:shd w:val="clear" w:color="auto" w:fill="BFBFBF"/>
            <w:vAlign w:val="center"/>
          </w:tcPr>
          <w:p w14:paraId="41C7FEB0" w14:textId="77777777" w:rsidR="00C55550" w:rsidRPr="005948DE" w:rsidRDefault="00C55550" w:rsidP="005948DE">
            <w:pPr>
              <w:keepNext/>
              <w:spacing w:after="0" w:line="276" w:lineRule="auto"/>
              <w:ind w:right="90"/>
              <w:jc w:val="both"/>
              <w:rPr>
                <w:rFonts w:ascii="Times New Roman" w:eastAsia="Calibri" w:hAnsi="Times New Roman" w:cs="Times New Roman"/>
                <w:b/>
              </w:rPr>
            </w:pPr>
            <w:r w:rsidRPr="005948DE">
              <w:rPr>
                <w:rFonts w:ascii="Times New Roman" w:eastAsia="Calibri" w:hAnsi="Times New Roman" w:cs="Times New Roman"/>
                <w:b/>
              </w:rPr>
              <w:t>E &amp; S Standards</w:t>
            </w:r>
          </w:p>
        </w:tc>
        <w:tc>
          <w:tcPr>
            <w:tcW w:w="1418" w:type="dxa"/>
            <w:shd w:val="clear" w:color="auto" w:fill="BFBFBF"/>
            <w:vAlign w:val="center"/>
          </w:tcPr>
          <w:p w14:paraId="30827C5E" w14:textId="77777777" w:rsidR="00C55550" w:rsidRPr="005948DE" w:rsidRDefault="00C55550" w:rsidP="005948DE">
            <w:pPr>
              <w:keepNext/>
              <w:spacing w:after="0" w:line="276" w:lineRule="auto"/>
              <w:ind w:right="-198"/>
              <w:jc w:val="both"/>
              <w:rPr>
                <w:rFonts w:ascii="Times New Roman" w:eastAsia="Calibri" w:hAnsi="Times New Roman" w:cs="Times New Roman"/>
                <w:b/>
              </w:rPr>
            </w:pPr>
            <w:r w:rsidRPr="005948DE">
              <w:rPr>
                <w:rFonts w:ascii="Times New Roman" w:eastAsia="Calibri" w:hAnsi="Times New Roman" w:cs="Times New Roman"/>
                <w:b/>
              </w:rPr>
              <w:t>Relevance</w:t>
            </w:r>
          </w:p>
        </w:tc>
      </w:tr>
      <w:tr w:rsidR="00F52CE7" w:rsidRPr="005948DE" w14:paraId="2E85A565" w14:textId="77777777" w:rsidTr="00A7490B">
        <w:trPr>
          <w:trHeight w:val="284"/>
        </w:trPr>
        <w:tc>
          <w:tcPr>
            <w:tcW w:w="843" w:type="dxa"/>
          </w:tcPr>
          <w:p w14:paraId="6024F0BB"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ESS1</w:t>
            </w:r>
          </w:p>
        </w:tc>
        <w:tc>
          <w:tcPr>
            <w:tcW w:w="7037" w:type="dxa"/>
            <w:shd w:val="clear" w:color="auto" w:fill="auto"/>
          </w:tcPr>
          <w:p w14:paraId="043429C7"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Assessment and Management of Environmental and Social Risks and Impacts</w:t>
            </w:r>
          </w:p>
        </w:tc>
        <w:tc>
          <w:tcPr>
            <w:tcW w:w="1418" w:type="dxa"/>
            <w:shd w:val="clear" w:color="auto" w:fill="EAF1DD"/>
          </w:tcPr>
          <w:p w14:paraId="603363B9"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r w:rsidR="00F52CE7" w:rsidRPr="005948DE" w14:paraId="30B7E82E" w14:textId="77777777" w:rsidTr="00A7490B">
        <w:trPr>
          <w:trHeight w:val="284"/>
        </w:trPr>
        <w:tc>
          <w:tcPr>
            <w:tcW w:w="843" w:type="dxa"/>
          </w:tcPr>
          <w:p w14:paraId="5826F0D3"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ESS2</w:t>
            </w:r>
          </w:p>
        </w:tc>
        <w:tc>
          <w:tcPr>
            <w:tcW w:w="7037" w:type="dxa"/>
            <w:shd w:val="clear" w:color="auto" w:fill="auto"/>
          </w:tcPr>
          <w:p w14:paraId="68F1C663"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Labor and Working Conditions</w:t>
            </w:r>
          </w:p>
        </w:tc>
        <w:tc>
          <w:tcPr>
            <w:tcW w:w="1418" w:type="dxa"/>
            <w:shd w:val="clear" w:color="auto" w:fill="EAF1DD"/>
          </w:tcPr>
          <w:p w14:paraId="1E54A7D9"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r w:rsidR="00F52CE7" w:rsidRPr="005948DE" w14:paraId="0B205A42" w14:textId="77777777" w:rsidTr="00A7490B">
        <w:trPr>
          <w:trHeight w:val="284"/>
        </w:trPr>
        <w:tc>
          <w:tcPr>
            <w:tcW w:w="843" w:type="dxa"/>
          </w:tcPr>
          <w:p w14:paraId="1A52F6F8"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ESS3</w:t>
            </w:r>
          </w:p>
        </w:tc>
        <w:tc>
          <w:tcPr>
            <w:tcW w:w="7037" w:type="dxa"/>
            <w:shd w:val="clear" w:color="auto" w:fill="auto"/>
          </w:tcPr>
          <w:p w14:paraId="7BD93BCA"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Resource Efficiency and Pollution Prevention and Management</w:t>
            </w:r>
          </w:p>
        </w:tc>
        <w:tc>
          <w:tcPr>
            <w:tcW w:w="1418" w:type="dxa"/>
            <w:shd w:val="clear" w:color="auto" w:fill="EAF1DD"/>
          </w:tcPr>
          <w:p w14:paraId="57D7C152"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r w:rsidR="00F52CE7" w:rsidRPr="005948DE" w14:paraId="072C7136" w14:textId="77777777" w:rsidTr="00A7490B">
        <w:trPr>
          <w:trHeight w:val="284"/>
        </w:trPr>
        <w:tc>
          <w:tcPr>
            <w:tcW w:w="843" w:type="dxa"/>
          </w:tcPr>
          <w:p w14:paraId="733345EE"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ESS4</w:t>
            </w:r>
          </w:p>
        </w:tc>
        <w:tc>
          <w:tcPr>
            <w:tcW w:w="7037" w:type="dxa"/>
            <w:shd w:val="clear" w:color="auto" w:fill="auto"/>
          </w:tcPr>
          <w:p w14:paraId="110E9EE5"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Community Health and Safety</w:t>
            </w:r>
          </w:p>
        </w:tc>
        <w:tc>
          <w:tcPr>
            <w:tcW w:w="1418" w:type="dxa"/>
            <w:shd w:val="clear" w:color="auto" w:fill="EAF1DD"/>
          </w:tcPr>
          <w:p w14:paraId="78F26C2A"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r w:rsidR="00F52CE7" w:rsidRPr="005948DE" w14:paraId="6F558371" w14:textId="77777777" w:rsidTr="00A7490B">
        <w:trPr>
          <w:trHeight w:val="284"/>
        </w:trPr>
        <w:tc>
          <w:tcPr>
            <w:tcW w:w="843" w:type="dxa"/>
          </w:tcPr>
          <w:p w14:paraId="4EFFD1F3"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ESS5</w:t>
            </w:r>
          </w:p>
        </w:tc>
        <w:tc>
          <w:tcPr>
            <w:tcW w:w="7037" w:type="dxa"/>
            <w:shd w:val="clear" w:color="auto" w:fill="auto"/>
          </w:tcPr>
          <w:p w14:paraId="47262CFF"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Land Acquisition, Restrictions on Land Use and Involuntary Resettlement</w:t>
            </w:r>
          </w:p>
        </w:tc>
        <w:tc>
          <w:tcPr>
            <w:tcW w:w="1418" w:type="dxa"/>
            <w:shd w:val="clear" w:color="auto" w:fill="EAF1DD"/>
          </w:tcPr>
          <w:p w14:paraId="1E9904B0"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r w:rsidR="00F52CE7" w:rsidRPr="005948DE" w14:paraId="0FDD5593" w14:textId="77777777" w:rsidTr="00A7490B">
        <w:trPr>
          <w:trHeight w:val="284"/>
        </w:trPr>
        <w:tc>
          <w:tcPr>
            <w:tcW w:w="843" w:type="dxa"/>
          </w:tcPr>
          <w:p w14:paraId="3EA06609"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ESS6</w:t>
            </w:r>
          </w:p>
        </w:tc>
        <w:tc>
          <w:tcPr>
            <w:tcW w:w="7037" w:type="dxa"/>
            <w:shd w:val="clear" w:color="auto" w:fill="auto"/>
          </w:tcPr>
          <w:p w14:paraId="2A7734F9"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Biodiversity Conservation and Sustainable Management of Living Natural Resources</w:t>
            </w:r>
          </w:p>
        </w:tc>
        <w:tc>
          <w:tcPr>
            <w:tcW w:w="1418" w:type="dxa"/>
            <w:shd w:val="clear" w:color="auto" w:fill="auto"/>
          </w:tcPr>
          <w:p w14:paraId="3A37F5CC" w14:textId="4821303F" w:rsidR="00C55550" w:rsidRPr="005948DE" w:rsidRDefault="00C47C23"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 xml:space="preserve">Not </w:t>
            </w:r>
            <w:r w:rsidR="00C55550" w:rsidRPr="005948DE">
              <w:rPr>
                <w:rFonts w:ascii="Times New Roman" w:eastAsia="Calibri" w:hAnsi="Times New Roman" w:cs="Times New Roman"/>
              </w:rPr>
              <w:t>Relevant</w:t>
            </w:r>
          </w:p>
        </w:tc>
      </w:tr>
      <w:tr w:rsidR="00F52CE7" w:rsidRPr="005948DE" w14:paraId="76C98AF4" w14:textId="77777777" w:rsidTr="00A7490B">
        <w:trPr>
          <w:trHeight w:val="284"/>
        </w:trPr>
        <w:tc>
          <w:tcPr>
            <w:tcW w:w="843" w:type="dxa"/>
          </w:tcPr>
          <w:p w14:paraId="3928A04D"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ESS7</w:t>
            </w:r>
          </w:p>
        </w:tc>
        <w:tc>
          <w:tcPr>
            <w:tcW w:w="7037" w:type="dxa"/>
            <w:shd w:val="clear" w:color="auto" w:fill="auto"/>
          </w:tcPr>
          <w:p w14:paraId="669A70C7"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Indigenous Peoples/Sub-Saharan African Historically Underserved Traditional Local Communities</w:t>
            </w:r>
          </w:p>
        </w:tc>
        <w:tc>
          <w:tcPr>
            <w:tcW w:w="1418" w:type="dxa"/>
            <w:shd w:val="clear" w:color="auto" w:fill="auto"/>
          </w:tcPr>
          <w:p w14:paraId="4DE57515"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Not Relevant</w:t>
            </w:r>
          </w:p>
        </w:tc>
      </w:tr>
      <w:tr w:rsidR="00F52CE7" w:rsidRPr="005948DE" w14:paraId="587C4053" w14:textId="77777777" w:rsidTr="00A7490B">
        <w:trPr>
          <w:trHeight w:val="284"/>
        </w:trPr>
        <w:tc>
          <w:tcPr>
            <w:tcW w:w="843" w:type="dxa"/>
          </w:tcPr>
          <w:p w14:paraId="2CE4BB29"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ESS8</w:t>
            </w:r>
          </w:p>
        </w:tc>
        <w:tc>
          <w:tcPr>
            <w:tcW w:w="7037" w:type="dxa"/>
            <w:shd w:val="clear" w:color="auto" w:fill="auto"/>
          </w:tcPr>
          <w:p w14:paraId="5DECEBC9"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Cultural Heritage</w:t>
            </w:r>
          </w:p>
        </w:tc>
        <w:tc>
          <w:tcPr>
            <w:tcW w:w="1418" w:type="dxa"/>
            <w:shd w:val="clear" w:color="auto" w:fill="EAF1DD"/>
          </w:tcPr>
          <w:p w14:paraId="651E5A54"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r w:rsidR="00F52CE7" w:rsidRPr="005948DE" w14:paraId="2BAF7B97" w14:textId="77777777" w:rsidTr="00A7490B">
        <w:trPr>
          <w:trHeight w:val="284"/>
        </w:trPr>
        <w:tc>
          <w:tcPr>
            <w:tcW w:w="843" w:type="dxa"/>
          </w:tcPr>
          <w:p w14:paraId="31BC9B00"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ESS9</w:t>
            </w:r>
          </w:p>
        </w:tc>
        <w:tc>
          <w:tcPr>
            <w:tcW w:w="7037" w:type="dxa"/>
            <w:shd w:val="clear" w:color="auto" w:fill="auto"/>
          </w:tcPr>
          <w:p w14:paraId="2B932997"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Financial Intermediaries</w:t>
            </w:r>
          </w:p>
        </w:tc>
        <w:tc>
          <w:tcPr>
            <w:tcW w:w="1418" w:type="dxa"/>
            <w:shd w:val="clear" w:color="auto" w:fill="auto"/>
          </w:tcPr>
          <w:p w14:paraId="47AF507C"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Not Relevant</w:t>
            </w:r>
          </w:p>
        </w:tc>
      </w:tr>
      <w:tr w:rsidR="00F52CE7" w:rsidRPr="005948DE" w14:paraId="58E336C9" w14:textId="77777777" w:rsidTr="00A7490B">
        <w:trPr>
          <w:trHeight w:val="284"/>
        </w:trPr>
        <w:tc>
          <w:tcPr>
            <w:tcW w:w="843" w:type="dxa"/>
          </w:tcPr>
          <w:p w14:paraId="062521D5"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ESS10</w:t>
            </w:r>
          </w:p>
        </w:tc>
        <w:tc>
          <w:tcPr>
            <w:tcW w:w="7037" w:type="dxa"/>
            <w:shd w:val="clear" w:color="auto" w:fill="auto"/>
          </w:tcPr>
          <w:p w14:paraId="598F90EA"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Stakeholder Engagement and Information Disclosure</w:t>
            </w:r>
          </w:p>
        </w:tc>
        <w:tc>
          <w:tcPr>
            <w:tcW w:w="1418" w:type="dxa"/>
            <w:shd w:val="clear" w:color="auto" w:fill="EAF1DD"/>
          </w:tcPr>
          <w:p w14:paraId="73B7451C" w14:textId="77777777" w:rsidR="00C55550" w:rsidRPr="005948DE" w:rsidRDefault="00C55550" w:rsidP="005948DE">
            <w:pPr>
              <w:keepNext/>
              <w:spacing w:after="0" w:line="276" w:lineRule="auto"/>
              <w:ind w:right="147"/>
              <w:jc w:val="both"/>
              <w:rPr>
                <w:rFonts w:ascii="Times New Roman" w:eastAsia="Calibri" w:hAnsi="Times New Roman" w:cs="Times New Roman"/>
              </w:rPr>
            </w:pPr>
            <w:r w:rsidRPr="005948DE">
              <w:rPr>
                <w:rFonts w:ascii="Times New Roman" w:eastAsia="Calibri" w:hAnsi="Times New Roman" w:cs="Times New Roman"/>
              </w:rPr>
              <w:t>Relevant</w:t>
            </w:r>
          </w:p>
        </w:tc>
      </w:tr>
    </w:tbl>
    <w:p w14:paraId="1FB9A15A" w14:textId="77777777" w:rsidR="00C55550" w:rsidRPr="005948DE" w:rsidRDefault="00C55550" w:rsidP="005948DE">
      <w:pPr>
        <w:spacing w:after="120" w:line="276" w:lineRule="auto"/>
        <w:jc w:val="both"/>
        <w:rPr>
          <w:rFonts w:ascii="Times New Roman" w:eastAsia="Calibri" w:hAnsi="Times New Roman" w:cs="Times New Roman"/>
        </w:rPr>
      </w:pPr>
    </w:p>
    <w:p w14:paraId="2F6FB57D" w14:textId="24FC552E" w:rsidR="00C55550" w:rsidRPr="005948DE" w:rsidRDefault="00C55550" w:rsidP="005948DE">
      <w:p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These ESSs are accompanied by unbinding Guidelines, Best Practice Notes, Templates and Checklists</w:t>
      </w:r>
      <w:r w:rsidR="00383149">
        <w:rPr>
          <w:rFonts w:ascii="Times New Roman" w:eastAsia="Calibri" w:hAnsi="Times New Roman" w:cs="Times New Roman"/>
        </w:rPr>
        <w:t>.</w:t>
      </w:r>
    </w:p>
    <w:p w14:paraId="2CA5F40F" w14:textId="77777777" w:rsidR="00EC6310" w:rsidRPr="005948DE" w:rsidRDefault="00EC6310" w:rsidP="005948DE">
      <w:pPr>
        <w:spacing w:after="120" w:line="276" w:lineRule="auto"/>
        <w:jc w:val="both"/>
        <w:rPr>
          <w:rFonts w:ascii="Times New Roman" w:eastAsia="Calibri" w:hAnsi="Times New Roman" w:cs="Times New Roman"/>
          <w:color w:val="0070C0"/>
          <w:sz w:val="16"/>
        </w:rPr>
      </w:pPr>
    </w:p>
    <w:p w14:paraId="2123B88D" w14:textId="7F5C8446" w:rsidR="00EC6310" w:rsidRPr="005948DE" w:rsidRDefault="00EC6310"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02" w:name="_Toc93342248"/>
      <w:r w:rsidRPr="005948DE">
        <w:rPr>
          <w:rFonts w:ascii="Times New Roman" w:hAnsi="Times New Roman" w:cs="Times New Roman"/>
          <w:smallCaps w:val="0"/>
          <w:color w:val="auto"/>
          <w:sz w:val="24"/>
        </w:rPr>
        <w:t xml:space="preserve">Legal Operational Policies relevant to </w:t>
      </w:r>
      <w:r w:rsidR="00383149">
        <w:rPr>
          <w:rFonts w:ascii="Times New Roman" w:hAnsi="Times New Roman" w:cs="Times New Roman"/>
          <w:smallCaps w:val="0"/>
          <w:color w:val="auto"/>
          <w:sz w:val="24"/>
        </w:rPr>
        <w:t xml:space="preserve">the </w:t>
      </w:r>
      <w:r w:rsidRPr="005948DE">
        <w:rPr>
          <w:rFonts w:ascii="Times New Roman" w:hAnsi="Times New Roman" w:cs="Times New Roman"/>
          <w:smallCaps w:val="0"/>
          <w:color w:val="auto"/>
          <w:sz w:val="24"/>
        </w:rPr>
        <w:t>LIID Project</w:t>
      </w:r>
      <w:bookmarkEnd w:id="502"/>
    </w:p>
    <w:tbl>
      <w:tblPr>
        <w:tblStyle w:val="TableGrid"/>
        <w:tblW w:w="0" w:type="auto"/>
        <w:tblCellMar>
          <w:top w:w="28" w:type="dxa"/>
          <w:left w:w="28" w:type="dxa"/>
          <w:bottom w:w="28" w:type="dxa"/>
          <w:right w:w="28" w:type="dxa"/>
        </w:tblCellMar>
        <w:tblLook w:val="04A0" w:firstRow="1" w:lastRow="0" w:firstColumn="1" w:lastColumn="0" w:noHBand="0" w:noVBand="1"/>
      </w:tblPr>
      <w:tblGrid>
        <w:gridCol w:w="7833"/>
        <w:gridCol w:w="1510"/>
      </w:tblGrid>
      <w:tr w:rsidR="00806502" w:rsidRPr="005948DE" w14:paraId="7F4DB550" w14:textId="77777777" w:rsidTr="00520D31">
        <w:trPr>
          <w:trHeight w:val="397"/>
        </w:trPr>
        <w:tc>
          <w:tcPr>
            <w:tcW w:w="8046" w:type="dxa"/>
            <w:shd w:val="clear" w:color="auto" w:fill="EAF1DD" w:themeFill="accent3" w:themeFillTint="33"/>
            <w:vAlign w:val="center"/>
          </w:tcPr>
          <w:p w14:paraId="2D3068EE" w14:textId="2C373889" w:rsidR="00EC6310" w:rsidRPr="005948DE" w:rsidRDefault="00EC6310" w:rsidP="005948DE">
            <w:pPr>
              <w:keepNext/>
              <w:spacing w:after="120" w:line="276" w:lineRule="auto"/>
              <w:ind w:right="90"/>
              <w:jc w:val="both"/>
              <w:rPr>
                <w:rFonts w:ascii="Times New Roman" w:eastAsia="Calibri" w:hAnsi="Times New Roman" w:cs="Times New Roman"/>
              </w:rPr>
            </w:pPr>
            <w:r w:rsidRPr="005948DE">
              <w:rPr>
                <w:rFonts w:ascii="Times New Roman" w:eastAsia="Calibri" w:hAnsi="Times New Roman" w:cs="Times New Roman"/>
              </w:rPr>
              <w:t>Legal Operational Policy</w:t>
            </w:r>
          </w:p>
        </w:tc>
        <w:tc>
          <w:tcPr>
            <w:tcW w:w="1523" w:type="dxa"/>
            <w:shd w:val="clear" w:color="auto" w:fill="EAF1DD" w:themeFill="accent3" w:themeFillTint="33"/>
            <w:vAlign w:val="center"/>
          </w:tcPr>
          <w:p w14:paraId="35364DA6" w14:textId="2F37B233" w:rsidR="00EC6310" w:rsidRPr="005948DE" w:rsidRDefault="00EC6310" w:rsidP="005948DE">
            <w:pPr>
              <w:keepNext/>
              <w:spacing w:after="120" w:line="276" w:lineRule="auto"/>
              <w:ind w:right="90"/>
              <w:jc w:val="both"/>
              <w:rPr>
                <w:rFonts w:ascii="Times New Roman" w:eastAsia="Calibri" w:hAnsi="Times New Roman" w:cs="Times New Roman"/>
              </w:rPr>
            </w:pPr>
            <w:r w:rsidRPr="005948DE">
              <w:rPr>
                <w:rFonts w:ascii="Times New Roman" w:eastAsia="Calibri" w:hAnsi="Times New Roman" w:cs="Times New Roman"/>
              </w:rPr>
              <w:t>Triggered?</w:t>
            </w:r>
          </w:p>
        </w:tc>
      </w:tr>
      <w:tr w:rsidR="00806502" w:rsidRPr="005948DE" w14:paraId="49CD9913" w14:textId="77777777" w:rsidTr="00520D31">
        <w:trPr>
          <w:trHeight w:val="397"/>
        </w:trPr>
        <w:tc>
          <w:tcPr>
            <w:tcW w:w="8046" w:type="dxa"/>
            <w:vAlign w:val="center"/>
          </w:tcPr>
          <w:p w14:paraId="6331C05C" w14:textId="0FC1D42D" w:rsidR="00EC6310" w:rsidRPr="005948DE" w:rsidRDefault="00EC6310" w:rsidP="005948DE">
            <w:p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Projects on International Waterways OP 7.50</w:t>
            </w:r>
          </w:p>
        </w:tc>
        <w:tc>
          <w:tcPr>
            <w:tcW w:w="1523" w:type="dxa"/>
            <w:vAlign w:val="center"/>
          </w:tcPr>
          <w:p w14:paraId="06AD84D5" w14:textId="5E316631" w:rsidR="00EC6310" w:rsidRPr="005948DE" w:rsidRDefault="00EC6310" w:rsidP="005948DE">
            <w:p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Yes</w:t>
            </w:r>
          </w:p>
        </w:tc>
      </w:tr>
      <w:tr w:rsidR="00806502" w:rsidRPr="005948DE" w14:paraId="422B32B5" w14:textId="77777777" w:rsidTr="00520D31">
        <w:trPr>
          <w:trHeight w:val="397"/>
        </w:trPr>
        <w:tc>
          <w:tcPr>
            <w:tcW w:w="8046" w:type="dxa"/>
            <w:vAlign w:val="center"/>
          </w:tcPr>
          <w:p w14:paraId="6F76427E" w14:textId="003AF491" w:rsidR="00EC6310" w:rsidRPr="005948DE" w:rsidRDefault="00EC6310" w:rsidP="005948DE">
            <w:p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Projects in Disputed Areas OP 7.60</w:t>
            </w:r>
          </w:p>
        </w:tc>
        <w:tc>
          <w:tcPr>
            <w:tcW w:w="1523" w:type="dxa"/>
            <w:vAlign w:val="center"/>
          </w:tcPr>
          <w:p w14:paraId="26E1DEC0" w14:textId="05A6381B" w:rsidR="00EC6310" w:rsidRPr="005948DE" w:rsidRDefault="00EC6310" w:rsidP="005948DE">
            <w:pPr>
              <w:spacing w:after="120" w:line="276" w:lineRule="auto"/>
              <w:jc w:val="both"/>
              <w:rPr>
                <w:rFonts w:ascii="Times New Roman" w:eastAsia="Calibri" w:hAnsi="Times New Roman" w:cs="Times New Roman"/>
              </w:rPr>
            </w:pPr>
            <w:r w:rsidRPr="005948DE">
              <w:rPr>
                <w:rFonts w:ascii="Times New Roman" w:eastAsia="Calibri" w:hAnsi="Times New Roman" w:cs="Times New Roman"/>
              </w:rPr>
              <w:t>No</w:t>
            </w:r>
          </w:p>
        </w:tc>
      </w:tr>
    </w:tbl>
    <w:p w14:paraId="5A22B192" w14:textId="7EDBB948" w:rsidR="00EC6310" w:rsidRPr="005948DE" w:rsidRDefault="00EC6310" w:rsidP="005948DE">
      <w:pPr>
        <w:spacing w:after="0" w:line="276" w:lineRule="auto"/>
        <w:jc w:val="both"/>
        <w:rPr>
          <w:rFonts w:ascii="Times New Roman" w:eastAsia="Calibri" w:hAnsi="Times New Roman" w:cs="Times New Roman"/>
          <w:color w:val="0070C0"/>
          <w:sz w:val="10"/>
        </w:rPr>
      </w:pPr>
    </w:p>
    <w:p w14:paraId="4E6002E1" w14:textId="77777777" w:rsidR="00806502" w:rsidRPr="005948DE" w:rsidRDefault="00806502" w:rsidP="005948DE">
      <w:pPr>
        <w:spacing w:after="0" w:line="276" w:lineRule="auto"/>
        <w:jc w:val="both"/>
        <w:rPr>
          <w:rFonts w:ascii="Times New Roman" w:eastAsia="Calibri" w:hAnsi="Times New Roman" w:cs="Times New Roman"/>
          <w:color w:val="0070C0"/>
          <w:sz w:val="10"/>
        </w:rPr>
      </w:pPr>
    </w:p>
    <w:p w14:paraId="6B92544C" w14:textId="5E9C8AA3" w:rsidR="00C55550" w:rsidRPr="005948DE" w:rsidRDefault="00C55550"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03" w:name="_Toc24664271"/>
      <w:bookmarkStart w:id="504" w:name="_Toc88732361"/>
      <w:bookmarkStart w:id="505" w:name="_Toc93342249"/>
      <w:r w:rsidRPr="005948DE">
        <w:rPr>
          <w:rFonts w:ascii="Times New Roman" w:hAnsi="Times New Roman" w:cs="Times New Roman"/>
          <w:smallCaps w:val="0"/>
          <w:color w:val="auto"/>
          <w:sz w:val="24"/>
        </w:rPr>
        <w:t xml:space="preserve">Potential Environmental and Social </w:t>
      </w:r>
      <w:r w:rsidR="00383149">
        <w:rPr>
          <w:rFonts w:ascii="Times New Roman" w:hAnsi="Times New Roman" w:cs="Times New Roman"/>
          <w:smallCaps w:val="0"/>
          <w:color w:val="auto"/>
          <w:sz w:val="24"/>
        </w:rPr>
        <w:t>I</w:t>
      </w:r>
      <w:r w:rsidRPr="005948DE">
        <w:rPr>
          <w:rFonts w:ascii="Times New Roman" w:hAnsi="Times New Roman" w:cs="Times New Roman"/>
          <w:smallCaps w:val="0"/>
          <w:color w:val="auto"/>
          <w:sz w:val="24"/>
        </w:rPr>
        <w:t>mpacts and Risks</w:t>
      </w:r>
      <w:bookmarkEnd w:id="503"/>
      <w:bookmarkEnd w:id="504"/>
      <w:bookmarkEnd w:id="505"/>
    </w:p>
    <w:p w14:paraId="721E94DE" w14:textId="5B6C49DF" w:rsidR="00935095" w:rsidRPr="005948DE" w:rsidRDefault="00935095" w:rsidP="005948DE">
      <w:pPr>
        <w:pStyle w:val="Heading3"/>
        <w:numPr>
          <w:ilvl w:val="2"/>
          <w:numId w:val="330"/>
        </w:numPr>
        <w:spacing w:before="120" w:after="120" w:line="276" w:lineRule="auto"/>
        <w:jc w:val="both"/>
        <w:rPr>
          <w:rFonts w:ascii="Times New Roman" w:hAnsi="Times New Roman" w:cs="Times New Roman"/>
          <w:color w:val="auto"/>
        </w:rPr>
      </w:pPr>
      <w:bookmarkStart w:id="506" w:name="_Toc88985965"/>
      <w:bookmarkStart w:id="507" w:name="_Toc89025103"/>
      <w:bookmarkStart w:id="508" w:name="_Toc93342250"/>
      <w:bookmarkEnd w:id="506"/>
      <w:bookmarkEnd w:id="507"/>
      <w:r w:rsidRPr="005948DE">
        <w:rPr>
          <w:rFonts w:ascii="Times New Roman" w:hAnsi="Times New Roman" w:cs="Times New Roman"/>
          <w:color w:val="auto"/>
        </w:rPr>
        <w:t>Environmental Risk Rating</w:t>
      </w:r>
      <w:bookmarkEnd w:id="508"/>
    </w:p>
    <w:p w14:paraId="36C0D068" w14:textId="4219C66A" w:rsidR="00520D31" w:rsidRPr="005948DE" w:rsidRDefault="00520D31" w:rsidP="005948DE">
      <w:pPr>
        <w:pStyle w:val="BodyText"/>
        <w:spacing w:after="120" w:line="276" w:lineRule="auto"/>
        <w:ind w:right="-3"/>
        <w:jc w:val="both"/>
        <w:rPr>
          <w:rFonts w:ascii="Times New Roman" w:hAnsi="Times New Roman"/>
          <w:color w:val="auto"/>
          <w:spacing w:val="-1"/>
          <w:lang w:val="en-GB"/>
        </w:rPr>
      </w:pPr>
      <w:r w:rsidRPr="005948DE">
        <w:rPr>
          <w:rFonts w:ascii="Times New Roman" w:hAnsi="Times New Roman"/>
          <w:color w:val="auto"/>
          <w:spacing w:val="-1"/>
          <w:lang w:val="en-GB"/>
        </w:rPr>
        <w:t xml:space="preserve">The environmental risks are considered </w:t>
      </w:r>
      <w:r w:rsidR="00C76ACA" w:rsidRPr="005948DE">
        <w:rPr>
          <w:rFonts w:ascii="Times New Roman" w:hAnsi="Times New Roman"/>
          <w:b/>
          <w:color w:val="auto"/>
          <w:spacing w:val="-1"/>
          <w:lang w:val="en-GB"/>
        </w:rPr>
        <w:t>m</w:t>
      </w:r>
      <w:r w:rsidRPr="005948DE">
        <w:rPr>
          <w:rFonts w:ascii="Times New Roman" w:hAnsi="Times New Roman"/>
          <w:b/>
          <w:color w:val="auto"/>
          <w:spacing w:val="-1"/>
          <w:lang w:val="en-GB"/>
        </w:rPr>
        <w:t>oderate</w:t>
      </w:r>
      <w:r w:rsidRPr="005948DE">
        <w:rPr>
          <w:rFonts w:ascii="Times New Roman" w:hAnsi="Times New Roman"/>
          <w:color w:val="auto"/>
          <w:spacing w:val="-1"/>
          <w:lang w:val="en-GB"/>
        </w:rPr>
        <w:t xml:space="preserve">. Although the main long-term impacts of the Project are likely to be positive, given its </w:t>
      </w:r>
      <w:r w:rsidR="00383149">
        <w:rPr>
          <w:rFonts w:ascii="Times New Roman" w:hAnsi="Times New Roman"/>
          <w:color w:val="auto"/>
          <w:spacing w:val="-1"/>
          <w:lang w:val="en-GB"/>
        </w:rPr>
        <w:t>G</w:t>
      </w:r>
      <w:r w:rsidR="00383149" w:rsidRPr="005948DE">
        <w:rPr>
          <w:rFonts w:ascii="Times New Roman" w:hAnsi="Times New Roman"/>
          <w:color w:val="auto"/>
          <w:spacing w:val="-1"/>
          <w:lang w:val="en-GB"/>
        </w:rPr>
        <w:t xml:space="preserve">reen </w:t>
      </w:r>
      <w:r w:rsidRPr="005948DE">
        <w:rPr>
          <w:rFonts w:ascii="Times New Roman" w:hAnsi="Times New Roman"/>
          <w:color w:val="auto"/>
          <w:spacing w:val="-1"/>
          <w:lang w:val="en-GB"/>
        </w:rPr>
        <w:t xml:space="preserve">and sustainable footprint, several short-term risks need to be considered. The main environmental risks are related small to medium scale construction works and to: (i) impacts on ground and surface water, soil and air contamination (dust and noise); (ii) OHS issues and access to work sites; (iii) improper waste management, related to infrastructure investments under Component 1. </w:t>
      </w:r>
    </w:p>
    <w:p w14:paraId="7BD847F1" w14:textId="4C475D33" w:rsidR="00935095" w:rsidRPr="005948DE" w:rsidRDefault="00FA0BE6" w:rsidP="005948DE">
      <w:pPr>
        <w:pStyle w:val="BodyText"/>
        <w:spacing w:after="120" w:line="276" w:lineRule="auto"/>
        <w:ind w:right="-3"/>
        <w:jc w:val="both"/>
        <w:rPr>
          <w:rFonts w:ascii="Times New Roman" w:hAnsi="Times New Roman"/>
          <w:color w:val="auto"/>
          <w:lang w:val="en-GB"/>
        </w:rPr>
      </w:pPr>
      <w:r w:rsidRPr="005948DE">
        <w:rPr>
          <w:rFonts w:ascii="Times New Roman" w:hAnsi="Times New Roman"/>
          <w:color w:val="auto"/>
          <w:spacing w:val="-1"/>
          <w:lang w:val="en-GB"/>
        </w:rPr>
        <w:t>T</w:t>
      </w:r>
      <w:r w:rsidR="00935095" w:rsidRPr="005948DE">
        <w:rPr>
          <w:rFonts w:ascii="Times New Roman" w:hAnsi="Times New Roman"/>
          <w:color w:val="auto"/>
          <w:lang w:val="en-GB"/>
        </w:rPr>
        <w:t>he</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potential</w:t>
      </w:r>
      <w:r w:rsidR="00935095" w:rsidRPr="005948DE">
        <w:rPr>
          <w:rFonts w:ascii="Times New Roman" w:hAnsi="Times New Roman"/>
          <w:color w:val="auto"/>
          <w:spacing w:val="97"/>
          <w:lang w:val="en-GB"/>
        </w:rPr>
        <w:t xml:space="preserve"> </w:t>
      </w:r>
      <w:r w:rsidR="00806502" w:rsidRPr="005948DE">
        <w:rPr>
          <w:rFonts w:ascii="Times New Roman" w:hAnsi="Times New Roman"/>
          <w:bCs w:val="0"/>
          <w:color w:val="auto"/>
          <w:spacing w:val="-1"/>
          <w:lang w:val="en-GB"/>
        </w:rPr>
        <w:t>adverse</w:t>
      </w:r>
      <w:r w:rsidR="00806502" w:rsidRPr="005948DE">
        <w:rPr>
          <w:rFonts w:ascii="Times New Roman" w:hAnsi="Times New Roman"/>
        </w:rPr>
        <w:t xml:space="preserve"> </w:t>
      </w:r>
      <w:r w:rsidR="00935095" w:rsidRPr="005948DE">
        <w:rPr>
          <w:rFonts w:ascii="Times New Roman" w:hAnsi="Times New Roman"/>
          <w:color w:val="auto"/>
          <w:lang w:val="en-GB"/>
        </w:rPr>
        <w:t>environmental</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 xml:space="preserve">risks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 xml:space="preserve">impacts </w:t>
      </w:r>
      <w:r w:rsidR="00935095" w:rsidRPr="005948DE">
        <w:rPr>
          <w:rFonts w:ascii="Times New Roman" w:hAnsi="Times New Roman"/>
          <w:color w:val="auto"/>
          <w:lang w:val="en-GB"/>
        </w:rPr>
        <w:t>that</w:t>
      </w:r>
      <w:r w:rsidR="00935095" w:rsidRPr="005948DE">
        <w:rPr>
          <w:rFonts w:ascii="Times New Roman" w:hAnsi="Times New Roman"/>
          <w:color w:val="auto"/>
          <w:spacing w:val="-1"/>
          <w:lang w:val="en-GB"/>
        </w:rPr>
        <w:t xml:space="preserve"> could</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be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identified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are</w:t>
      </w:r>
      <w:r w:rsidR="002516A6" w:rsidRPr="005948DE">
        <w:rPr>
          <w:rFonts w:ascii="Times New Roman" w:hAnsi="Times New Roman"/>
          <w:color w:val="auto"/>
          <w:lang w:val="en-GB"/>
        </w:rPr>
        <w:t xml:space="preserve"> </w:t>
      </w:r>
      <w:r w:rsidR="00935095" w:rsidRPr="005948DE">
        <w:rPr>
          <w:rFonts w:ascii="Times New Roman" w:hAnsi="Times New Roman"/>
          <w:color w:val="auto"/>
          <w:spacing w:val="-1"/>
          <w:lang w:val="en-GB"/>
        </w:rPr>
        <w:t>impacts</w:t>
      </w:r>
      <w:r w:rsidR="00935095" w:rsidRPr="005948DE">
        <w:rPr>
          <w:rFonts w:ascii="Times New Roman" w:hAnsi="Times New Roman"/>
          <w:color w:val="auto"/>
          <w:lang w:val="en-GB"/>
        </w:rPr>
        <w:t xml:space="preserve"> on</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ground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surface water,</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 xml:space="preserve">soil </w:t>
      </w:r>
      <w:r w:rsidR="00935095" w:rsidRPr="005948DE">
        <w:rPr>
          <w:rFonts w:ascii="Times New Roman" w:hAnsi="Times New Roman"/>
          <w:color w:val="auto"/>
          <w:lang w:val="en-GB"/>
        </w:rPr>
        <w:t>and</w:t>
      </w:r>
      <w:r w:rsidR="00935095" w:rsidRPr="005948DE">
        <w:rPr>
          <w:rFonts w:ascii="Times New Roman" w:hAnsi="Times New Roman"/>
          <w:color w:val="auto"/>
          <w:spacing w:val="65"/>
          <w:lang w:val="en-GB"/>
        </w:rPr>
        <w:t xml:space="preserve"> </w:t>
      </w:r>
      <w:r w:rsidR="00935095" w:rsidRPr="005948DE">
        <w:rPr>
          <w:rFonts w:ascii="Times New Roman" w:hAnsi="Times New Roman"/>
          <w:color w:val="auto"/>
          <w:lang w:val="en-GB"/>
        </w:rPr>
        <w:t>air</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contamination (dust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1"/>
          <w:lang w:val="en-GB"/>
        </w:rPr>
        <w:t xml:space="preserve"> noise)</w:t>
      </w:r>
      <w:r w:rsidR="002516A6" w:rsidRPr="005948DE">
        <w:rPr>
          <w:rFonts w:ascii="Times New Roman" w:hAnsi="Times New Roman"/>
          <w:color w:val="auto"/>
          <w:spacing w:val="-1"/>
          <w:lang w:val="en-GB"/>
        </w:rPr>
        <w:t xml:space="preserve">, </w:t>
      </w:r>
      <w:r w:rsidR="00935095" w:rsidRPr="005948DE">
        <w:rPr>
          <w:rFonts w:ascii="Times New Roman" w:hAnsi="Times New Roman"/>
          <w:color w:val="auto"/>
          <w:spacing w:val="-1"/>
          <w:lang w:val="en-GB"/>
        </w:rPr>
        <w:t xml:space="preserve">occupational health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safety (OHS)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 xml:space="preserve">issues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access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to</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work</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sites</w:t>
      </w:r>
      <w:r w:rsidR="002516A6" w:rsidRPr="005948DE">
        <w:rPr>
          <w:rFonts w:ascii="Times New Roman" w:hAnsi="Times New Roman"/>
          <w:color w:val="auto"/>
          <w:spacing w:val="-2"/>
          <w:lang w:val="en-GB"/>
        </w:rPr>
        <w:t xml:space="preserve"> and </w:t>
      </w:r>
      <w:r w:rsidR="00935095" w:rsidRPr="005948DE">
        <w:rPr>
          <w:rFonts w:ascii="Times New Roman" w:hAnsi="Times New Roman"/>
          <w:color w:val="auto"/>
          <w:spacing w:val="-1"/>
          <w:lang w:val="en-GB"/>
        </w:rPr>
        <w:t>improper</w:t>
      </w:r>
      <w:r w:rsidR="00935095" w:rsidRPr="005948DE">
        <w:rPr>
          <w:rFonts w:ascii="Times New Roman" w:hAnsi="Times New Roman"/>
          <w:color w:val="auto"/>
          <w:spacing w:val="-5"/>
          <w:lang w:val="en-GB"/>
        </w:rPr>
        <w:t xml:space="preserve"> </w:t>
      </w:r>
      <w:r w:rsidR="00935095" w:rsidRPr="005948DE">
        <w:rPr>
          <w:rFonts w:ascii="Times New Roman" w:hAnsi="Times New Roman"/>
          <w:color w:val="auto"/>
          <w:lang w:val="en-GB"/>
        </w:rPr>
        <w:t>waste</w:t>
      </w:r>
      <w:r w:rsidR="00935095" w:rsidRPr="005948DE">
        <w:rPr>
          <w:rFonts w:ascii="Times New Roman" w:hAnsi="Times New Roman"/>
          <w:color w:val="auto"/>
          <w:spacing w:val="-5"/>
          <w:lang w:val="en-GB"/>
        </w:rPr>
        <w:t xml:space="preserve"> </w:t>
      </w:r>
      <w:r w:rsidR="00935095" w:rsidRPr="005948DE">
        <w:rPr>
          <w:rFonts w:ascii="Times New Roman" w:hAnsi="Times New Roman"/>
          <w:color w:val="auto"/>
          <w:spacing w:val="-1"/>
          <w:lang w:val="en-GB"/>
        </w:rPr>
        <w:t>management.</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To</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lang w:val="en-GB"/>
        </w:rPr>
        <w:t>mitigate</w:t>
      </w:r>
      <w:r w:rsidR="00935095" w:rsidRPr="005948DE">
        <w:rPr>
          <w:rFonts w:ascii="Times New Roman" w:hAnsi="Times New Roman"/>
          <w:color w:val="auto"/>
          <w:spacing w:val="-5"/>
          <w:lang w:val="en-GB"/>
        </w:rPr>
        <w:t xml:space="preserve"> </w:t>
      </w:r>
      <w:r w:rsidR="00935095" w:rsidRPr="005948DE">
        <w:rPr>
          <w:rFonts w:ascii="Times New Roman" w:hAnsi="Times New Roman"/>
          <w:color w:val="auto"/>
          <w:spacing w:val="-1"/>
          <w:lang w:val="en-GB"/>
        </w:rPr>
        <w:t>these</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lang w:val="en-GB"/>
        </w:rPr>
        <w:t>risks</w:t>
      </w:r>
      <w:r w:rsidR="00935095" w:rsidRPr="005948DE">
        <w:rPr>
          <w:rFonts w:ascii="Times New Roman" w:hAnsi="Times New Roman"/>
          <w:color w:val="auto"/>
          <w:spacing w:val="-6"/>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adverse</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impacts,</w:t>
      </w:r>
      <w:r w:rsidR="00935095" w:rsidRPr="005948DE">
        <w:rPr>
          <w:rFonts w:ascii="Times New Roman" w:hAnsi="Times New Roman"/>
          <w:color w:val="auto"/>
          <w:spacing w:val="-5"/>
          <w:lang w:val="en-GB"/>
        </w:rPr>
        <w:t xml:space="preserve"> </w:t>
      </w:r>
      <w:r w:rsidR="00935095" w:rsidRPr="005948DE">
        <w:rPr>
          <w:rFonts w:ascii="Times New Roman" w:hAnsi="Times New Roman"/>
          <w:color w:val="auto"/>
          <w:lang w:val="en-GB"/>
        </w:rPr>
        <w:t>an</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ESMF</w:t>
      </w:r>
      <w:r w:rsidR="00935095" w:rsidRPr="005948DE">
        <w:rPr>
          <w:rFonts w:ascii="Times New Roman" w:hAnsi="Times New Roman"/>
          <w:color w:val="auto"/>
          <w:spacing w:val="-2"/>
          <w:lang w:val="en-GB"/>
        </w:rPr>
        <w:t xml:space="preserve"> </w:t>
      </w:r>
      <w:r w:rsidR="00806502" w:rsidRPr="005948DE">
        <w:rPr>
          <w:rFonts w:ascii="Times New Roman" w:hAnsi="Times New Roman"/>
          <w:color w:val="auto"/>
          <w:spacing w:val="-1"/>
          <w:lang w:val="en-GB"/>
        </w:rPr>
        <w:t>has been</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prepared,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as</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the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guiding</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instrument in</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 xml:space="preserve">addressing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mitigating</w:t>
      </w:r>
      <w:r w:rsidR="00935095" w:rsidRPr="005948DE">
        <w:rPr>
          <w:rFonts w:ascii="Times New Roman" w:hAnsi="Times New Roman"/>
          <w:color w:val="auto"/>
          <w:spacing w:val="-2"/>
          <w:lang w:val="en-GB"/>
        </w:rPr>
        <w:t xml:space="preserve"> </w:t>
      </w:r>
      <w:r w:rsidR="0048150B" w:rsidRPr="005948DE">
        <w:rPr>
          <w:rFonts w:ascii="Times New Roman" w:hAnsi="Times New Roman"/>
          <w:color w:val="auto"/>
          <w:spacing w:val="-1"/>
          <w:lang w:val="en-GB"/>
        </w:rPr>
        <w:t>r</w:t>
      </w:r>
      <w:r w:rsidR="00935095" w:rsidRPr="005948DE">
        <w:rPr>
          <w:rFonts w:ascii="Times New Roman" w:hAnsi="Times New Roman"/>
          <w:color w:val="auto"/>
          <w:spacing w:val="-1"/>
          <w:lang w:val="en-GB"/>
        </w:rPr>
        <w:t>isks</w:t>
      </w:r>
      <w:r w:rsidR="00935095" w:rsidRPr="005948DE">
        <w:rPr>
          <w:rFonts w:ascii="Times New Roman" w:hAnsi="Times New Roman"/>
          <w:color w:val="auto"/>
          <w:spacing w:val="-2"/>
          <w:lang w:val="en-GB"/>
        </w:rPr>
        <w:t xml:space="preserve"> </w:t>
      </w:r>
      <w:r w:rsidR="0048150B" w:rsidRPr="005948DE">
        <w:rPr>
          <w:rFonts w:ascii="Times New Roman" w:hAnsi="Times New Roman"/>
          <w:color w:val="auto"/>
          <w:spacing w:val="-1"/>
          <w:lang w:val="en-GB"/>
        </w:rPr>
        <w:t>during</w:t>
      </w:r>
      <w:r w:rsidR="00935095" w:rsidRPr="005948DE">
        <w:rPr>
          <w:rFonts w:ascii="Times New Roman" w:hAnsi="Times New Roman"/>
          <w:color w:val="auto"/>
          <w:spacing w:val="-3"/>
          <w:lang w:val="en-GB"/>
        </w:rPr>
        <w:t xml:space="preserve"> </w:t>
      </w:r>
      <w:r w:rsidR="00383149">
        <w:rPr>
          <w:rFonts w:ascii="Times New Roman" w:hAnsi="Times New Roman"/>
          <w:color w:val="auto"/>
          <w:spacing w:val="-3"/>
          <w:lang w:val="en-GB"/>
        </w:rPr>
        <w:t xml:space="preserve">the </w:t>
      </w:r>
      <w:r w:rsidR="00935095" w:rsidRPr="005948DE">
        <w:rPr>
          <w:rFonts w:ascii="Times New Roman" w:hAnsi="Times New Roman"/>
          <w:color w:val="auto"/>
          <w:spacing w:val="-1"/>
          <w:lang w:val="en-GB"/>
        </w:rPr>
        <w:t>Project</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implementation,</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but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also</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lang w:val="en-GB"/>
        </w:rPr>
        <w:t>to</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set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the</w:t>
      </w:r>
      <w:r w:rsidR="00935095" w:rsidRPr="005948DE">
        <w:rPr>
          <w:rFonts w:ascii="Times New Roman" w:hAnsi="Times New Roman"/>
          <w:color w:val="auto"/>
          <w:spacing w:val="-4"/>
          <w:lang w:val="en-GB"/>
        </w:rPr>
        <w:t xml:space="preserve"> </w:t>
      </w:r>
      <w:r w:rsidR="0048150B" w:rsidRPr="005948DE">
        <w:rPr>
          <w:rFonts w:ascii="Times New Roman" w:hAnsi="Times New Roman"/>
          <w:color w:val="auto"/>
          <w:spacing w:val="-4"/>
          <w:lang w:val="en-GB"/>
        </w:rPr>
        <w:t xml:space="preserve">E&amp;S </w:t>
      </w:r>
      <w:r w:rsidR="00935095" w:rsidRPr="005948DE">
        <w:rPr>
          <w:rFonts w:ascii="Times New Roman" w:hAnsi="Times New Roman"/>
          <w:color w:val="auto"/>
          <w:spacing w:val="-1"/>
          <w:lang w:val="en-GB"/>
        </w:rPr>
        <w:t>criteria</w:t>
      </w:r>
      <w:r w:rsidR="00935095" w:rsidRPr="005948DE">
        <w:rPr>
          <w:rFonts w:ascii="Times New Roman" w:hAnsi="Times New Roman"/>
          <w:color w:val="auto"/>
          <w:spacing w:val="-2"/>
          <w:lang w:val="en-GB"/>
        </w:rPr>
        <w:t xml:space="preserve"> </w:t>
      </w:r>
      <w:r w:rsidR="0048150B" w:rsidRPr="005948DE">
        <w:rPr>
          <w:rFonts w:ascii="Times New Roman" w:hAnsi="Times New Roman"/>
          <w:color w:val="auto"/>
          <w:spacing w:val="-2"/>
          <w:lang w:val="en-GB"/>
        </w:rPr>
        <w:t xml:space="preserve">driving </w:t>
      </w:r>
      <w:r w:rsidR="0048150B" w:rsidRPr="005948DE">
        <w:rPr>
          <w:rFonts w:ascii="Times New Roman" w:hAnsi="Times New Roman"/>
          <w:color w:val="auto"/>
          <w:spacing w:val="-1"/>
          <w:lang w:val="en-GB"/>
        </w:rPr>
        <w:t>s</w:t>
      </w:r>
      <w:r w:rsidR="00935095" w:rsidRPr="005948DE">
        <w:rPr>
          <w:rFonts w:ascii="Times New Roman" w:hAnsi="Times New Roman"/>
          <w:color w:val="auto"/>
          <w:spacing w:val="-1"/>
          <w:lang w:val="en-GB"/>
        </w:rPr>
        <w:t>election</w:t>
      </w:r>
      <w:r w:rsidR="0048150B" w:rsidRPr="005948DE">
        <w:rPr>
          <w:rFonts w:ascii="Times New Roman" w:hAnsi="Times New Roman"/>
          <w:color w:val="auto"/>
          <w:spacing w:val="-1"/>
          <w:lang w:val="en-GB"/>
        </w:rPr>
        <w:t xml:space="preserve"> of infrastructure investments</w:t>
      </w:r>
      <w:r w:rsidR="00935095" w:rsidRPr="005948DE">
        <w:rPr>
          <w:rFonts w:ascii="Times New Roman" w:hAnsi="Times New Roman"/>
          <w:color w:val="auto"/>
          <w:spacing w:val="-1"/>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monitoring</w:t>
      </w:r>
      <w:r w:rsidR="0048150B" w:rsidRPr="005948DE">
        <w:rPr>
          <w:rFonts w:ascii="Times New Roman" w:hAnsi="Times New Roman"/>
          <w:color w:val="auto"/>
          <w:spacing w:val="-1"/>
          <w:lang w:val="en-GB"/>
        </w:rPr>
        <w:t xml:space="preserve"> requirements</w:t>
      </w:r>
      <w:r w:rsidR="00935095" w:rsidRPr="005948DE">
        <w:rPr>
          <w:rFonts w:ascii="Times New Roman" w:hAnsi="Times New Roman"/>
          <w:color w:val="auto"/>
          <w:spacing w:val="-1"/>
          <w:lang w:val="en-GB"/>
        </w:rPr>
        <w: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The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ESMF</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also</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set</w:t>
      </w:r>
      <w:r w:rsidR="0048150B" w:rsidRPr="005948DE">
        <w:rPr>
          <w:rFonts w:ascii="Times New Roman" w:hAnsi="Times New Roman"/>
          <w:color w:val="auto"/>
          <w:spacing w:val="-1"/>
          <w:lang w:val="en-GB"/>
        </w:rPr>
        <w:t>s</w:t>
      </w:r>
      <w:r w:rsidR="00935095" w:rsidRPr="005948DE">
        <w:rPr>
          <w:rFonts w:ascii="Times New Roman" w:hAnsi="Times New Roman"/>
          <w:color w:val="auto"/>
          <w:spacing w:val="-1"/>
          <w:lang w:val="en-GB"/>
        </w:rPr>
        <w:t xml:space="preserve"> forth</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screening mechanism</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to</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ensure</w:t>
      </w:r>
      <w:r w:rsidR="00935095" w:rsidRPr="005948DE">
        <w:rPr>
          <w:rFonts w:ascii="Times New Roman" w:hAnsi="Times New Roman"/>
          <w:color w:val="auto"/>
          <w:spacing w:val="-2"/>
          <w:lang w:val="en-GB"/>
        </w:rPr>
        <w:t xml:space="preserve"> </w:t>
      </w:r>
      <w:r w:rsidR="00935095" w:rsidRPr="005948DE">
        <w:rPr>
          <w:rFonts w:ascii="Times New Roman" w:hAnsi="Times New Roman"/>
          <w:b/>
          <w:color w:val="auto"/>
          <w:spacing w:val="-1"/>
          <w:lang w:val="en-GB"/>
        </w:rPr>
        <w:t>no</w:t>
      </w:r>
      <w:r w:rsidR="00935095" w:rsidRPr="005948DE">
        <w:rPr>
          <w:rFonts w:ascii="Times New Roman" w:hAnsi="Times New Roman"/>
          <w:b/>
          <w:color w:val="auto"/>
          <w:spacing w:val="90"/>
          <w:lang w:val="en-GB"/>
        </w:rPr>
        <w:t xml:space="preserve"> </w:t>
      </w:r>
      <w:r w:rsidR="00383149">
        <w:rPr>
          <w:rFonts w:ascii="Times New Roman" w:hAnsi="Times New Roman"/>
          <w:b/>
          <w:color w:val="auto"/>
          <w:spacing w:val="90"/>
          <w:lang w:val="en-GB"/>
        </w:rPr>
        <w:t>“</w:t>
      </w:r>
      <w:r w:rsidR="00935095" w:rsidRPr="005948DE">
        <w:rPr>
          <w:rFonts w:ascii="Times New Roman" w:hAnsi="Times New Roman"/>
          <w:b/>
          <w:color w:val="auto"/>
          <w:spacing w:val="-1"/>
          <w:lang w:val="en-GB"/>
        </w:rPr>
        <w:t>substantial</w:t>
      </w:r>
      <w:r w:rsidRPr="005948DE">
        <w:rPr>
          <w:rFonts w:ascii="Times New Roman" w:hAnsi="Times New Roman"/>
          <w:b/>
          <w:color w:val="auto"/>
          <w:spacing w:val="-1"/>
          <w:lang w:val="en-GB"/>
        </w:rPr>
        <w:t>”</w:t>
      </w:r>
      <w:r w:rsidR="00935095" w:rsidRPr="005948DE">
        <w:rPr>
          <w:rFonts w:ascii="Times New Roman" w:hAnsi="Times New Roman"/>
          <w:b/>
          <w:color w:val="auto"/>
          <w:spacing w:val="-4"/>
          <w:lang w:val="en-GB"/>
        </w:rPr>
        <w:t xml:space="preserve"> </w:t>
      </w:r>
      <w:r w:rsidR="00935095" w:rsidRPr="005948DE">
        <w:rPr>
          <w:rFonts w:ascii="Times New Roman" w:hAnsi="Times New Roman"/>
          <w:b/>
          <w:color w:val="auto"/>
          <w:lang w:val="en-GB"/>
        </w:rPr>
        <w:t>or</w:t>
      </w:r>
      <w:r w:rsidR="00935095" w:rsidRPr="005948DE">
        <w:rPr>
          <w:rFonts w:ascii="Times New Roman" w:hAnsi="Times New Roman"/>
          <w:b/>
          <w:color w:val="auto"/>
          <w:spacing w:val="-3"/>
          <w:lang w:val="en-GB"/>
        </w:rPr>
        <w:t xml:space="preserve"> </w:t>
      </w:r>
      <w:r w:rsidRPr="005948DE">
        <w:rPr>
          <w:rFonts w:ascii="Times New Roman" w:hAnsi="Times New Roman"/>
          <w:b/>
          <w:color w:val="auto"/>
          <w:spacing w:val="-3"/>
          <w:lang w:val="en-GB"/>
        </w:rPr>
        <w:t>“</w:t>
      </w:r>
      <w:r w:rsidR="00935095" w:rsidRPr="005948DE">
        <w:rPr>
          <w:rFonts w:ascii="Times New Roman" w:hAnsi="Times New Roman"/>
          <w:b/>
          <w:color w:val="auto"/>
          <w:spacing w:val="-1"/>
          <w:lang w:val="en-GB"/>
        </w:rPr>
        <w:t>high-risk</w:t>
      </w:r>
      <w:r w:rsidRPr="005948DE">
        <w:rPr>
          <w:rFonts w:ascii="Times New Roman" w:hAnsi="Times New Roman"/>
          <w:b/>
          <w:color w:val="auto"/>
          <w:spacing w:val="-1"/>
          <w:lang w:val="en-GB"/>
        </w:rPr>
        <w:t>"</w:t>
      </w:r>
      <w:r w:rsidR="00935095" w:rsidRPr="005948DE">
        <w:rPr>
          <w:rFonts w:ascii="Times New Roman" w:hAnsi="Times New Roman"/>
          <w:b/>
          <w:color w:val="auto"/>
          <w:spacing w:val="-3"/>
          <w:lang w:val="en-GB"/>
        </w:rPr>
        <w:t xml:space="preserve"> </w:t>
      </w:r>
      <w:r w:rsidR="00935095" w:rsidRPr="005948DE">
        <w:rPr>
          <w:rFonts w:ascii="Times New Roman" w:hAnsi="Times New Roman"/>
          <w:b/>
          <w:color w:val="auto"/>
          <w:spacing w:val="-1"/>
          <w:lang w:val="en-GB"/>
        </w:rPr>
        <w:t>activities</w:t>
      </w:r>
      <w:r w:rsidR="00935095" w:rsidRPr="005948DE">
        <w:rPr>
          <w:rFonts w:ascii="Times New Roman" w:hAnsi="Times New Roman"/>
          <w:b/>
          <w:color w:val="auto"/>
          <w:spacing w:val="-3"/>
          <w:lang w:val="en-GB"/>
        </w:rPr>
        <w:t xml:space="preserve"> </w:t>
      </w:r>
      <w:r w:rsidR="00935095" w:rsidRPr="005948DE">
        <w:rPr>
          <w:rFonts w:ascii="Times New Roman" w:hAnsi="Times New Roman"/>
          <w:b/>
          <w:color w:val="auto"/>
          <w:lang w:val="en-GB"/>
        </w:rPr>
        <w:t>are</w:t>
      </w:r>
      <w:r w:rsidR="00935095" w:rsidRPr="005948DE">
        <w:rPr>
          <w:rFonts w:ascii="Times New Roman" w:hAnsi="Times New Roman"/>
          <w:b/>
          <w:color w:val="auto"/>
          <w:spacing w:val="-4"/>
          <w:lang w:val="en-GB"/>
        </w:rPr>
        <w:t xml:space="preserve"> </w:t>
      </w:r>
      <w:r w:rsidR="00935095" w:rsidRPr="005948DE">
        <w:rPr>
          <w:rFonts w:ascii="Times New Roman" w:hAnsi="Times New Roman"/>
          <w:b/>
          <w:color w:val="auto"/>
          <w:spacing w:val="-1"/>
          <w:lang w:val="en-GB"/>
        </w:rPr>
        <w:t>financed</w:t>
      </w:r>
      <w:r w:rsidR="00935095" w:rsidRPr="005948DE">
        <w:rPr>
          <w:rFonts w:ascii="Times New Roman" w:hAnsi="Times New Roman"/>
          <w:b/>
          <w:color w:val="auto"/>
          <w:spacing w:val="-3"/>
          <w:lang w:val="en-GB"/>
        </w:rPr>
        <w:t xml:space="preserve"> </w:t>
      </w:r>
      <w:r w:rsidR="00935095" w:rsidRPr="005948DE">
        <w:rPr>
          <w:rFonts w:ascii="Times New Roman" w:hAnsi="Times New Roman"/>
          <w:b/>
          <w:color w:val="auto"/>
          <w:spacing w:val="-1"/>
          <w:lang w:val="en-GB"/>
        </w:rPr>
        <w:t>under</w:t>
      </w:r>
      <w:r w:rsidR="00935095" w:rsidRPr="005948DE">
        <w:rPr>
          <w:rFonts w:ascii="Times New Roman" w:hAnsi="Times New Roman"/>
          <w:b/>
          <w:color w:val="auto"/>
          <w:spacing w:val="-2"/>
          <w:lang w:val="en-GB"/>
        </w:rPr>
        <w:t xml:space="preserve"> </w:t>
      </w:r>
      <w:r w:rsidR="00935095" w:rsidRPr="005948DE">
        <w:rPr>
          <w:rFonts w:ascii="Times New Roman" w:hAnsi="Times New Roman"/>
          <w:b/>
          <w:color w:val="auto"/>
          <w:lang w:val="en-GB"/>
        </w:rPr>
        <w:t>the</w:t>
      </w:r>
      <w:r w:rsidR="00935095" w:rsidRPr="005948DE">
        <w:rPr>
          <w:rFonts w:ascii="Times New Roman" w:hAnsi="Times New Roman"/>
          <w:b/>
          <w:color w:val="auto"/>
          <w:spacing w:val="-4"/>
          <w:lang w:val="en-GB"/>
        </w:rPr>
        <w:t xml:space="preserve"> </w:t>
      </w:r>
      <w:r w:rsidR="00935095" w:rsidRPr="005948DE">
        <w:rPr>
          <w:rFonts w:ascii="Times New Roman" w:hAnsi="Times New Roman"/>
          <w:b/>
          <w:color w:val="auto"/>
          <w:spacing w:val="-1"/>
          <w:lang w:val="en-GB"/>
        </w:rPr>
        <w:t>Project</w:t>
      </w:r>
      <w:r w:rsidR="00935095" w:rsidRPr="005948DE">
        <w:rPr>
          <w:rFonts w:ascii="Times New Roman" w:hAnsi="Times New Roman"/>
          <w:color w:val="auto"/>
          <w:spacing w:val="-1"/>
          <w:lang w:val="en-GB"/>
        </w:rPr>
        <w: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At</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this</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stage</w:t>
      </w:r>
      <w:r w:rsidR="00383149">
        <w:rPr>
          <w:rFonts w:ascii="Times New Roman" w:hAnsi="Times New Roman"/>
          <w:color w:val="auto"/>
          <w:spacing w:val="-1"/>
          <w:lang w:val="en-GB"/>
        </w:rPr>
        <w:t>,</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all</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works</w:t>
      </w:r>
      <w:r w:rsidR="00935095" w:rsidRPr="005948DE">
        <w:rPr>
          <w:rFonts w:ascii="Times New Roman" w:hAnsi="Times New Roman"/>
          <w:color w:val="auto"/>
          <w:spacing w:val="-4"/>
          <w:lang w:val="en-GB"/>
        </w:rPr>
        <w:t xml:space="preserve"> </w:t>
      </w:r>
      <w:r w:rsidR="002516A6" w:rsidRPr="005948DE">
        <w:rPr>
          <w:rFonts w:ascii="Times New Roman" w:hAnsi="Times New Roman"/>
          <w:color w:val="auto"/>
          <w:spacing w:val="-4"/>
          <w:lang w:val="en-GB"/>
        </w:rPr>
        <w:t xml:space="preserve">are expected </w:t>
      </w:r>
      <w:r w:rsidR="002516A6" w:rsidRPr="005948DE">
        <w:rPr>
          <w:rFonts w:ascii="Times New Roman" w:hAnsi="Times New Roman"/>
          <w:color w:val="auto"/>
          <w:spacing w:val="-3"/>
          <w:lang w:val="en-GB"/>
        </w:rPr>
        <w:t xml:space="preserve">to </w:t>
      </w:r>
      <w:r w:rsidR="00935095" w:rsidRPr="005948DE">
        <w:rPr>
          <w:rFonts w:ascii="Times New Roman" w:hAnsi="Times New Roman"/>
          <w:color w:val="auto"/>
          <w:lang w:val="en-GB"/>
        </w:rPr>
        <w:t>be</w:t>
      </w:r>
      <w:r w:rsidR="00935095" w:rsidRPr="005948DE">
        <w:rPr>
          <w:rFonts w:ascii="Times New Roman" w:hAnsi="Times New Roman"/>
          <w:color w:val="auto"/>
          <w:spacing w:val="93"/>
          <w:w w:val="99"/>
          <w:lang w:val="en-GB"/>
        </w:rPr>
        <w:t xml:space="preserve"> </w:t>
      </w:r>
      <w:r w:rsidR="00935095" w:rsidRPr="005948DE">
        <w:rPr>
          <w:rFonts w:ascii="Times New Roman" w:hAnsi="Times New Roman"/>
          <w:color w:val="auto"/>
          <w:spacing w:val="-1"/>
          <w:lang w:val="en-GB"/>
        </w:rPr>
        <w:t>undertaken</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 xml:space="preserve">within </w:t>
      </w:r>
      <w:r w:rsidR="00935095" w:rsidRPr="005948DE">
        <w:rPr>
          <w:rFonts w:ascii="Times New Roman" w:hAnsi="Times New Roman"/>
          <w:color w:val="auto"/>
          <w:lang w:val="en-GB"/>
        </w:rPr>
        <w:t>the</w:t>
      </w:r>
      <w:r w:rsidR="00935095" w:rsidRPr="005948DE">
        <w:rPr>
          <w:rFonts w:ascii="Times New Roman" w:hAnsi="Times New Roman"/>
          <w:color w:val="auto"/>
          <w:spacing w:val="-1"/>
          <w:lang w:val="en-GB"/>
        </w:rPr>
        <w:t xml:space="preserve"> existing infrastructural</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footprint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 xml:space="preserve">(with </w:t>
      </w:r>
      <w:r w:rsidR="00935095" w:rsidRPr="005948DE">
        <w:rPr>
          <w:rFonts w:ascii="Times New Roman" w:hAnsi="Times New Roman"/>
          <w:color w:val="auto"/>
          <w:lang w:val="en-GB"/>
        </w:rPr>
        <w:t>the</w:t>
      </w:r>
      <w:r w:rsidR="00935095" w:rsidRPr="005948DE">
        <w:rPr>
          <w:rFonts w:ascii="Times New Roman" w:hAnsi="Times New Roman"/>
          <w:color w:val="auto"/>
          <w:spacing w:val="-1"/>
          <w:lang w:val="en-GB"/>
        </w:rPr>
        <w:t xml:space="preserve"> possibility</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 xml:space="preserve">of minor expansion </w:t>
      </w:r>
      <w:r w:rsidR="00935095" w:rsidRPr="005948DE">
        <w:rPr>
          <w:rFonts w:ascii="Times New Roman" w:hAnsi="Times New Roman"/>
          <w:color w:val="auto"/>
          <w:lang w:val="en-GB"/>
        </w:rPr>
        <w:t>that</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can</w:t>
      </w:r>
      <w:r w:rsidR="00935095" w:rsidRPr="005948DE">
        <w:rPr>
          <w:rFonts w:ascii="Times New Roman" w:hAnsi="Times New Roman"/>
          <w:color w:val="auto"/>
          <w:spacing w:val="-1"/>
          <w:lang w:val="en-GB"/>
        </w:rPr>
        <w:t xml:space="preserve"> result in land</w:t>
      </w:r>
      <w:r w:rsidR="0048150B" w:rsidRPr="005948DE">
        <w:rPr>
          <w:rFonts w:ascii="Times New Roman" w:hAnsi="Times New Roman"/>
          <w:color w:val="auto"/>
          <w:spacing w:val="109"/>
          <w:lang w:val="en-GB"/>
        </w:rPr>
        <w:t xml:space="preserve"> </w:t>
      </w:r>
      <w:r w:rsidR="00935095" w:rsidRPr="005948DE">
        <w:rPr>
          <w:rFonts w:ascii="Times New Roman" w:hAnsi="Times New Roman"/>
          <w:color w:val="auto"/>
          <w:spacing w:val="-1"/>
          <w:lang w:val="en-GB"/>
        </w:rPr>
        <w:t>acquisition),</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thus</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the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environmental</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impacts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are</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expected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to</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be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low</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in</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magnitude,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predictable,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temporary</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if</w:t>
      </w:r>
      <w:r w:rsidR="00935095" w:rsidRPr="005948DE">
        <w:rPr>
          <w:rFonts w:ascii="Times New Roman" w:hAnsi="Times New Roman"/>
          <w:color w:val="auto"/>
          <w:spacing w:val="94"/>
          <w:lang w:val="en-GB"/>
        </w:rPr>
        <w:t xml:space="preserve"> </w:t>
      </w:r>
      <w:r w:rsidR="00935095" w:rsidRPr="005948DE">
        <w:rPr>
          <w:rFonts w:ascii="Times New Roman" w:hAnsi="Times New Roman"/>
          <w:color w:val="auto"/>
          <w:spacing w:val="-1"/>
          <w:lang w:val="en-GB"/>
        </w:rPr>
        <w:t>identified,</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mitigated,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dealt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properly.</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Site-specific</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ESMPs</w:t>
      </w:r>
      <w:r w:rsidR="00935095" w:rsidRPr="005948DE">
        <w:rPr>
          <w:rFonts w:ascii="Times New Roman" w:hAnsi="Times New Roman"/>
          <w:color w:val="auto"/>
          <w:spacing w:val="-2"/>
          <w:lang w:val="en-GB"/>
        </w:rPr>
        <w:t xml:space="preserve"> </w:t>
      </w:r>
      <w:r w:rsidR="002516A6" w:rsidRPr="005948DE">
        <w:rPr>
          <w:rFonts w:ascii="Times New Roman" w:hAnsi="Times New Roman"/>
          <w:color w:val="auto"/>
          <w:spacing w:val="-2"/>
          <w:lang w:val="en-GB"/>
        </w:rPr>
        <w:t xml:space="preserve">or ESMP Checklists (ESMPCL) </w:t>
      </w:r>
      <w:r w:rsidR="00935095" w:rsidRPr="005948DE">
        <w:rPr>
          <w:rFonts w:ascii="Times New Roman" w:hAnsi="Times New Roman"/>
          <w:color w:val="auto"/>
          <w:spacing w:val="-1"/>
          <w:lang w:val="en-GB"/>
        </w:rPr>
        <w:t>will</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be</w:t>
      </w:r>
      <w:r w:rsidR="00935095" w:rsidRPr="005948DE">
        <w:rPr>
          <w:rFonts w:ascii="Times New Roman" w:hAnsi="Times New Roman"/>
          <w:color w:val="auto"/>
          <w:spacing w:val="130"/>
          <w:w w:val="99"/>
          <w:lang w:val="en-GB"/>
        </w:rPr>
        <w:t xml:space="preserve"> </w:t>
      </w:r>
      <w:r w:rsidR="00935095" w:rsidRPr="005948DE">
        <w:rPr>
          <w:rFonts w:ascii="Times New Roman" w:hAnsi="Times New Roman"/>
          <w:color w:val="auto"/>
          <w:spacing w:val="-1"/>
          <w:lang w:val="en-GB"/>
        </w:rPr>
        <w:t>prepared</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will</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include</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site-specific</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impacts</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mitigation</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measures.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The</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ESMP</w:t>
      </w:r>
      <w:r w:rsidR="002516A6" w:rsidRPr="005948DE">
        <w:rPr>
          <w:rFonts w:ascii="Times New Roman" w:hAnsi="Times New Roman"/>
          <w:color w:val="auto"/>
          <w:spacing w:val="-1"/>
          <w:lang w:val="en-GB"/>
        </w:rPr>
        <w:t>/ESMPCL</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provisions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will</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be</w:t>
      </w:r>
      <w:r w:rsidR="00935095" w:rsidRPr="005948DE">
        <w:rPr>
          <w:rFonts w:ascii="Times New Roman" w:hAnsi="Times New Roman"/>
          <w:color w:val="auto"/>
          <w:spacing w:val="-4"/>
          <w:lang w:val="en-GB"/>
        </w:rPr>
        <w:t xml:space="preserve"> </w:t>
      </w:r>
      <w:r w:rsidR="00935095" w:rsidRPr="005948DE">
        <w:rPr>
          <w:rFonts w:ascii="Times New Roman" w:hAnsi="Times New Roman"/>
          <w:color w:val="auto"/>
          <w:spacing w:val="-1"/>
          <w:lang w:val="en-GB"/>
        </w:rPr>
        <w:t>incorporated</w:t>
      </w:r>
      <w:r w:rsidR="00935095" w:rsidRPr="005948DE">
        <w:rPr>
          <w:rFonts w:ascii="Times New Roman" w:hAnsi="Times New Roman"/>
          <w:color w:val="auto"/>
          <w:spacing w:val="91"/>
          <w:lang w:val="en-GB"/>
        </w:rPr>
        <w:t xml:space="preserve"> </w:t>
      </w:r>
      <w:r w:rsidR="00935095" w:rsidRPr="005948DE">
        <w:rPr>
          <w:rFonts w:ascii="Times New Roman" w:hAnsi="Times New Roman"/>
          <w:color w:val="auto"/>
          <w:spacing w:val="-1"/>
          <w:lang w:val="en-GB"/>
        </w:rPr>
        <w:t>into</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the</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bidding</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documents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and</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lang w:val="en-GB"/>
        </w:rPr>
        <w:t>the</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contractor's</w:t>
      </w:r>
      <w:r w:rsidR="00935095" w:rsidRPr="005948DE">
        <w:rPr>
          <w:rFonts w:ascii="Times New Roman" w:hAnsi="Times New Roman"/>
          <w:color w:val="auto"/>
          <w:spacing w:val="-3"/>
          <w:lang w:val="en-GB"/>
        </w:rPr>
        <w:t xml:space="preserve"> </w:t>
      </w:r>
      <w:r w:rsidR="00935095" w:rsidRPr="005948DE">
        <w:rPr>
          <w:rFonts w:ascii="Times New Roman" w:hAnsi="Times New Roman"/>
          <w:color w:val="auto"/>
          <w:spacing w:val="-1"/>
          <w:lang w:val="en-GB"/>
        </w:rPr>
        <w:t>contract</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for</w:t>
      </w:r>
      <w:r w:rsidR="00935095" w:rsidRPr="005948DE">
        <w:rPr>
          <w:rFonts w:ascii="Times New Roman" w:hAnsi="Times New Roman"/>
          <w:color w:val="auto"/>
          <w:spacing w:val="-2"/>
          <w:lang w:val="en-GB"/>
        </w:rPr>
        <w:t xml:space="preserve"> </w:t>
      </w:r>
      <w:r w:rsidR="00935095" w:rsidRPr="005948DE">
        <w:rPr>
          <w:rFonts w:ascii="Times New Roman" w:hAnsi="Times New Roman"/>
          <w:color w:val="auto"/>
          <w:spacing w:val="-1"/>
          <w:lang w:val="en-GB"/>
        </w:rPr>
        <w:t>each</w:t>
      </w:r>
      <w:r w:rsidR="00935095" w:rsidRPr="005948DE">
        <w:rPr>
          <w:rFonts w:ascii="Times New Roman" w:hAnsi="Times New Roman"/>
          <w:color w:val="auto"/>
          <w:spacing w:val="-2"/>
          <w:lang w:val="en-GB"/>
        </w:rPr>
        <w:t xml:space="preserve"> </w:t>
      </w:r>
      <w:r w:rsidR="00420737" w:rsidRPr="005948DE">
        <w:rPr>
          <w:rFonts w:ascii="Times New Roman" w:hAnsi="Times New Roman"/>
          <w:color w:val="auto"/>
          <w:spacing w:val="-1"/>
          <w:lang w:val="en-GB"/>
        </w:rPr>
        <w:t>infrastructure investment</w:t>
      </w:r>
      <w:r w:rsidR="00935095" w:rsidRPr="005948DE">
        <w:rPr>
          <w:rFonts w:ascii="Times New Roman" w:hAnsi="Times New Roman"/>
          <w:color w:val="auto"/>
          <w:spacing w:val="-1"/>
          <w:lang w:val="en-GB"/>
        </w:rPr>
        <w:t>.</w:t>
      </w:r>
    </w:p>
    <w:p w14:paraId="66248E59" w14:textId="77777777" w:rsidR="00935095" w:rsidRPr="005948DE" w:rsidRDefault="00935095" w:rsidP="005948DE">
      <w:pPr>
        <w:pStyle w:val="BodyText"/>
        <w:spacing w:after="120" w:line="276" w:lineRule="auto"/>
        <w:ind w:right="-3"/>
        <w:jc w:val="both"/>
        <w:rPr>
          <w:rFonts w:ascii="Times New Roman" w:hAnsi="Times New Roman"/>
          <w:color w:val="FF9900"/>
          <w:spacing w:val="-1"/>
        </w:rPr>
      </w:pPr>
    </w:p>
    <w:p w14:paraId="07A8E2D2" w14:textId="3C5859FB" w:rsidR="00935095" w:rsidRPr="005948DE" w:rsidRDefault="00935095" w:rsidP="005948DE">
      <w:pPr>
        <w:pStyle w:val="Heading3"/>
        <w:numPr>
          <w:ilvl w:val="2"/>
          <w:numId w:val="330"/>
        </w:numPr>
        <w:spacing w:before="120" w:after="120" w:line="276" w:lineRule="auto"/>
        <w:jc w:val="both"/>
        <w:rPr>
          <w:rFonts w:ascii="Times New Roman" w:hAnsi="Times New Roman" w:cs="Times New Roman"/>
          <w:b w:val="0"/>
          <w:color w:val="auto"/>
        </w:rPr>
      </w:pPr>
      <w:bookmarkStart w:id="509" w:name="_Toc89025105"/>
      <w:bookmarkStart w:id="510" w:name="_Toc93342251"/>
      <w:bookmarkEnd w:id="509"/>
      <w:r w:rsidRPr="005948DE">
        <w:rPr>
          <w:rFonts w:ascii="Times New Roman" w:hAnsi="Times New Roman" w:cs="Times New Roman"/>
          <w:color w:val="auto"/>
        </w:rPr>
        <w:t>Social Risk Rating</w:t>
      </w:r>
      <w:bookmarkEnd w:id="510"/>
    </w:p>
    <w:p w14:paraId="05D81449" w14:textId="087337CF" w:rsidR="00C76ACA" w:rsidRPr="005948DE" w:rsidRDefault="00C76ACA" w:rsidP="005948DE">
      <w:pPr>
        <w:pStyle w:val="BodyText"/>
        <w:spacing w:after="120" w:line="276" w:lineRule="auto"/>
        <w:ind w:right="-3"/>
        <w:jc w:val="both"/>
        <w:rPr>
          <w:rFonts w:ascii="Times New Roman" w:hAnsi="Times New Roman"/>
          <w:bCs w:val="0"/>
          <w:color w:val="auto"/>
        </w:rPr>
      </w:pPr>
      <w:r w:rsidRPr="005948DE">
        <w:rPr>
          <w:rFonts w:ascii="Times New Roman" w:hAnsi="Times New Roman"/>
          <w:color w:val="auto"/>
          <w:lang w:val="en-GB"/>
        </w:rPr>
        <w:t xml:space="preserve">The Project social risk is rated as </w:t>
      </w:r>
      <w:r w:rsidRPr="005948DE">
        <w:rPr>
          <w:rFonts w:ascii="Times New Roman" w:hAnsi="Times New Roman"/>
          <w:b/>
          <w:color w:val="auto"/>
          <w:lang w:val="en-GB"/>
        </w:rPr>
        <w:t>moderate</w:t>
      </w:r>
      <w:r w:rsidRPr="005948DE">
        <w:rPr>
          <w:rFonts w:ascii="Times New Roman" w:hAnsi="Times New Roman"/>
          <w:color w:val="auto"/>
          <w:lang w:val="en-GB"/>
        </w:rPr>
        <w:t xml:space="preserve">. Considering the nature of the Project, strong CE/SE for the proposed activities are the key to the Project success. On that account, CE activities have started during early Project </w:t>
      </w:r>
      <w:r w:rsidR="00DB2844" w:rsidRPr="005948DE">
        <w:rPr>
          <w:rFonts w:ascii="Times New Roman" w:hAnsi="Times New Roman"/>
          <w:color w:val="auto"/>
          <w:lang w:val="en-GB"/>
        </w:rPr>
        <w:t>preparation.</w:t>
      </w:r>
      <w:r w:rsidRPr="005948DE">
        <w:rPr>
          <w:rFonts w:ascii="Times New Roman" w:hAnsi="Times New Roman"/>
          <w:color w:val="auto"/>
          <w:lang w:val="en-GB"/>
        </w:rPr>
        <w:t xml:space="preserve"> In order to ensure timely and precise stakeholder identification a Project level Stakeholder Engagement Plan (SEP), acceptable to the Bank was developed, disclosed and consulted by the </w:t>
      </w:r>
      <w:r w:rsidR="007513FE">
        <w:rPr>
          <w:rFonts w:ascii="Times New Roman" w:hAnsi="Times New Roman"/>
          <w:color w:val="auto"/>
          <w:lang w:val="en-GB"/>
        </w:rPr>
        <w:t>Republic of Serbia through the MCTI</w:t>
      </w:r>
      <w:r w:rsidR="007513FE" w:rsidRPr="005948DE">
        <w:rPr>
          <w:rFonts w:ascii="Times New Roman" w:hAnsi="Times New Roman"/>
          <w:color w:val="auto"/>
          <w:lang w:val="en-GB"/>
        </w:rPr>
        <w:t xml:space="preserve"> </w:t>
      </w:r>
      <w:r w:rsidRPr="005948DE">
        <w:rPr>
          <w:rFonts w:ascii="Times New Roman" w:hAnsi="Times New Roman"/>
          <w:color w:val="auto"/>
          <w:lang w:val="en-GB"/>
        </w:rPr>
        <w:t xml:space="preserve">prior to the Project Appraisal. The Project level SEP presented the Project Grievance Redress Mechanism (GRM), identified Project Affected Parties (PAP) and Other Interested Parties (OIP), as well as vulnerable groups and ensured that planning, implementation, and monitoring of CE activities are adequately coordinated across key stakeholders. Vulnerable groups are not likely to be negatively affected by the Project and both dimensions of CE will mainstream engagement of vulnerable groups and ensure that they benefit from the </w:t>
      </w:r>
      <w:r w:rsidR="00383149">
        <w:rPr>
          <w:rFonts w:ascii="Times New Roman" w:hAnsi="Times New Roman"/>
          <w:color w:val="auto"/>
          <w:lang w:val="en-GB"/>
        </w:rPr>
        <w:t>P</w:t>
      </w:r>
      <w:r w:rsidR="00383149" w:rsidRPr="005948DE">
        <w:rPr>
          <w:rFonts w:ascii="Times New Roman" w:hAnsi="Times New Roman"/>
          <w:color w:val="auto"/>
          <w:lang w:val="en-GB"/>
        </w:rPr>
        <w:t>roject</w:t>
      </w:r>
      <w:r w:rsidRPr="005948DE">
        <w:rPr>
          <w:rFonts w:ascii="Times New Roman" w:hAnsi="Times New Roman"/>
          <w:color w:val="auto"/>
          <w:lang w:val="en-GB"/>
        </w:rPr>
        <w:t xml:space="preserve">. The CE activities will continue throughout the Project’s lifecycle and will be reflected in the Project level SEP, and subsequently the </w:t>
      </w:r>
      <w:r w:rsidR="00420737" w:rsidRPr="005948DE">
        <w:rPr>
          <w:rFonts w:ascii="Times New Roman" w:hAnsi="Times New Roman"/>
          <w:color w:val="auto"/>
          <w:lang w:val="en-GB"/>
        </w:rPr>
        <w:t>infrastructure investment</w:t>
      </w:r>
      <w:r w:rsidRPr="005948DE">
        <w:rPr>
          <w:rFonts w:ascii="Times New Roman" w:hAnsi="Times New Roman"/>
          <w:color w:val="auto"/>
          <w:lang w:val="en-GB"/>
        </w:rPr>
        <w:t xml:space="preserve"> level SEPs where the budget for CE will be defined.</w:t>
      </w:r>
    </w:p>
    <w:p w14:paraId="128FE7A2" w14:textId="21EFB57C" w:rsidR="0079119F" w:rsidRDefault="00935095" w:rsidP="0079119F">
      <w:pPr>
        <w:pStyle w:val="BodyText"/>
        <w:spacing w:after="120" w:line="276" w:lineRule="auto"/>
        <w:ind w:right="-3"/>
        <w:jc w:val="both"/>
        <w:rPr>
          <w:rFonts w:ascii="Times New Roman" w:hAnsi="Times New Roman"/>
          <w:bCs w:val="0"/>
          <w:color w:val="auto"/>
          <w:spacing w:val="-1"/>
        </w:rPr>
      </w:pPr>
      <w:r w:rsidRPr="005948DE">
        <w:rPr>
          <w:rFonts w:ascii="Times New Roman" w:hAnsi="Times New Roman"/>
          <w:bCs w:val="0"/>
          <w:color w:val="auto"/>
          <w:spacing w:val="-1"/>
          <w:lang w:val="en-GB"/>
        </w:rPr>
        <w:t>Although</w:t>
      </w:r>
      <w:r w:rsidRPr="005948DE">
        <w:rPr>
          <w:rFonts w:ascii="Times New Roman" w:hAnsi="Times New Roman"/>
          <w:bCs w:val="0"/>
          <w:color w:val="auto"/>
          <w:spacing w:val="-3"/>
          <w:lang w:val="en-GB"/>
        </w:rPr>
        <w:t xml:space="preserve"> </w:t>
      </w:r>
      <w:r w:rsidRPr="005948DE">
        <w:rPr>
          <w:rFonts w:ascii="Times New Roman" w:hAnsi="Times New Roman"/>
          <w:bCs w:val="0"/>
          <w:color w:val="auto"/>
          <w:lang w:val="en-GB"/>
        </w:rPr>
        <w:t>exact</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Project</w:t>
      </w:r>
      <w:r w:rsidRPr="005948DE">
        <w:rPr>
          <w:rFonts w:ascii="Times New Roman" w:hAnsi="Times New Roman"/>
          <w:bCs w:val="0"/>
          <w:color w:val="auto"/>
          <w:spacing w:val="-4"/>
          <w:lang w:val="en-GB"/>
        </w:rPr>
        <w:t xml:space="preserve"> </w:t>
      </w:r>
      <w:r w:rsidRPr="005948DE">
        <w:rPr>
          <w:rFonts w:ascii="Times New Roman" w:hAnsi="Times New Roman"/>
          <w:bCs w:val="0"/>
          <w:color w:val="auto"/>
          <w:lang w:val="en-GB"/>
        </w:rPr>
        <w:t>activities</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are</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not</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defined</w:t>
      </w:r>
      <w:r w:rsidRPr="005948DE">
        <w:rPr>
          <w:rFonts w:ascii="Times New Roman" w:hAnsi="Times New Roman"/>
          <w:bCs w:val="0"/>
          <w:color w:val="auto"/>
          <w:spacing w:val="-3"/>
          <w:lang w:val="en-GB"/>
        </w:rPr>
        <w:t xml:space="preserve"> </w:t>
      </w:r>
      <w:r w:rsidRPr="005948DE">
        <w:rPr>
          <w:rFonts w:ascii="Times New Roman" w:hAnsi="Times New Roman"/>
          <w:bCs w:val="0"/>
          <w:color w:val="auto"/>
          <w:lang w:val="en-GB"/>
        </w:rPr>
        <w:t>at</w:t>
      </w:r>
      <w:r w:rsidRPr="005948DE">
        <w:rPr>
          <w:rFonts w:ascii="Times New Roman" w:hAnsi="Times New Roman"/>
          <w:bCs w:val="0"/>
          <w:color w:val="auto"/>
          <w:spacing w:val="-2"/>
          <w:lang w:val="en-GB"/>
        </w:rPr>
        <w:t xml:space="preserve"> </w:t>
      </w:r>
      <w:r w:rsidRPr="005948DE">
        <w:rPr>
          <w:rFonts w:ascii="Times New Roman" w:hAnsi="Times New Roman"/>
          <w:bCs w:val="0"/>
          <w:color w:val="auto"/>
          <w:lang w:val="en-GB"/>
        </w:rPr>
        <w:t>this</w:t>
      </w:r>
      <w:r w:rsidRPr="005948DE">
        <w:rPr>
          <w:rFonts w:ascii="Times New Roman" w:hAnsi="Times New Roman"/>
          <w:bCs w:val="0"/>
          <w:color w:val="auto"/>
          <w:spacing w:val="-4"/>
          <w:lang w:val="en-GB"/>
        </w:rPr>
        <w:t xml:space="preserve"> </w:t>
      </w:r>
      <w:r w:rsidRPr="005948DE">
        <w:rPr>
          <w:rFonts w:ascii="Times New Roman" w:hAnsi="Times New Roman"/>
          <w:bCs w:val="0"/>
          <w:color w:val="auto"/>
          <w:spacing w:val="-1"/>
          <w:lang w:val="en-GB"/>
        </w:rPr>
        <w:t>time,</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it</w:t>
      </w:r>
      <w:r w:rsidRPr="005948DE">
        <w:rPr>
          <w:rFonts w:ascii="Times New Roman" w:hAnsi="Times New Roman"/>
          <w:bCs w:val="0"/>
          <w:color w:val="auto"/>
          <w:spacing w:val="-2"/>
          <w:lang w:val="en-GB"/>
        </w:rPr>
        <w:t xml:space="preserve"> </w:t>
      </w:r>
      <w:r w:rsidRPr="005948DE">
        <w:rPr>
          <w:rFonts w:ascii="Times New Roman" w:hAnsi="Times New Roman"/>
          <w:bCs w:val="0"/>
          <w:color w:val="auto"/>
          <w:lang w:val="en-GB"/>
        </w:rPr>
        <w:t>can</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be</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presumed</w:t>
      </w:r>
      <w:r w:rsidRPr="005948DE">
        <w:rPr>
          <w:rFonts w:ascii="Times New Roman" w:hAnsi="Times New Roman"/>
          <w:bCs w:val="0"/>
          <w:color w:val="auto"/>
          <w:spacing w:val="-3"/>
          <w:lang w:val="en-GB"/>
        </w:rPr>
        <w:t xml:space="preserve"> </w:t>
      </w:r>
      <w:r w:rsidRPr="005948DE">
        <w:rPr>
          <w:rFonts w:ascii="Times New Roman" w:hAnsi="Times New Roman"/>
          <w:bCs w:val="0"/>
          <w:color w:val="auto"/>
          <w:lang w:val="en-GB"/>
        </w:rPr>
        <w:t>that</w:t>
      </w:r>
      <w:r w:rsidRPr="005948DE">
        <w:rPr>
          <w:rFonts w:ascii="Times New Roman" w:hAnsi="Times New Roman"/>
          <w:bCs w:val="0"/>
          <w:color w:val="auto"/>
          <w:spacing w:val="-3"/>
          <w:lang w:val="en-GB"/>
        </w:rPr>
        <w:t xml:space="preserve"> </w:t>
      </w:r>
      <w:r w:rsidRPr="005948DE">
        <w:rPr>
          <w:rFonts w:ascii="Times New Roman" w:hAnsi="Times New Roman"/>
          <w:bCs w:val="0"/>
          <w:color w:val="auto"/>
          <w:lang w:val="en-GB"/>
        </w:rPr>
        <w:t>the</w:t>
      </w:r>
      <w:r w:rsidRPr="005948DE">
        <w:rPr>
          <w:rFonts w:ascii="Times New Roman" w:hAnsi="Times New Roman"/>
          <w:bCs w:val="0"/>
          <w:color w:val="auto"/>
          <w:spacing w:val="83"/>
          <w:w w:val="99"/>
          <w:lang w:val="en-GB"/>
        </w:rPr>
        <w:t xml:space="preserve"> </w:t>
      </w:r>
      <w:r w:rsidRPr="005948DE">
        <w:rPr>
          <w:rFonts w:ascii="Times New Roman" w:hAnsi="Times New Roman"/>
          <w:bCs w:val="0"/>
          <w:color w:val="auto"/>
          <w:spacing w:val="-1"/>
          <w:lang w:val="en-GB"/>
        </w:rPr>
        <w:t>interventions</w:t>
      </w:r>
      <w:r w:rsidRPr="005948DE">
        <w:rPr>
          <w:rFonts w:ascii="Times New Roman" w:hAnsi="Times New Roman"/>
          <w:bCs w:val="0"/>
          <w:color w:val="auto"/>
          <w:spacing w:val="-3"/>
          <w:lang w:val="en-GB"/>
        </w:rPr>
        <w:t xml:space="preserve"> </w:t>
      </w:r>
      <w:r w:rsidRPr="005948DE">
        <w:rPr>
          <w:rFonts w:ascii="Times New Roman" w:hAnsi="Times New Roman"/>
          <w:bCs w:val="0"/>
          <w:color w:val="auto"/>
          <w:spacing w:val="-1"/>
          <w:lang w:val="en-GB"/>
        </w:rPr>
        <w:t>will</w:t>
      </w:r>
      <w:r w:rsidRPr="005948DE">
        <w:rPr>
          <w:rFonts w:ascii="Times New Roman" w:hAnsi="Times New Roman"/>
          <w:bCs w:val="0"/>
          <w:color w:val="auto"/>
          <w:spacing w:val="-2"/>
          <w:lang w:val="en-GB"/>
        </w:rPr>
        <w:t xml:space="preserve"> </w:t>
      </w:r>
      <w:r w:rsidRPr="005948DE">
        <w:rPr>
          <w:rFonts w:ascii="Times New Roman" w:hAnsi="Times New Roman"/>
          <w:bCs w:val="0"/>
          <w:color w:val="auto"/>
          <w:spacing w:val="-1"/>
          <w:lang w:val="en-GB"/>
        </w:rPr>
        <w:t>not</w:t>
      </w:r>
      <w:r w:rsidRPr="005948DE">
        <w:rPr>
          <w:rFonts w:ascii="Times New Roman" w:hAnsi="Times New Roman"/>
          <w:bCs w:val="0"/>
          <w:color w:val="auto"/>
          <w:spacing w:val="-2"/>
          <w:lang w:val="en-GB"/>
        </w:rPr>
        <w:t xml:space="preserve"> </w:t>
      </w:r>
      <w:r w:rsidRPr="005948DE">
        <w:rPr>
          <w:rFonts w:ascii="Times New Roman" w:hAnsi="Times New Roman"/>
          <w:bCs w:val="0"/>
          <w:color w:val="auto"/>
          <w:spacing w:val="-1"/>
          <w:lang w:val="en-GB"/>
        </w:rPr>
        <w:t>involve large</w:t>
      </w:r>
      <w:r w:rsidRPr="005948DE">
        <w:rPr>
          <w:rFonts w:ascii="Times New Roman" w:hAnsi="Times New Roman"/>
          <w:bCs w:val="0"/>
          <w:color w:val="auto"/>
          <w:spacing w:val="-2"/>
          <w:lang w:val="en-GB"/>
        </w:rPr>
        <w:t xml:space="preserve"> </w:t>
      </w:r>
      <w:r w:rsidRPr="005948DE">
        <w:rPr>
          <w:rFonts w:ascii="Times New Roman" w:hAnsi="Times New Roman"/>
          <w:bCs w:val="0"/>
          <w:color w:val="auto"/>
          <w:lang w:val="en-GB"/>
        </w:rPr>
        <w:t>land</w:t>
      </w:r>
      <w:r w:rsidRPr="005948DE">
        <w:rPr>
          <w:rFonts w:ascii="Times New Roman" w:hAnsi="Times New Roman"/>
          <w:bCs w:val="0"/>
          <w:color w:val="auto"/>
          <w:spacing w:val="-1"/>
          <w:lang w:val="en-GB"/>
        </w:rPr>
        <w:t xml:space="preserve"> acquisition.</w:t>
      </w:r>
      <w:r w:rsidRPr="005948DE">
        <w:rPr>
          <w:rFonts w:ascii="Times New Roman" w:hAnsi="Times New Roman"/>
          <w:bCs w:val="0"/>
          <w:color w:val="auto"/>
          <w:spacing w:val="-2"/>
          <w:lang w:val="en-GB"/>
        </w:rPr>
        <w:t xml:space="preserve"> </w:t>
      </w:r>
      <w:r w:rsidR="006C6F53" w:rsidRPr="005948DE">
        <w:rPr>
          <w:rFonts w:ascii="Times New Roman" w:hAnsi="Times New Roman"/>
          <w:bCs w:val="0"/>
          <w:color w:val="auto"/>
          <w:spacing w:val="-1"/>
        </w:rPr>
        <w:t>Furthermore,</w:t>
      </w:r>
      <w:r w:rsidR="006C6F53" w:rsidRPr="005948DE">
        <w:rPr>
          <w:rFonts w:ascii="Times New Roman" w:hAnsi="Times New Roman"/>
          <w:bCs w:val="0"/>
          <w:color w:val="auto"/>
          <w:spacing w:val="-5"/>
        </w:rPr>
        <w:t xml:space="preserve"> </w:t>
      </w:r>
      <w:r w:rsidR="006C6F53" w:rsidRPr="005948DE">
        <w:rPr>
          <w:rFonts w:ascii="Times New Roman" w:hAnsi="Times New Roman"/>
          <w:bCs w:val="0"/>
          <w:color w:val="auto"/>
          <w:spacing w:val="-1"/>
        </w:rPr>
        <w:t>resettlement</w:t>
      </w:r>
      <w:r w:rsidR="006C6F53" w:rsidRPr="005948DE">
        <w:rPr>
          <w:rFonts w:ascii="Times New Roman" w:hAnsi="Times New Roman"/>
          <w:bCs w:val="0"/>
          <w:color w:val="auto"/>
          <w:spacing w:val="-4"/>
        </w:rPr>
        <w:t xml:space="preserve"> </w:t>
      </w:r>
      <w:r w:rsidR="006C6F53" w:rsidRPr="005948DE">
        <w:rPr>
          <w:rFonts w:ascii="Times New Roman" w:hAnsi="Times New Roman"/>
          <w:bCs w:val="0"/>
          <w:color w:val="auto"/>
          <w:spacing w:val="-1"/>
        </w:rPr>
        <w:t>resulting</w:t>
      </w:r>
      <w:r w:rsidR="006C6F53" w:rsidRPr="005948DE">
        <w:rPr>
          <w:rFonts w:ascii="Times New Roman" w:hAnsi="Times New Roman"/>
          <w:bCs w:val="0"/>
          <w:color w:val="auto"/>
          <w:spacing w:val="-5"/>
        </w:rPr>
        <w:t xml:space="preserve"> </w:t>
      </w:r>
      <w:r w:rsidR="006C6F53" w:rsidRPr="005948DE">
        <w:rPr>
          <w:rFonts w:ascii="Times New Roman" w:hAnsi="Times New Roman"/>
          <w:bCs w:val="0"/>
          <w:color w:val="auto"/>
          <w:spacing w:val="-1"/>
        </w:rPr>
        <w:t>from</w:t>
      </w:r>
      <w:r w:rsidR="006C6F53" w:rsidRPr="005948DE">
        <w:rPr>
          <w:rFonts w:ascii="Times New Roman" w:hAnsi="Times New Roman"/>
          <w:bCs w:val="0"/>
          <w:color w:val="auto"/>
          <w:spacing w:val="-4"/>
        </w:rPr>
        <w:t xml:space="preserve"> </w:t>
      </w:r>
      <w:r w:rsidR="006C6F53" w:rsidRPr="005948DE">
        <w:rPr>
          <w:rFonts w:ascii="Times New Roman" w:hAnsi="Times New Roman"/>
          <w:bCs w:val="0"/>
          <w:color w:val="auto"/>
          <w:spacing w:val="-1"/>
        </w:rPr>
        <w:t>Project</w:t>
      </w:r>
      <w:r w:rsidR="006C6F53" w:rsidRPr="005948DE">
        <w:rPr>
          <w:rFonts w:ascii="Times New Roman" w:hAnsi="Times New Roman"/>
          <w:bCs w:val="0"/>
          <w:color w:val="auto"/>
          <w:spacing w:val="-5"/>
        </w:rPr>
        <w:t xml:space="preserve"> </w:t>
      </w:r>
      <w:r w:rsidR="006C6F53" w:rsidRPr="005948DE">
        <w:rPr>
          <w:rFonts w:ascii="Times New Roman" w:hAnsi="Times New Roman"/>
          <w:bCs w:val="0"/>
          <w:color w:val="auto"/>
          <w:spacing w:val="-1"/>
        </w:rPr>
        <w:t>activities</w:t>
      </w:r>
      <w:r w:rsidR="006C6F53" w:rsidRPr="005948DE">
        <w:rPr>
          <w:rFonts w:ascii="Times New Roman" w:hAnsi="Times New Roman"/>
          <w:bCs w:val="0"/>
          <w:color w:val="auto"/>
          <w:spacing w:val="-5"/>
        </w:rPr>
        <w:t xml:space="preserve"> </w:t>
      </w:r>
      <w:r w:rsidR="006C6F53" w:rsidRPr="005948DE">
        <w:rPr>
          <w:rFonts w:ascii="Times New Roman" w:hAnsi="Times New Roman"/>
          <w:bCs w:val="0"/>
          <w:color w:val="auto"/>
        </w:rPr>
        <w:t>is</w:t>
      </w:r>
      <w:r w:rsidR="006C6F53" w:rsidRPr="005948DE">
        <w:rPr>
          <w:rFonts w:ascii="Times New Roman" w:hAnsi="Times New Roman"/>
          <w:bCs w:val="0"/>
          <w:color w:val="auto"/>
          <w:spacing w:val="-5"/>
        </w:rPr>
        <w:t xml:space="preserve"> </w:t>
      </w:r>
      <w:r w:rsidR="006C6F53" w:rsidRPr="005948DE">
        <w:rPr>
          <w:rFonts w:ascii="Times New Roman" w:hAnsi="Times New Roman"/>
          <w:bCs w:val="0"/>
          <w:color w:val="auto"/>
          <w:spacing w:val="-1"/>
        </w:rPr>
        <w:t>not</w:t>
      </w:r>
      <w:r w:rsidR="006C6F53" w:rsidRPr="005948DE">
        <w:rPr>
          <w:rFonts w:ascii="Times New Roman" w:hAnsi="Times New Roman"/>
          <w:bCs w:val="0"/>
          <w:color w:val="auto"/>
          <w:spacing w:val="-5"/>
        </w:rPr>
        <w:t xml:space="preserve"> </w:t>
      </w:r>
      <w:r w:rsidR="006C6F53" w:rsidRPr="005948DE">
        <w:rPr>
          <w:rFonts w:ascii="Times New Roman" w:hAnsi="Times New Roman"/>
          <w:bCs w:val="0"/>
          <w:color w:val="auto"/>
          <w:spacing w:val="-1"/>
        </w:rPr>
        <w:t>anticipated.</w:t>
      </w:r>
      <w:r w:rsidR="00F770DC" w:rsidRPr="005948DE">
        <w:rPr>
          <w:rFonts w:ascii="Times New Roman" w:hAnsi="Times New Roman"/>
          <w:color w:val="auto"/>
          <w:spacing w:val="-1"/>
          <w:lang w:val="en-GB"/>
        </w:rPr>
        <w:t xml:space="preserve"> </w:t>
      </w:r>
      <w:r w:rsidRPr="005948DE">
        <w:rPr>
          <w:rFonts w:ascii="Times New Roman" w:hAnsi="Times New Roman"/>
          <w:color w:val="auto"/>
          <w:spacing w:val="-1"/>
          <w:lang w:val="en-GB"/>
        </w:rPr>
        <w:t>Mostly</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small-scale impacts</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due</w:t>
      </w:r>
      <w:r w:rsidRPr="005948DE">
        <w:rPr>
          <w:rFonts w:ascii="Times New Roman" w:hAnsi="Times New Roman"/>
          <w:color w:val="auto"/>
          <w:spacing w:val="-2"/>
          <w:lang w:val="en-GB"/>
        </w:rPr>
        <w:t xml:space="preserve"> </w:t>
      </w:r>
      <w:r w:rsidRPr="005948DE">
        <w:rPr>
          <w:rFonts w:ascii="Times New Roman" w:hAnsi="Times New Roman"/>
          <w:color w:val="auto"/>
          <w:lang w:val="en-GB"/>
        </w:rPr>
        <w:t>to</w:t>
      </w:r>
      <w:r w:rsidRPr="005948DE">
        <w:rPr>
          <w:rFonts w:ascii="Times New Roman" w:hAnsi="Times New Roman"/>
          <w:color w:val="auto"/>
          <w:spacing w:val="-1"/>
          <w:lang w:val="en-GB"/>
        </w:rPr>
        <w:t xml:space="preserve"> spot</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widening and/or</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minor</w:t>
      </w:r>
      <w:r w:rsidRPr="005948DE">
        <w:rPr>
          <w:rFonts w:ascii="Times New Roman" w:hAnsi="Times New Roman"/>
          <w:color w:val="auto"/>
          <w:spacing w:val="102"/>
          <w:w w:val="99"/>
          <w:lang w:val="en-GB"/>
        </w:rPr>
        <w:t xml:space="preserve"> </w:t>
      </w:r>
      <w:r w:rsidRPr="005948DE">
        <w:rPr>
          <w:rFonts w:ascii="Times New Roman" w:hAnsi="Times New Roman"/>
          <w:color w:val="auto"/>
          <w:spacing w:val="-1"/>
          <w:lang w:val="en-GB"/>
        </w:rPr>
        <w:t>impacts</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on</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livelihoods (e.g.</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relocation</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of formal</w:t>
      </w:r>
      <w:r w:rsidRPr="005948DE">
        <w:rPr>
          <w:rFonts w:ascii="Times New Roman" w:hAnsi="Times New Roman"/>
          <w:color w:val="auto"/>
          <w:spacing w:val="-2"/>
          <w:lang w:val="en-GB"/>
        </w:rPr>
        <w:t xml:space="preserve"> </w:t>
      </w:r>
      <w:r w:rsidRPr="005948DE">
        <w:rPr>
          <w:rFonts w:ascii="Times New Roman" w:hAnsi="Times New Roman"/>
          <w:color w:val="auto"/>
          <w:lang w:val="en-GB"/>
        </w:rPr>
        <w:t>or</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informal</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kiosks</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or stands)</w:t>
      </w:r>
      <w:r w:rsidRPr="005948DE">
        <w:rPr>
          <w:rFonts w:ascii="Times New Roman" w:hAnsi="Times New Roman"/>
          <w:color w:val="auto"/>
          <w:spacing w:val="-2"/>
          <w:lang w:val="en-GB"/>
        </w:rPr>
        <w:t xml:space="preserve"> </w:t>
      </w:r>
      <w:r w:rsidRPr="005948DE">
        <w:rPr>
          <w:rFonts w:ascii="Times New Roman" w:hAnsi="Times New Roman"/>
          <w:color w:val="auto"/>
          <w:lang w:val="en-GB"/>
        </w:rPr>
        <w:t>in</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urban</w:t>
      </w:r>
      <w:r w:rsidRPr="005948DE">
        <w:rPr>
          <w:rFonts w:ascii="Times New Roman" w:hAnsi="Times New Roman"/>
          <w:color w:val="auto"/>
          <w:spacing w:val="-3"/>
          <w:lang w:val="en-GB"/>
        </w:rPr>
        <w:t xml:space="preserve"> </w:t>
      </w:r>
      <w:r w:rsidRPr="005948DE">
        <w:rPr>
          <w:rFonts w:ascii="Times New Roman" w:hAnsi="Times New Roman"/>
          <w:color w:val="auto"/>
          <w:lang w:val="en-GB"/>
        </w:rPr>
        <w:t>areas</w:t>
      </w:r>
      <w:r w:rsidRPr="005948DE">
        <w:rPr>
          <w:rFonts w:ascii="Times New Roman" w:hAnsi="Times New Roman"/>
          <w:color w:val="auto"/>
          <w:spacing w:val="-2"/>
          <w:lang w:val="en-GB"/>
        </w:rPr>
        <w:t xml:space="preserve"> </w:t>
      </w:r>
      <w:r w:rsidRPr="005948DE">
        <w:rPr>
          <w:rFonts w:ascii="Times New Roman" w:hAnsi="Times New Roman"/>
          <w:color w:val="auto"/>
          <w:spacing w:val="-1"/>
          <w:lang w:val="en-GB"/>
        </w:rPr>
        <w:t>are expected.</w:t>
      </w:r>
      <w:r w:rsidR="0079119F" w:rsidRPr="0079119F">
        <w:rPr>
          <w:rFonts w:ascii="Times New Roman" w:hAnsi="Times New Roman"/>
          <w:bCs w:val="0"/>
          <w:color w:val="auto"/>
          <w:spacing w:val="-1"/>
        </w:rPr>
        <w:t xml:space="preserve"> </w:t>
      </w:r>
      <w:r w:rsidR="0079119F" w:rsidRPr="005948DE">
        <w:rPr>
          <w:rFonts w:ascii="Times New Roman" w:hAnsi="Times New Roman"/>
          <w:bCs w:val="0"/>
          <w:color w:val="auto"/>
          <w:spacing w:val="-1"/>
        </w:rPr>
        <w:t>Furthermore,</w:t>
      </w:r>
      <w:r w:rsidR="0079119F" w:rsidRPr="005948DE">
        <w:rPr>
          <w:rFonts w:ascii="Times New Roman" w:hAnsi="Times New Roman"/>
          <w:bCs w:val="0"/>
          <w:color w:val="auto"/>
          <w:spacing w:val="-5"/>
        </w:rPr>
        <w:t xml:space="preserve"> </w:t>
      </w:r>
      <w:r w:rsidR="0079119F" w:rsidRPr="005948DE">
        <w:rPr>
          <w:rFonts w:ascii="Times New Roman" w:hAnsi="Times New Roman"/>
          <w:bCs w:val="0"/>
          <w:color w:val="auto"/>
          <w:spacing w:val="-1"/>
        </w:rPr>
        <w:t>resettlement</w:t>
      </w:r>
      <w:r w:rsidR="0079119F" w:rsidRPr="005948DE">
        <w:rPr>
          <w:rFonts w:ascii="Times New Roman" w:hAnsi="Times New Roman"/>
          <w:bCs w:val="0"/>
          <w:color w:val="auto"/>
          <w:spacing w:val="-4"/>
        </w:rPr>
        <w:t xml:space="preserve"> </w:t>
      </w:r>
      <w:r w:rsidR="0079119F" w:rsidRPr="005948DE">
        <w:rPr>
          <w:rFonts w:ascii="Times New Roman" w:hAnsi="Times New Roman"/>
          <w:bCs w:val="0"/>
          <w:color w:val="auto"/>
          <w:spacing w:val="-1"/>
        </w:rPr>
        <w:t>resulting</w:t>
      </w:r>
      <w:r w:rsidR="0079119F" w:rsidRPr="005948DE">
        <w:rPr>
          <w:rFonts w:ascii="Times New Roman" w:hAnsi="Times New Roman"/>
          <w:bCs w:val="0"/>
          <w:color w:val="auto"/>
          <w:spacing w:val="-5"/>
        </w:rPr>
        <w:t xml:space="preserve"> </w:t>
      </w:r>
      <w:r w:rsidR="0079119F" w:rsidRPr="005948DE">
        <w:rPr>
          <w:rFonts w:ascii="Times New Roman" w:hAnsi="Times New Roman"/>
          <w:bCs w:val="0"/>
          <w:color w:val="auto"/>
          <w:spacing w:val="-1"/>
        </w:rPr>
        <w:t>from</w:t>
      </w:r>
      <w:r w:rsidR="0079119F" w:rsidRPr="005948DE">
        <w:rPr>
          <w:rFonts w:ascii="Times New Roman" w:hAnsi="Times New Roman"/>
          <w:bCs w:val="0"/>
          <w:color w:val="auto"/>
          <w:spacing w:val="-4"/>
        </w:rPr>
        <w:t xml:space="preserve"> </w:t>
      </w:r>
      <w:r w:rsidR="0079119F" w:rsidRPr="005948DE">
        <w:rPr>
          <w:rFonts w:ascii="Times New Roman" w:hAnsi="Times New Roman"/>
          <w:bCs w:val="0"/>
          <w:color w:val="auto"/>
          <w:spacing w:val="-1"/>
        </w:rPr>
        <w:t>Project</w:t>
      </w:r>
      <w:r w:rsidR="0079119F" w:rsidRPr="005948DE">
        <w:rPr>
          <w:rFonts w:ascii="Times New Roman" w:hAnsi="Times New Roman"/>
          <w:bCs w:val="0"/>
          <w:color w:val="auto"/>
          <w:spacing w:val="-5"/>
        </w:rPr>
        <w:t xml:space="preserve"> </w:t>
      </w:r>
      <w:r w:rsidR="0079119F" w:rsidRPr="005948DE">
        <w:rPr>
          <w:rFonts w:ascii="Times New Roman" w:hAnsi="Times New Roman"/>
          <w:bCs w:val="0"/>
          <w:color w:val="auto"/>
          <w:spacing w:val="-1"/>
        </w:rPr>
        <w:t>activities</w:t>
      </w:r>
      <w:r w:rsidR="0079119F" w:rsidRPr="005948DE">
        <w:rPr>
          <w:rFonts w:ascii="Times New Roman" w:hAnsi="Times New Roman"/>
          <w:bCs w:val="0"/>
          <w:color w:val="auto"/>
          <w:spacing w:val="-5"/>
        </w:rPr>
        <w:t xml:space="preserve"> </w:t>
      </w:r>
      <w:r w:rsidR="0079119F" w:rsidRPr="005948DE">
        <w:rPr>
          <w:rFonts w:ascii="Times New Roman" w:hAnsi="Times New Roman"/>
          <w:bCs w:val="0"/>
          <w:color w:val="auto"/>
        </w:rPr>
        <w:t>is</w:t>
      </w:r>
      <w:r w:rsidR="0079119F" w:rsidRPr="005948DE">
        <w:rPr>
          <w:rFonts w:ascii="Times New Roman" w:hAnsi="Times New Roman"/>
          <w:bCs w:val="0"/>
          <w:color w:val="auto"/>
          <w:spacing w:val="-5"/>
        </w:rPr>
        <w:t xml:space="preserve"> </w:t>
      </w:r>
      <w:r w:rsidR="0079119F" w:rsidRPr="005948DE">
        <w:rPr>
          <w:rFonts w:ascii="Times New Roman" w:hAnsi="Times New Roman"/>
          <w:bCs w:val="0"/>
          <w:color w:val="auto"/>
          <w:spacing w:val="-1"/>
        </w:rPr>
        <w:t>not</w:t>
      </w:r>
      <w:r w:rsidR="0079119F" w:rsidRPr="005948DE">
        <w:rPr>
          <w:rFonts w:ascii="Times New Roman" w:hAnsi="Times New Roman"/>
          <w:bCs w:val="0"/>
          <w:color w:val="auto"/>
          <w:spacing w:val="-5"/>
        </w:rPr>
        <w:t xml:space="preserve"> </w:t>
      </w:r>
      <w:r w:rsidR="0079119F" w:rsidRPr="005948DE">
        <w:rPr>
          <w:rFonts w:ascii="Times New Roman" w:hAnsi="Times New Roman"/>
          <w:bCs w:val="0"/>
          <w:color w:val="auto"/>
          <w:spacing w:val="-1"/>
        </w:rPr>
        <w:t>anticipated.</w:t>
      </w:r>
    </w:p>
    <w:p w14:paraId="35B5E3FB" w14:textId="0412172A" w:rsidR="0079119F" w:rsidRPr="00921112" w:rsidRDefault="0079119F" w:rsidP="0079119F">
      <w:pPr>
        <w:pStyle w:val="BodyText"/>
        <w:spacing w:after="120" w:line="276" w:lineRule="auto"/>
        <w:ind w:right="-3"/>
        <w:jc w:val="both"/>
        <w:rPr>
          <w:rFonts w:ascii="Times New Roman" w:hAnsi="Times New Roman"/>
          <w:color w:val="auto"/>
          <w:lang w:val="en-US"/>
        </w:rPr>
      </w:pPr>
      <w:r>
        <w:rPr>
          <w:noProof/>
        </w:rPr>
        <w:t xml:space="preserve">ESS2 will apply to </w:t>
      </w:r>
      <w:r>
        <w:rPr>
          <w:noProof/>
          <w:lang w:val="en-US"/>
        </w:rPr>
        <w:t xml:space="preserve">(i) </w:t>
      </w:r>
      <w:r>
        <w:rPr>
          <w:noProof/>
        </w:rPr>
        <w:t xml:space="preserve">direct workers (PIU) and to (ii) contracted workers. The employment will be generated at the local level, considering the small scope of civil works under </w:t>
      </w:r>
      <w:r w:rsidR="00D965D0">
        <w:rPr>
          <w:noProof/>
          <w:lang w:val="en-GB"/>
        </w:rPr>
        <w:t>C</w:t>
      </w:r>
      <w:r>
        <w:rPr>
          <w:noProof/>
        </w:rPr>
        <w:t>omponent 1, thus minimizing the risk of labor influx and Sexual Exploitation and Abuse (SEA)/Sexual Harassment (SH). SH, in particular, can be a risk during project construction and operation, and therefore the project level LMP includes measures to address it. Furthermore, the Project Grievance Mechanism (GM) is enabled to recognize SEA/SH grievances which will be managed separately by a trained expert. Acknowledging the urban character of expected sub-projects under Component 1, risks under ESS4 are mainly in relation to the inability for full partition or fencing off construction sites. Moreover, Traffic/Road Safety could be impacted through Project activities</w:t>
      </w:r>
      <w:r>
        <w:rPr>
          <w:noProof/>
          <w:lang w:val="en-US"/>
        </w:rPr>
        <w:t xml:space="preserve"> and will be mittigated by provisions determined in the Trafic Management Plan (TMP).</w:t>
      </w:r>
    </w:p>
    <w:p w14:paraId="75124889" w14:textId="1DF7DB85" w:rsidR="00935095" w:rsidRPr="005948DE" w:rsidRDefault="00935095" w:rsidP="005948DE">
      <w:pPr>
        <w:pStyle w:val="BodyText"/>
        <w:spacing w:after="120" w:line="276" w:lineRule="auto"/>
        <w:ind w:right="-3"/>
        <w:jc w:val="both"/>
        <w:rPr>
          <w:rFonts w:ascii="Times New Roman" w:hAnsi="Times New Roman"/>
          <w:color w:val="auto"/>
          <w:lang w:val="en-GB"/>
        </w:rPr>
      </w:pPr>
    </w:p>
    <w:p w14:paraId="481A9D45" w14:textId="77777777" w:rsidR="00C55550" w:rsidRPr="005948DE" w:rsidRDefault="00C55550"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11" w:name="_bookmark23"/>
      <w:bookmarkStart w:id="512" w:name="_Toc88732362"/>
      <w:bookmarkStart w:id="513" w:name="_Toc93342252"/>
      <w:bookmarkEnd w:id="511"/>
      <w:r w:rsidRPr="005948DE">
        <w:rPr>
          <w:rFonts w:ascii="Times New Roman" w:hAnsi="Times New Roman" w:cs="Times New Roman"/>
          <w:smallCaps w:val="0"/>
          <w:color w:val="auto"/>
          <w:sz w:val="24"/>
        </w:rPr>
        <w:t>Environmental and Social Risk Management</w:t>
      </w:r>
      <w:bookmarkEnd w:id="512"/>
      <w:bookmarkEnd w:id="513"/>
    </w:p>
    <w:p w14:paraId="2DD25B96" w14:textId="5CC206CA" w:rsidR="008F03CA" w:rsidRPr="005948DE" w:rsidRDefault="008F03CA" w:rsidP="005948DE">
      <w:pPr>
        <w:pStyle w:val="Heading3"/>
        <w:numPr>
          <w:ilvl w:val="2"/>
          <w:numId w:val="330"/>
        </w:numPr>
        <w:spacing w:before="120" w:after="120" w:line="276" w:lineRule="auto"/>
        <w:jc w:val="both"/>
        <w:rPr>
          <w:rFonts w:ascii="Times New Roman" w:hAnsi="Times New Roman" w:cs="Times New Roman"/>
          <w:bCs w:val="0"/>
          <w:color w:val="auto"/>
        </w:rPr>
      </w:pPr>
      <w:bookmarkStart w:id="514" w:name="_Toc93342253"/>
      <w:bookmarkStart w:id="515" w:name="_Toc88732363"/>
      <w:r w:rsidRPr="005948DE">
        <w:rPr>
          <w:rFonts w:ascii="Times New Roman" w:hAnsi="Times New Roman" w:cs="Times New Roman"/>
          <w:color w:val="auto"/>
        </w:rPr>
        <w:t>Environment and Social Standards (ESSs) that Apply to the Activities Being Considered</w:t>
      </w:r>
      <w:bookmarkEnd w:id="514"/>
    </w:p>
    <w:p w14:paraId="194452A6" w14:textId="77777777" w:rsidR="000906C7" w:rsidRPr="005948DE" w:rsidRDefault="008F03CA" w:rsidP="005948DE">
      <w:pPr>
        <w:pStyle w:val="Heading4"/>
        <w:spacing w:before="120" w:after="120" w:line="276" w:lineRule="auto"/>
        <w:jc w:val="both"/>
        <w:rPr>
          <w:rFonts w:ascii="Times New Roman" w:hAnsi="Times New Roman" w:cs="Times New Roman"/>
          <w:b w:val="0"/>
          <w:color w:val="auto"/>
          <w:u w:val="single"/>
        </w:rPr>
      </w:pPr>
      <w:r w:rsidRPr="005948DE">
        <w:rPr>
          <w:rFonts w:ascii="Times New Roman" w:hAnsi="Times New Roman" w:cs="Times New Roman"/>
          <w:b w:val="0"/>
          <w:i w:val="0"/>
          <w:color w:val="auto"/>
          <w:u w:val="single"/>
        </w:rPr>
        <w:t xml:space="preserve">ESS1 Assessment and Management of Environmental and Social Risks and Impacts. </w:t>
      </w:r>
    </w:p>
    <w:p w14:paraId="09E612E0" w14:textId="7A0BC672" w:rsidR="008F03CA" w:rsidRPr="005948DE" w:rsidRDefault="008F03CA"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eligible </w:t>
      </w:r>
      <w:r w:rsidR="00420737" w:rsidRPr="005948DE">
        <w:rPr>
          <w:rFonts w:ascii="Times New Roman" w:hAnsi="Times New Roman" w:cs="Times New Roman"/>
        </w:rPr>
        <w:t>infrastructure investment</w:t>
      </w:r>
      <w:r w:rsidRPr="005948DE">
        <w:rPr>
          <w:rFonts w:ascii="Times New Roman" w:hAnsi="Times New Roman" w:cs="Times New Roman"/>
        </w:rPr>
        <w:t xml:space="preserve">s expected to be financed, be part of the screening criteria defined in the Environmental and Social Management Framework (ESMF) and </w:t>
      </w:r>
      <w:r w:rsidR="0079119F">
        <w:rPr>
          <w:rFonts w:ascii="Times New Roman" w:hAnsi="Times New Roman" w:cs="Times New Roman"/>
        </w:rPr>
        <w:t xml:space="preserve">included in </w:t>
      </w:r>
      <w:r w:rsidRPr="005948DE">
        <w:rPr>
          <w:rFonts w:ascii="Times New Roman" w:hAnsi="Times New Roman" w:cs="Times New Roman"/>
        </w:rPr>
        <w:t xml:space="preserve">this </w:t>
      </w:r>
      <w:r w:rsidR="000C3E2D" w:rsidRPr="005948DE">
        <w:rPr>
          <w:rFonts w:ascii="Times New Roman" w:hAnsi="Times New Roman" w:cs="Times New Roman"/>
        </w:rPr>
        <w:t>Manual.</w:t>
      </w:r>
    </w:p>
    <w:p w14:paraId="43F71EA4" w14:textId="6EFC1C67" w:rsidR="008F03CA" w:rsidRPr="005948DE" w:rsidRDefault="008F03CA"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initial </w:t>
      </w:r>
      <w:r w:rsidR="007513FE" w:rsidRPr="005948DE">
        <w:rPr>
          <w:rFonts w:ascii="Times New Roman" w:hAnsi="Times New Roman" w:cs="Times New Roman"/>
        </w:rPr>
        <w:t>criteri</w:t>
      </w:r>
      <w:r w:rsidR="007513FE">
        <w:rPr>
          <w:rFonts w:ascii="Times New Roman" w:hAnsi="Times New Roman" w:cs="Times New Roman"/>
        </w:rPr>
        <w:t>on</w:t>
      </w:r>
      <w:r w:rsidR="007513FE" w:rsidRPr="005948DE">
        <w:rPr>
          <w:rFonts w:ascii="Times New Roman" w:hAnsi="Times New Roman" w:cs="Times New Roman"/>
        </w:rPr>
        <w:t xml:space="preserve"> </w:t>
      </w:r>
      <w:r w:rsidRPr="005948DE">
        <w:rPr>
          <w:rFonts w:ascii="Times New Roman" w:hAnsi="Times New Roman" w:cs="Times New Roman"/>
        </w:rPr>
        <w:t xml:space="preserve">is that the activities proposed would result in energy, water, or raw material savings, pollution prevention, an increase of green areas, and an overall decrease of GHG emissions along with climate-resilient local transport. </w:t>
      </w:r>
    </w:p>
    <w:p w14:paraId="0A82DBB6" w14:textId="03E1B1FC" w:rsidR="008F03CA" w:rsidRPr="005948DE" w:rsidRDefault="008F03CA" w:rsidP="005948DE">
      <w:pPr>
        <w:spacing w:after="120" w:line="276" w:lineRule="auto"/>
        <w:jc w:val="both"/>
        <w:rPr>
          <w:rFonts w:ascii="Times New Roman" w:hAnsi="Times New Roman" w:cs="Times New Roman"/>
        </w:rPr>
      </w:pPr>
      <w:r w:rsidRPr="005948DE">
        <w:rPr>
          <w:rFonts w:ascii="Times New Roman" w:hAnsi="Times New Roman" w:cs="Times New Roman"/>
        </w:rPr>
        <w:t>Potential environmental adverse impacts and risks may occur in Component 1, within physical works on rehabilitation and reconstruction of infrastructure facilities, but the project will not include works outside the already existing parameters. If the potential risks and adverse impacts are identified timely and all mitigation measures are applied adequately these should be small in magnitude and temporary. Thus</w:t>
      </w:r>
      <w:r w:rsidR="00383149">
        <w:rPr>
          <w:rFonts w:ascii="Times New Roman" w:hAnsi="Times New Roman" w:cs="Times New Roman"/>
        </w:rPr>
        <w:t>,</w:t>
      </w:r>
      <w:r w:rsidRPr="005948DE">
        <w:rPr>
          <w:rFonts w:ascii="Times New Roman" w:hAnsi="Times New Roman" w:cs="Times New Roman"/>
        </w:rPr>
        <w:t xml:space="preserve"> impacts from these activities should be typical for construction works, and as such, predictable localized and, easily manageable. Some impacts for the communities living around the construction sites, that could be identified are noise emission, dust emission, wastewater, construction waste, risks to workers (OHS issues). Due to the scale of the proposed works and all mitigation measures proposed, no major potential risks are anticipated for the communities living in the vicinities of the future work sites.</w:t>
      </w:r>
    </w:p>
    <w:p w14:paraId="325AFCF7" w14:textId="4B622992" w:rsidR="008F03CA" w:rsidRPr="005948DE" w:rsidRDefault="0079119F" w:rsidP="0079119F">
      <w:pPr>
        <w:spacing w:after="120" w:line="276" w:lineRule="auto"/>
        <w:jc w:val="both"/>
        <w:rPr>
          <w:rFonts w:ascii="Times New Roman" w:hAnsi="Times New Roman" w:cs="Times New Roman"/>
          <w:color w:val="FFC000"/>
        </w:rPr>
      </w:pPr>
      <w:r>
        <w:rPr>
          <w:noProof/>
        </w:rPr>
        <w:t xml:space="preserve">Expected social impacts under </w:t>
      </w:r>
      <w:r w:rsidR="003737AD">
        <w:rPr>
          <w:noProof/>
        </w:rPr>
        <w:t>C</w:t>
      </w:r>
      <w:r>
        <w:rPr>
          <w:noProof/>
        </w:rPr>
        <w:t xml:space="preserve">omponent 1 include OHS risks in relation to civil works; Community health and safety risks including trespassing of the construction site, traffic, generation by the project, traffic interruptions and risk of inadequate waste management; and land loss due to minor land acquisition activities. As the sub-projects which potentially envisage land acquisition activities are not known, ESS5 is applicable on a precautionary basis. Social risks under </w:t>
      </w:r>
      <w:r w:rsidR="00D965D0">
        <w:rPr>
          <w:noProof/>
        </w:rPr>
        <w:t>C</w:t>
      </w:r>
      <w:r>
        <w:rPr>
          <w:noProof/>
        </w:rPr>
        <w:t>omponents 2 and 3 are not anticipated at this stage.</w:t>
      </w:r>
      <w:r w:rsidR="001B4196">
        <w:rPr>
          <w:noProof/>
        </w:rPr>
        <w:t xml:space="preserve"> </w:t>
      </w:r>
      <w:r>
        <w:rPr>
          <w:noProof/>
        </w:rPr>
        <w:t>There will be community-level engagement and awareness-raising to counter impacts like traffic interruptions etc.</w:t>
      </w:r>
    </w:p>
    <w:p w14:paraId="490DE9E8" w14:textId="0FE199BD" w:rsidR="000906C7" w:rsidRPr="005948DE" w:rsidRDefault="008F03CA" w:rsidP="005948DE">
      <w:pPr>
        <w:pStyle w:val="Heading4"/>
        <w:spacing w:before="120" w:after="120" w:line="276" w:lineRule="auto"/>
        <w:jc w:val="both"/>
        <w:rPr>
          <w:rFonts w:ascii="Times New Roman" w:hAnsi="Times New Roman" w:cs="Times New Roman"/>
          <w:color w:val="auto"/>
          <w:u w:val="single"/>
        </w:rPr>
      </w:pPr>
      <w:r w:rsidRPr="005948DE">
        <w:rPr>
          <w:rFonts w:ascii="Times New Roman" w:hAnsi="Times New Roman" w:cs="Times New Roman"/>
          <w:b w:val="0"/>
          <w:i w:val="0"/>
          <w:color w:val="auto"/>
          <w:u w:val="single"/>
        </w:rPr>
        <w:t xml:space="preserve">ESS10 Stakeholder Engagement and Information Disclosure </w:t>
      </w:r>
    </w:p>
    <w:p w14:paraId="3E5A64DD" w14:textId="3C554680" w:rsidR="0079119F" w:rsidRPr="00665F55" w:rsidRDefault="0079119F" w:rsidP="0079119F">
      <w:pPr>
        <w:spacing w:after="120" w:line="276" w:lineRule="auto"/>
        <w:jc w:val="both"/>
        <w:rPr>
          <w:rFonts w:ascii="Times New Roman" w:hAnsi="Times New Roman" w:cs="Times New Roman"/>
          <w:noProof/>
        </w:rPr>
      </w:pPr>
      <w:r w:rsidRPr="00665F55">
        <w:rPr>
          <w:rFonts w:ascii="Times New Roman" w:hAnsi="Times New Roman" w:cs="Times New Roman"/>
          <w:noProof/>
        </w:rPr>
        <w:t>Given the nationwide scope and multisectoral character of the Project, the community engagement process will be two dimensional: (I) Presentation of Project and sector and sub-project selection and (ii) sub-project-specific community engagement. The first dimension of community engagement will focus on informing the public about the Project, Project objectives, eligibility criteria for grants, etc. Once the sub-project is selected, the second dimension of engagement will focus on site-specific impacts, opportunities, and challenges of the sub-projects.</w:t>
      </w:r>
      <w:r w:rsidR="001B4196">
        <w:rPr>
          <w:rFonts w:ascii="Times New Roman" w:hAnsi="Times New Roman" w:cs="Times New Roman"/>
          <w:noProof/>
        </w:rPr>
        <w:t xml:space="preserve"> </w:t>
      </w:r>
    </w:p>
    <w:p w14:paraId="2CDC56EA" w14:textId="2E7E725F" w:rsidR="0079119F" w:rsidRPr="0079119F" w:rsidRDefault="0079119F" w:rsidP="0079119F">
      <w:pPr>
        <w:spacing w:after="120" w:line="276" w:lineRule="auto"/>
        <w:jc w:val="both"/>
        <w:rPr>
          <w:rFonts w:ascii="Times New Roman" w:hAnsi="Times New Roman" w:cs="Times New Roman"/>
        </w:rPr>
      </w:pPr>
      <w:r w:rsidRPr="0079119F">
        <w:rPr>
          <w:rFonts w:ascii="Times New Roman" w:hAnsi="Times New Roman" w:cs="Times New Roman"/>
        </w:rPr>
        <w:t>In order to ensure timely and precise stakeholder identification a Project level Stakeholder Engagement Plan (SEP), acceptable to the Bank has been developed, disclosed, and subjected to public consultations</w:t>
      </w:r>
      <w:r w:rsidR="001B4196">
        <w:rPr>
          <w:rFonts w:ascii="Times New Roman" w:hAnsi="Times New Roman" w:cs="Times New Roman"/>
        </w:rPr>
        <w:t xml:space="preserve"> </w:t>
      </w:r>
      <w:r w:rsidRPr="0079119F">
        <w:rPr>
          <w:rFonts w:ascii="Times New Roman" w:hAnsi="Times New Roman" w:cs="Times New Roman"/>
        </w:rPr>
        <w:t xml:space="preserve">prior to Project Appraisal. The Project level SEP has identified Project Affected Parties (PAP) and Other Interested Parties (OIP), as well as vulnerable groups, and mechanisms to ensure that planning, implementation, and monitoring of CE activities are adequately coordinated across key stakeholders. Furthermore, the project level Grievance Redress Mechanism (GRM) is part of the Project level SEP. </w:t>
      </w:r>
      <w:r w:rsidRPr="00665F55">
        <w:rPr>
          <w:rFonts w:ascii="Times New Roman" w:hAnsi="Times New Roman" w:cs="Times New Roman"/>
          <w:noProof/>
        </w:rPr>
        <w:t>Although the Project’s Sexual Exploitation and Abuse (SEA)/Sexual Harassment (SH) and Sexual Exploitation and Abuse/Sexual Harassment risk was assessed as low (because of (i) the expected local employment and (ii) expected low number of workers on construction sites) the GM will, on a precautionary base, be enabled to recognize SEA/SH grievances. Such grievances will be managed separately by a trained expert, but will use the same process value chain and timeframes as the GM given in the SEP. The necessary training for the appointed staff member who is to deal with such grievances will be provided by the WB.</w:t>
      </w:r>
    </w:p>
    <w:p w14:paraId="1BFF26AD" w14:textId="77777777" w:rsidR="0079119F" w:rsidRPr="0079119F" w:rsidRDefault="0079119F" w:rsidP="0079119F">
      <w:pPr>
        <w:spacing w:after="120" w:line="276" w:lineRule="auto"/>
        <w:jc w:val="both"/>
        <w:rPr>
          <w:rFonts w:ascii="Times New Roman" w:hAnsi="Times New Roman" w:cs="Times New Roman"/>
        </w:rPr>
      </w:pPr>
      <w:r w:rsidRPr="0079119F">
        <w:rPr>
          <w:rFonts w:ascii="Times New Roman" w:hAnsi="Times New Roman" w:cs="Times New Roman"/>
        </w:rPr>
        <w:t xml:space="preserve">For each project activity and infrastructure investment, under all three components, an infrastructure investment level Stakeholder Engagement Plan will be prepared </w:t>
      </w:r>
      <w:r w:rsidRPr="00665F55">
        <w:rPr>
          <w:rFonts w:ascii="Times New Roman" w:hAnsi="Times New Roman" w:cs="Times New Roman"/>
          <w:noProof/>
        </w:rPr>
        <w:t>as a part of the sub-project specific Environmental and Social Assessment (ESMP/ESMP Checklist)</w:t>
      </w:r>
      <w:r w:rsidRPr="0079119F">
        <w:rPr>
          <w:rFonts w:ascii="Times New Roman" w:hAnsi="Times New Roman" w:cs="Times New Roman"/>
        </w:rPr>
        <w:t xml:space="preserve"> according to the Project level SEP. This will be developed by the PIU Social safeguards and citizen engagement consultant with participation of relevant LSGs. The infrastructure investment level SEP</w:t>
      </w:r>
      <w:r w:rsidRPr="0079119F">
        <w:rPr>
          <w:rStyle w:val="FootnoteReference"/>
          <w:rFonts w:ascii="Times New Roman" w:hAnsi="Times New Roman" w:cs="Times New Roman"/>
        </w:rPr>
        <w:footnoteReference w:id="7"/>
      </w:r>
      <w:r w:rsidRPr="0079119F">
        <w:rPr>
          <w:rFonts w:ascii="Times New Roman" w:hAnsi="Times New Roman" w:cs="Times New Roman"/>
        </w:rPr>
        <w:t xml:space="preserve"> will identify all interested and affected parties and propose concrete action plans for engaging different stakeholders.</w:t>
      </w:r>
    </w:p>
    <w:p w14:paraId="267B8242" w14:textId="43F66022" w:rsidR="0079119F" w:rsidRPr="00665F55" w:rsidRDefault="0079119F" w:rsidP="00665F55">
      <w:pPr>
        <w:jc w:val="both"/>
        <w:rPr>
          <w:rFonts w:ascii="Times New Roman" w:hAnsi="Times New Roman" w:cs="Times New Roman"/>
          <w:noProof/>
        </w:rPr>
      </w:pPr>
      <w:r w:rsidRPr="00665F55">
        <w:rPr>
          <w:rFonts w:ascii="Times New Roman" w:hAnsi="Times New Roman" w:cs="Times New Roman"/>
          <w:noProof/>
        </w:rPr>
        <w:t>Key vulnerable groups identified in the SEP include ( retired, elderly, and people with disabilities and chronic disease; single-parent-headed households, male and female; people with low literacy and ICT knowledge; economically marginalized and disadvantaged groups; persons living below the poverty line and women). Since the Project is being implemented across the country the exact number of people within vulnerable groups is not known with certainty at this stage, but will be given in detail in sub-project level SEP. However, the project is not expected to have a negative impact on vulnerable or excluded groups. In order to minimize and mitigate any potential negative impacts on such groups, the Project will facilitate a proactive engagement with vulnerable individuals or groups to ensure that their needs are met.</w:t>
      </w:r>
      <w:r w:rsidR="001B4196">
        <w:rPr>
          <w:rFonts w:ascii="Times New Roman" w:hAnsi="Times New Roman" w:cs="Times New Roman"/>
          <w:noProof/>
        </w:rPr>
        <w:t xml:space="preserve"> </w:t>
      </w:r>
      <w:r w:rsidRPr="00665F55">
        <w:rPr>
          <w:rFonts w:ascii="Times New Roman" w:hAnsi="Times New Roman" w:cs="Times New Roman"/>
          <w:noProof/>
        </w:rPr>
        <w:t>The exact details and extent of such engagement will be given in the sub-project level SEPs and will depend on specific needs of each defined vulnerable group.</w:t>
      </w:r>
    </w:p>
    <w:p w14:paraId="6B40D56C" w14:textId="3643562B" w:rsidR="0079119F" w:rsidRPr="00665F55" w:rsidRDefault="0079119F" w:rsidP="00665F55">
      <w:pPr>
        <w:jc w:val="both"/>
        <w:rPr>
          <w:rFonts w:ascii="Times New Roman" w:hAnsi="Times New Roman" w:cs="Times New Roman"/>
          <w:noProof/>
        </w:rPr>
      </w:pPr>
      <w:r w:rsidRPr="00665F55">
        <w:rPr>
          <w:rFonts w:ascii="Times New Roman" w:hAnsi="Times New Roman" w:cs="Times New Roman"/>
          <w:noProof/>
        </w:rPr>
        <w:t xml:space="preserve"> The stakeholder engagement activities started during the early preparation of the Project, having in mind the importance of CE for Project success.</w:t>
      </w:r>
      <w:r w:rsidR="001B4196">
        <w:rPr>
          <w:rFonts w:ascii="Times New Roman" w:hAnsi="Times New Roman" w:cs="Times New Roman"/>
          <w:noProof/>
        </w:rPr>
        <w:t xml:space="preserve"> </w:t>
      </w:r>
      <w:r w:rsidRPr="00665F55">
        <w:rPr>
          <w:rFonts w:ascii="Times New Roman" w:hAnsi="Times New Roman" w:cs="Times New Roman"/>
          <w:noProof/>
        </w:rPr>
        <w:t>On that account LSGs, as main beneficiaries of the Project, have been extensively consulted through an online survey to understand their main challenges and difficulties. 95 LSGs completed the survey, answering questions about different topics, such as infrastructure management, governance, public spaces, finance ect., enabling, the Project to better understand their needs and thus, prioritize project activities.</w:t>
      </w:r>
      <w:r w:rsidR="001B4196">
        <w:rPr>
          <w:rFonts w:ascii="Times New Roman" w:hAnsi="Times New Roman" w:cs="Times New Roman"/>
          <w:noProof/>
        </w:rPr>
        <w:t xml:space="preserve"> </w:t>
      </w:r>
      <w:r w:rsidRPr="00665F55">
        <w:rPr>
          <w:rFonts w:ascii="Times New Roman" w:hAnsi="Times New Roman" w:cs="Times New Roman"/>
          <w:noProof/>
        </w:rPr>
        <w:t>Such meaningful CE will continue throughout the Project’s life cycle. Moreover,</w:t>
      </w:r>
      <w:r w:rsidR="001B4196">
        <w:rPr>
          <w:rFonts w:ascii="Times New Roman" w:hAnsi="Times New Roman" w:cs="Times New Roman"/>
          <w:noProof/>
        </w:rPr>
        <w:t xml:space="preserve"> </w:t>
      </w:r>
      <w:r w:rsidRPr="00665F55">
        <w:rPr>
          <w:rFonts w:ascii="Times New Roman" w:hAnsi="Times New Roman" w:cs="Times New Roman"/>
          <w:noProof/>
        </w:rPr>
        <w:t xml:space="preserve">the project will be used to strengthen the capacity of the local government in the dialogue with the communities in local road network maintenance. </w:t>
      </w:r>
    </w:p>
    <w:p w14:paraId="314879F6" w14:textId="5A7C88D6" w:rsidR="0079119F" w:rsidRPr="0079119F" w:rsidRDefault="0079119F" w:rsidP="0079119F">
      <w:pPr>
        <w:spacing w:after="120" w:line="276" w:lineRule="auto"/>
        <w:jc w:val="both"/>
        <w:rPr>
          <w:rFonts w:ascii="Times New Roman" w:hAnsi="Times New Roman" w:cs="Times New Roman"/>
        </w:rPr>
      </w:pPr>
      <w:r w:rsidRPr="0079119F">
        <w:rPr>
          <w:rFonts w:ascii="Times New Roman" w:hAnsi="Times New Roman" w:cs="Times New Roman"/>
        </w:rPr>
        <w:t>Due to the Covid 19 pandemic outbreak, during the course of project implementation, limitations to traditional stakeholder engagement activities may be imposed (i.e. exercising social distancing and avoiding public gatherings) to prevent and reduce the risk of the virus transmission. In such circumstances, citizen and stakeholder engagement will be performed as per specifications listed in the World Bank’s Technical Note: Public Consultations and Stakeholder Engagement in WB-supported operations when there are constraints on conducting public meetings</w:t>
      </w:r>
      <w:r w:rsidR="003737AD">
        <w:rPr>
          <w:rStyle w:val="FootnoteReference"/>
          <w:rFonts w:ascii="Times New Roman" w:hAnsi="Times New Roman" w:cs="Times New Roman"/>
        </w:rPr>
        <w:footnoteReference w:id="8"/>
      </w:r>
      <w:r w:rsidR="003737AD">
        <w:rPr>
          <w:rFonts w:ascii="Times New Roman" w:hAnsi="Times New Roman" w:cs="Times New Roman"/>
        </w:rPr>
        <w:t>.</w:t>
      </w:r>
    </w:p>
    <w:p w14:paraId="4C36BCA9" w14:textId="4E3F3192" w:rsidR="00A7490B" w:rsidRPr="005948DE" w:rsidRDefault="00A7490B" w:rsidP="005948DE">
      <w:pPr>
        <w:spacing w:after="120" w:line="276" w:lineRule="auto"/>
        <w:jc w:val="both"/>
        <w:rPr>
          <w:rFonts w:ascii="Times New Roman" w:hAnsi="Times New Roman" w:cs="Times New Roman"/>
        </w:rPr>
      </w:pPr>
    </w:p>
    <w:p w14:paraId="29F2139E" w14:textId="432A204F" w:rsidR="000906C7" w:rsidRPr="005948DE" w:rsidRDefault="008F03CA" w:rsidP="005948DE">
      <w:pPr>
        <w:pStyle w:val="Heading4"/>
        <w:spacing w:before="120" w:after="120" w:line="276" w:lineRule="auto"/>
        <w:jc w:val="both"/>
        <w:rPr>
          <w:rFonts w:ascii="Times New Roman" w:hAnsi="Times New Roman" w:cs="Times New Roman"/>
          <w:color w:val="auto"/>
          <w:u w:val="single"/>
        </w:rPr>
      </w:pPr>
      <w:r w:rsidRPr="005948DE">
        <w:rPr>
          <w:rFonts w:ascii="Times New Roman" w:hAnsi="Times New Roman" w:cs="Times New Roman"/>
          <w:b w:val="0"/>
          <w:i w:val="0"/>
          <w:color w:val="auto"/>
          <w:u w:val="single"/>
        </w:rPr>
        <w:t xml:space="preserve">ESS2 Labor </w:t>
      </w:r>
      <w:r w:rsidR="005D7C87">
        <w:rPr>
          <w:rFonts w:ascii="Times New Roman" w:hAnsi="Times New Roman" w:cs="Times New Roman"/>
          <w:b w:val="0"/>
          <w:i w:val="0"/>
          <w:color w:val="auto"/>
          <w:u w:val="single"/>
        </w:rPr>
        <w:t xml:space="preserve">and working conditions </w:t>
      </w:r>
      <w:r w:rsidRPr="005948DE">
        <w:rPr>
          <w:rFonts w:ascii="Times New Roman" w:hAnsi="Times New Roman" w:cs="Times New Roman"/>
          <w:b w:val="0"/>
          <w:i w:val="0"/>
          <w:color w:val="auto"/>
          <w:u w:val="single"/>
        </w:rPr>
        <w:t>(as defined by ESS 2, GIIP and national requirements)</w:t>
      </w:r>
      <w:r w:rsidR="00313155" w:rsidRPr="005948DE">
        <w:rPr>
          <w:rFonts w:ascii="Times New Roman" w:hAnsi="Times New Roman" w:cs="Times New Roman"/>
          <w:b w:val="0"/>
          <w:i w:val="0"/>
          <w:color w:val="auto"/>
          <w:u w:val="single"/>
        </w:rPr>
        <w:t xml:space="preserve"> </w:t>
      </w:r>
    </w:p>
    <w:p w14:paraId="53D53743" w14:textId="6A2E5E70" w:rsidR="00234F00" w:rsidRPr="005948DE" w:rsidRDefault="00991AA2" w:rsidP="005948DE">
      <w:pPr>
        <w:widowControl w:val="0"/>
        <w:tabs>
          <w:tab w:val="left" w:pos="284"/>
        </w:tabs>
        <w:autoSpaceDE w:val="0"/>
        <w:autoSpaceDN w:val="0"/>
        <w:adjustRightInd w:val="0"/>
        <w:spacing w:after="120" w:line="276" w:lineRule="auto"/>
        <w:jc w:val="both"/>
        <w:rPr>
          <w:rFonts w:ascii="Times New Roman" w:hAnsi="Times New Roman" w:cs="Times New Roman"/>
        </w:rPr>
      </w:pPr>
      <w:r w:rsidRPr="005948DE">
        <w:rPr>
          <w:rFonts w:ascii="Times New Roman" w:eastAsia="SimSun" w:hAnsi="Times New Roman" w:cs="Times New Roman"/>
        </w:rPr>
        <w:t xml:space="preserve">To manage risk related to Labor and Working condition including OHS risk a Labor </w:t>
      </w:r>
      <w:r w:rsidR="009C3B24" w:rsidRPr="005948DE">
        <w:rPr>
          <w:rFonts w:ascii="Times New Roman" w:eastAsia="SimSun" w:hAnsi="Times New Roman" w:cs="Times New Roman"/>
        </w:rPr>
        <w:t>Management</w:t>
      </w:r>
      <w:r w:rsidRPr="005948DE">
        <w:rPr>
          <w:rFonts w:ascii="Times New Roman" w:eastAsia="SimSun" w:hAnsi="Times New Roman" w:cs="Times New Roman"/>
        </w:rPr>
        <w:t xml:space="preserve"> Procedures (LMP) have been developed. The LMP applies </w:t>
      </w:r>
      <w:r w:rsidR="00A7490B" w:rsidRPr="005948DE">
        <w:rPr>
          <w:rFonts w:ascii="Times New Roman" w:eastAsia="SimSun" w:hAnsi="Times New Roman" w:cs="Times New Roman"/>
        </w:rPr>
        <w:t>(i) direct workers hired to implement the Project (PIU) and to (ii) contracted workers engaged by the contractors and subcontractors</w:t>
      </w:r>
      <w:r w:rsidRPr="005948DE">
        <w:rPr>
          <w:rFonts w:ascii="Times New Roman" w:eastAsia="SimSun" w:hAnsi="Times New Roman" w:cs="Times New Roman"/>
        </w:rPr>
        <w:t>.</w:t>
      </w:r>
      <w:r w:rsidR="00A7490B" w:rsidRPr="005948DE">
        <w:rPr>
          <w:rFonts w:ascii="Times New Roman" w:eastAsia="SimSun" w:hAnsi="Times New Roman" w:cs="Times New Roman"/>
        </w:rPr>
        <w:t xml:space="preserve"> The </w:t>
      </w:r>
      <w:r w:rsidR="00383149">
        <w:rPr>
          <w:rFonts w:ascii="Times New Roman" w:eastAsia="SimSun" w:hAnsi="Times New Roman" w:cs="Times New Roman"/>
        </w:rPr>
        <w:t>P</w:t>
      </w:r>
      <w:r w:rsidR="00383149" w:rsidRPr="005948DE">
        <w:rPr>
          <w:rFonts w:ascii="Times New Roman" w:eastAsia="SimSun" w:hAnsi="Times New Roman" w:cs="Times New Roman"/>
        </w:rPr>
        <w:t xml:space="preserve">roject </w:t>
      </w:r>
      <w:r w:rsidR="00A7490B" w:rsidRPr="005948DE">
        <w:rPr>
          <w:rFonts w:ascii="Times New Roman" w:eastAsia="SimSun" w:hAnsi="Times New Roman" w:cs="Times New Roman"/>
        </w:rPr>
        <w:t xml:space="preserve">will not engage community workers. Given that the Labor related laws in Serbia comply with ILO conventions, risks of labor management issues and the OHS are low to moderate. </w:t>
      </w:r>
      <w:r w:rsidR="00234F00" w:rsidRPr="005948DE">
        <w:rPr>
          <w:rFonts w:ascii="Times New Roman" w:hAnsi="Times New Roman" w:cs="Times New Roman"/>
        </w:rPr>
        <w:t>OHS risks are mostly related to civil works; Community health and safety risks including trespassing of the construction site, traffic generation by the project, traffic interruptions and risk of inadequate waste management</w:t>
      </w:r>
      <w:r w:rsidR="0079119F">
        <w:rPr>
          <w:rFonts w:ascii="Times New Roman" w:hAnsi="Times New Roman" w:cs="Times New Roman"/>
        </w:rPr>
        <w:t>.</w:t>
      </w:r>
      <w:r w:rsidR="00234F00" w:rsidRPr="005948DE">
        <w:rPr>
          <w:rFonts w:ascii="Times New Roman" w:hAnsi="Times New Roman" w:cs="Times New Roman"/>
        </w:rPr>
        <w:t xml:space="preserve"> </w:t>
      </w:r>
    </w:p>
    <w:p w14:paraId="030A5D0B" w14:textId="0FE9F0EB" w:rsidR="00313155" w:rsidRPr="005948DE" w:rsidRDefault="00313155" w:rsidP="005948DE">
      <w:pPr>
        <w:widowControl w:val="0"/>
        <w:tabs>
          <w:tab w:val="left" w:pos="284"/>
        </w:tabs>
        <w:autoSpaceDE w:val="0"/>
        <w:autoSpaceDN w:val="0"/>
        <w:adjustRightInd w:val="0"/>
        <w:spacing w:after="120" w:line="276" w:lineRule="auto"/>
        <w:jc w:val="both"/>
        <w:rPr>
          <w:rFonts w:ascii="Times New Roman" w:eastAsia="SimSun" w:hAnsi="Times New Roman" w:cs="Times New Roman"/>
          <w:color w:val="00D25F"/>
        </w:rPr>
      </w:pPr>
      <w:r w:rsidRPr="005948DE">
        <w:rPr>
          <w:rFonts w:ascii="Times New Roman" w:eastAsia="SimSun" w:hAnsi="Times New Roman" w:cs="Times New Roman"/>
        </w:rPr>
        <w:t>Direct workers will be hired on a consultancy basis whereby no objection from the Bank team will be obtained for each position. The most important aspect of the implementation of the ESS2 will be ensuring contracted companies apply the respective provisions determined in the Labor-Management Procedures (LMP). Given the expected small-scale nature of the works, the employment will most probably be generated at the local level, thus minimizing the risk of labor influx and the expectancy of workers from outside of the region. The project is unlikely to encounter SEA</w:t>
      </w:r>
      <w:r w:rsidR="00095562" w:rsidRPr="005948DE">
        <w:rPr>
          <w:rFonts w:ascii="Times New Roman" w:eastAsia="SimSun" w:hAnsi="Times New Roman" w:cs="Times New Roman"/>
        </w:rPr>
        <w:t>/SH.</w:t>
      </w:r>
    </w:p>
    <w:p w14:paraId="3753A11C" w14:textId="58BA9980" w:rsidR="008F03CA" w:rsidRPr="005948DE" w:rsidRDefault="008F03CA" w:rsidP="005948DE">
      <w:pPr>
        <w:widowControl w:val="0"/>
        <w:tabs>
          <w:tab w:val="left" w:pos="284"/>
        </w:tabs>
        <w:autoSpaceDE w:val="0"/>
        <w:autoSpaceDN w:val="0"/>
        <w:adjustRightInd w:val="0"/>
        <w:spacing w:after="120" w:line="276" w:lineRule="auto"/>
        <w:jc w:val="both"/>
        <w:rPr>
          <w:rFonts w:ascii="Times New Roman" w:hAnsi="Times New Roman" w:cs="Times New Roman"/>
        </w:rPr>
      </w:pPr>
      <w:r w:rsidRPr="005948DE">
        <w:rPr>
          <w:rFonts w:ascii="Times New Roman" w:eastAsia="SimSun" w:hAnsi="Times New Roman" w:cs="Times New Roman"/>
        </w:rPr>
        <w:t xml:space="preserve">The scale of </w:t>
      </w:r>
      <w:r w:rsidR="00095562" w:rsidRPr="005948DE">
        <w:rPr>
          <w:rFonts w:ascii="Times New Roman" w:hAnsi="Times New Roman" w:cs="Times New Roman"/>
        </w:rPr>
        <w:t>Labor</w:t>
      </w:r>
      <w:r w:rsidRPr="005948DE">
        <w:rPr>
          <w:rFonts w:ascii="Times New Roman" w:hAnsi="Times New Roman" w:cs="Times New Roman"/>
        </w:rPr>
        <w:t xml:space="preserve"> </w:t>
      </w:r>
      <w:r w:rsidRPr="005948DE">
        <w:rPr>
          <w:rFonts w:ascii="Times New Roman" w:eastAsia="SimSun" w:hAnsi="Times New Roman" w:cs="Times New Roman"/>
        </w:rPr>
        <w:t>use</w:t>
      </w:r>
      <w:r w:rsidRPr="005948DE">
        <w:rPr>
          <w:rFonts w:ascii="Times New Roman" w:hAnsi="Times New Roman" w:cs="Times New Roman"/>
        </w:rPr>
        <w:t xml:space="preserve"> will be </w:t>
      </w:r>
      <w:r w:rsidRPr="005948DE">
        <w:rPr>
          <w:rFonts w:ascii="Times New Roman" w:eastAsia="SimSun" w:hAnsi="Times New Roman" w:cs="Times New Roman"/>
        </w:rPr>
        <w:t>complex</w:t>
      </w:r>
      <w:r w:rsidRPr="005948DE">
        <w:rPr>
          <w:rFonts w:ascii="Times New Roman" w:hAnsi="Times New Roman" w:cs="Times New Roman"/>
        </w:rPr>
        <w:t xml:space="preserve"> for management</w:t>
      </w:r>
      <w:r w:rsidRPr="005948DE">
        <w:rPr>
          <w:rFonts w:ascii="Times New Roman" w:eastAsia="SimSun" w:hAnsi="Times New Roman" w:cs="Times New Roman"/>
        </w:rPr>
        <w:t xml:space="preserve"> as a consequence of multiple small to medium scale individual construction/rehabilitation sites</w:t>
      </w:r>
      <w:r w:rsidRPr="005948DE">
        <w:rPr>
          <w:rFonts w:ascii="Times New Roman" w:hAnsi="Times New Roman" w:cs="Times New Roman"/>
        </w:rPr>
        <w:t xml:space="preserve"> </w:t>
      </w:r>
      <w:r w:rsidRPr="005948DE">
        <w:rPr>
          <w:rFonts w:ascii="Times New Roman" w:eastAsia="SimSun" w:hAnsi="Times New Roman" w:cs="Times New Roman"/>
        </w:rPr>
        <w:t>established to complete intended activities</w:t>
      </w:r>
      <w:r w:rsidRPr="005948DE">
        <w:rPr>
          <w:rFonts w:ascii="Times New Roman" w:eastAsia="Times New Roman" w:hAnsi="Times New Roman" w:cs="Times New Roman"/>
        </w:rPr>
        <w:t>.</w:t>
      </w:r>
      <w:r w:rsidR="0079119F">
        <w:rPr>
          <w:rFonts w:ascii="Times New Roman" w:eastAsia="Times New Roman" w:hAnsi="Times New Roman" w:cs="Times New Roman"/>
        </w:rPr>
        <w:t xml:space="preserve"> </w:t>
      </w:r>
      <w:r w:rsidR="0079119F">
        <w:rPr>
          <w:noProof/>
        </w:rPr>
        <w:t xml:space="preserve">Subproject specific risks and adequate mittigation measures on labor and working conditions will be identified as part of the Environmental and Social Assessments (ESMP or ESMP Checklist) which will be a part of tendering documents making them binding for the contractor. </w:t>
      </w:r>
      <w:r w:rsidR="0079119F">
        <w:rPr>
          <w:rFonts w:ascii="Times New Roman" w:hAnsi="Times New Roman" w:cs="Times New Roman"/>
        </w:rPr>
        <w:t>R</w:t>
      </w:r>
      <w:r w:rsidRPr="005948DE">
        <w:rPr>
          <w:rFonts w:ascii="Times New Roman" w:hAnsi="Times New Roman" w:cs="Times New Roman"/>
        </w:rPr>
        <w:t xml:space="preserve">isks related to the construction activities and unsafe labor and working conditions, shall be mitigated by adequate enforcement of the LMP with focus on the elevated monitoring level based on specific circumstances of construction activities and therewith associated risks with consideration of cumulative impacts stemming from the road and rail traffic ongoing during the construction works. In the light of the unfolding </w:t>
      </w:r>
      <w:r w:rsidR="003F57F7">
        <w:rPr>
          <w:rFonts w:ascii="Times New Roman" w:hAnsi="Times New Roman" w:cs="Times New Roman"/>
        </w:rPr>
        <w:t xml:space="preserve">the </w:t>
      </w:r>
      <w:r w:rsidR="007513FE" w:rsidRPr="005948DE">
        <w:rPr>
          <w:rFonts w:ascii="Times New Roman" w:hAnsi="Times New Roman" w:cs="Times New Roman"/>
        </w:rPr>
        <w:t>C</w:t>
      </w:r>
      <w:r w:rsidR="007513FE">
        <w:rPr>
          <w:rFonts w:ascii="Times New Roman" w:hAnsi="Times New Roman" w:cs="Times New Roman"/>
        </w:rPr>
        <w:t>ovid</w:t>
      </w:r>
      <w:r w:rsidRPr="005948DE">
        <w:rPr>
          <w:rFonts w:ascii="Times New Roman" w:hAnsi="Times New Roman" w:cs="Times New Roman"/>
        </w:rPr>
        <w:t>-19 crisis, pandemic impact considerations are included as a crosscutting element among the majority of labor issues and are addressed in the LMP prepared for the Project</w:t>
      </w:r>
      <w:r w:rsidRPr="005948DE">
        <w:rPr>
          <w:rFonts w:ascii="Times New Roman" w:eastAsia="SimSun" w:hAnsi="Times New Roman" w:cs="Times New Roman"/>
          <w:u w:val="single"/>
        </w:rPr>
        <w:t xml:space="preserve">. </w:t>
      </w:r>
      <w:r w:rsidRPr="005948DE">
        <w:rPr>
          <w:rFonts w:ascii="Times New Roman" w:hAnsi="Times New Roman" w:cs="Times New Roman"/>
        </w:rPr>
        <w:t xml:space="preserve">All reasonable precautions to protect the health and safety of workers commensurate to the risks will be implemented, including hiring contractors that have the technical capability and positive track record in managing the occupational health and safety issues of their employees. </w:t>
      </w:r>
      <w:r w:rsidR="0079119F">
        <w:rPr>
          <w:rFonts w:ascii="Times New Roman" w:hAnsi="Times New Roman" w:cs="Times New Roman"/>
        </w:rPr>
        <w:t>Provisions for establishing a</w:t>
      </w:r>
      <w:r w:rsidR="0079119F" w:rsidRPr="005948DE">
        <w:rPr>
          <w:rFonts w:ascii="Times New Roman" w:hAnsi="Times New Roman" w:cs="Times New Roman"/>
        </w:rPr>
        <w:t xml:space="preserve"> Worker’s </w:t>
      </w:r>
      <w:r w:rsidRPr="005948DE">
        <w:rPr>
          <w:rFonts w:ascii="Times New Roman" w:hAnsi="Times New Roman" w:cs="Times New Roman"/>
        </w:rPr>
        <w:t xml:space="preserve">GM have been included in the LMP prepared for the </w:t>
      </w:r>
      <w:r w:rsidR="00D23E88">
        <w:rPr>
          <w:rFonts w:ascii="Times New Roman" w:hAnsi="Times New Roman" w:cs="Times New Roman"/>
        </w:rPr>
        <w:t>P</w:t>
      </w:r>
      <w:r w:rsidR="00D23E88" w:rsidRPr="005948DE">
        <w:rPr>
          <w:rFonts w:ascii="Times New Roman" w:hAnsi="Times New Roman" w:cs="Times New Roman"/>
        </w:rPr>
        <w:t>roject.</w:t>
      </w:r>
    </w:p>
    <w:p w14:paraId="47D29A62" w14:textId="3CCDEB1A" w:rsidR="00313155" w:rsidRPr="005948DE" w:rsidRDefault="008F03CA" w:rsidP="005948DE">
      <w:pPr>
        <w:widowControl w:val="0"/>
        <w:tabs>
          <w:tab w:val="left" w:pos="284"/>
        </w:tabs>
        <w:autoSpaceDE w:val="0"/>
        <w:autoSpaceDN w:val="0"/>
        <w:adjustRightInd w:val="0"/>
        <w:spacing w:after="120" w:line="276" w:lineRule="auto"/>
        <w:jc w:val="both"/>
        <w:rPr>
          <w:rFonts w:ascii="Times New Roman" w:hAnsi="Times New Roman" w:cs="Times New Roman"/>
          <w:u w:val="single"/>
        </w:rPr>
      </w:pPr>
      <w:r w:rsidRPr="005948DE">
        <w:rPr>
          <w:rFonts w:ascii="Times New Roman" w:hAnsi="Times New Roman" w:cs="Times New Roman"/>
        </w:rPr>
        <w:t>OHS risks are manageable through application of the guidelines in ESMF, the national laws, policies and rules, the EHS Guidelines which will allow prevention and protection measures to be introduced following the order of priority: Eliminate the hazard, controlling the hazard and minimizing it. The risk of informal labor and associated lack of protection will be mitigated through screening/E&amp;S screening checklist, labor and working conditions commitments signed by any third party, labor and working conditions reporting requirements during contract implementation and by providing access to the Project workers grievance mechanism. Contractors will be required to develop construction OHS Management Plans.</w:t>
      </w:r>
    </w:p>
    <w:p w14:paraId="14560CC5" w14:textId="5429EAD7" w:rsidR="000906C7" w:rsidRPr="005948DE" w:rsidRDefault="00313155" w:rsidP="005948DE">
      <w:pPr>
        <w:pStyle w:val="Heading4"/>
        <w:spacing w:before="120" w:after="120" w:line="276" w:lineRule="auto"/>
        <w:jc w:val="both"/>
        <w:rPr>
          <w:rFonts w:ascii="Times New Roman" w:hAnsi="Times New Roman" w:cs="Times New Roman"/>
          <w:color w:val="auto"/>
          <w:u w:val="single"/>
        </w:rPr>
      </w:pPr>
      <w:r w:rsidRPr="005948DE">
        <w:rPr>
          <w:rFonts w:ascii="Times New Roman" w:hAnsi="Times New Roman" w:cs="Times New Roman"/>
          <w:b w:val="0"/>
          <w:i w:val="0"/>
          <w:color w:val="auto"/>
          <w:u w:val="single"/>
        </w:rPr>
        <w:t>ESS3 Resource Efficiency and Pollution Prevention and Management</w:t>
      </w:r>
    </w:p>
    <w:p w14:paraId="182C5D14" w14:textId="52833F1E" w:rsidR="00313155" w:rsidRPr="005948DE" w:rsidRDefault="00313155" w:rsidP="005948DE">
      <w:pPr>
        <w:widowControl w:val="0"/>
        <w:tabs>
          <w:tab w:val="left" w:pos="284"/>
        </w:tabs>
        <w:autoSpaceDE w:val="0"/>
        <w:autoSpaceDN w:val="0"/>
        <w:adjustRightInd w:val="0"/>
        <w:spacing w:after="120" w:line="276" w:lineRule="auto"/>
        <w:jc w:val="both"/>
        <w:rPr>
          <w:rFonts w:ascii="Times New Roman" w:hAnsi="Times New Roman" w:cs="Times New Roman"/>
        </w:rPr>
      </w:pPr>
      <w:r w:rsidRPr="005948DE">
        <w:rPr>
          <w:rFonts w:ascii="Times New Roman" w:hAnsi="Times New Roman" w:cs="Times New Roman"/>
        </w:rPr>
        <w:t>It is expected that a certain amount of waste will be generated as a result of the reconstruction and rehabilitation works under Component 1. If it is estimated that hazardous waste could occur during these works, this needs to be addressed in a manner prescribed for the management of this type of waste.</w:t>
      </w:r>
    </w:p>
    <w:p w14:paraId="54A9A988" w14:textId="674140BA" w:rsidR="00313155" w:rsidRPr="005948DE" w:rsidRDefault="00313155" w:rsidP="005948DE">
      <w:pPr>
        <w:widowControl w:val="0"/>
        <w:tabs>
          <w:tab w:val="left" w:pos="284"/>
        </w:tabs>
        <w:autoSpaceDE w:val="0"/>
        <w:autoSpaceDN w:val="0"/>
        <w:adjustRightInd w:val="0"/>
        <w:spacing w:after="120" w:line="276" w:lineRule="auto"/>
        <w:jc w:val="both"/>
        <w:rPr>
          <w:rFonts w:ascii="Times New Roman" w:hAnsi="Times New Roman" w:cs="Times New Roman"/>
        </w:rPr>
      </w:pPr>
      <w:r w:rsidRPr="005948DE">
        <w:rPr>
          <w:rFonts w:ascii="Times New Roman" w:hAnsi="Times New Roman" w:cs="Times New Roman"/>
        </w:rPr>
        <w:t xml:space="preserve">Prior to the start of works, Waste Management Plan needs to be prepared as part of site-specific ESMPs/ESMPCLs, to determine the quantities of waste, their categorization, and the proposed handling, storage, transport, and disposal measures. Site-specific ESMPs will be prepared and implemented in order to address procedures related to waste management, wastewater, communal, hazardous waste, if relevant. </w:t>
      </w:r>
    </w:p>
    <w:p w14:paraId="46DE421F" w14:textId="5D6D8F96" w:rsidR="00313155" w:rsidRPr="005948DE" w:rsidRDefault="00313155" w:rsidP="005948DE">
      <w:pPr>
        <w:widowControl w:val="0"/>
        <w:tabs>
          <w:tab w:val="left" w:pos="284"/>
        </w:tabs>
        <w:autoSpaceDE w:val="0"/>
        <w:autoSpaceDN w:val="0"/>
        <w:adjustRightInd w:val="0"/>
        <w:spacing w:after="120" w:line="276" w:lineRule="auto"/>
        <w:jc w:val="both"/>
        <w:rPr>
          <w:rFonts w:ascii="Times New Roman" w:hAnsi="Times New Roman" w:cs="Times New Roman"/>
          <w:u w:val="single"/>
        </w:rPr>
      </w:pPr>
      <w:r w:rsidRPr="005948DE">
        <w:rPr>
          <w:rFonts w:ascii="Times New Roman" w:hAnsi="Times New Roman" w:cs="Times New Roman"/>
        </w:rPr>
        <w:t xml:space="preserve">Overall, due to the </w:t>
      </w:r>
      <w:r w:rsidR="003F57F7">
        <w:rPr>
          <w:rFonts w:ascii="Times New Roman" w:hAnsi="Times New Roman" w:cs="Times New Roman"/>
        </w:rPr>
        <w:t>P</w:t>
      </w:r>
      <w:r w:rsidR="003F57F7" w:rsidRPr="005948DE">
        <w:rPr>
          <w:rFonts w:ascii="Times New Roman" w:hAnsi="Times New Roman" w:cs="Times New Roman"/>
        </w:rPr>
        <w:t xml:space="preserve">roject’s </w:t>
      </w:r>
      <w:r w:rsidR="003F57F7">
        <w:rPr>
          <w:rFonts w:ascii="Times New Roman" w:hAnsi="Times New Roman" w:cs="Times New Roman"/>
        </w:rPr>
        <w:t>G</w:t>
      </w:r>
      <w:r w:rsidR="003F57F7" w:rsidRPr="005948DE">
        <w:rPr>
          <w:rFonts w:ascii="Times New Roman" w:hAnsi="Times New Roman" w:cs="Times New Roman"/>
        </w:rPr>
        <w:t xml:space="preserve">reen </w:t>
      </w:r>
      <w:r w:rsidRPr="005948DE">
        <w:rPr>
          <w:rFonts w:ascii="Times New Roman" w:hAnsi="Times New Roman" w:cs="Times New Roman"/>
        </w:rPr>
        <w:t xml:space="preserve">and sustainable nature, significant use of natural resources is not expected. On the other side, what could be expected is reduced use of energy and natural resources as project grants will be available for these kinds of </w:t>
      </w:r>
      <w:r w:rsidR="00230712" w:rsidRPr="005948DE">
        <w:rPr>
          <w:rFonts w:ascii="Times New Roman" w:hAnsi="Times New Roman" w:cs="Times New Roman"/>
        </w:rPr>
        <w:t>infrastructure investment projects</w:t>
      </w:r>
      <w:r w:rsidRPr="005948DE">
        <w:rPr>
          <w:rFonts w:ascii="Times New Roman" w:hAnsi="Times New Roman" w:cs="Times New Roman"/>
        </w:rPr>
        <w:t xml:space="preserve">. Grants will be provided for each LSG (value will be determined per predefined formula), but eligible infrastructure investment will have to be </w:t>
      </w:r>
      <w:r w:rsidR="003F57F7">
        <w:rPr>
          <w:rFonts w:ascii="Times New Roman" w:hAnsi="Times New Roman" w:cs="Times New Roman"/>
        </w:rPr>
        <w:t>G</w:t>
      </w:r>
      <w:r w:rsidR="003F57F7" w:rsidRPr="005948DE">
        <w:rPr>
          <w:rFonts w:ascii="Times New Roman" w:hAnsi="Times New Roman" w:cs="Times New Roman"/>
        </w:rPr>
        <w:t>reen</w:t>
      </w:r>
      <w:r w:rsidRPr="005948DE">
        <w:rPr>
          <w:rFonts w:ascii="Times New Roman" w:hAnsi="Times New Roman" w:cs="Times New Roman"/>
        </w:rPr>
        <w:t xml:space="preserve">, to improve resilience, safety, and/or environmental footprint and will focus on transport, energy, solid waste, and public space. </w:t>
      </w:r>
    </w:p>
    <w:p w14:paraId="0E0EA164" w14:textId="236FA005" w:rsidR="000906C7" w:rsidRPr="005948DE" w:rsidRDefault="008F03CA" w:rsidP="005948DE">
      <w:pPr>
        <w:pStyle w:val="Heading4"/>
        <w:spacing w:before="120" w:after="120" w:line="276" w:lineRule="auto"/>
        <w:jc w:val="both"/>
        <w:rPr>
          <w:rFonts w:ascii="Times New Roman" w:hAnsi="Times New Roman" w:cs="Times New Roman"/>
          <w:b w:val="0"/>
          <w:color w:val="auto"/>
          <w:u w:val="single"/>
        </w:rPr>
      </w:pPr>
      <w:r w:rsidRPr="005948DE">
        <w:rPr>
          <w:rFonts w:ascii="Times New Roman" w:hAnsi="Times New Roman" w:cs="Times New Roman"/>
          <w:b w:val="0"/>
          <w:i w:val="0"/>
          <w:color w:val="auto"/>
          <w:u w:val="single"/>
        </w:rPr>
        <w:t xml:space="preserve">ESS4 </w:t>
      </w:r>
      <w:r w:rsidR="005D7C87">
        <w:rPr>
          <w:rFonts w:ascii="Times New Roman" w:hAnsi="Times New Roman" w:cs="Times New Roman"/>
          <w:b w:val="0"/>
          <w:i w:val="0"/>
          <w:color w:val="auto"/>
          <w:u w:val="single"/>
        </w:rPr>
        <w:t>C</w:t>
      </w:r>
      <w:r w:rsidRPr="005948DE">
        <w:rPr>
          <w:rFonts w:ascii="Times New Roman" w:hAnsi="Times New Roman" w:cs="Times New Roman"/>
          <w:b w:val="0"/>
          <w:i w:val="0"/>
          <w:color w:val="auto"/>
          <w:u w:val="single"/>
        </w:rPr>
        <w:t xml:space="preserve">ommunity health and safety </w:t>
      </w:r>
    </w:p>
    <w:p w14:paraId="6B65C75B" w14:textId="0C5AA115" w:rsidR="0092720F" w:rsidRPr="005948DE" w:rsidRDefault="00313155" w:rsidP="0092720F">
      <w:pPr>
        <w:widowControl w:val="0"/>
        <w:tabs>
          <w:tab w:val="left" w:pos="284"/>
        </w:tabs>
        <w:autoSpaceDE w:val="0"/>
        <w:autoSpaceDN w:val="0"/>
        <w:adjustRightInd w:val="0"/>
        <w:spacing w:after="120" w:line="276" w:lineRule="auto"/>
        <w:jc w:val="both"/>
        <w:rPr>
          <w:rFonts w:ascii="Times New Roman" w:hAnsi="Times New Roman" w:cs="Times New Roman"/>
        </w:rPr>
      </w:pPr>
      <w:r w:rsidRPr="005948DE">
        <w:rPr>
          <w:rFonts w:ascii="Times New Roman" w:hAnsi="Times New Roman" w:cs="Times New Roman"/>
        </w:rPr>
        <w:t xml:space="preserve">Some of the interventions on existing infrastructures could impact the overall community, where at this stage traffic management and traffic safety are identified as one of the main impacts. Given the urban character of expected </w:t>
      </w:r>
      <w:r w:rsidR="00420737" w:rsidRPr="005948DE">
        <w:rPr>
          <w:rFonts w:ascii="Times New Roman" w:hAnsi="Times New Roman" w:cs="Times New Roman"/>
        </w:rPr>
        <w:t>infrastructure investment</w:t>
      </w:r>
      <w:r w:rsidRPr="005948DE">
        <w:rPr>
          <w:rFonts w:ascii="Times New Roman" w:hAnsi="Times New Roman" w:cs="Times New Roman"/>
        </w:rPr>
        <w:t xml:space="preserve">s under Component 1, full partition or fencing off construction sites might not be possible, therefore, </w:t>
      </w:r>
      <w:r w:rsidR="009C3B24" w:rsidRPr="005948DE">
        <w:rPr>
          <w:rFonts w:ascii="Times New Roman" w:hAnsi="Times New Roman" w:cs="Times New Roman"/>
        </w:rPr>
        <w:t>signalling</w:t>
      </w:r>
      <w:r w:rsidRPr="005948DE">
        <w:rPr>
          <w:rFonts w:ascii="Times New Roman" w:hAnsi="Times New Roman" w:cs="Times New Roman"/>
        </w:rPr>
        <w:t xml:space="preserve"> will be installed and mitigation measures to control trespasses, excessive noise, and dust levels will be ensured through a robust mitigation and management plan in the Environmental and Social Assessments (ESA) for each </w:t>
      </w:r>
      <w:r w:rsidR="00420737" w:rsidRPr="005948DE">
        <w:rPr>
          <w:rFonts w:ascii="Times New Roman" w:hAnsi="Times New Roman" w:cs="Times New Roman"/>
        </w:rPr>
        <w:t>infrastructure investment</w:t>
      </w:r>
      <w:r w:rsidRPr="005948DE">
        <w:rPr>
          <w:rFonts w:ascii="Times New Roman" w:hAnsi="Times New Roman" w:cs="Times New Roman"/>
        </w:rPr>
        <w:t>. Risks to the community stemming from unauthorized access to working sites will be prevented through a set of measures specified in ESAs such as allowing access only to authorized persons with informational and warning signs and fences. Traffic/Road Safety Management Plans with measures to ensure the safety and well</w:t>
      </w:r>
      <w:r w:rsidR="003F57F7">
        <w:rPr>
          <w:rFonts w:ascii="Times New Roman" w:hAnsi="Times New Roman" w:cs="Times New Roman"/>
        </w:rPr>
        <w:t>-</w:t>
      </w:r>
      <w:r w:rsidRPr="005948DE">
        <w:rPr>
          <w:rFonts w:ascii="Times New Roman" w:hAnsi="Times New Roman" w:cs="Times New Roman"/>
        </w:rPr>
        <w:t xml:space="preserve">being of nearby communities and road users during construction and for the operation phase will be prepared together with the Emergency Response Plans with procedures to respond to accidental leaks, spills, emissions, fires, and other unforeseen crisis events. General guidelines for traffic management plans </w:t>
      </w:r>
      <w:r w:rsidR="00701E0F" w:rsidRPr="005948DE">
        <w:rPr>
          <w:rFonts w:ascii="Times New Roman" w:hAnsi="Times New Roman" w:cs="Times New Roman"/>
        </w:rPr>
        <w:t>have been</w:t>
      </w:r>
      <w:r w:rsidRPr="005948DE">
        <w:rPr>
          <w:rFonts w:ascii="Times New Roman" w:hAnsi="Times New Roman" w:cs="Times New Roman"/>
        </w:rPr>
        <w:t xml:space="preserve"> included in the ESMF to guide contractors to prepare site-specific plans.</w:t>
      </w:r>
      <w:r w:rsidR="0092720F" w:rsidRPr="0092720F">
        <w:rPr>
          <w:noProof/>
        </w:rPr>
        <w:t xml:space="preserve"> </w:t>
      </w:r>
      <w:r w:rsidR="0092720F">
        <w:rPr>
          <w:noProof/>
        </w:rPr>
        <w:t>Special guidelines will be given for sensitive sites like those near schools, hospitals, religious places, etc.</w:t>
      </w:r>
    </w:p>
    <w:p w14:paraId="03E58A0B" w14:textId="348C6253" w:rsidR="00313155" w:rsidRPr="005948DE" w:rsidRDefault="00313155" w:rsidP="005948DE">
      <w:pPr>
        <w:widowControl w:val="0"/>
        <w:tabs>
          <w:tab w:val="left" w:pos="284"/>
        </w:tabs>
        <w:autoSpaceDE w:val="0"/>
        <w:autoSpaceDN w:val="0"/>
        <w:adjustRightInd w:val="0"/>
        <w:spacing w:after="120" w:line="276" w:lineRule="auto"/>
        <w:jc w:val="both"/>
        <w:rPr>
          <w:rFonts w:ascii="Times New Roman" w:hAnsi="Times New Roman" w:cs="Times New Roman"/>
        </w:rPr>
      </w:pPr>
      <w:r w:rsidRPr="005948DE">
        <w:rPr>
          <w:rFonts w:ascii="Times New Roman" w:hAnsi="Times New Roman" w:cs="Times New Roman"/>
        </w:rPr>
        <w:t xml:space="preserve">The principle of universal access will be incorporated into all relevant </w:t>
      </w:r>
      <w:r w:rsidR="00420737" w:rsidRPr="005948DE">
        <w:rPr>
          <w:rFonts w:ascii="Times New Roman" w:hAnsi="Times New Roman" w:cs="Times New Roman"/>
        </w:rPr>
        <w:t>infrastructure investment</w:t>
      </w:r>
      <w:r w:rsidRPr="005948DE">
        <w:rPr>
          <w:rFonts w:ascii="Times New Roman" w:hAnsi="Times New Roman" w:cs="Times New Roman"/>
        </w:rPr>
        <w:t>s</w:t>
      </w:r>
      <w:r w:rsidR="00701E0F" w:rsidRPr="005948DE">
        <w:rPr>
          <w:rFonts w:ascii="Times New Roman" w:hAnsi="Times New Roman" w:cs="Times New Roman"/>
        </w:rPr>
        <w:t>.</w:t>
      </w:r>
    </w:p>
    <w:p w14:paraId="6301F935" w14:textId="7ACCCB9C" w:rsidR="008F03CA" w:rsidRPr="005948DE" w:rsidRDefault="003F57F7" w:rsidP="005948DE">
      <w:pPr>
        <w:spacing w:after="120" w:line="276" w:lineRule="auto"/>
        <w:jc w:val="both"/>
        <w:rPr>
          <w:rFonts w:ascii="Times New Roman" w:hAnsi="Times New Roman" w:cs="Times New Roman"/>
        </w:rPr>
      </w:pPr>
      <w:r>
        <w:rPr>
          <w:rFonts w:ascii="Times New Roman" w:eastAsia="SimSun" w:hAnsi="Times New Roman" w:cs="Times New Roman"/>
          <w:b/>
          <w:bCs/>
          <w:u w:val="single"/>
        </w:rPr>
        <w:t xml:space="preserve">The </w:t>
      </w:r>
      <w:r w:rsidR="0005515F" w:rsidRPr="005948DE">
        <w:rPr>
          <w:rFonts w:ascii="Times New Roman" w:eastAsia="SimSun" w:hAnsi="Times New Roman" w:cs="Times New Roman"/>
          <w:b/>
          <w:bCs/>
          <w:u w:val="single"/>
        </w:rPr>
        <w:t>C</w:t>
      </w:r>
      <w:r w:rsidR="0005515F">
        <w:rPr>
          <w:rFonts w:ascii="Times New Roman" w:eastAsia="SimSun" w:hAnsi="Times New Roman" w:cs="Times New Roman"/>
          <w:b/>
          <w:bCs/>
          <w:u w:val="single"/>
        </w:rPr>
        <w:t>ovid-</w:t>
      </w:r>
      <w:r w:rsidR="008F03CA" w:rsidRPr="005948DE">
        <w:rPr>
          <w:rFonts w:ascii="Times New Roman" w:eastAsia="SimSun" w:hAnsi="Times New Roman" w:cs="Times New Roman"/>
          <w:b/>
          <w:bCs/>
          <w:u w:val="single"/>
        </w:rPr>
        <w:t>19 considerations</w:t>
      </w:r>
      <w:r w:rsidR="008F03CA" w:rsidRPr="005948DE">
        <w:rPr>
          <w:rFonts w:ascii="Times New Roman" w:eastAsia="SimSun" w:hAnsi="Times New Roman" w:cs="Times New Roman"/>
        </w:rPr>
        <w:t>. The Covid-19 pandemic gives rise to unparalleled environmental, health and safety and social risks and impacts, presenting significant challenges to companies and their workforces, contractors and suppliers across the country and globally. The crisis has already transformed into an economic, labor and health shock. Communicable diseases pose a significant public health threat. Typically, health hazards relating to poor sanitation, low awareness or disregard of healthy and preventive behaviour may exacerbate the risk to C</w:t>
      </w:r>
      <w:r w:rsidR="00C32089" w:rsidRPr="005948DE">
        <w:rPr>
          <w:rFonts w:ascii="Times New Roman" w:eastAsia="SimSun" w:hAnsi="Times New Roman" w:cs="Times New Roman"/>
        </w:rPr>
        <w:t>ovid</w:t>
      </w:r>
      <w:r w:rsidR="008F03CA" w:rsidRPr="005948DE">
        <w:rPr>
          <w:rFonts w:ascii="Times New Roman" w:eastAsia="SimSun" w:hAnsi="Times New Roman" w:cs="Times New Roman"/>
        </w:rPr>
        <w:t xml:space="preserve">-19 exposure. The </w:t>
      </w:r>
      <w:r>
        <w:rPr>
          <w:rFonts w:ascii="Times New Roman" w:eastAsia="SimSun" w:hAnsi="Times New Roman" w:cs="Times New Roman"/>
        </w:rPr>
        <w:t>P</w:t>
      </w:r>
      <w:r w:rsidR="008F03CA" w:rsidRPr="005948DE">
        <w:rPr>
          <w:rFonts w:ascii="Times New Roman" w:eastAsia="SimSun" w:hAnsi="Times New Roman" w:cs="Times New Roman"/>
        </w:rPr>
        <w:t xml:space="preserve">roject’s risk communication and community engagement activities coupled with broader stakeholder engagement activities will ensure that clear information is provided to all workers and the community including </w:t>
      </w:r>
      <w:r w:rsidR="001530DE">
        <w:rPr>
          <w:rFonts w:ascii="Times New Roman" w:eastAsia="SimSun" w:hAnsi="Times New Roman" w:cs="Times New Roman"/>
        </w:rPr>
        <w:t xml:space="preserve">World Health Organization </w:t>
      </w:r>
      <w:r w:rsidR="008F03CA" w:rsidRPr="005948DE">
        <w:rPr>
          <w:rFonts w:ascii="Times New Roman" w:eastAsia="SimSun" w:hAnsi="Times New Roman" w:cs="Times New Roman"/>
        </w:rPr>
        <w:t>guidance and the WBG Advisory note on Contingency planning to deliver safe works. Recognizing that no single measure is likely to be effective in the long term, a combination of behavioural and environmental modifications will need to be considered.</w:t>
      </w:r>
      <w:r w:rsidR="008F03CA" w:rsidRPr="005948DE">
        <w:rPr>
          <w:rFonts w:ascii="Times New Roman" w:hAnsi="Times New Roman" w:cs="Times New Roman"/>
        </w:rPr>
        <w:t xml:space="preserve"> The procurement documents used to procure works, services and goods shall be strengthened with </w:t>
      </w:r>
      <w:r>
        <w:rPr>
          <w:rFonts w:ascii="Times New Roman" w:hAnsi="Times New Roman" w:cs="Times New Roman"/>
        </w:rPr>
        <w:t xml:space="preserve">the </w:t>
      </w:r>
      <w:r w:rsidR="008F03CA" w:rsidRPr="005948DE">
        <w:rPr>
          <w:rFonts w:ascii="Times New Roman" w:hAnsi="Times New Roman" w:cs="Times New Roman"/>
        </w:rPr>
        <w:t xml:space="preserve">ESF and </w:t>
      </w:r>
      <w:r>
        <w:rPr>
          <w:rFonts w:ascii="Times New Roman" w:hAnsi="Times New Roman" w:cs="Times New Roman"/>
        </w:rPr>
        <w:t xml:space="preserve">the </w:t>
      </w:r>
      <w:r w:rsidR="008F03CA" w:rsidRPr="005948DE">
        <w:rPr>
          <w:rFonts w:ascii="Times New Roman" w:hAnsi="Times New Roman" w:cs="Times New Roman"/>
        </w:rPr>
        <w:t>C</w:t>
      </w:r>
      <w:r w:rsidR="00C32089" w:rsidRPr="005948DE">
        <w:rPr>
          <w:rFonts w:ascii="Times New Roman" w:eastAsia="SimSun" w:hAnsi="Times New Roman" w:cs="Times New Roman"/>
        </w:rPr>
        <w:t>ovid</w:t>
      </w:r>
      <w:r w:rsidR="008F03CA" w:rsidRPr="005948DE">
        <w:rPr>
          <w:rFonts w:ascii="Times New Roman" w:hAnsi="Times New Roman" w:cs="Times New Roman"/>
        </w:rPr>
        <w:t>-19 enhancements by introducing the ESF into the bidding documents.</w:t>
      </w:r>
    </w:p>
    <w:p w14:paraId="060303FC" w14:textId="77777777" w:rsidR="000906C7" w:rsidRPr="005948DE" w:rsidRDefault="00313155" w:rsidP="005948DE">
      <w:pPr>
        <w:pStyle w:val="Heading4"/>
        <w:spacing w:before="120" w:after="120" w:line="276" w:lineRule="auto"/>
        <w:jc w:val="both"/>
        <w:rPr>
          <w:rFonts w:ascii="Times New Roman" w:hAnsi="Times New Roman" w:cs="Times New Roman"/>
          <w:b w:val="0"/>
          <w:bCs w:val="0"/>
          <w:color w:val="auto"/>
          <w:u w:val="single"/>
        </w:rPr>
      </w:pPr>
      <w:r w:rsidRPr="005948DE">
        <w:rPr>
          <w:rFonts w:ascii="Times New Roman" w:hAnsi="Times New Roman" w:cs="Times New Roman"/>
          <w:b w:val="0"/>
          <w:i w:val="0"/>
          <w:color w:val="auto"/>
          <w:u w:val="single"/>
        </w:rPr>
        <w:t>ESS5 Land acquisition, restriction on Land use and Involuntary resettlement</w:t>
      </w:r>
    </w:p>
    <w:p w14:paraId="55745047" w14:textId="7FFC46F3" w:rsidR="0092720F" w:rsidRPr="005948DE" w:rsidRDefault="00313155" w:rsidP="0092720F">
      <w:pPr>
        <w:pStyle w:val="ListParagraph"/>
        <w:widowControl w:val="0"/>
        <w:tabs>
          <w:tab w:val="left" w:pos="284"/>
        </w:tabs>
        <w:autoSpaceDE w:val="0"/>
        <w:autoSpaceDN w:val="0"/>
        <w:adjustRightInd w:val="0"/>
        <w:spacing w:after="120" w:line="276" w:lineRule="auto"/>
        <w:ind w:left="0"/>
        <w:contextualSpacing w:val="0"/>
        <w:jc w:val="both"/>
        <w:rPr>
          <w:rFonts w:ascii="Times New Roman" w:hAnsi="Times New Roman" w:cs="Times New Roman"/>
          <w:bCs/>
        </w:rPr>
      </w:pPr>
      <w:r w:rsidRPr="005948DE">
        <w:rPr>
          <w:rFonts w:ascii="Times New Roman" w:hAnsi="Times New Roman" w:cs="Times New Roman"/>
          <w:bCs/>
        </w:rPr>
        <w:t xml:space="preserve">The envisaged eligible sectors for </w:t>
      </w:r>
      <w:r w:rsidR="00C32089">
        <w:rPr>
          <w:rFonts w:ascii="Times New Roman" w:hAnsi="Times New Roman" w:cs="Times New Roman"/>
          <w:bCs/>
        </w:rPr>
        <w:t>i</w:t>
      </w:r>
      <w:r w:rsidR="00C32089" w:rsidRPr="005948DE">
        <w:rPr>
          <w:rFonts w:ascii="Times New Roman" w:hAnsi="Times New Roman" w:cs="Times New Roman"/>
          <w:bCs/>
        </w:rPr>
        <w:t xml:space="preserve">nvestments </w:t>
      </w:r>
      <w:r w:rsidRPr="005948DE">
        <w:rPr>
          <w:rFonts w:ascii="Times New Roman" w:hAnsi="Times New Roman" w:cs="Times New Roman"/>
          <w:bCs/>
        </w:rPr>
        <w:t xml:space="preserve">under Component 1 are transport, energy, solid waste separation, and public spaces. Although </w:t>
      </w:r>
      <w:r w:rsidR="0005515F">
        <w:rPr>
          <w:rFonts w:ascii="Times New Roman" w:hAnsi="Times New Roman" w:cs="Times New Roman"/>
          <w:bCs/>
        </w:rPr>
        <w:t xml:space="preserve">the </w:t>
      </w:r>
      <w:r w:rsidR="003F57F7">
        <w:rPr>
          <w:rFonts w:ascii="Times New Roman" w:hAnsi="Times New Roman" w:cs="Times New Roman"/>
          <w:bCs/>
        </w:rPr>
        <w:t>P</w:t>
      </w:r>
      <w:r w:rsidRPr="005948DE">
        <w:rPr>
          <w:rFonts w:ascii="Times New Roman" w:hAnsi="Times New Roman" w:cs="Times New Roman"/>
          <w:bCs/>
        </w:rPr>
        <w:t xml:space="preserve">roject activities will be implemented countrywide, neither the exact location nor specific interventions to be supported are specified at this </w:t>
      </w:r>
      <w:r w:rsidR="00835C1A" w:rsidRPr="005948DE">
        <w:rPr>
          <w:rFonts w:ascii="Times New Roman" w:hAnsi="Times New Roman" w:cs="Times New Roman"/>
          <w:bCs/>
        </w:rPr>
        <w:t>time.</w:t>
      </w:r>
      <w:r w:rsidR="00835C1A">
        <w:rPr>
          <w:rFonts w:ascii="Times New Roman" w:hAnsi="Times New Roman" w:cs="Times New Roman"/>
          <w:bCs/>
        </w:rPr>
        <w:t xml:space="preserve"> Hence</w:t>
      </w:r>
      <w:r w:rsidR="0092720F">
        <w:rPr>
          <w:rFonts w:ascii="Times New Roman" w:hAnsi="Times New Roman" w:cs="Times New Roman"/>
          <w:bCs/>
        </w:rPr>
        <w:t xml:space="preserve">, </w:t>
      </w:r>
      <w:r w:rsidR="0092720F" w:rsidRPr="005948DE">
        <w:rPr>
          <w:rFonts w:ascii="Times New Roman" w:hAnsi="Times New Roman" w:cs="Times New Roman"/>
          <w:bCs/>
        </w:rPr>
        <w:t>ESS5 is applicable on a precautionary basis</w:t>
      </w:r>
    </w:p>
    <w:p w14:paraId="7471EE1A" w14:textId="6F9EB053" w:rsidR="00313155" w:rsidRPr="005948DE" w:rsidRDefault="00313155" w:rsidP="005948DE">
      <w:pPr>
        <w:pStyle w:val="ListParagraph"/>
        <w:widowControl w:val="0"/>
        <w:tabs>
          <w:tab w:val="left" w:pos="284"/>
        </w:tabs>
        <w:autoSpaceDE w:val="0"/>
        <w:autoSpaceDN w:val="0"/>
        <w:adjustRightInd w:val="0"/>
        <w:spacing w:after="120" w:line="276" w:lineRule="auto"/>
        <w:ind w:left="0"/>
        <w:contextualSpacing w:val="0"/>
        <w:jc w:val="both"/>
        <w:rPr>
          <w:rFonts w:ascii="Times New Roman" w:hAnsi="Times New Roman" w:cs="Times New Roman"/>
          <w:bCs/>
        </w:rPr>
      </w:pPr>
      <w:r w:rsidRPr="005948DE">
        <w:rPr>
          <w:rFonts w:ascii="Times New Roman" w:hAnsi="Times New Roman" w:cs="Times New Roman"/>
          <w:bCs/>
        </w:rPr>
        <w:t xml:space="preserve">Considering the nature of the </w:t>
      </w:r>
      <w:r w:rsidR="00C32089">
        <w:rPr>
          <w:rFonts w:ascii="Times New Roman" w:hAnsi="Times New Roman" w:cs="Times New Roman"/>
          <w:bCs/>
        </w:rPr>
        <w:t>P</w:t>
      </w:r>
      <w:r w:rsidRPr="005948DE">
        <w:rPr>
          <w:rFonts w:ascii="Times New Roman" w:hAnsi="Times New Roman" w:cs="Times New Roman"/>
          <w:bCs/>
        </w:rPr>
        <w:t xml:space="preserve">roject, it can be presumed that the interventions will not cause large land take impacts. Mostly, small-scale impacts for spot widening in urban areas are expected. Furthermore, minor impacts on livelihood are possible (e.g. relocation of formal and informal kiosks or stands). Resettlement resulting from </w:t>
      </w:r>
      <w:r w:rsidR="00C32089">
        <w:rPr>
          <w:rFonts w:ascii="Times New Roman" w:hAnsi="Times New Roman" w:cs="Times New Roman"/>
          <w:bCs/>
        </w:rPr>
        <w:t xml:space="preserve">the </w:t>
      </w:r>
      <w:r w:rsidRPr="005948DE">
        <w:rPr>
          <w:rFonts w:ascii="Times New Roman" w:hAnsi="Times New Roman" w:cs="Times New Roman"/>
          <w:bCs/>
        </w:rPr>
        <w:t xml:space="preserve">Project activities is not expected. In order to address the aforementioned risks, the </w:t>
      </w:r>
      <w:r w:rsidR="00E665EF" w:rsidRPr="005948DE">
        <w:rPr>
          <w:rFonts w:ascii="Times New Roman" w:hAnsi="Times New Roman" w:cs="Times New Roman"/>
          <w:bCs/>
        </w:rPr>
        <w:t xml:space="preserve">MCTI has </w:t>
      </w:r>
      <w:r w:rsidRPr="005948DE">
        <w:rPr>
          <w:rFonts w:ascii="Times New Roman" w:hAnsi="Times New Roman" w:cs="Times New Roman"/>
          <w:bCs/>
        </w:rPr>
        <w:t>prepare</w:t>
      </w:r>
      <w:r w:rsidR="00E665EF" w:rsidRPr="005948DE">
        <w:rPr>
          <w:rFonts w:ascii="Times New Roman" w:hAnsi="Times New Roman" w:cs="Times New Roman"/>
          <w:bCs/>
        </w:rPr>
        <w:t>d</w:t>
      </w:r>
      <w:r w:rsidRPr="005948DE">
        <w:rPr>
          <w:rFonts w:ascii="Times New Roman" w:hAnsi="Times New Roman" w:cs="Times New Roman"/>
          <w:bCs/>
        </w:rPr>
        <w:t xml:space="preserve"> a Resettlement Policy Framework (RPF) to establish resettlement principles, organizational arrangements, and design criteria to be applied to </w:t>
      </w:r>
      <w:r w:rsidR="00420737" w:rsidRPr="005948DE">
        <w:rPr>
          <w:rFonts w:ascii="Times New Roman" w:hAnsi="Times New Roman" w:cs="Times New Roman"/>
          <w:bCs/>
        </w:rPr>
        <w:t>infrastructure investment</w:t>
      </w:r>
      <w:r w:rsidRPr="005948DE">
        <w:rPr>
          <w:rFonts w:ascii="Times New Roman" w:hAnsi="Times New Roman" w:cs="Times New Roman"/>
          <w:bCs/>
        </w:rPr>
        <w:t xml:space="preserve">s, and to mitigate potential resettlement impacts. The RPF </w:t>
      </w:r>
      <w:r w:rsidR="00BC1ADF" w:rsidRPr="005948DE">
        <w:rPr>
          <w:rFonts w:ascii="Times New Roman" w:hAnsi="Times New Roman" w:cs="Times New Roman"/>
          <w:bCs/>
        </w:rPr>
        <w:t>has set</w:t>
      </w:r>
      <w:r w:rsidRPr="005948DE">
        <w:rPr>
          <w:rFonts w:ascii="Times New Roman" w:hAnsi="Times New Roman" w:cs="Times New Roman"/>
          <w:bCs/>
        </w:rPr>
        <w:t xml:space="preserve"> out guidance for a detailed and a screening procedure to assess the potential scale and scope of the loss of private assets and determine the potential relevance of the ESS5 for each selected </w:t>
      </w:r>
      <w:r w:rsidR="00420737" w:rsidRPr="005948DE">
        <w:rPr>
          <w:rFonts w:ascii="Times New Roman" w:hAnsi="Times New Roman" w:cs="Times New Roman"/>
          <w:bCs/>
        </w:rPr>
        <w:t>infrastructure investment</w:t>
      </w:r>
      <w:r w:rsidRPr="005948DE">
        <w:rPr>
          <w:rFonts w:ascii="Times New Roman" w:hAnsi="Times New Roman" w:cs="Times New Roman"/>
          <w:bCs/>
        </w:rPr>
        <w:t xml:space="preserve">. If the screening procedure determines the ESS5 as relevant, a site-specific Resettlement Action Plan (RAP) will be developed for each respective </w:t>
      </w:r>
      <w:r w:rsidR="00420737" w:rsidRPr="005948DE">
        <w:rPr>
          <w:rFonts w:ascii="Times New Roman" w:hAnsi="Times New Roman" w:cs="Times New Roman"/>
          <w:bCs/>
        </w:rPr>
        <w:t>infrastructure investment</w:t>
      </w:r>
      <w:r w:rsidRPr="005948DE">
        <w:rPr>
          <w:rFonts w:ascii="Times New Roman" w:hAnsi="Times New Roman" w:cs="Times New Roman"/>
          <w:bCs/>
        </w:rPr>
        <w:t xml:space="preserve">. The RPF </w:t>
      </w:r>
      <w:r w:rsidR="00BC1ADF" w:rsidRPr="005948DE">
        <w:rPr>
          <w:rFonts w:ascii="Times New Roman" w:hAnsi="Times New Roman" w:cs="Times New Roman"/>
          <w:bCs/>
        </w:rPr>
        <w:t xml:space="preserve">has </w:t>
      </w:r>
      <w:r w:rsidRPr="005948DE">
        <w:rPr>
          <w:rFonts w:ascii="Times New Roman" w:hAnsi="Times New Roman" w:cs="Times New Roman"/>
          <w:bCs/>
        </w:rPr>
        <w:t>provide specific guidance for the preparation of site-specific RAPs</w:t>
      </w:r>
      <w:r w:rsidR="00BC1ADF" w:rsidRPr="005948DE">
        <w:rPr>
          <w:rFonts w:ascii="Times New Roman" w:hAnsi="Times New Roman" w:cs="Times New Roman"/>
          <w:bCs/>
        </w:rPr>
        <w:t>. The detailed scree</w:t>
      </w:r>
      <w:r w:rsidR="0012026B" w:rsidRPr="005948DE">
        <w:rPr>
          <w:rFonts w:ascii="Times New Roman" w:hAnsi="Times New Roman" w:cs="Times New Roman"/>
          <w:bCs/>
        </w:rPr>
        <w:t>ning tool is provided in the RPF.</w:t>
      </w:r>
      <w:r w:rsidR="00921B17" w:rsidRPr="005948DE">
        <w:rPr>
          <w:rFonts w:ascii="Times New Roman" w:hAnsi="Times New Roman" w:cs="Times New Roman"/>
          <w:bCs/>
        </w:rPr>
        <w:t xml:space="preserve"> </w:t>
      </w:r>
    </w:p>
    <w:p w14:paraId="177DA81E" w14:textId="6A8E1929" w:rsidR="00D964B4" w:rsidRDefault="00D964B4" w:rsidP="005948DE">
      <w:pPr>
        <w:pStyle w:val="Heading4"/>
        <w:spacing w:before="120" w:after="120" w:line="276" w:lineRule="auto"/>
        <w:jc w:val="both"/>
        <w:rPr>
          <w:rFonts w:ascii="Times New Roman" w:hAnsi="Times New Roman" w:cs="Times New Roman"/>
          <w:b w:val="0"/>
          <w:i w:val="0"/>
          <w:color w:val="auto"/>
          <w:u w:val="single"/>
        </w:rPr>
      </w:pPr>
      <w:r>
        <w:rPr>
          <w:rFonts w:ascii="Times New Roman" w:hAnsi="Times New Roman" w:cs="Times New Roman"/>
          <w:b w:val="0"/>
          <w:i w:val="0"/>
          <w:color w:val="auto"/>
          <w:u w:val="single"/>
        </w:rPr>
        <w:t xml:space="preserve">ESS6 </w:t>
      </w:r>
      <w:r w:rsidRPr="00D964B4">
        <w:rPr>
          <w:rFonts w:ascii="Times New Roman" w:hAnsi="Times New Roman" w:cs="Times New Roman"/>
          <w:b w:val="0"/>
          <w:i w:val="0"/>
          <w:color w:val="auto"/>
          <w:u w:val="single"/>
        </w:rPr>
        <w:t>Biodiversity Conservation and Sustainable Management of Living Natural Resources</w:t>
      </w:r>
    </w:p>
    <w:p w14:paraId="68682BB5" w14:textId="640A0CED" w:rsidR="00D964B4" w:rsidRPr="0023601C" w:rsidRDefault="00D964B4" w:rsidP="0023601C">
      <w:pPr>
        <w:pStyle w:val="ListParagraph"/>
        <w:widowControl w:val="0"/>
        <w:tabs>
          <w:tab w:val="left" w:pos="284"/>
        </w:tabs>
        <w:autoSpaceDE w:val="0"/>
        <w:autoSpaceDN w:val="0"/>
        <w:adjustRightInd w:val="0"/>
        <w:spacing w:after="120" w:line="276" w:lineRule="auto"/>
        <w:ind w:left="0"/>
        <w:contextualSpacing w:val="0"/>
        <w:jc w:val="both"/>
        <w:rPr>
          <w:rFonts w:ascii="Times New Roman" w:hAnsi="Times New Roman" w:cs="Times New Roman"/>
          <w:b/>
          <w:i/>
        </w:rPr>
      </w:pPr>
      <w:r w:rsidRPr="0023601C">
        <w:rPr>
          <w:rFonts w:ascii="Times New Roman" w:hAnsi="Times New Roman" w:cs="Times New Roman"/>
          <w:bCs/>
        </w:rPr>
        <w:t xml:space="preserve">The Project is not expected to support any significant construction activities that might have negative impacts on biodiversity or living natural resources. In addition, activities are going to be implemented in inhabited areas </w:t>
      </w:r>
      <w:r w:rsidR="009B012E">
        <w:rPr>
          <w:rFonts w:ascii="Times New Roman" w:hAnsi="Times New Roman" w:cs="Times New Roman"/>
          <w:bCs/>
        </w:rPr>
        <w:t>with specific urban biodiversity</w:t>
      </w:r>
      <w:r w:rsidRPr="0023601C">
        <w:rPr>
          <w:rFonts w:ascii="Times New Roman" w:hAnsi="Times New Roman" w:cs="Times New Roman"/>
          <w:bCs/>
        </w:rPr>
        <w:t xml:space="preserve"> that is of significant value in particular in</w:t>
      </w:r>
      <w:r w:rsidR="00DC714C" w:rsidRPr="00082225">
        <w:rPr>
          <w:rFonts w:ascii="Times New Roman" w:hAnsi="Times New Roman" w:cs="Times New Roman"/>
          <w:bCs/>
        </w:rPr>
        <w:t xml:space="preserve"> peri-urban areas. As such, the</w:t>
      </w:r>
      <w:r w:rsidRPr="0023601C">
        <w:rPr>
          <w:rFonts w:ascii="Times New Roman" w:hAnsi="Times New Roman" w:cs="Times New Roman"/>
          <w:bCs/>
        </w:rPr>
        <w:t xml:space="preserve"> ESMF set</w:t>
      </w:r>
      <w:r w:rsidR="0023601C">
        <w:rPr>
          <w:rFonts w:ascii="Times New Roman" w:hAnsi="Times New Roman" w:cs="Times New Roman"/>
          <w:bCs/>
          <w:lang w:val="sr-Cyrl-CS"/>
        </w:rPr>
        <w:t>с</w:t>
      </w:r>
      <w:r w:rsidRPr="0023601C">
        <w:rPr>
          <w:rFonts w:ascii="Times New Roman" w:hAnsi="Times New Roman" w:cs="Times New Roman"/>
          <w:bCs/>
        </w:rPr>
        <w:t xml:space="preserve"> forth detailed guidance on how to best assess the potential impacts to natural and sensitive areas, even if those are not under s</w:t>
      </w:r>
      <w:r w:rsidR="009B012E" w:rsidRPr="00082225">
        <w:rPr>
          <w:rFonts w:ascii="Times New Roman" w:hAnsi="Times New Roman" w:cs="Times New Roman"/>
          <w:bCs/>
        </w:rPr>
        <w:t xml:space="preserve">ome sort of formal protection. </w:t>
      </w:r>
      <w:r w:rsidRPr="0023601C">
        <w:rPr>
          <w:rFonts w:ascii="Times New Roman" w:hAnsi="Times New Roman" w:cs="Times New Roman"/>
          <w:bCs/>
        </w:rPr>
        <w:t>Furthermore, the ESMF include</w:t>
      </w:r>
      <w:r w:rsidR="0023601C">
        <w:rPr>
          <w:rFonts w:ascii="Times New Roman" w:hAnsi="Times New Roman" w:cs="Times New Roman"/>
          <w:bCs/>
        </w:rPr>
        <w:t>s</w:t>
      </w:r>
      <w:r w:rsidRPr="0023601C">
        <w:rPr>
          <w:rFonts w:ascii="Times New Roman" w:hAnsi="Times New Roman" w:cs="Times New Roman"/>
          <w:bCs/>
        </w:rPr>
        <w:t xml:space="preserve"> provisions on excluding infrastructure that may be located in such environments or that may have impacts on such areas.</w:t>
      </w:r>
    </w:p>
    <w:p w14:paraId="4858DA68" w14:textId="3EF6A751" w:rsidR="000906C7" w:rsidRPr="005948DE" w:rsidRDefault="00313155" w:rsidP="005948DE">
      <w:pPr>
        <w:pStyle w:val="Heading4"/>
        <w:spacing w:before="120" w:after="120" w:line="276" w:lineRule="auto"/>
        <w:jc w:val="both"/>
        <w:rPr>
          <w:rFonts w:ascii="Times New Roman" w:hAnsi="Times New Roman" w:cs="Times New Roman"/>
          <w:b w:val="0"/>
          <w:color w:val="auto"/>
          <w:u w:val="single"/>
        </w:rPr>
      </w:pPr>
      <w:r w:rsidRPr="005948DE">
        <w:rPr>
          <w:rFonts w:ascii="Times New Roman" w:hAnsi="Times New Roman" w:cs="Times New Roman"/>
          <w:b w:val="0"/>
          <w:i w:val="0"/>
          <w:color w:val="auto"/>
          <w:u w:val="single"/>
        </w:rPr>
        <w:t>ESS8 Cultural Heritage</w:t>
      </w:r>
    </w:p>
    <w:p w14:paraId="6B85DBD6" w14:textId="51E87E30" w:rsidR="00313155" w:rsidRPr="005948DE" w:rsidRDefault="00313155" w:rsidP="00D964B4">
      <w:pPr>
        <w:pStyle w:val="BodyText"/>
        <w:spacing w:after="120" w:line="276" w:lineRule="auto"/>
        <w:ind w:right="-3"/>
        <w:jc w:val="both"/>
        <w:rPr>
          <w:rFonts w:ascii="Times New Roman" w:hAnsi="Times New Roman"/>
          <w:bCs w:val="0"/>
          <w:color w:val="auto"/>
          <w:lang w:val="en-GB"/>
        </w:rPr>
      </w:pPr>
      <w:r w:rsidRPr="005948DE">
        <w:rPr>
          <w:rFonts w:ascii="Times New Roman" w:hAnsi="Times New Roman"/>
          <w:bCs w:val="0"/>
          <w:color w:val="auto"/>
          <w:lang w:val="en-GB"/>
        </w:rPr>
        <w:t xml:space="preserve">This Standard is relevant. The </w:t>
      </w:r>
      <w:r w:rsidR="003F57F7">
        <w:rPr>
          <w:rFonts w:ascii="Times New Roman" w:hAnsi="Times New Roman"/>
          <w:bCs w:val="0"/>
          <w:color w:val="auto"/>
          <w:lang w:val="en-GB"/>
        </w:rPr>
        <w:t>P</w:t>
      </w:r>
      <w:r w:rsidRPr="005948DE">
        <w:rPr>
          <w:rFonts w:ascii="Times New Roman" w:hAnsi="Times New Roman"/>
          <w:bCs w:val="0"/>
          <w:color w:val="auto"/>
          <w:lang w:val="en-GB"/>
        </w:rPr>
        <w:t xml:space="preserve">roject will entail construction and reconstruction works along with excavations, demolition, and movement of the earth. The expected civil works, however, will be limited to rehabilitation of infrastructure within its existing footprint (with the possibility of minor expansion that can result in land acquisition). Due to civil works, Chance Find's procedures </w:t>
      </w:r>
      <w:r w:rsidR="00701E0F" w:rsidRPr="005948DE">
        <w:rPr>
          <w:rFonts w:ascii="Times New Roman" w:hAnsi="Times New Roman"/>
          <w:bCs w:val="0"/>
          <w:color w:val="auto"/>
          <w:lang w:val="en-GB"/>
        </w:rPr>
        <w:t>have been</w:t>
      </w:r>
      <w:r w:rsidRPr="005948DE">
        <w:rPr>
          <w:rFonts w:ascii="Times New Roman" w:hAnsi="Times New Roman"/>
          <w:bCs w:val="0"/>
          <w:color w:val="auto"/>
          <w:lang w:val="en-GB"/>
        </w:rPr>
        <w:t xml:space="preserve"> included in the ESMF in line with national legal requirements and good international practice. </w:t>
      </w:r>
      <w:r w:rsidR="0092720F" w:rsidRPr="0092720F">
        <w:rPr>
          <w:rFonts w:ascii="Times New Roman" w:hAnsi="Times New Roman"/>
          <w:bCs w:val="0"/>
          <w:color w:val="auto"/>
          <w:lang w:val="en-GB"/>
        </w:rPr>
        <w:t>The ESMF</w:t>
      </w:r>
      <w:r w:rsidR="001B4196">
        <w:rPr>
          <w:rFonts w:ascii="Times New Roman" w:hAnsi="Times New Roman"/>
          <w:bCs w:val="0"/>
          <w:color w:val="auto"/>
          <w:lang w:val="en-GB"/>
        </w:rPr>
        <w:t xml:space="preserve"> </w:t>
      </w:r>
      <w:r w:rsidR="0092720F" w:rsidRPr="0092720F">
        <w:rPr>
          <w:rFonts w:ascii="Times New Roman" w:hAnsi="Times New Roman"/>
          <w:bCs w:val="0"/>
          <w:color w:val="auto"/>
          <w:lang w:val="en-GB"/>
        </w:rPr>
        <w:t>includes provisions on ensuring no cultural heritage is impacted during works.</w:t>
      </w:r>
    </w:p>
    <w:p w14:paraId="43C431CD" w14:textId="55669758" w:rsidR="00195D0B" w:rsidRPr="005948DE" w:rsidRDefault="00195D0B" w:rsidP="005948DE">
      <w:pPr>
        <w:pStyle w:val="Heading3"/>
        <w:numPr>
          <w:ilvl w:val="2"/>
          <w:numId w:val="330"/>
        </w:numPr>
        <w:spacing w:before="120" w:after="120" w:line="276" w:lineRule="auto"/>
        <w:jc w:val="both"/>
        <w:rPr>
          <w:rFonts w:ascii="Times New Roman" w:hAnsi="Times New Roman" w:cs="Times New Roman"/>
          <w:color w:val="auto"/>
        </w:rPr>
      </w:pPr>
      <w:bookmarkStart w:id="516" w:name="_Toc93342254"/>
      <w:r w:rsidRPr="005948DE">
        <w:rPr>
          <w:rFonts w:ascii="Times New Roman" w:hAnsi="Times New Roman" w:cs="Times New Roman"/>
          <w:color w:val="auto"/>
        </w:rPr>
        <w:t>General Environmental, Health and Safety (EHS) Guidelines</w:t>
      </w:r>
      <w:bookmarkEnd w:id="516"/>
    </w:p>
    <w:p w14:paraId="507AB865" w14:textId="64B45E62" w:rsidR="00195D0B" w:rsidRPr="005948DE" w:rsidRDefault="00195D0B" w:rsidP="00D964B4">
      <w:pPr>
        <w:pStyle w:val="BodyText"/>
        <w:spacing w:after="120" w:line="276" w:lineRule="auto"/>
        <w:ind w:right="-3"/>
        <w:jc w:val="both"/>
        <w:rPr>
          <w:rFonts w:ascii="Times New Roman" w:hAnsi="Times New Roman"/>
          <w:color w:val="auto"/>
        </w:rPr>
      </w:pPr>
      <w:r w:rsidRPr="005948DE">
        <w:rPr>
          <w:rFonts w:ascii="Times New Roman" w:hAnsi="Times New Roman"/>
          <w:bCs w:val="0"/>
          <w:color w:val="auto"/>
          <w:lang w:val="en-GB"/>
        </w:rPr>
        <w:t xml:space="preserve">The EHS Guidelines are technical reference documents with general and industry-specific examples of </w:t>
      </w:r>
      <w:r w:rsidR="003F57F7">
        <w:rPr>
          <w:rFonts w:ascii="Times New Roman" w:hAnsi="Times New Roman"/>
          <w:bCs w:val="0"/>
          <w:color w:val="auto"/>
          <w:lang w:val="en-GB"/>
        </w:rPr>
        <w:t xml:space="preserve">the </w:t>
      </w:r>
      <w:r w:rsidRPr="005948DE">
        <w:rPr>
          <w:rFonts w:ascii="Times New Roman" w:hAnsi="Times New Roman"/>
          <w:bCs w:val="0"/>
          <w:color w:val="auto"/>
          <w:lang w:val="en-GB"/>
        </w:rPr>
        <w:t>Good International Industry Practice (GIIP). The EHS Guidelines contain the performance levels and measures that are normally acceptable to the Bank, and that are generally considered to be achievable in new facilities at reasonable costs by existing technology.</w:t>
      </w:r>
    </w:p>
    <w:p w14:paraId="0F00CA91" w14:textId="6792328E" w:rsidR="00195D0B" w:rsidRPr="005948DE" w:rsidRDefault="00195D0B" w:rsidP="00D964B4">
      <w:pPr>
        <w:pStyle w:val="BodyText"/>
        <w:spacing w:after="120" w:line="276" w:lineRule="auto"/>
        <w:ind w:right="-3"/>
        <w:jc w:val="both"/>
        <w:rPr>
          <w:rFonts w:ascii="Times New Roman" w:hAnsi="Times New Roman"/>
          <w:color w:val="auto"/>
        </w:rPr>
      </w:pPr>
      <w:r w:rsidRPr="005948DE">
        <w:rPr>
          <w:rFonts w:ascii="Times New Roman" w:hAnsi="Times New Roman"/>
          <w:bCs w:val="0"/>
          <w:color w:val="auto"/>
          <w:lang w:val="en-GB"/>
        </w:rPr>
        <w:t xml:space="preserve">The Bank requires borrowers/clients to apply the relevant levels or measures of the EHS Guidelines. When host country regulations differ from the levels and measures presented in the EHS Guidelines, </w:t>
      </w:r>
      <w:r w:rsidR="00230712" w:rsidRPr="005948DE">
        <w:rPr>
          <w:rFonts w:ascii="Times New Roman" w:hAnsi="Times New Roman"/>
          <w:bCs w:val="0"/>
          <w:color w:val="auto"/>
          <w:lang w:val="en-GB"/>
        </w:rPr>
        <w:t>infrastructure investment projects</w:t>
      </w:r>
      <w:r w:rsidRPr="005948DE">
        <w:rPr>
          <w:rFonts w:ascii="Times New Roman" w:hAnsi="Times New Roman"/>
          <w:bCs w:val="0"/>
          <w:color w:val="auto"/>
          <w:lang w:val="en-GB"/>
        </w:rPr>
        <w:t xml:space="preserve"> will be required to achieve whichever is more stringent.</w:t>
      </w:r>
    </w:p>
    <w:p w14:paraId="2DD512AF" w14:textId="19E395BC" w:rsidR="00195D0B" w:rsidRPr="005948DE" w:rsidRDefault="00195D0B" w:rsidP="00D964B4">
      <w:pPr>
        <w:pStyle w:val="BodyText"/>
        <w:spacing w:after="120" w:line="276" w:lineRule="auto"/>
        <w:ind w:right="-3"/>
        <w:jc w:val="both"/>
        <w:rPr>
          <w:rFonts w:ascii="Times New Roman" w:hAnsi="Times New Roman"/>
          <w:color w:val="auto"/>
        </w:rPr>
      </w:pPr>
      <w:r w:rsidRPr="005948DE">
        <w:rPr>
          <w:rFonts w:ascii="Times New Roman" w:hAnsi="Times New Roman"/>
          <w:bCs w:val="0"/>
          <w:color w:val="auto"/>
          <w:lang w:val="en-GB"/>
        </w:rPr>
        <w:t>The General EHS Guidelines contain information on cross-cutting environmental, health, and safety issues potentially applicable to all industry sectors and should be used together with the relevant Industry Sector Guideline(s).</w:t>
      </w:r>
    </w:p>
    <w:p w14:paraId="4DE2B099" w14:textId="1BFEA281" w:rsidR="00195D0B" w:rsidRPr="005948DE" w:rsidRDefault="00CB05E3"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517" w:name="_Toc93342255"/>
      <w:r w:rsidRPr="005948DE">
        <w:rPr>
          <w:rFonts w:ascii="Times New Roman" w:hAnsi="Times New Roman" w:cs="Times New Roman"/>
          <w:color w:val="auto"/>
        </w:rPr>
        <w:t xml:space="preserve">Environmental and Social </w:t>
      </w:r>
      <w:r w:rsidR="0005515F">
        <w:rPr>
          <w:rFonts w:ascii="Times New Roman" w:hAnsi="Times New Roman" w:cs="Times New Roman"/>
          <w:color w:val="auto"/>
        </w:rPr>
        <w:t>E</w:t>
      </w:r>
      <w:r w:rsidR="0005515F" w:rsidRPr="005948DE">
        <w:rPr>
          <w:rFonts w:ascii="Times New Roman" w:hAnsi="Times New Roman" w:cs="Times New Roman"/>
          <w:color w:val="auto"/>
        </w:rPr>
        <w:t xml:space="preserve">ligibility </w:t>
      </w:r>
      <w:r w:rsidR="0005515F">
        <w:rPr>
          <w:rFonts w:ascii="Times New Roman" w:hAnsi="Times New Roman" w:cs="Times New Roman"/>
          <w:color w:val="auto"/>
        </w:rPr>
        <w:t>C</w:t>
      </w:r>
      <w:r w:rsidR="0005515F" w:rsidRPr="005948DE">
        <w:rPr>
          <w:rFonts w:ascii="Times New Roman" w:hAnsi="Times New Roman" w:cs="Times New Roman"/>
          <w:color w:val="auto"/>
        </w:rPr>
        <w:t xml:space="preserve">riteria </w:t>
      </w:r>
      <w:r w:rsidRPr="005948DE">
        <w:rPr>
          <w:rFonts w:ascii="Times New Roman" w:hAnsi="Times New Roman" w:cs="Times New Roman"/>
          <w:color w:val="auto"/>
        </w:rPr>
        <w:t>and Exclusion</w:t>
      </w:r>
      <w:bookmarkEnd w:id="517"/>
    </w:p>
    <w:p w14:paraId="7CDB39AE" w14:textId="12ACFD51" w:rsidR="00257719" w:rsidRPr="005948DE" w:rsidRDefault="00257719"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Eligible infrastructure investment will have to be </w:t>
      </w:r>
      <w:r w:rsidR="003F57F7">
        <w:rPr>
          <w:rFonts w:ascii="Times New Roman" w:hAnsi="Times New Roman" w:cs="Times New Roman"/>
        </w:rPr>
        <w:t>G</w:t>
      </w:r>
      <w:r w:rsidR="003F57F7" w:rsidRPr="005948DE">
        <w:rPr>
          <w:rFonts w:ascii="Times New Roman" w:hAnsi="Times New Roman" w:cs="Times New Roman"/>
        </w:rPr>
        <w:t>reen</w:t>
      </w:r>
      <w:r w:rsidRPr="005948DE">
        <w:rPr>
          <w:rFonts w:ascii="Times New Roman" w:hAnsi="Times New Roman" w:cs="Times New Roman"/>
        </w:rPr>
        <w:t xml:space="preserve">, to improve resilience, safety, and/or environmental footprint and will focus on transport, energy, solid waste, and public space. </w:t>
      </w:r>
    </w:p>
    <w:p w14:paraId="7C6BDB9F" w14:textId="479A66D2" w:rsidR="00FA0BE6" w:rsidRPr="005948DE" w:rsidRDefault="00257719" w:rsidP="005948DE">
      <w:pPr>
        <w:spacing w:after="120" w:line="276" w:lineRule="auto"/>
        <w:jc w:val="both"/>
        <w:rPr>
          <w:rFonts w:ascii="Times New Roman" w:hAnsi="Times New Roman" w:cs="Times New Roman"/>
        </w:rPr>
      </w:pPr>
      <w:r w:rsidRPr="005948DE">
        <w:rPr>
          <w:rFonts w:ascii="Times New Roman" w:hAnsi="Times New Roman" w:cs="Times New Roman"/>
        </w:rPr>
        <w:t>I</w:t>
      </w:r>
      <w:bookmarkEnd w:id="515"/>
      <w:r w:rsidR="008B3A2F" w:rsidRPr="005948DE">
        <w:rPr>
          <w:rFonts w:ascii="Times New Roman" w:hAnsi="Times New Roman" w:cs="Times New Roman"/>
        </w:rPr>
        <w:t xml:space="preserve">t is envisaged that only those interventions that are increasing resilience and safety and/or reducing environmental footprint will be eligible for financing under the </w:t>
      </w:r>
      <w:r w:rsidR="003F57F7">
        <w:rPr>
          <w:rFonts w:ascii="Times New Roman" w:hAnsi="Times New Roman" w:cs="Times New Roman"/>
        </w:rPr>
        <w:t>P</w:t>
      </w:r>
      <w:r w:rsidR="003F57F7" w:rsidRPr="005948DE">
        <w:rPr>
          <w:rFonts w:ascii="Times New Roman" w:hAnsi="Times New Roman" w:cs="Times New Roman"/>
        </w:rPr>
        <w:t>roject</w:t>
      </w:r>
      <w:r w:rsidR="008B3A2F" w:rsidRPr="005948DE">
        <w:rPr>
          <w:rFonts w:ascii="Times New Roman" w:hAnsi="Times New Roman" w:cs="Times New Roman"/>
        </w:rPr>
        <w:t>.</w:t>
      </w:r>
      <w:r w:rsidR="00FA0BE6" w:rsidRPr="005948DE">
        <w:rPr>
          <w:rFonts w:ascii="Times New Roman" w:hAnsi="Times New Roman" w:cs="Times New Roman"/>
        </w:rPr>
        <w:t xml:space="preserve"> The eligible </w:t>
      </w:r>
      <w:r w:rsidR="00420737" w:rsidRPr="005948DE">
        <w:rPr>
          <w:rFonts w:ascii="Times New Roman" w:hAnsi="Times New Roman" w:cs="Times New Roman"/>
        </w:rPr>
        <w:t>infrastructure investment</w:t>
      </w:r>
      <w:r w:rsidR="00FA0BE6" w:rsidRPr="005948DE">
        <w:rPr>
          <w:rFonts w:ascii="Times New Roman" w:hAnsi="Times New Roman" w:cs="Times New Roman"/>
        </w:rPr>
        <w:t>s will have to be classified as “</w:t>
      </w:r>
      <w:r w:rsidR="003F57F7">
        <w:rPr>
          <w:rFonts w:ascii="Times New Roman" w:hAnsi="Times New Roman" w:cs="Times New Roman"/>
        </w:rPr>
        <w:t>G</w:t>
      </w:r>
      <w:r w:rsidR="003F57F7" w:rsidRPr="005948DE">
        <w:rPr>
          <w:rFonts w:ascii="Times New Roman" w:hAnsi="Times New Roman" w:cs="Times New Roman"/>
        </w:rPr>
        <w:t>reen</w:t>
      </w:r>
      <w:r w:rsidR="00FA0BE6" w:rsidRPr="005948DE">
        <w:rPr>
          <w:rFonts w:ascii="Times New Roman" w:hAnsi="Times New Roman" w:cs="Times New Roman"/>
        </w:rPr>
        <w:t xml:space="preserve">” per the definition included in this </w:t>
      </w:r>
      <w:r w:rsidR="0012026B" w:rsidRPr="005948DE">
        <w:rPr>
          <w:rFonts w:ascii="Times New Roman" w:hAnsi="Times New Roman" w:cs="Times New Roman"/>
        </w:rPr>
        <w:t>Manual</w:t>
      </w:r>
      <w:r w:rsidR="00FA0BE6" w:rsidRPr="005948DE">
        <w:rPr>
          <w:rFonts w:ascii="Times New Roman" w:hAnsi="Times New Roman" w:cs="Times New Roman"/>
        </w:rPr>
        <w:t xml:space="preserve"> and the type of </w:t>
      </w:r>
      <w:r w:rsidR="00230712" w:rsidRPr="005948DE">
        <w:rPr>
          <w:rFonts w:ascii="Times New Roman" w:hAnsi="Times New Roman" w:cs="Times New Roman"/>
        </w:rPr>
        <w:t>infrastructure investment projects</w:t>
      </w:r>
      <w:r w:rsidR="00FA0BE6" w:rsidRPr="005948DE">
        <w:rPr>
          <w:rFonts w:ascii="Times New Roman" w:hAnsi="Times New Roman" w:cs="Times New Roman"/>
        </w:rPr>
        <w:t xml:space="preserve"> </w:t>
      </w:r>
      <w:r w:rsidRPr="005948DE">
        <w:rPr>
          <w:rFonts w:ascii="Times New Roman" w:hAnsi="Times New Roman" w:cs="Times New Roman"/>
        </w:rPr>
        <w:t>anticipated to be financed are:</w:t>
      </w:r>
    </w:p>
    <w:p w14:paraId="50D54BE3" w14:textId="687E6411" w:rsidR="00FA0BE6" w:rsidRPr="005948DE" w:rsidRDefault="00FA0BE6"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local roads rehabilitation and upgrade to incorporate bike paths, </w:t>
      </w:r>
    </w:p>
    <w:p w14:paraId="21CD1750" w14:textId="166CCCFF" w:rsidR="00FA0BE6" w:rsidRPr="005948DE" w:rsidRDefault="00FA0BE6"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closure of the local roads, and transformation to pedestrian zones and green public spaces, </w:t>
      </w:r>
    </w:p>
    <w:p w14:paraId="5404155A" w14:textId="657FE777" w:rsidR="00FA0BE6" w:rsidRPr="005948DE" w:rsidRDefault="00FA0BE6"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shifting from diesel-run public transport to natural gas or electric, </w:t>
      </w:r>
    </w:p>
    <w:p w14:paraId="63DD8ED1" w14:textId="6A5D42BE" w:rsidR="008B3A2F" w:rsidRPr="005948DE" w:rsidRDefault="00FA0BE6"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the substitution of old public lighting with EE bulbs, etc.</w:t>
      </w:r>
    </w:p>
    <w:p w14:paraId="1072AA94" w14:textId="59DCCC48" w:rsidR="008B3A2F" w:rsidRPr="005948DE" w:rsidRDefault="00FA0BE6"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There will be no water supply and waste water-related </w:t>
      </w:r>
      <w:r w:rsidR="00230712" w:rsidRPr="005948DE">
        <w:rPr>
          <w:rFonts w:ascii="Times New Roman" w:hAnsi="Times New Roman" w:cs="Times New Roman"/>
        </w:rPr>
        <w:t>infrastructure investment projects</w:t>
      </w:r>
      <w:r w:rsidRPr="005948DE">
        <w:rPr>
          <w:rFonts w:ascii="Times New Roman" w:hAnsi="Times New Roman" w:cs="Times New Roman"/>
        </w:rPr>
        <w:t xml:space="preserve"> neither </w:t>
      </w:r>
      <w:r w:rsidR="00420737" w:rsidRPr="005948DE">
        <w:rPr>
          <w:rFonts w:ascii="Times New Roman" w:hAnsi="Times New Roman" w:cs="Times New Roman"/>
        </w:rPr>
        <w:t>infrastructure investment</w:t>
      </w:r>
      <w:r w:rsidRPr="005948DE">
        <w:rPr>
          <w:rFonts w:ascii="Times New Roman" w:hAnsi="Times New Roman" w:cs="Times New Roman"/>
        </w:rPr>
        <w:t>s related to solid waste disposal. The scope and exact locations of Project interventions are yet to be determined, but all works are envisaged to be carried out within the scope of existing infrastructural facilities.</w:t>
      </w:r>
    </w:p>
    <w:p w14:paraId="11E55311" w14:textId="352F7DD3" w:rsidR="00257719" w:rsidRPr="005948DE" w:rsidRDefault="00257719"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Finally, no </w:t>
      </w:r>
      <w:r w:rsidRPr="005948DE">
        <w:rPr>
          <w:rFonts w:ascii="Times New Roman" w:hAnsi="Times New Roman" w:cs="Times New Roman"/>
          <w:b/>
        </w:rPr>
        <w:t>substantial</w:t>
      </w:r>
      <w:r w:rsidRPr="005948DE">
        <w:rPr>
          <w:rFonts w:ascii="Times New Roman" w:hAnsi="Times New Roman" w:cs="Times New Roman"/>
        </w:rPr>
        <w:t xml:space="preserve"> or </w:t>
      </w:r>
      <w:r w:rsidRPr="005948DE">
        <w:rPr>
          <w:rFonts w:ascii="Times New Roman" w:hAnsi="Times New Roman" w:cs="Times New Roman"/>
          <w:b/>
        </w:rPr>
        <w:t>high-risk</w:t>
      </w:r>
      <w:r w:rsidRPr="005948DE">
        <w:rPr>
          <w:rFonts w:ascii="Times New Roman" w:hAnsi="Times New Roman" w:cs="Times New Roman"/>
        </w:rPr>
        <w:t xml:space="preserve"> activities will be financed under the Project.</w:t>
      </w:r>
    </w:p>
    <w:p w14:paraId="25B066CE" w14:textId="5B9179DD" w:rsidR="00257719" w:rsidRPr="005948DE" w:rsidRDefault="00CB05E3" w:rsidP="005948DE">
      <w:pPr>
        <w:spacing w:after="120" w:line="276" w:lineRule="auto"/>
        <w:jc w:val="both"/>
        <w:rPr>
          <w:rFonts w:ascii="Times New Roman" w:hAnsi="Times New Roman" w:cs="Times New Roman"/>
          <w:color w:val="FF9900"/>
        </w:rPr>
      </w:pPr>
      <w:r w:rsidRPr="005948DE">
        <w:rPr>
          <w:rFonts w:ascii="Times New Roman" w:hAnsi="Times New Roman" w:cs="Times New Roman"/>
        </w:rPr>
        <w:t xml:space="preserve">The Project will not finance (i) any of the activities listed in the World Bank Group IFC Exclusion List given in </w:t>
      </w:r>
      <w:r w:rsidR="0005515F">
        <w:rPr>
          <w:rFonts w:ascii="Times New Roman" w:hAnsi="Times New Roman" w:cs="Times New Roman"/>
        </w:rPr>
        <w:t xml:space="preserve">the </w:t>
      </w:r>
      <w:r w:rsidRPr="005948DE">
        <w:rPr>
          <w:rFonts w:ascii="Times New Roman" w:hAnsi="Times New Roman" w:cs="Times New Roman"/>
        </w:rPr>
        <w:t>Annex 1</w:t>
      </w:r>
      <w:r w:rsidR="00E2669C" w:rsidRPr="005948DE">
        <w:rPr>
          <w:rFonts w:ascii="Times New Roman" w:hAnsi="Times New Roman" w:cs="Times New Roman"/>
        </w:rPr>
        <w:t>1</w:t>
      </w:r>
      <w:r w:rsidRPr="005948DE">
        <w:rPr>
          <w:rFonts w:ascii="Times New Roman" w:hAnsi="Times New Roman" w:cs="Times New Roman"/>
        </w:rPr>
        <w:t xml:space="preserve"> nor (ii) any high risk or substantial risk projects, that would require Environmental Impact Assessment as per the Law on Environmental Impact Assessment (Official Gazette of </w:t>
      </w:r>
      <w:r w:rsidR="00C32089">
        <w:rPr>
          <w:rFonts w:ascii="Times New Roman" w:hAnsi="Times New Roman" w:cs="Times New Roman"/>
        </w:rPr>
        <w:t>the Republic of Serbia</w:t>
      </w:r>
      <w:r w:rsidRPr="005948DE">
        <w:rPr>
          <w:rFonts w:ascii="Times New Roman" w:hAnsi="Times New Roman" w:cs="Times New Roman"/>
        </w:rPr>
        <w:t xml:space="preserve"> No. 135/2004 and amended in 2009 - 36/2009) or as per WB ESS 1. (e.g. activities that may cause long term, permanent and/or irreversible adverse impacts (e.g. loss of major natural habitat); activities that have a high probability of causing serious adverse effects to human health and/or the environment; </w:t>
      </w:r>
      <w:r w:rsidR="00C32089">
        <w:rPr>
          <w:rFonts w:ascii="Times New Roman" w:hAnsi="Times New Roman" w:cs="Times New Roman"/>
        </w:rPr>
        <w:t>a</w:t>
      </w:r>
      <w:r w:rsidR="00C32089" w:rsidRPr="005948DE">
        <w:rPr>
          <w:rFonts w:ascii="Times New Roman" w:hAnsi="Times New Roman" w:cs="Times New Roman"/>
        </w:rPr>
        <w:t xml:space="preserve">ctivities </w:t>
      </w:r>
      <w:r w:rsidRPr="005948DE">
        <w:rPr>
          <w:rFonts w:ascii="Times New Roman" w:hAnsi="Times New Roman" w:cs="Times New Roman"/>
        </w:rPr>
        <w:t>that may affect lands or rights of minorities; activities that may have significant adverse social impacts and may give rise to significant social conflict, activities resulting in physical displacement</w:t>
      </w:r>
      <w:r w:rsidR="00C32089">
        <w:rPr>
          <w:rFonts w:ascii="Times New Roman" w:hAnsi="Times New Roman" w:cs="Times New Roman"/>
        </w:rPr>
        <w:t>).</w:t>
      </w:r>
      <w:r w:rsidRPr="005948DE">
        <w:rPr>
          <w:rFonts w:ascii="Times New Roman" w:hAnsi="Times New Roman" w:cs="Times New Roman"/>
        </w:rPr>
        <w:t xml:space="preserve"> </w:t>
      </w:r>
    </w:p>
    <w:p w14:paraId="20E30368" w14:textId="76FD0A58" w:rsidR="00DA321A" w:rsidRPr="005948DE" w:rsidRDefault="00DA321A"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518" w:name="_Toc93342256"/>
      <w:r w:rsidRPr="005948DE">
        <w:rPr>
          <w:rFonts w:ascii="Times New Roman" w:hAnsi="Times New Roman" w:cs="Times New Roman"/>
          <w:color w:val="auto"/>
        </w:rPr>
        <w:t xml:space="preserve">Risk </w:t>
      </w:r>
      <w:r w:rsidR="0005515F">
        <w:rPr>
          <w:rFonts w:ascii="Times New Roman" w:hAnsi="Times New Roman" w:cs="Times New Roman"/>
          <w:color w:val="auto"/>
        </w:rPr>
        <w:t>C</w:t>
      </w:r>
      <w:r w:rsidR="0005515F" w:rsidRPr="005948DE">
        <w:rPr>
          <w:rFonts w:ascii="Times New Roman" w:hAnsi="Times New Roman" w:cs="Times New Roman"/>
          <w:color w:val="auto"/>
        </w:rPr>
        <w:t xml:space="preserve">lassification </w:t>
      </w:r>
      <w:r w:rsidRPr="005948DE">
        <w:rPr>
          <w:rFonts w:ascii="Times New Roman" w:hAnsi="Times New Roman" w:cs="Times New Roman"/>
          <w:color w:val="auto"/>
        </w:rPr>
        <w:t>according to the WB ESMF</w:t>
      </w:r>
      <w:bookmarkEnd w:id="518"/>
    </w:p>
    <w:p w14:paraId="40066846" w14:textId="6482C3DC" w:rsidR="00DA321A" w:rsidRPr="005948DE" w:rsidRDefault="00DA321A" w:rsidP="005948DE">
      <w:pPr>
        <w:spacing w:after="120" w:line="276" w:lineRule="auto"/>
        <w:jc w:val="both"/>
        <w:rPr>
          <w:rFonts w:ascii="Times New Roman" w:hAnsi="Times New Roman" w:cs="Times New Roman"/>
        </w:rPr>
      </w:pPr>
      <w:r w:rsidRPr="005948DE">
        <w:rPr>
          <w:rFonts w:ascii="Times New Roman" w:hAnsi="Times New Roman" w:cs="Times New Roman"/>
        </w:rPr>
        <w:t>The Bank classifies all projects in one of the four following groups, namely projects with:</w:t>
      </w:r>
    </w:p>
    <w:p w14:paraId="50DB27CF" w14:textId="77777777" w:rsidR="00DA321A" w:rsidRPr="005948DE" w:rsidRDefault="00DA321A"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rPr>
      </w:pPr>
      <w:r w:rsidRPr="005948DE">
        <w:rPr>
          <w:rFonts w:ascii="Times New Roman" w:eastAsia="Calibri" w:hAnsi="Times New Roman" w:cs="Times New Roman"/>
        </w:rPr>
        <w:t>High Risk</w:t>
      </w:r>
    </w:p>
    <w:p w14:paraId="02931D00" w14:textId="77777777" w:rsidR="00DA321A" w:rsidRPr="005948DE" w:rsidRDefault="00DA321A"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rPr>
      </w:pPr>
      <w:r w:rsidRPr="005948DE">
        <w:rPr>
          <w:rFonts w:ascii="Times New Roman" w:eastAsia="Calibri" w:hAnsi="Times New Roman" w:cs="Times New Roman"/>
        </w:rPr>
        <w:t>Substantial Risk</w:t>
      </w:r>
    </w:p>
    <w:p w14:paraId="60CC3295" w14:textId="77777777" w:rsidR="00DA321A" w:rsidRPr="005948DE" w:rsidRDefault="00DA321A"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rPr>
      </w:pPr>
      <w:r w:rsidRPr="005948DE">
        <w:rPr>
          <w:rFonts w:ascii="Times New Roman" w:eastAsia="Calibri" w:hAnsi="Times New Roman" w:cs="Times New Roman"/>
        </w:rPr>
        <w:t>Moderate Risk</w:t>
      </w:r>
    </w:p>
    <w:p w14:paraId="14BD7712" w14:textId="77777777" w:rsidR="00DA321A" w:rsidRPr="005948DE" w:rsidRDefault="00DA321A"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rPr>
      </w:pPr>
      <w:r w:rsidRPr="005948DE">
        <w:rPr>
          <w:rFonts w:ascii="Times New Roman" w:eastAsia="Calibri" w:hAnsi="Times New Roman" w:cs="Times New Roman"/>
        </w:rPr>
        <w:t>Low Risk.</w:t>
      </w:r>
    </w:p>
    <w:p w14:paraId="438D9819" w14:textId="77777777" w:rsidR="00DA321A" w:rsidRPr="005948DE" w:rsidRDefault="00DA321A" w:rsidP="005948DE">
      <w:pPr>
        <w:spacing w:after="120" w:line="276" w:lineRule="auto"/>
        <w:jc w:val="both"/>
        <w:rPr>
          <w:rFonts w:ascii="Times New Roman" w:hAnsi="Times New Roman" w:cs="Times New Roman"/>
        </w:rPr>
      </w:pPr>
      <w:r w:rsidRPr="005948DE">
        <w:rPr>
          <w:rFonts w:ascii="Times New Roman" w:hAnsi="Times New Roman" w:cs="Times New Roman"/>
        </w:rPr>
        <w:t>To determine appropriate risk classification, the following issues are and will be taken into account:</w:t>
      </w:r>
    </w:p>
    <w:p w14:paraId="2A10D784" w14:textId="77777777"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Type, location, sensitivity and scope of the project,</w:t>
      </w:r>
    </w:p>
    <w:p w14:paraId="6328B406" w14:textId="77777777"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Nature and magnitude of potential environmental and social risks and impacts, as well as</w:t>
      </w:r>
    </w:p>
    <w:p w14:paraId="2B8F388D" w14:textId="3A010C4E" w:rsidR="00DA321A" w:rsidRPr="005948DE" w:rsidRDefault="00C32089"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Pr>
          <w:rFonts w:ascii="Times New Roman" w:eastAsia="Calibri" w:hAnsi="Times New Roman" w:cs="Times New Roman"/>
        </w:rPr>
        <w:t>Republic of Serbia</w:t>
      </w:r>
      <w:r w:rsidRPr="005948DE">
        <w:rPr>
          <w:rFonts w:ascii="Times New Roman" w:eastAsia="Calibri" w:hAnsi="Times New Roman" w:cs="Times New Roman"/>
        </w:rPr>
        <w:t xml:space="preserve">'s </w:t>
      </w:r>
      <w:r w:rsidR="00DA321A" w:rsidRPr="005948DE">
        <w:rPr>
          <w:rFonts w:ascii="Times New Roman" w:eastAsia="Calibri" w:hAnsi="Times New Roman" w:cs="Times New Roman"/>
        </w:rPr>
        <w:t>(including any agency responsible of project implementation) capacity and commitment to manage environmental and social risks and impacts in the manner consistent with ESSs.</w:t>
      </w:r>
    </w:p>
    <w:p w14:paraId="3079420E" w14:textId="77777777"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Other areas of risk that may be relevant to delivery of the ES mitigation measures and outcomes.</w:t>
      </w:r>
    </w:p>
    <w:p w14:paraId="36E7DBD8" w14:textId="77777777" w:rsidR="00DA321A" w:rsidRPr="005948DE" w:rsidRDefault="00DA321A" w:rsidP="005948DE">
      <w:pPr>
        <w:spacing w:after="120" w:line="276" w:lineRule="auto"/>
        <w:jc w:val="both"/>
        <w:rPr>
          <w:rFonts w:ascii="Times New Roman" w:hAnsi="Times New Roman" w:cs="Times New Roman"/>
        </w:rPr>
      </w:pPr>
      <w:r w:rsidRPr="005948DE">
        <w:rPr>
          <w:rFonts w:ascii="Times New Roman" w:hAnsi="Times New Roman" w:cs="Times New Roman"/>
        </w:rPr>
        <w:t>Other areas of risk can be also relevant for implementation of measures, as well as for results of environmental and social impacts mitigation measures, depending on specific project and context. These can include legal and institutional framework and its implementation and supervision strength, nature of mitigation and the proposed technology, managerial structures and legislation, as well as considerations related to stability, conflict or security.</w:t>
      </w:r>
    </w:p>
    <w:p w14:paraId="77E9AF41" w14:textId="5541DFBB" w:rsidR="00DA321A" w:rsidRPr="005948DE" w:rsidRDefault="00DA321A"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overall Environmental and Social Risk Classification of the Project is classified as </w:t>
      </w:r>
      <w:r w:rsidR="006B7FEB" w:rsidRPr="005948DE">
        <w:rPr>
          <w:rFonts w:ascii="Times New Roman" w:hAnsi="Times New Roman" w:cs="Times New Roman"/>
        </w:rPr>
        <w:t>“moderate</w:t>
      </w:r>
      <w:r w:rsidRPr="005948DE">
        <w:rPr>
          <w:rFonts w:ascii="Times New Roman" w:hAnsi="Times New Roman" w:cs="Times New Roman"/>
        </w:rPr>
        <w:t>” by the B</w:t>
      </w:r>
      <w:r w:rsidR="003F57F7">
        <w:rPr>
          <w:rFonts w:ascii="Times New Roman" w:hAnsi="Times New Roman" w:cs="Times New Roman"/>
        </w:rPr>
        <w:t>ank standards</w:t>
      </w:r>
      <w:r w:rsidRPr="005948DE">
        <w:rPr>
          <w:rFonts w:ascii="Times New Roman" w:hAnsi="Times New Roman" w:cs="Times New Roman"/>
        </w:rPr>
        <w:t xml:space="preserve">. As such, this Project cannot finance activities that have their individual risk rating higher than Moderate. </w:t>
      </w:r>
    </w:p>
    <w:p w14:paraId="5B010EC9" w14:textId="7F3C5922" w:rsidR="008B3A2F" w:rsidRPr="005948DE" w:rsidRDefault="00EF1E46" w:rsidP="005948DE">
      <w:pPr>
        <w:pStyle w:val="Heading3"/>
        <w:numPr>
          <w:ilvl w:val="2"/>
          <w:numId w:val="330"/>
        </w:numPr>
        <w:spacing w:before="120" w:after="120" w:line="276" w:lineRule="auto"/>
        <w:jc w:val="both"/>
        <w:rPr>
          <w:rFonts w:ascii="Times New Roman" w:hAnsi="Times New Roman" w:cs="Times New Roman"/>
          <w:smallCaps/>
          <w:color w:val="auto"/>
        </w:rPr>
      </w:pPr>
      <w:bookmarkStart w:id="519" w:name="_Toc93342257"/>
      <w:r w:rsidRPr="005948DE">
        <w:rPr>
          <w:rFonts w:ascii="Times New Roman" w:hAnsi="Times New Roman" w:cs="Times New Roman"/>
          <w:color w:val="auto"/>
          <w:sz w:val="24"/>
          <w:szCs w:val="28"/>
        </w:rPr>
        <w:t xml:space="preserve">Selection and </w:t>
      </w:r>
      <w:r w:rsidR="0005515F">
        <w:rPr>
          <w:rFonts w:ascii="Times New Roman" w:hAnsi="Times New Roman" w:cs="Times New Roman"/>
          <w:color w:val="auto"/>
          <w:sz w:val="24"/>
          <w:szCs w:val="28"/>
        </w:rPr>
        <w:t>A</w:t>
      </w:r>
      <w:r w:rsidR="0005515F" w:rsidRPr="005948DE">
        <w:rPr>
          <w:rFonts w:ascii="Times New Roman" w:hAnsi="Times New Roman" w:cs="Times New Roman"/>
          <w:color w:val="auto"/>
          <w:sz w:val="24"/>
          <w:szCs w:val="28"/>
        </w:rPr>
        <w:t xml:space="preserve">pproval </w:t>
      </w:r>
      <w:r w:rsidRPr="005948DE">
        <w:rPr>
          <w:rFonts w:ascii="Times New Roman" w:hAnsi="Times New Roman" w:cs="Times New Roman"/>
          <w:color w:val="auto"/>
          <w:sz w:val="24"/>
          <w:szCs w:val="28"/>
        </w:rPr>
        <w:t xml:space="preserve">of </w:t>
      </w:r>
      <w:r w:rsidR="0005515F">
        <w:rPr>
          <w:rFonts w:ascii="Times New Roman" w:hAnsi="Times New Roman" w:cs="Times New Roman"/>
          <w:color w:val="auto"/>
          <w:sz w:val="24"/>
          <w:szCs w:val="28"/>
        </w:rPr>
        <w:t>S</w:t>
      </w:r>
      <w:r w:rsidR="0005515F" w:rsidRPr="005948DE">
        <w:rPr>
          <w:rFonts w:ascii="Times New Roman" w:hAnsi="Times New Roman" w:cs="Times New Roman"/>
          <w:color w:val="auto"/>
          <w:sz w:val="24"/>
          <w:szCs w:val="28"/>
        </w:rPr>
        <w:t xml:space="preserve">trictly </w:t>
      </w:r>
      <w:r w:rsidR="0005515F">
        <w:rPr>
          <w:rFonts w:ascii="Times New Roman" w:hAnsi="Times New Roman" w:cs="Times New Roman"/>
          <w:color w:val="auto"/>
          <w:sz w:val="24"/>
          <w:szCs w:val="28"/>
        </w:rPr>
        <w:t>T</w:t>
      </w:r>
      <w:r w:rsidR="0005515F" w:rsidRPr="005948DE">
        <w:rPr>
          <w:rFonts w:ascii="Times New Roman" w:hAnsi="Times New Roman" w:cs="Times New Roman"/>
          <w:color w:val="auto"/>
          <w:sz w:val="24"/>
          <w:szCs w:val="28"/>
        </w:rPr>
        <w:t xml:space="preserve">argeted </w:t>
      </w:r>
      <w:r w:rsidR="0005515F">
        <w:rPr>
          <w:rFonts w:ascii="Times New Roman" w:hAnsi="Times New Roman" w:cs="Times New Roman"/>
          <w:color w:val="auto"/>
          <w:sz w:val="24"/>
          <w:szCs w:val="28"/>
        </w:rPr>
        <w:t>G</w:t>
      </w:r>
      <w:r w:rsidR="0005515F" w:rsidRPr="005948DE">
        <w:rPr>
          <w:rFonts w:ascii="Times New Roman" w:hAnsi="Times New Roman" w:cs="Times New Roman"/>
          <w:color w:val="auto"/>
          <w:sz w:val="24"/>
          <w:szCs w:val="28"/>
        </w:rPr>
        <w:t xml:space="preserve">rant </w:t>
      </w:r>
      <w:r w:rsidR="0005515F">
        <w:rPr>
          <w:rFonts w:ascii="Times New Roman" w:hAnsi="Times New Roman" w:cs="Times New Roman"/>
          <w:color w:val="auto"/>
          <w:sz w:val="24"/>
          <w:szCs w:val="28"/>
        </w:rPr>
        <w:t>A</w:t>
      </w:r>
      <w:r w:rsidR="0005515F" w:rsidRPr="005948DE">
        <w:rPr>
          <w:rFonts w:ascii="Times New Roman" w:hAnsi="Times New Roman" w:cs="Times New Roman"/>
          <w:color w:val="auto"/>
          <w:sz w:val="24"/>
          <w:szCs w:val="28"/>
        </w:rPr>
        <w:t>ctivities</w:t>
      </w:r>
      <w:r w:rsidR="0005515F" w:rsidRPr="005948DE">
        <w:rPr>
          <w:rFonts w:ascii="Times New Roman" w:hAnsi="Times New Roman" w:cs="Times New Roman"/>
          <w:color w:val="auto"/>
        </w:rPr>
        <w:t xml:space="preserve"> </w:t>
      </w:r>
      <w:r w:rsidRPr="005948DE">
        <w:rPr>
          <w:rFonts w:ascii="Times New Roman" w:hAnsi="Times New Roman" w:cs="Times New Roman"/>
          <w:color w:val="auto"/>
        </w:rPr>
        <w:t xml:space="preserve">- </w:t>
      </w:r>
      <w:r w:rsidR="008B3A2F" w:rsidRPr="005948DE">
        <w:rPr>
          <w:rFonts w:ascii="Times New Roman" w:hAnsi="Times New Roman" w:cs="Times New Roman"/>
          <w:color w:val="auto"/>
        </w:rPr>
        <w:t>Environmental and Social Screening and Project Approval</w:t>
      </w:r>
      <w:bookmarkEnd w:id="519"/>
    </w:p>
    <w:p w14:paraId="62AB2666" w14:textId="064E38C8" w:rsidR="00ED18F3" w:rsidRPr="005948DE" w:rsidRDefault="006B7FEB"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Each infrastructure investment shall undergo an </w:t>
      </w:r>
      <w:r w:rsidR="00ED18F3" w:rsidRPr="005948DE">
        <w:rPr>
          <w:rFonts w:ascii="Times New Roman" w:hAnsi="Times New Roman" w:cs="Times New Roman"/>
        </w:rPr>
        <w:t>environmental and social assessment</w:t>
      </w:r>
      <w:r w:rsidRPr="005948DE">
        <w:rPr>
          <w:rFonts w:ascii="Times New Roman" w:hAnsi="Times New Roman" w:cs="Times New Roman"/>
        </w:rPr>
        <w:t xml:space="preserve"> as required by the </w:t>
      </w:r>
      <w:r w:rsidR="00ED18F3" w:rsidRPr="005948DE">
        <w:rPr>
          <w:rFonts w:ascii="Times New Roman" w:hAnsi="Times New Roman" w:cs="Times New Roman"/>
        </w:rPr>
        <w:t xml:space="preserve">national legislation </w:t>
      </w:r>
      <w:r w:rsidRPr="005948DE">
        <w:rPr>
          <w:rFonts w:ascii="Times New Roman" w:hAnsi="Times New Roman" w:cs="Times New Roman"/>
        </w:rPr>
        <w:t xml:space="preserve">supplemented by </w:t>
      </w:r>
      <w:r w:rsidR="00ED18F3" w:rsidRPr="005948DE">
        <w:rPr>
          <w:rFonts w:ascii="Times New Roman" w:hAnsi="Times New Roman" w:cs="Times New Roman"/>
        </w:rPr>
        <w:t>requirements of the ESSs</w:t>
      </w:r>
      <w:r w:rsidR="000F06D1" w:rsidRPr="005948DE">
        <w:rPr>
          <w:rFonts w:ascii="Times New Roman" w:hAnsi="Times New Roman" w:cs="Times New Roman"/>
        </w:rPr>
        <w:t xml:space="preserve">. </w:t>
      </w:r>
      <w:r w:rsidR="00F26D43" w:rsidRPr="005948DE">
        <w:rPr>
          <w:rFonts w:ascii="Times New Roman" w:hAnsi="Times New Roman" w:cs="Times New Roman"/>
        </w:rPr>
        <w:t>The ESMF</w:t>
      </w:r>
      <w:r w:rsidR="000F06D1" w:rsidRPr="005948DE">
        <w:rPr>
          <w:rFonts w:ascii="Times New Roman" w:hAnsi="Times New Roman" w:cs="Times New Roman"/>
        </w:rPr>
        <w:t xml:space="preserve"> has called for the assessment procedure </w:t>
      </w:r>
      <w:r w:rsidR="00ED18F3" w:rsidRPr="005948DE">
        <w:rPr>
          <w:rFonts w:ascii="Times New Roman" w:hAnsi="Times New Roman" w:cs="Times New Roman"/>
        </w:rPr>
        <w:t xml:space="preserve">consequently </w:t>
      </w:r>
      <w:r w:rsidR="000F06D1" w:rsidRPr="005948DE">
        <w:rPr>
          <w:rFonts w:ascii="Times New Roman" w:hAnsi="Times New Roman" w:cs="Times New Roman"/>
        </w:rPr>
        <w:t>i</w:t>
      </w:r>
      <w:r w:rsidR="00ED18F3" w:rsidRPr="005948DE">
        <w:rPr>
          <w:rFonts w:ascii="Times New Roman" w:hAnsi="Times New Roman" w:cs="Times New Roman"/>
        </w:rPr>
        <w:t>ntegrating stakeholder engagement activities including consultation and feedback.</w:t>
      </w:r>
    </w:p>
    <w:p w14:paraId="5AED0A38" w14:textId="49347B1E" w:rsidR="00ED18F3" w:rsidRPr="005948DE" w:rsidRDefault="000F06D1" w:rsidP="005948DE">
      <w:pPr>
        <w:spacing w:after="120" w:line="276" w:lineRule="auto"/>
        <w:jc w:val="both"/>
        <w:rPr>
          <w:rFonts w:ascii="Times New Roman" w:hAnsi="Times New Roman" w:cs="Times New Roman"/>
        </w:rPr>
      </w:pPr>
      <w:r w:rsidRPr="005948DE">
        <w:rPr>
          <w:rFonts w:ascii="Times New Roman" w:hAnsi="Times New Roman" w:cs="Times New Roman"/>
        </w:rPr>
        <w:t>The assessment r</w:t>
      </w:r>
      <w:r w:rsidR="00ED18F3" w:rsidRPr="005948DE">
        <w:rPr>
          <w:rFonts w:ascii="Times New Roman" w:hAnsi="Times New Roman" w:cs="Times New Roman"/>
        </w:rPr>
        <w:t xml:space="preserve">esponsibility lies with </w:t>
      </w:r>
      <w:r w:rsidRPr="005948DE">
        <w:rPr>
          <w:rFonts w:ascii="Times New Roman" w:hAnsi="Times New Roman" w:cs="Times New Roman"/>
        </w:rPr>
        <w:t>t</w:t>
      </w:r>
      <w:r w:rsidR="00ED18F3" w:rsidRPr="005948DE">
        <w:rPr>
          <w:rFonts w:ascii="Times New Roman" w:hAnsi="Times New Roman" w:cs="Times New Roman"/>
        </w:rPr>
        <w:t xml:space="preserve">he MCTI/PIU who will ensure </w:t>
      </w:r>
      <w:r w:rsidRPr="005948DE">
        <w:rPr>
          <w:rFonts w:ascii="Times New Roman" w:hAnsi="Times New Roman" w:cs="Times New Roman"/>
        </w:rPr>
        <w:t xml:space="preserve">that assessments results are </w:t>
      </w:r>
      <w:r w:rsidR="00ED18F3" w:rsidRPr="005948DE">
        <w:rPr>
          <w:rFonts w:ascii="Times New Roman" w:hAnsi="Times New Roman" w:cs="Times New Roman"/>
        </w:rPr>
        <w:t>integra</w:t>
      </w:r>
      <w:r w:rsidRPr="005948DE">
        <w:rPr>
          <w:rFonts w:ascii="Times New Roman" w:hAnsi="Times New Roman" w:cs="Times New Roman"/>
        </w:rPr>
        <w:t xml:space="preserve">ted into </w:t>
      </w:r>
      <w:r w:rsidR="00420737" w:rsidRPr="005948DE">
        <w:rPr>
          <w:rFonts w:ascii="Times New Roman" w:hAnsi="Times New Roman" w:cs="Times New Roman"/>
        </w:rPr>
        <w:t>infrastructure investment</w:t>
      </w:r>
      <w:r w:rsidR="00ED18F3" w:rsidRPr="005948DE">
        <w:rPr>
          <w:rFonts w:ascii="Times New Roman" w:hAnsi="Times New Roman" w:cs="Times New Roman"/>
        </w:rPr>
        <w:t xml:space="preserve"> planning, design, implementation, operation and maintenance. The MCTI/PIU will screen, monitor and report on the environmental and social performance</w:t>
      </w:r>
      <w:r w:rsidR="00F26D43" w:rsidRPr="005948DE">
        <w:rPr>
          <w:rFonts w:ascii="Times New Roman" w:hAnsi="Times New Roman" w:cs="Times New Roman"/>
        </w:rPr>
        <w:t>.</w:t>
      </w:r>
      <w:r w:rsidR="007B204A" w:rsidRPr="005948DE">
        <w:rPr>
          <w:rFonts w:ascii="Times New Roman" w:hAnsi="Times New Roman" w:cs="Times New Roman"/>
        </w:rPr>
        <w:t xml:space="preserve"> The screening reports shall be sent to the </w:t>
      </w:r>
      <w:r w:rsidR="00CB531B">
        <w:rPr>
          <w:rFonts w:ascii="Times New Roman" w:hAnsi="Times New Roman" w:cs="Times New Roman"/>
        </w:rPr>
        <w:t>Bank</w:t>
      </w:r>
      <w:r w:rsidR="00CB531B" w:rsidRPr="005948DE">
        <w:rPr>
          <w:rFonts w:ascii="Times New Roman" w:hAnsi="Times New Roman" w:cs="Times New Roman"/>
        </w:rPr>
        <w:t xml:space="preserve"> </w:t>
      </w:r>
      <w:r w:rsidR="007B204A" w:rsidRPr="005948DE">
        <w:rPr>
          <w:rFonts w:ascii="Times New Roman" w:hAnsi="Times New Roman" w:cs="Times New Roman"/>
        </w:rPr>
        <w:t>for review and records.</w:t>
      </w:r>
      <w:r w:rsidR="00ED18F3" w:rsidRPr="005948DE">
        <w:rPr>
          <w:rFonts w:ascii="Times New Roman" w:hAnsi="Times New Roman" w:cs="Times New Roman"/>
        </w:rPr>
        <w:t xml:space="preserve"> </w:t>
      </w:r>
    </w:p>
    <w:p w14:paraId="52ADE726" w14:textId="3B90B380" w:rsidR="00ED18F3" w:rsidRPr="005948DE" w:rsidRDefault="00ED18F3"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The Environmental and Social assessment will follow the </w:t>
      </w:r>
      <w:r w:rsidR="00F26D43" w:rsidRPr="005948DE">
        <w:rPr>
          <w:rFonts w:ascii="Times New Roman" w:hAnsi="Times New Roman" w:cs="Times New Roman"/>
        </w:rPr>
        <w:t>5-step</w:t>
      </w:r>
      <w:r w:rsidRPr="005948DE">
        <w:rPr>
          <w:rFonts w:ascii="Times New Roman" w:hAnsi="Times New Roman" w:cs="Times New Roman"/>
        </w:rPr>
        <w:t xml:space="preserve"> process to identify risks associated with specific </w:t>
      </w:r>
      <w:r w:rsidR="00420737" w:rsidRPr="005948DE">
        <w:rPr>
          <w:rFonts w:ascii="Times New Roman" w:hAnsi="Times New Roman" w:cs="Times New Roman"/>
        </w:rPr>
        <w:t>infrastructure investment</w:t>
      </w:r>
      <w:r w:rsidRPr="005948DE">
        <w:rPr>
          <w:rFonts w:ascii="Times New Roman" w:hAnsi="Times New Roman" w:cs="Times New Roman"/>
        </w:rPr>
        <w:t xml:space="preserve">s, screen out any </w:t>
      </w:r>
      <w:r w:rsidR="0092720F">
        <w:rPr>
          <w:rFonts w:ascii="Times New Roman" w:hAnsi="Times New Roman" w:cs="Times New Roman"/>
        </w:rPr>
        <w:t xml:space="preserve">substantial and </w:t>
      </w:r>
      <w:r w:rsidRPr="005948DE">
        <w:rPr>
          <w:rFonts w:ascii="Times New Roman" w:hAnsi="Times New Roman" w:cs="Times New Roman"/>
        </w:rPr>
        <w:t>high-risk activity, identify potential impacts and define measures aimed to prevent or minimize negative impacts and determine the type of management instrument required to meet the project standards:</w:t>
      </w:r>
    </w:p>
    <w:p w14:paraId="748990B7" w14:textId="0EFCC452" w:rsidR="00ED18F3" w:rsidRPr="005948DE" w:rsidRDefault="00420737"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Infrastructure investment</w:t>
      </w:r>
      <w:r w:rsidR="00ED18F3" w:rsidRPr="005948DE">
        <w:rPr>
          <w:rFonts w:ascii="Times New Roman" w:eastAsia="Calibri" w:hAnsi="Times New Roman" w:cs="Times New Roman"/>
        </w:rPr>
        <w:t xml:space="preserve"> screening and risk classification</w:t>
      </w:r>
    </w:p>
    <w:p w14:paraId="5C81BC9B" w14:textId="47725D66" w:rsidR="00ED18F3" w:rsidRPr="005948DE" w:rsidRDefault="00420737"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Infrastructure investment</w:t>
      </w:r>
      <w:r w:rsidR="00ED18F3" w:rsidRPr="005948DE">
        <w:rPr>
          <w:rFonts w:ascii="Times New Roman" w:eastAsia="Calibri" w:hAnsi="Times New Roman" w:cs="Times New Roman"/>
        </w:rPr>
        <w:t xml:space="preserve"> preparation</w:t>
      </w:r>
    </w:p>
    <w:p w14:paraId="782D775F" w14:textId="7D63FAD9"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Preparation and disclosure o</w:t>
      </w:r>
      <w:r w:rsidR="00701ED7" w:rsidRPr="005948DE">
        <w:rPr>
          <w:rFonts w:ascii="Times New Roman" w:eastAsia="Calibri" w:hAnsi="Times New Roman" w:cs="Times New Roman"/>
        </w:rPr>
        <w:t xml:space="preserve">f </w:t>
      </w:r>
      <w:r w:rsidRPr="005948DE">
        <w:rPr>
          <w:rFonts w:ascii="Times New Roman" w:eastAsia="Calibri" w:hAnsi="Times New Roman" w:cs="Times New Roman"/>
        </w:rPr>
        <w:t>ESMP</w:t>
      </w:r>
      <w:r w:rsidR="0092720F">
        <w:rPr>
          <w:rFonts w:ascii="Times New Roman" w:eastAsia="Calibri" w:hAnsi="Times New Roman" w:cs="Times New Roman"/>
        </w:rPr>
        <w:t xml:space="preserve"> or</w:t>
      </w:r>
      <w:r w:rsidRPr="005948DE">
        <w:rPr>
          <w:rFonts w:ascii="Times New Roman" w:eastAsia="Calibri" w:hAnsi="Times New Roman" w:cs="Times New Roman"/>
        </w:rPr>
        <w:t xml:space="preserve"> ESMP checklist and public consultations</w:t>
      </w:r>
    </w:p>
    <w:p w14:paraId="03497B64" w14:textId="7F9B4593"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Integration of ESMP </w:t>
      </w:r>
      <w:r w:rsidR="0092720F">
        <w:rPr>
          <w:rFonts w:ascii="Times New Roman" w:eastAsia="Calibri" w:hAnsi="Times New Roman" w:cs="Times New Roman"/>
        </w:rPr>
        <w:t>or</w:t>
      </w:r>
      <w:r w:rsidRPr="005948DE">
        <w:rPr>
          <w:rFonts w:ascii="Times New Roman" w:eastAsia="Calibri" w:hAnsi="Times New Roman" w:cs="Times New Roman"/>
        </w:rPr>
        <w:t xml:space="preserve"> ESMP checklist in tender documents</w:t>
      </w:r>
    </w:p>
    <w:p w14:paraId="350F52D1" w14:textId="5DE1D2CD"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Implementation, project supervision, monitoring and reporting.</w:t>
      </w:r>
    </w:p>
    <w:p w14:paraId="3DADD145" w14:textId="77777777" w:rsidR="00D63AD3" w:rsidRPr="005948DE" w:rsidDel="00D44613" w:rsidRDefault="00D63AD3" w:rsidP="00665F55">
      <w:pPr>
        <w:pStyle w:val="ListParagraph"/>
        <w:spacing w:after="120" w:line="276" w:lineRule="auto"/>
        <w:jc w:val="both"/>
        <w:rPr>
          <w:rFonts w:ascii="Times New Roman" w:hAnsi="Times New Roman" w:cs="Times New Roman"/>
          <w:color w:val="FF9900"/>
        </w:rPr>
      </w:pPr>
    </w:p>
    <w:p w14:paraId="27E8EB34" w14:textId="4967D381" w:rsidR="00ED18F3" w:rsidRPr="005948DE" w:rsidRDefault="00ED18F3" w:rsidP="005948DE">
      <w:pPr>
        <w:pStyle w:val="Heading4"/>
        <w:spacing w:before="120" w:after="120" w:line="276" w:lineRule="auto"/>
        <w:jc w:val="both"/>
        <w:rPr>
          <w:rFonts w:ascii="Times New Roman" w:hAnsi="Times New Roman" w:cs="Times New Roman"/>
          <w:b w:val="0"/>
          <w:color w:val="auto"/>
          <w:u w:val="single"/>
        </w:rPr>
      </w:pPr>
      <w:bookmarkStart w:id="520" w:name="_Toc80630239"/>
      <w:r w:rsidRPr="005948DE">
        <w:rPr>
          <w:rFonts w:ascii="Times New Roman" w:hAnsi="Times New Roman" w:cs="Times New Roman"/>
          <w:b w:val="0"/>
          <w:i w:val="0"/>
          <w:color w:val="auto"/>
          <w:u w:val="single"/>
        </w:rPr>
        <w:t>S</w:t>
      </w:r>
      <w:r w:rsidR="00CF21ED" w:rsidRPr="005948DE">
        <w:rPr>
          <w:rFonts w:ascii="Times New Roman" w:hAnsi="Times New Roman" w:cs="Times New Roman"/>
          <w:b w:val="0"/>
          <w:i w:val="0"/>
          <w:color w:val="auto"/>
          <w:u w:val="single"/>
        </w:rPr>
        <w:t xml:space="preserve">tep 1 - </w:t>
      </w:r>
      <w:r w:rsidR="00420737" w:rsidRPr="005948DE">
        <w:rPr>
          <w:rFonts w:ascii="Times New Roman" w:hAnsi="Times New Roman" w:cs="Times New Roman"/>
          <w:b w:val="0"/>
          <w:i w:val="0"/>
          <w:color w:val="auto"/>
          <w:u w:val="single"/>
        </w:rPr>
        <w:t>Infrastructure investment</w:t>
      </w:r>
      <w:r w:rsidRPr="005948DE">
        <w:rPr>
          <w:rFonts w:ascii="Times New Roman" w:hAnsi="Times New Roman" w:cs="Times New Roman"/>
          <w:b w:val="0"/>
          <w:i w:val="0"/>
          <w:color w:val="auto"/>
          <w:u w:val="single"/>
        </w:rPr>
        <w:t xml:space="preserve"> screening and risk classification</w:t>
      </w:r>
      <w:bookmarkEnd w:id="520"/>
    </w:p>
    <w:p w14:paraId="08329F0B" w14:textId="02C9043A" w:rsidR="00D44613" w:rsidRPr="005948DE" w:rsidRDefault="00DA321A" w:rsidP="005948DE">
      <w:pPr>
        <w:spacing w:after="120" w:line="276" w:lineRule="auto"/>
        <w:jc w:val="both"/>
        <w:rPr>
          <w:rFonts w:ascii="Times New Roman" w:hAnsi="Times New Roman" w:cs="Times New Roman"/>
        </w:rPr>
      </w:pPr>
      <w:r w:rsidRPr="005948DE">
        <w:rPr>
          <w:rFonts w:ascii="Times New Roman" w:hAnsi="Times New Roman" w:cs="Times New Roman"/>
        </w:rPr>
        <w:t>Each activity to be funded under the Project (yet to be identified) will be screened against the eligibility criteria and requirements of the ESF Policy by using the information of</w:t>
      </w:r>
      <w:r w:rsidR="0005515F">
        <w:rPr>
          <w:rFonts w:ascii="Times New Roman" w:hAnsi="Times New Roman" w:cs="Times New Roman"/>
        </w:rPr>
        <w:t xml:space="preserve"> </w:t>
      </w:r>
      <w:r w:rsidRPr="005948DE">
        <w:rPr>
          <w:rFonts w:ascii="Times New Roman" w:hAnsi="Times New Roman" w:cs="Times New Roman"/>
        </w:rPr>
        <w:t>Environmental and Social Screening Questionnaire</w:t>
      </w:r>
      <w:r w:rsidR="00D44613" w:rsidRPr="005948DE">
        <w:rPr>
          <w:rFonts w:ascii="Times New Roman" w:hAnsi="Times New Roman" w:cs="Times New Roman"/>
        </w:rPr>
        <w:t xml:space="preserve">. Template of the Environmental Screening Questionnaire is given in </w:t>
      </w:r>
      <w:r w:rsidR="0005515F">
        <w:rPr>
          <w:rFonts w:ascii="Times New Roman" w:hAnsi="Times New Roman" w:cs="Times New Roman"/>
        </w:rPr>
        <w:t xml:space="preserve">the </w:t>
      </w:r>
      <w:r w:rsidR="00D44613" w:rsidRPr="005948DE">
        <w:rPr>
          <w:rFonts w:ascii="Times New Roman" w:hAnsi="Times New Roman" w:cs="Times New Roman"/>
        </w:rPr>
        <w:t xml:space="preserve">Annex </w:t>
      </w:r>
      <w:r w:rsidR="00E2669C" w:rsidRPr="005948DE">
        <w:rPr>
          <w:rFonts w:ascii="Times New Roman" w:hAnsi="Times New Roman" w:cs="Times New Roman"/>
        </w:rPr>
        <w:t>7</w:t>
      </w:r>
      <w:r w:rsidR="00D44613" w:rsidRPr="005948DE">
        <w:rPr>
          <w:rFonts w:ascii="Times New Roman" w:hAnsi="Times New Roman" w:cs="Times New Roman"/>
        </w:rPr>
        <w:t xml:space="preserve"> while the template of the Social Screening Q</w:t>
      </w:r>
      <w:r w:rsidR="00E2669C" w:rsidRPr="005948DE">
        <w:rPr>
          <w:rFonts w:ascii="Times New Roman" w:hAnsi="Times New Roman" w:cs="Times New Roman"/>
        </w:rPr>
        <w:t xml:space="preserve">uestionnaire is given in </w:t>
      </w:r>
      <w:r w:rsidR="0005515F">
        <w:rPr>
          <w:rFonts w:ascii="Times New Roman" w:hAnsi="Times New Roman" w:cs="Times New Roman"/>
        </w:rPr>
        <w:t xml:space="preserve">the </w:t>
      </w:r>
      <w:r w:rsidR="00E2669C" w:rsidRPr="005948DE">
        <w:rPr>
          <w:rFonts w:ascii="Times New Roman" w:hAnsi="Times New Roman" w:cs="Times New Roman"/>
        </w:rPr>
        <w:t>Annex 8</w:t>
      </w:r>
      <w:r w:rsidR="00D44613" w:rsidRPr="005948DE">
        <w:rPr>
          <w:rFonts w:ascii="Times New Roman" w:hAnsi="Times New Roman" w:cs="Times New Roman"/>
        </w:rPr>
        <w:t>.</w:t>
      </w:r>
    </w:p>
    <w:p w14:paraId="6EF41A54" w14:textId="34BAAB30" w:rsidR="00DA321A" w:rsidRPr="005948DE" w:rsidRDefault="00DA321A"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As the Project will involve several smaller </w:t>
      </w:r>
      <w:r w:rsidR="00420737" w:rsidRPr="005948DE">
        <w:rPr>
          <w:rFonts w:ascii="Times New Roman" w:hAnsi="Times New Roman" w:cs="Times New Roman"/>
        </w:rPr>
        <w:t>infrastructure investment</w:t>
      </w:r>
      <w:r w:rsidRPr="005948DE">
        <w:rPr>
          <w:rFonts w:ascii="Times New Roman" w:hAnsi="Times New Roman" w:cs="Times New Roman"/>
        </w:rPr>
        <w:t xml:space="preserve">s, the Bank requirements involve mandatory review of adequacy of local environmental and social requirements relevant for the </w:t>
      </w:r>
      <w:r w:rsidR="00420737" w:rsidRPr="005948DE">
        <w:rPr>
          <w:rFonts w:ascii="Times New Roman" w:hAnsi="Times New Roman" w:cs="Times New Roman"/>
        </w:rPr>
        <w:t>infrastructure investment</w:t>
      </w:r>
      <w:r w:rsidRPr="005948DE">
        <w:rPr>
          <w:rFonts w:ascii="Times New Roman" w:hAnsi="Times New Roman" w:cs="Times New Roman"/>
        </w:rPr>
        <w:t xml:space="preserve">s, as well as assessment of the capacity to manage the environmental and social risks and impacts of such </w:t>
      </w:r>
      <w:r w:rsidR="00420737" w:rsidRPr="005948DE">
        <w:rPr>
          <w:rFonts w:ascii="Times New Roman" w:hAnsi="Times New Roman" w:cs="Times New Roman"/>
        </w:rPr>
        <w:t>infrastructure investment</w:t>
      </w:r>
      <w:r w:rsidRPr="005948DE">
        <w:rPr>
          <w:rFonts w:ascii="Times New Roman" w:hAnsi="Times New Roman" w:cs="Times New Roman"/>
        </w:rPr>
        <w:t xml:space="preserve">s, particularly, </w:t>
      </w:r>
      <w:r w:rsidRPr="004B03E6">
        <w:rPr>
          <w:rFonts w:ascii="Times New Roman" w:hAnsi="Times New Roman" w:cs="Times New Roman"/>
        </w:rPr>
        <w:t>Borrower's</w:t>
      </w:r>
      <w:r w:rsidRPr="005948DE">
        <w:rPr>
          <w:rFonts w:ascii="Times New Roman" w:hAnsi="Times New Roman" w:cs="Times New Roman"/>
        </w:rPr>
        <w:t xml:space="preserve"> capacity to</w:t>
      </w:r>
      <w:r w:rsidR="00CB531B">
        <w:rPr>
          <w:rFonts w:ascii="Times New Roman" w:hAnsi="Times New Roman" w:cs="Times New Roman"/>
        </w:rPr>
        <w:t>:</w:t>
      </w:r>
    </w:p>
    <w:p w14:paraId="25A2EECB" w14:textId="68FEAC3B"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perform </w:t>
      </w:r>
      <w:r w:rsidR="00420737" w:rsidRPr="005948DE">
        <w:rPr>
          <w:rFonts w:ascii="Times New Roman" w:eastAsia="Calibri" w:hAnsi="Times New Roman" w:cs="Times New Roman"/>
        </w:rPr>
        <w:t>infrastructure investment</w:t>
      </w:r>
      <w:r w:rsidRPr="005948DE">
        <w:rPr>
          <w:rFonts w:ascii="Times New Roman" w:eastAsia="Calibri" w:hAnsi="Times New Roman" w:cs="Times New Roman"/>
        </w:rPr>
        <w:t>s environmental and social screening;</w:t>
      </w:r>
    </w:p>
    <w:p w14:paraId="76AFB956" w14:textId="77777777"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ensure necessary expertise for conducting environmental and social assessment;</w:t>
      </w:r>
    </w:p>
    <w:p w14:paraId="4E65FF0B" w14:textId="776E3737"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review findings of environmental and social assessment for individual </w:t>
      </w:r>
      <w:r w:rsidR="00420737" w:rsidRPr="005948DE">
        <w:rPr>
          <w:rFonts w:ascii="Times New Roman" w:eastAsia="Calibri" w:hAnsi="Times New Roman" w:cs="Times New Roman"/>
        </w:rPr>
        <w:t>infrastructure investment</w:t>
      </w:r>
      <w:r w:rsidRPr="005948DE">
        <w:rPr>
          <w:rFonts w:ascii="Times New Roman" w:eastAsia="Calibri" w:hAnsi="Times New Roman" w:cs="Times New Roman"/>
        </w:rPr>
        <w:t>s;</w:t>
      </w:r>
    </w:p>
    <w:p w14:paraId="39F62AEE" w14:textId="77777777"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implement mitigation measures; and</w:t>
      </w:r>
    </w:p>
    <w:p w14:paraId="33D9AF73" w14:textId="78461871" w:rsidR="00DA321A" w:rsidRPr="005948DE" w:rsidRDefault="00DA321A"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monitor environmental and social impact during project implementation. If necessary, the </w:t>
      </w:r>
      <w:r w:rsidR="00C32089">
        <w:rPr>
          <w:rFonts w:ascii="Times New Roman" w:eastAsia="Calibri" w:hAnsi="Times New Roman" w:cs="Times New Roman"/>
        </w:rPr>
        <w:t>P</w:t>
      </w:r>
      <w:r w:rsidR="00C32089" w:rsidRPr="005948DE">
        <w:rPr>
          <w:rFonts w:ascii="Times New Roman" w:eastAsia="Calibri" w:hAnsi="Times New Roman" w:cs="Times New Roman"/>
        </w:rPr>
        <w:t xml:space="preserve">roject </w:t>
      </w:r>
      <w:r w:rsidRPr="005948DE">
        <w:rPr>
          <w:rFonts w:ascii="Times New Roman" w:eastAsia="Calibri" w:hAnsi="Times New Roman" w:cs="Times New Roman"/>
        </w:rPr>
        <w:t xml:space="preserve">may envisage measures to strengthen </w:t>
      </w:r>
      <w:r w:rsidRPr="004B03E6">
        <w:rPr>
          <w:rFonts w:ascii="Times New Roman" w:eastAsia="Calibri" w:hAnsi="Times New Roman" w:cs="Times New Roman"/>
        </w:rPr>
        <w:t>Borrower's</w:t>
      </w:r>
      <w:r w:rsidRPr="005948DE">
        <w:rPr>
          <w:rFonts w:ascii="Times New Roman" w:eastAsia="Calibri" w:hAnsi="Times New Roman" w:cs="Times New Roman"/>
        </w:rPr>
        <w:t xml:space="preserve"> capacities.</w:t>
      </w:r>
    </w:p>
    <w:p w14:paraId="19E9DF4E" w14:textId="77777777" w:rsidR="00A56B49" w:rsidRPr="005948DE" w:rsidRDefault="00ED18F3" w:rsidP="005948DE">
      <w:pPr>
        <w:spacing w:after="120" w:line="276" w:lineRule="auto"/>
        <w:ind w:left="66"/>
        <w:jc w:val="both"/>
        <w:rPr>
          <w:rFonts w:ascii="Times New Roman" w:eastAsia="Calibri" w:hAnsi="Times New Roman" w:cs="Times New Roman"/>
        </w:rPr>
      </w:pPr>
      <w:r w:rsidRPr="005948DE">
        <w:rPr>
          <w:rFonts w:ascii="Times New Roman" w:hAnsi="Times New Roman" w:cs="Times New Roman"/>
        </w:rPr>
        <w:t xml:space="preserve">For the initial screening of each </w:t>
      </w:r>
      <w:r w:rsidR="00420737" w:rsidRPr="005948DE">
        <w:rPr>
          <w:rFonts w:ascii="Times New Roman" w:hAnsi="Times New Roman" w:cs="Times New Roman"/>
        </w:rPr>
        <w:t>infrastructure investment</w:t>
      </w:r>
      <w:r w:rsidRPr="005948DE">
        <w:rPr>
          <w:rFonts w:ascii="Times New Roman" w:hAnsi="Times New Roman" w:cs="Times New Roman"/>
        </w:rPr>
        <w:t>, the Environmental and Social Screening Questionnaire ha</w:t>
      </w:r>
      <w:r w:rsidR="00A56B49" w:rsidRPr="005948DE">
        <w:rPr>
          <w:rFonts w:ascii="Times New Roman" w:hAnsi="Times New Roman" w:cs="Times New Roman"/>
        </w:rPr>
        <w:t>s</w:t>
      </w:r>
      <w:r w:rsidRPr="005948DE">
        <w:rPr>
          <w:rFonts w:ascii="Times New Roman" w:hAnsi="Times New Roman" w:cs="Times New Roman"/>
        </w:rPr>
        <w:t xml:space="preserve"> been developed. </w:t>
      </w:r>
    </w:p>
    <w:p w14:paraId="2D93FB1D" w14:textId="3192C8BF" w:rsidR="00ED18F3" w:rsidRPr="005948DE" w:rsidRDefault="00A56B49" w:rsidP="005948DE">
      <w:pPr>
        <w:spacing w:after="120" w:line="276" w:lineRule="auto"/>
        <w:ind w:left="66"/>
        <w:jc w:val="both"/>
        <w:rPr>
          <w:rFonts w:ascii="Times New Roman" w:eastAsia="Calibri" w:hAnsi="Times New Roman" w:cs="Times New Roman"/>
        </w:rPr>
      </w:pPr>
      <w:r w:rsidRPr="005948DE">
        <w:rPr>
          <w:rFonts w:ascii="Times New Roman" w:hAnsi="Times New Roman" w:cs="Times New Roman"/>
        </w:rPr>
        <w:t>Questionnaires s</w:t>
      </w:r>
      <w:r w:rsidR="00ED18F3" w:rsidRPr="005948DE">
        <w:rPr>
          <w:rFonts w:ascii="Times New Roman" w:hAnsi="Times New Roman" w:cs="Times New Roman"/>
        </w:rPr>
        <w:t xml:space="preserve">hall be completed by the MCTI/PIUs Environmental </w:t>
      </w:r>
      <w:r w:rsidR="00DB78E0" w:rsidRPr="005948DE">
        <w:rPr>
          <w:rFonts w:ascii="Times New Roman" w:hAnsi="Times New Roman" w:cs="Times New Roman"/>
        </w:rPr>
        <w:t>s</w:t>
      </w:r>
      <w:r w:rsidR="00ED18F3" w:rsidRPr="005948DE">
        <w:rPr>
          <w:rFonts w:ascii="Times New Roman" w:hAnsi="Times New Roman" w:cs="Times New Roman"/>
        </w:rPr>
        <w:t>pecialist</w:t>
      </w:r>
      <w:r w:rsidR="00DB78E0" w:rsidRPr="005948DE">
        <w:rPr>
          <w:rFonts w:ascii="Times New Roman" w:hAnsi="Times New Roman" w:cs="Times New Roman"/>
        </w:rPr>
        <w:t>s</w:t>
      </w:r>
      <w:r w:rsidR="00ED18F3" w:rsidRPr="005948DE">
        <w:rPr>
          <w:rFonts w:ascii="Times New Roman" w:hAnsi="Times New Roman" w:cs="Times New Roman"/>
        </w:rPr>
        <w:t xml:space="preserve"> and </w:t>
      </w:r>
      <w:r w:rsidR="00AD75FA" w:rsidRPr="005948DE">
        <w:rPr>
          <w:rFonts w:ascii="Times New Roman" w:eastAsia="Calibri" w:hAnsi="Times New Roman" w:cs="Times New Roman"/>
        </w:rPr>
        <w:t xml:space="preserve">Social </w:t>
      </w:r>
      <w:r w:rsidR="00CB531B">
        <w:rPr>
          <w:rFonts w:ascii="Times New Roman" w:eastAsia="Calibri" w:hAnsi="Times New Roman" w:cs="Times New Roman"/>
        </w:rPr>
        <w:t>S</w:t>
      </w:r>
      <w:r w:rsidR="00CB531B" w:rsidRPr="005948DE">
        <w:rPr>
          <w:rFonts w:ascii="Times New Roman" w:eastAsia="Calibri" w:hAnsi="Times New Roman" w:cs="Times New Roman"/>
        </w:rPr>
        <w:t xml:space="preserve">afeguard </w:t>
      </w:r>
      <w:r w:rsidR="00AD75FA" w:rsidRPr="005948DE">
        <w:rPr>
          <w:rFonts w:ascii="Times New Roman" w:eastAsia="Calibri" w:hAnsi="Times New Roman" w:cs="Times New Roman"/>
        </w:rPr>
        <w:t xml:space="preserve">and </w:t>
      </w:r>
      <w:r w:rsidR="00C32089">
        <w:rPr>
          <w:rFonts w:ascii="Times New Roman" w:eastAsia="Calibri" w:hAnsi="Times New Roman" w:cs="Times New Roman"/>
        </w:rPr>
        <w:t>CE</w:t>
      </w:r>
      <w:r w:rsidR="00CB531B" w:rsidRPr="005948DE">
        <w:rPr>
          <w:rFonts w:ascii="Times New Roman" w:eastAsia="Calibri" w:hAnsi="Times New Roman" w:cs="Times New Roman"/>
        </w:rPr>
        <w:t xml:space="preserve"> </w:t>
      </w:r>
      <w:r w:rsidR="00AD75FA" w:rsidRPr="005948DE">
        <w:rPr>
          <w:rFonts w:ascii="Times New Roman" w:eastAsia="Calibri" w:hAnsi="Times New Roman" w:cs="Times New Roman"/>
        </w:rPr>
        <w:t xml:space="preserve">specialist </w:t>
      </w:r>
      <w:r w:rsidR="00ED18F3" w:rsidRPr="005948DE">
        <w:rPr>
          <w:rFonts w:ascii="Times New Roman" w:hAnsi="Times New Roman" w:cs="Times New Roman"/>
        </w:rPr>
        <w:t>and submitted by the MCTI/PIU along with the E&amp;S Screening report to the B</w:t>
      </w:r>
      <w:r w:rsidR="00CB531B">
        <w:rPr>
          <w:rFonts w:ascii="Times New Roman" w:hAnsi="Times New Roman" w:cs="Times New Roman"/>
        </w:rPr>
        <w:t>a</w:t>
      </w:r>
      <w:r w:rsidR="00C32089">
        <w:rPr>
          <w:rFonts w:ascii="Times New Roman" w:hAnsi="Times New Roman" w:cs="Times New Roman"/>
        </w:rPr>
        <w:t>n</w:t>
      </w:r>
      <w:r w:rsidR="00CB531B">
        <w:rPr>
          <w:rFonts w:ascii="Times New Roman" w:hAnsi="Times New Roman" w:cs="Times New Roman"/>
        </w:rPr>
        <w:t>k</w:t>
      </w:r>
      <w:r w:rsidR="00ED18F3" w:rsidRPr="005948DE">
        <w:rPr>
          <w:rFonts w:ascii="Times New Roman" w:hAnsi="Times New Roman" w:cs="Times New Roman"/>
        </w:rPr>
        <w:t xml:space="preserve"> together with the proposed decision on the </w:t>
      </w:r>
      <w:r w:rsidRPr="005948DE">
        <w:rPr>
          <w:rFonts w:ascii="Times New Roman" w:hAnsi="Times New Roman" w:cs="Times New Roman"/>
        </w:rPr>
        <w:t xml:space="preserve">risk </w:t>
      </w:r>
      <w:r w:rsidR="00ED18F3" w:rsidRPr="005948DE">
        <w:rPr>
          <w:rFonts w:ascii="Times New Roman" w:hAnsi="Times New Roman" w:cs="Times New Roman"/>
        </w:rPr>
        <w:t xml:space="preserve">category of the </w:t>
      </w:r>
      <w:r w:rsidR="00420737" w:rsidRPr="005948DE">
        <w:rPr>
          <w:rFonts w:ascii="Times New Roman" w:hAnsi="Times New Roman" w:cs="Times New Roman"/>
        </w:rPr>
        <w:t>infrastructure investment</w:t>
      </w:r>
      <w:r w:rsidR="00ED18F3" w:rsidRPr="005948DE">
        <w:rPr>
          <w:rFonts w:ascii="Times New Roman" w:hAnsi="Times New Roman" w:cs="Times New Roman"/>
        </w:rPr>
        <w:t>/activity. The Bank</w:t>
      </w:r>
      <w:r w:rsidR="00CB531B">
        <w:rPr>
          <w:rFonts w:ascii="Times New Roman" w:hAnsi="Times New Roman" w:cs="Times New Roman"/>
        </w:rPr>
        <w:t>’s</w:t>
      </w:r>
      <w:r w:rsidR="00ED18F3" w:rsidRPr="005948DE">
        <w:rPr>
          <w:rFonts w:ascii="Times New Roman" w:hAnsi="Times New Roman" w:cs="Times New Roman"/>
        </w:rPr>
        <w:t xml:space="preserve"> </w:t>
      </w:r>
      <w:r w:rsidRPr="005948DE">
        <w:rPr>
          <w:rFonts w:ascii="Times New Roman" w:hAnsi="Times New Roman" w:cs="Times New Roman"/>
        </w:rPr>
        <w:t xml:space="preserve">E&amp;S </w:t>
      </w:r>
      <w:r w:rsidR="0092720F">
        <w:rPr>
          <w:rFonts w:ascii="Times New Roman" w:hAnsi="Times New Roman" w:cs="Times New Roman"/>
        </w:rPr>
        <w:t xml:space="preserve">specialist within the task </w:t>
      </w:r>
      <w:r w:rsidR="00ED18F3" w:rsidRPr="005948DE">
        <w:rPr>
          <w:rFonts w:ascii="Times New Roman" w:hAnsi="Times New Roman" w:cs="Times New Roman"/>
        </w:rPr>
        <w:t>team will retain oversight over the process for the duration of the project implementation.</w:t>
      </w:r>
      <w:r w:rsidR="00921B17" w:rsidRPr="005948DE">
        <w:rPr>
          <w:rFonts w:ascii="Times New Roman" w:hAnsi="Times New Roman" w:cs="Times New Roman"/>
        </w:rPr>
        <w:t xml:space="preserve"> </w:t>
      </w:r>
    </w:p>
    <w:p w14:paraId="21155D7B" w14:textId="77777777" w:rsidR="00ED18F3" w:rsidRPr="005948DE" w:rsidRDefault="00ED18F3" w:rsidP="005948DE">
      <w:pPr>
        <w:spacing w:after="120" w:line="276" w:lineRule="auto"/>
        <w:jc w:val="both"/>
        <w:rPr>
          <w:rFonts w:ascii="Times New Roman" w:hAnsi="Times New Roman" w:cs="Times New Roman"/>
        </w:rPr>
      </w:pPr>
      <w:r w:rsidRPr="005948DE">
        <w:rPr>
          <w:rFonts w:ascii="Times New Roman" w:hAnsi="Times New Roman" w:cs="Times New Roman"/>
        </w:rPr>
        <w:t>The Environmental and Social Screening Questionnaire comprises four parts:</w:t>
      </w:r>
    </w:p>
    <w:p w14:paraId="4BAFF845" w14:textId="1F492AAE"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Administrative and institutional data: includes a narrative part that characterizes the </w:t>
      </w:r>
      <w:r w:rsidR="00CB531B">
        <w:rPr>
          <w:rFonts w:ascii="Times New Roman" w:eastAsia="Calibri" w:hAnsi="Times New Roman" w:cs="Times New Roman"/>
        </w:rPr>
        <w:t>P</w:t>
      </w:r>
      <w:r w:rsidR="00CB531B" w:rsidRPr="005948DE">
        <w:rPr>
          <w:rFonts w:ascii="Times New Roman" w:eastAsia="Calibri" w:hAnsi="Times New Roman" w:cs="Times New Roman"/>
        </w:rPr>
        <w:t>roject</w:t>
      </w:r>
      <w:r w:rsidRPr="005948DE">
        <w:rPr>
          <w:rFonts w:ascii="Times New Roman" w:eastAsia="Calibri" w:hAnsi="Times New Roman" w:cs="Times New Roman"/>
        </w:rPr>
        <w:t xml:space="preserve">, including administrative and institutional data, and a brief description of technical contents of the </w:t>
      </w:r>
      <w:r w:rsidR="00CB531B">
        <w:rPr>
          <w:rFonts w:ascii="Times New Roman" w:eastAsia="Calibri" w:hAnsi="Times New Roman" w:cs="Times New Roman"/>
        </w:rPr>
        <w:t>P</w:t>
      </w:r>
      <w:r w:rsidR="00CB531B" w:rsidRPr="005948DE">
        <w:rPr>
          <w:rFonts w:ascii="Times New Roman" w:eastAsia="Calibri" w:hAnsi="Times New Roman" w:cs="Times New Roman"/>
        </w:rPr>
        <w:t>roject</w:t>
      </w:r>
      <w:r w:rsidRPr="005948DE">
        <w:rPr>
          <w:rFonts w:ascii="Times New Roman" w:eastAsia="Calibri" w:hAnsi="Times New Roman" w:cs="Times New Roman"/>
        </w:rPr>
        <w:t xml:space="preserve">, as well as the location of the </w:t>
      </w:r>
      <w:r w:rsidR="00420737" w:rsidRPr="005948DE">
        <w:rPr>
          <w:rFonts w:ascii="Times New Roman" w:eastAsia="Calibri" w:hAnsi="Times New Roman" w:cs="Times New Roman"/>
        </w:rPr>
        <w:t>infrastructure investment</w:t>
      </w:r>
      <w:r w:rsidRPr="005948DE">
        <w:rPr>
          <w:rFonts w:ascii="Times New Roman" w:eastAsia="Calibri" w:hAnsi="Times New Roman" w:cs="Times New Roman"/>
        </w:rPr>
        <w:t>. This part can contain up to two pages of text. Annexes for all additional information can be supplemented if necessary.</w:t>
      </w:r>
    </w:p>
    <w:p w14:paraId="38D45EEF" w14:textId="41EB5CEA"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Project eligibility criteria: includes questions that should assist in determining whether the </w:t>
      </w:r>
      <w:r w:rsidR="00CB531B">
        <w:rPr>
          <w:rFonts w:ascii="Times New Roman" w:eastAsia="Calibri" w:hAnsi="Times New Roman" w:cs="Times New Roman"/>
        </w:rPr>
        <w:t>sub</w:t>
      </w:r>
      <w:r w:rsidRPr="005948DE">
        <w:rPr>
          <w:rFonts w:ascii="Times New Roman" w:eastAsia="Calibri" w:hAnsi="Times New Roman" w:cs="Times New Roman"/>
        </w:rPr>
        <w:t>project in question is eligible for funding.</w:t>
      </w:r>
    </w:p>
    <w:p w14:paraId="464AD7EE" w14:textId="6755574F"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Basic information on proposed </w:t>
      </w:r>
      <w:r w:rsidR="00420737" w:rsidRPr="005948DE">
        <w:rPr>
          <w:rFonts w:ascii="Times New Roman" w:eastAsia="Calibri" w:hAnsi="Times New Roman" w:cs="Times New Roman"/>
        </w:rPr>
        <w:t>infrastructure investment</w:t>
      </w:r>
      <w:r w:rsidRPr="005948DE">
        <w:rPr>
          <w:rFonts w:ascii="Times New Roman" w:eastAsia="Calibri" w:hAnsi="Times New Roman" w:cs="Times New Roman"/>
        </w:rPr>
        <w:t>, and</w:t>
      </w:r>
    </w:p>
    <w:p w14:paraId="404AAEE3" w14:textId="77777777" w:rsidR="00ED18F3" w:rsidRPr="005948DE" w:rsidRDefault="00ED18F3" w:rsidP="005948DE">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rPr>
      </w:pPr>
      <w:r w:rsidRPr="005948DE">
        <w:rPr>
          <w:rFonts w:ascii="Times New Roman" w:eastAsia="Calibri" w:hAnsi="Times New Roman" w:cs="Times New Roman"/>
        </w:rPr>
        <w:t xml:space="preserve">Project information relevant for impacts and risks: includes a series of questions on potential adverse environmental and social impacts covering all ESS 1-10, with two possible answers: "yes" or "no". </w:t>
      </w:r>
    </w:p>
    <w:p w14:paraId="1D6DFF54" w14:textId="4CF89967" w:rsidR="00ED18F3" w:rsidRPr="005948DE" w:rsidRDefault="00ED18F3" w:rsidP="005948DE">
      <w:pPr>
        <w:pStyle w:val="Heading4"/>
        <w:spacing w:before="120" w:after="120" w:line="276" w:lineRule="auto"/>
        <w:jc w:val="both"/>
        <w:rPr>
          <w:rFonts w:ascii="Times New Roman" w:hAnsi="Times New Roman" w:cs="Times New Roman"/>
          <w:b w:val="0"/>
          <w:color w:val="auto"/>
          <w:u w:val="single"/>
        </w:rPr>
      </w:pPr>
      <w:bookmarkStart w:id="521" w:name="_Toc80630240"/>
      <w:r w:rsidRPr="005948DE">
        <w:rPr>
          <w:rFonts w:ascii="Times New Roman" w:hAnsi="Times New Roman" w:cs="Times New Roman"/>
          <w:b w:val="0"/>
          <w:i w:val="0"/>
          <w:color w:val="auto"/>
          <w:u w:val="single"/>
        </w:rPr>
        <w:t>S</w:t>
      </w:r>
      <w:r w:rsidR="00CF21ED" w:rsidRPr="005948DE">
        <w:rPr>
          <w:rFonts w:ascii="Times New Roman" w:hAnsi="Times New Roman" w:cs="Times New Roman"/>
          <w:b w:val="0"/>
          <w:i w:val="0"/>
          <w:color w:val="auto"/>
          <w:u w:val="single"/>
        </w:rPr>
        <w:t xml:space="preserve">tep 2 - </w:t>
      </w:r>
      <w:r w:rsidR="00420737" w:rsidRPr="005948DE">
        <w:rPr>
          <w:rFonts w:ascii="Times New Roman" w:hAnsi="Times New Roman" w:cs="Times New Roman"/>
          <w:b w:val="0"/>
          <w:i w:val="0"/>
          <w:color w:val="auto"/>
          <w:u w:val="single"/>
        </w:rPr>
        <w:t>Infrastructure investment</w:t>
      </w:r>
      <w:r w:rsidRPr="005948DE">
        <w:rPr>
          <w:rFonts w:ascii="Times New Roman" w:hAnsi="Times New Roman" w:cs="Times New Roman"/>
          <w:b w:val="0"/>
          <w:i w:val="0"/>
          <w:color w:val="auto"/>
          <w:u w:val="single"/>
        </w:rPr>
        <w:t xml:space="preserve"> preparation</w:t>
      </w:r>
      <w:bookmarkEnd w:id="521"/>
    </w:p>
    <w:p w14:paraId="1FE8FDB4" w14:textId="346A8AC3" w:rsidR="00ED18F3" w:rsidRPr="005948DE" w:rsidRDefault="00ED18F3" w:rsidP="005948DE">
      <w:pPr>
        <w:spacing w:line="276" w:lineRule="auto"/>
        <w:jc w:val="both"/>
        <w:rPr>
          <w:rFonts w:ascii="Times New Roman" w:hAnsi="Times New Roman" w:cs="Times New Roman"/>
          <w:color w:val="FF9900"/>
        </w:rPr>
      </w:pPr>
      <w:r w:rsidRPr="005948DE">
        <w:rPr>
          <w:rFonts w:ascii="Times New Roman" w:hAnsi="Times New Roman" w:cs="Times New Roman"/>
        </w:rPr>
        <w:t xml:space="preserve">The </w:t>
      </w:r>
      <w:r w:rsidR="00D63AD3" w:rsidRPr="005948DE">
        <w:rPr>
          <w:rFonts w:ascii="Times New Roman" w:hAnsi="Times New Roman" w:cs="Times New Roman"/>
        </w:rPr>
        <w:t>LSGs</w:t>
      </w:r>
      <w:r w:rsidRPr="005948DE">
        <w:rPr>
          <w:rFonts w:ascii="Times New Roman" w:hAnsi="Times New Roman" w:cs="Times New Roman"/>
        </w:rPr>
        <w:t xml:space="preserve"> prepare</w:t>
      </w:r>
      <w:r w:rsidR="00D63AD3" w:rsidRPr="005948DE">
        <w:rPr>
          <w:rFonts w:ascii="Times New Roman" w:hAnsi="Times New Roman" w:cs="Times New Roman"/>
        </w:rPr>
        <w:t xml:space="preserve"> and submit to the PIU </w:t>
      </w:r>
      <w:r w:rsidRPr="005948DE">
        <w:rPr>
          <w:rFonts w:ascii="Times New Roman" w:hAnsi="Times New Roman" w:cs="Times New Roman"/>
        </w:rPr>
        <w:t xml:space="preserve">necessary documentation for </w:t>
      </w:r>
      <w:r w:rsidR="00420737" w:rsidRPr="005948DE">
        <w:rPr>
          <w:rFonts w:ascii="Times New Roman" w:hAnsi="Times New Roman" w:cs="Times New Roman"/>
        </w:rPr>
        <w:t>infrastructure investment</w:t>
      </w:r>
      <w:r w:rsidRPr="005948DE">
        <w:rPr>
          <w:rFonts w:ascii="Times New Roman" w:hAnsi="Times New Roman" w:cs="Times New Roman"/>
        </w:rPr>
        <w:t xml:space="preserve"> implementation, including technical documentation (this shall include climate-sensitive design solutions, capacity building, and installation of preventive systems) for the </w:t>
      </w:r>
      <w:r w:rsidR="00420737" w:rsidRPr="005948DE">
        <w:rPr>
          <w:rFonts w:ascii="Times New Roman" w:hAnsi="Times New Roman" w:cs="Times New Roman"/>
        </w:rPr>
        <w:t>infrastructure investment</w:t>
      </w:r>
      <w:r w:rsidRPr="005948DE">
        <w:rPr>
          <w:rFonts w:ascii="Times New Roman" w:hAnsi="Times New Roman" w:cs="Times New Roman"/>
        </w:rPr>
        <w:t xml:space="preserve"> to be financed, technical description of the </w:t>
      </w:r>
      <w:r w:rsidR="00420737" w:rsidRPr="005948DE">
        <w:rPr>
          <w:rFonts w:ascii="Times New Roman" w:hAnsi="Times New Roman" w:cs="Times New Roman"/>
        </w:rPr>
        <w:t>infrastructure investment</w:t>
      </w:r>
      <w:r w:rsidRPr="005948DE">
        <w:rPr>
          <w:rFonts w:ascii="Times New Roman" w:hAnsi="Times New Roman" w:cs="Times New Roman"/>
        </w:rPr>
        <w:t xml:space="preserve">, permits and approvals issued by competent bodies related to the implementation of the </w:t>
      </w:r>
      <w:r w:rsidR="00420737" w:rsidRPr="005948DE">
        <w:rPr>
          <w:rFonts w:ascii="Times New Roman" w:hAnsi="Times New Roman" w:cs="Times New Roman"/>
        </w:rPr>
        <w:t>infrastructure investment</w:t>
      </w:r>
      <w:r w:rsidRPr="005948DE">
        <w:rPr>
          <w:rFonts w:ascii="Times New Roman" w:hAnsi="Times New Roman" w:cs="Times New Roman"/>
        </w:rPr>
        <w:t xml:space="preserve"> as well as the time schedule of works.</w:t>
      </w:r>
      <w:r w:rsidR="00D63AD3" w:rsidRPr="005948DE">
        <w:rPr>
          <w:rFonts w:ascii="Times New Roman" w:hAnsi="Times New Roman" w:cs="Times New Roman"/>
        </w:rPr>
        <w:t xml:space="preserve"> This information shall be accompanied by </w:t>
      </w:r>
      <w:r w:rsidR="00A009FD" w:rsidRPr="005948DE">
        <w:rPr>
          <w:rFonts w:ascii="Times New Roman" w:hAnsi="Times New Roman" w:cs="Times New Roman"/>
        </w:rPr>
        <w:t>a completed</w:t>
      </w:r>
      <w:r w:rsidR="00D63AD3" w:rsidRPr="005948DE">
        <w:rPr>
          <w:rFonts w:ascii="Times New Roman" w:hAnsi="Times New Roman" w:cs="Times New Roman"/>
        </w:rPr>
        <w:t xml:space="preserve"> self-assessment</w:t>
      </w:r>
      <w:r w:rsidR="00A009FD" w:rsidRPr="005948DE">
        <w:rPr>
          <w:rFonts w:ascii="Times New Roman" w:hAnsi="Times New Roman" w:cs="Times New Roman"/>
        </w:rPr>
        <w:t xml:space="preserve"> form</w:t>
      </w:r>
      <w:r w:rsidR="00D63AD3" w:rsidRPr="00665F55">
        <w:rPr>
          <w:rFonts w:ascii="Times New Roman" w:hAnsi="Times New Roman" w:cs="Times New Roman"/>
          <w:color w:val="000000" w:themeColor="text1"/>
        </w:rPr>
        <w:t>.</w:t>
      </w:r>
    </w:p>
    <w:p w14:paraId="4859A11B" w14:textId="1C56AA71" w:rsidR="00ED18F3" w:rsidRPr="005948DE" w:rsidRDefault="00CF21ED" w:rsidP="005948DE">
      <w:pPr>
        <w:pStyle w:val="Heading4"/>
        <w:spacing w:before="120" w:after="120" w:line="276" w:lineRule="auto"/>
        <w:jc w:val="both"/>
        <w:rPr>
          <w:rFonts w:ascii="Times New Roman" w:hAnsi="Times New Roman" w:cs="Times New Roman"/>
          <w:b w:val="0"/>
          <w:color w:val="auto"/>
          <w:u w:val="single"/>
        </w:rPr>
      </w:pPr>
      <w:bookmarkStart w:id="522" w:name="_Toc80630241"/>
      <w:r w:rsidRPr="005948DE">
        <w:rPr>
          <w:rFonts w:ascii="Times New Roman" w:hAnsi="Times New Roman" w:cs="Times New Roman"/>
          <w:b w:val="0"/>
          <w:i w:val="0"/>
          <w:color w:val="auto"/>
          <w:u w:val="single"/>
        </w:rPr>
        <w:t xml:space="preserve">Step 3 - </w:t>
      </w:r>
      <w:r w:rsidR="00ED18F3" w:rsidRPr="005948DE">
        <w:rPr>
          <w:rFonts w:ascii="Times New Roman" w:hAnsi="Times New Roman" w:cs="Times New Roman"/>
          <w:b w:val="0"/>
          <w:i w:val="0"/>
          <w:color w:val="auto"/>
          <w:u w:val="single"/>
        </w:rPr>
        <w:t>Preparation and Disclosure of the ESMP and ESMP Checklist and Public Consultations</w:t>
      </w:r>
      <w:bookmarkEnd w:id="522"/>
    </w:p>
    <w:p w14:paraId="318663EC" w14:textId="3D4ED17B" w:rsidR="00ED18F3" w:rsidRPr="005948DE" w:rsidRDefault="00ED18F3" w:rsidP="005948DE">
      <w:pPr>
        <w:spacing w:after="120" w:line="276" w:lineRule="auto"/>
        <w:jc w:val="both"/>
        <w:rPr>
          <w:rFonts w:ascii="Times New Roman" w:hAnsi="Times New Roman" w:cs="Times New Roman"/>
        </w:rPr>
      </w:pPr>
      <w:r w:rsidRPr="005948DE">
        <w:rPr>
          <w:rFonts w:ascii="Times New Roman" w:hAnsi="Times New Roman" w:cs="Times New Roman"/>
        </w:rPr>
        <w:t>Based on the screening proce</w:t>
      </w:r>
      <w:r w:rsidR="00A009FD" w:rsidRPr="005948DE">
        <w:rPr>
          <w:rFonts w:ascii="Times New Roman" w:hAnsi="Times New Roman" w:cs="Times New Roman"/>
        </w:rPr>
        <w:t>dures</w:t>
      </w:r>
      <w:r w:rsidRPr="005948DE">
        <w:rPr>
          <w:rFonts w:ascii="Times New Roman" w:hAnsi="Times New Roman" w:cs="Times New Roman"/>
        </w:rPr>
        <w:t xml:space="preserve"> and findings, the site specific ESMP, or the ESMP Checklist , based on the </w:t>
      </w:r>
      <w:r w:rsidR="00420737" w:rsidRPr="005948DE">
        <w:rPr>
          <w:rFonts w:ascii="Times New Roman" w:hAnsi="Times New Roman" w:cs="Times New Roman"/>
        </w:rPr>
        <w:t>infrastructure investment</w:t>
      </w:r>
      <w:r w:rsidRPr="005948DE">
        <w:rPr>
          <w:rFonts w:ascii="Times New Roman" w:hAnsi="Times New Roman" w:cs="Times New Roman"/>
        </w:rPr>
        <w:t xml:space="preserve"> description and volume (i.e. </w:t>
      </w:r>
      <w:r w:rsidR="009474BF">
        <w:rPr>
          <w:rFonts w:ascii="Times New Roman" w:hAnsi="Times New Roman" w:cs="Times New Roman"/>
        </w:rPr>
        <w:t xml:space="preserve">the </w:t>
      </w:r>
      <w:r w:rsidRPr="005948DE">
        <w:rPr>
          <w:rFonts w:ascii="Times New Roman" w:hAnsi="Times New Roman" w:cs="Times New Roman"/>
        </w:rPr>
        <w:t>ESMP checklist for rehabilitation</w:t>
      </w:r>
      <w:r w:rsidR="00A009FD" w:rsidRPr="005948DE">
        <w:rPr>
          <w:rFonts w:ascii="Times New Roman" w:hAnsi="Times New Roman" w:cs="Times New Roman"/>
        </w:rPr>
        <w:t xml:space="preserve"> prepared per template by the LSGs</w:t>
      </w:r>
      <w:r w:rsidRPr="005948DE">
        <w:rPr>
          <w:rFonts w:ascii="Times New Roman" w:hAnsi="Times New Roman" w:cs="Times New Roman"/>
        </w:rPr>
        <w:t xml:space="preserve">; </w:t>
      </w:r>
      <w:r w:rsidR="009474BF">
        <w:rPr>
          <w:rFonts w:ascii="Times New Roman" w:hAnsi="Times New Roman" w:cs="Times New Roman"/>
        </w:rPr>
        <w:t xml:space="preserve">the </w:t>
      </w:r>
      <w:r w:rsidRPr="005948DE">
        <w:rPr>
          <w:rFonts w:ascii="Times New Roman" w:hAnsi="Times New Roman" w:cs="Times New Roman"/>
        </w:rPr>
        <w:t>ESMP for construction measures</w:t>
      </w:r>
      <w:r w:rsidR="00CB531B">
        <w:rPr>
          <w:rFonts w:ascii="Times New Roman" w:hAnsi="Times New Roman" w:cs="Times New Roman"/>
        </w:rPr>
        <w:t xml:space="preserve"> </w:t>
      </w:r>
      <w:r w:rsidR="00A009FD" w:rsidRPr="005948DE">
        <w:rPr>
          <w:rFonts w:ascii="Times New Roman" w:hAnsi="Times New Roman" w:cs="Times New Roman"/>
        </w:rPr>
        <w:t>- Prepared by the PIU and external consultancy support</w:t>
      </w:r>
      <w:r w:rsidRPr="005948DE">
        <w:rPr>
          <w:rFonts w:ascii="Times New Roman" w:hAnsi="Times New Roman" w:cs="Times New Roman"/>
        </w:rPr>
        <w:t xml:space="preserve">) are to be prepared for each individual </w:t>
      </w:r>
      <w:r w:rsidR="00420737" w:rsidRPr="005948DE">
        <w:rPr>
          <w:rFonts w:ascii="Times New Roman" w:hAnsi="Times New Roman" w:cs="Times New Roman"/>
        </w:rPr>
        <w:t>infrastructure investment</w:t>
      </w:r>
      <w:r w:rsidRPr="005948DE">
        <w:rPr>
          <w:rFonts w:ascii="Times New Roman" w:hAnsi="Times New Roman" w:cs="Times New Roman"/>
        </w:rPr>
        <w:t xml:space="preserve"> p</w:t>
      </w:r>
      <w:r w:rsidR="00DB78E0" w:rsidRPr="005948DE">
        <w:rPr>
          <w:rFonts w:ascii="Times New Roman" w:hAnsi="Times New Roman" w:cs="Times New Roman"/>
        </w:rPr>
        <w:t>rior to bidding procedures, by E</w:t>
      </w:r>
      <w:r w:rsidRPr="005948DE">
        <w:rPr>
          <w:rFonts w:ascii="Times New Roman" w:hAnsi="Times New Roman" w:cs="Times New Roman"/>
        </w:rPr>
        <w:t>nvironmental specialist</w:t>
      </w:r>
      <w:r w:rsidR="00DB78E0" w:rsidRPr="005948DE">
        <w:rPr>
          <w:rFonts w:ascii="Times New Roman" w:hAnsi="Times New Roman" w:cs="Times New Roman"/>
        </w:rPr>
        <w:t>s</w:t>
      </w:r>
      <w:r w:rsidRPr="005948DE">
        <w:rPr>
          <w:rFonts w:ascii="Times New Roman" w:hAnsi="Times New Roman" w:cs="Times New Roman"/>
        </w:rPr>
        <w:t xml:space="preserve"> and </w:t>
      </w:r>
      <w:r w:rsidR="00AD75FA" w:rsidRPr="005948DE">
        <w:rPr>
          <w:rFonts w:ascii="Times New Roman" w:eastAsia="Calibri" w:hAnsi="Times New Roman" w:cs="Times New Roman"/>
        </w:rPr>
        <w:t xml:space="preserve">Social </w:t>
      </w:r>
      <w:r w:rsidR="00CB531B">
        <w:rPr>
          <w:rFonts w:ascii="Times New Roman" w:eastAsia="Calibri" w:hAnsi="Times New Roman" w:cs="Times New Roman"/>
        </w:rPr>
        <w:t>S</w:t>
      </w:r>
      <w:r w:rsidR="00CB531B" w:rsidRPr="005948DE">
        <w:rPr>
          <w:rFonts w:ascii="Times New Roman" w:eastAsia="Calibri" w:hAnsi="Times New Roman" w:cs="Times New Roman"/>
        </w:rPr>
        <w:t xml:space="preserve">afeguard </w:t>
      </w:r>
      <w:r w:rsidR="00AD75FA" w:rsidRPr="005948DE">
        <w:rPr>
          <w:rFonts w:ascii="Times New Roman" w:eastAsia="Calibri" w:hAnsi="Times New Roman" w:cs="Times New Roman"/>
        </w:rPr>
        <w:t xml:space="preserve">and </w:t>
      </w:r>
      <w:r w:rsidR="009474BF">
        <w:rPr>
          <w:rFonts w:ascii="Times New Roman" w:eastAsia="Calibri" w:hAnsi="Times New Roman" w:cs="Times New Roman"/>
        </w:rPr>
        <w:t>CE</w:t>
      </w:r>
      <w:r w:rsidR="00CB531B" w:rsidRPr="005948DE">
        <w:rPr>
          <w:rFonts w:ascii="Times New Roman" w:eastAsia="Calibri" w:hAnsi="Times New Roman" w:cs="Times New Roman"/>
        </w:rPr>
        <w:t xml:space="preserve"> </w:t>
      </w:r>
      <w:r w:rsidR="00AD75FA" w:rsidRPr="005948DE">
        <w:rPr>
          <w:rFonts w:ascii="Times New Roman" w:eastAsia="Calibri" w:hAnsi="Times New Roman" w:cs="Times New Roman"/>
        </w:rPr>
        <w:t xml:space="preserve">specialist </w:t>
      </w:r>
      <w:r w:rsidRPr="005948DE">
        <w:rPr>
          <w:rFonts w:ascii="Times New Roman" w:hAnsi="Times New Roman" w:cs="Times New Roman"/>
        </w:rPr>
        <w:t xml:space="preserve">in </w:t>
      </w:r>
      <w:r w:rsidR="00CB531B">
        <w:rPr>
          <w:rFonts w:ascii="Times New Roman" w:hAnsi="Times New Roman" w:cs="Times New Roman"/>
        </w:rPr>
        <w:t xml:space="preserve">the </w:t>
      </w:r>
      <w:r w:rsidRPr="005948DE">
        <w:rPr>
          <w:rFonts w:ascii="Times New Roman" w:hAnsi="Times New Roman" w:cs="Times New Roman"/>
        </w:rPr>
        <w:t xml:space="preserve">MCTI/PIU, and shall be subject to review and approval of the </w:t>
      </w:r>
      <w:r w:rsidR="00CB531B">
        <w:rPr>
          <w:rFonts w:ascii="Times New Roman" w:hAnsi="Times New Roman" w:cs="Times New Roman"/>
        </w:rPr>
        <w:t>Bank</w:t>
      </w:r>
      <w:r w:rsidRPr="005948DE">
        <w:rPr>
          <w:rFonts w:ascii="Times New Roman" w:hAnsi="Times New Roman" w:cs="Times New Roman"/>
        </w:rPr>
        <w:t>.</w:t>
      </w:r>
      <w:r w:rsidR="00921B17" w:rsidRPr="005948DE">
        <w:rPr>
          <w:rFonts w:ascii="Times New Roman" w:hAnsi="Times New Roman" w:cs="Times New Roman"/>
        </w:rPr>
        <w:t xml:space="preserve"> </w:t>
      </w:r>
      <w:r w:rsidR="00095D88" w:rsidRPr="005948DE">
        <w:rPr>
          <w:rFonts w:ascii="Times New Roman" w:hAnsi="Times New Roman" w:cs="Times New Roman"/>
        </w:rPr>
        <w:t xml:space="preserve">Simple ESMP Checklists will be used for infrastructure investments that are unlikely to cause significant environmental and social impacts and that are typical for small scale construction and refurbishing/repurposing/rehabilitation investments. </w:t>
      </w:r>
      <w:r w:rsidRPr="005948DE">
        <w:rPr>
          <w:rFonts w:ascii="Times New Roman" w:hAnsi="Times New Roman" w:cs="Times New Roman"/>
        </w:rPr>
        <w:t xml:space="preserve">For more complex </w:t>
      </w:r>
      <w:r w:rsidR="00420737" w:rsidRPr="005948DE">
        <w:rPr>
          <w:rFonts w:ascii="Times New Roman" w:hAnsi="Times New Roman" w:cs="Times New Roman"/>
        </w:rPr>
        <w:t>infrastructure investment</w:t>
      </w:r>
      <w:r w:rsidRPr="005948DE">
        <w:rPr>
          <w:rFonts w:ascii="Times New Roman" w:hAnsi="Times New Roman" w:cs="Times New Roman"/>
        </w:rPr>
        <w:t xml:space="preserve">s which are likely to impose </w:t>
      </w:r>
      <w:r w:rsidR="003841ED" w:rsidRPr="005948DE">
        <w:rPr>
          <w:rFonts w:ascii="Times New Roman" w:hAnsi="Times New Roman" w:cs="Times New Roman"/>
        </w:rPr>
        <w:t xml:space="preserve">moderate </w:t>
      </w:r>
      <w:r w:rsidRPr="005948DE">
        <w:rPr>
          <w:rFonts w:ascii="Times New Roman" w:hAnsi="Times New Roman" w:cs="Times New Roman"/>
        </w:rPr>
        <w:t xml:space="preserve">environmental and social </w:t>
      </w:r>
      <w:r w:rsidR="003841ED" w:rsidRPr="005948DE">
        <w:rPr>
          <w:rFonts w:ascii="Times New Roman" w:hAnsi="Times New Roman" w:cs="Times New Roman"/>
        </w:rPr>
        <w:t xml:space="preserve">risks and </w:t>
      </w:r>
      <w:r w:rsidRPr="005948DE">
        <w:rPr>
          <w:rFonts w:ascii="Times New Roman" w:hAnsi="Times New Roman" w:cs="Times New Roman"/>
        </w:rPr>
        <w:t>impacts, an ESMP will be prepared with aim to identify, evaluate, and prevent potential environmental and social risks and impacts. The mitigation measures for identified impacts and risks will be incorporated into the ESMP</w:t>
      </w:r>
      <w:r w:rsidR="00337235">
        <w:rPr>
          <w:rFonts w:ascii="Times New Roman" w:hAnsi="Times New Roman" w:cs="Times New Roman"/>
        </w:rPr>
        <w:t>/ESMP checklist</w:t>
      </w:r>
      <w:r w:rsidRPr="005948DE">
        <w:rPr>
          <w:rFonts w:ascii="Times New Roman" w:hAnsi="Times New Roman" w:cs="Times New Roman"/>
        </w:rPr>
        <w:t>. The purpose of the ESMP</w:t>
      </w:r>
      <w:r w:rsidR="00337235">
        <w:rPr>
          <w:rFonts w:ascii="Times New Roman" w:hAnsi="Times New Roman" w:cs="Times New Roman"/>
        </w:rPr>
        <w:t>/ESMP checklist</w:t>
      </w:r>
      <w:r w:rsidRPr="005948DE">
        <w:rPr>
          <w:rFonts w:ascii="Times New Roman" w:hAnsi="Times New Roman" w:cs="Times New Roman"/>
        </w:rPr>
        <w:t xml:space="preserve"> is to predict potential effects and improve the environmental and social aspects of </w:t>
      </w:r>
      <w:r w:rsidR="00420737" w:rsidRPr="005948DE">
        <w:rPr>
          <w:rFonts w:ascii="Times New Roman" w:hAnsi="Times New Roman" w:cs="Times New Roman"/>
        </w:rPr>
        <w:t>infrastructure investment</w:t>
      </w:r>
      <w:r w:rsidRPr="005948DE">
        <w:rPr>
          <w:rFonts w:ascii="Times New Roman" w:hAnsi="Times New Roman" w:cs="Times New Roman"/>
        </w:rPr>
        <w:t>s by minimizing, mitigating, or compensating for</w:t>
      </w:r>
      <w:r w:rsidR="009E1CC6" w:rsidRPr="005948DE">
        <w:rPr>
          <w:rFonts w:ascii="Times New Roman" w:hAnsi="Times New Roman" w:cs="Times New Roman"/>
        </w:rPr>
        <w:t xml:space="preserve"> adverse </w:t>
      </w:r>
      <w:r w:rsidR="00A56B49" w:rsidRPr="005948DE">
        <w:rPr>
          <w:rFonts w:ascii="Times New Roman" w:hAnsi="Times New Roman" w:cs="Times New Roman"/>
        </w:rPr>
        <w:t>impacts.</w:t>
      </w:r>
      <w:r w:rsidRPr="005948DE">
        <w:rPr>
          <w:rFonts w:ascii="Times New Roman" w:hAnsi="Times New Roman" w:cs="Times New Roman"/>
        </w:rPr>
        <w:t xml:space="preserve"> </w:t>
      </w:r>
    </w:p>
    <w:p w14:paraId="19B3975B" w14:textId="0444DE00" w:rsidR="00ED18F3" w:rsidRPr="005948DE" w:rsidRDefault="00337235" w:rsidP="005948DE">
      <w:pPr>
        <w:spacing w:line="276" w:lineRule="auto"/>
        <w:jc w:val="both"/>
        <w:rPr>
          <w:rFonts w:ascii="Times New Roman" w:hAnsi="Times New Roman" w:cs="Times New Roman"/>
        </w:rPr>
      </w:pPr>
      <w:r w:rsidRPr="005948DE">
        <w:rPr>
          <w:rFonts w:ascii="Times New Roman" w:hAnsi="Times New Roman" w:cs="Times New Roman"/>
        </w:rPr>
        <w:t xml:space="preserve">Each ESMP and ESMP Checklist shall be publicly disclosed </w:t>
      </w:r>
      <w:r>
        <w:rPr>
          <w:rFonts w:ascii="Times New Roman" w:hAnsi="Times New Roman" w:cs="Times New Roman"/>
        </w:rPr>
        <w:t xml:space="preserve">while </w:t>
      </w:r>
      <w:r w:rsidRPr="005948DE">
        <w:rPr>
          <w:rFonts w:ascii="Times New Roman" w:hAnsi="Times New Roman" w:cs="Times New Roman"/>
        </w:rPr>
        <w:t>public consultations shall be conducted</w:t>
      </w:r>
      <w:r>
        <w:rPr>
          <w:rFonts w:ascii="Times New Roman" w:hAnsi="Times New Roman" w:cs="Times New Roman"/>
        </w:rPr>
        <w:t xml:space="preserve"> only for ESMPs</w:t>
      </w:r>
      <w:r w:rsidR="00ED18F3" w:rsidRPr="005948DE">
        <w:rPr>
          <w:rFonts w:ascii="Times New Roman" w:hAnsi="Times New Roman" w:cs="Times New Roman"/>
        </w:rPr>
        <w:t xml:space="preserve">. The documents shall be disclosed on </w:t>
      </w:r>
      <w:r w:rsidR="00CB531B">
        <w:rPr>
          <w:rFonts w:ascii="Times New Roman" w:hAnsi="Times New Roman" w:cs="Times New Roman"/>
        </w:rPr>
        <w:t xml:space="preserve">the </w:t>
      </w:r>
      <w:r w:rsidR="00ED18F3" w:rsidRPr="005948DE">
        <w:rPr>
          <w:rFonts w:ascii="Times New Roman" w:hAnsi="Times New Roman" w:cs="Times New Roman"/>
        </w:rPr>
        <w:t xml:space="preserve">MCTI/PIU websites and </w:t>
      </w:r>
      <w:r w:rsidR="00CB531B">
        <w:rPr>
          <w:rFonts w:ascii="Times New Roman" w:hAnsi="Times New Roman" w:cs="Times New Roman"/>
        </w:rPr>
        <w:t xml:space="preserve">the </w:t>
      </w:r>
      <w:r w:rsidR="00ED18F3" w:rsidRPr="005948DE">
        <w:rPr>
          <w:rFonts w:ascii="Times New Roman" w:hAnsi="Times New Roman" w:cs="Times New Roman"/>
        </w:rPr>
        <w:t xml:space="preserve">websites of </w:t>
      </w:r>
      <w:r w:rsidR="00CB531B">
        <w:rPr>
          <w:rFonts w:ascii="Times New Roman" w:hAnsi="Times New Roman" w:cs="Times New Roman"/>
        </w:rPr>
        <w:t xml:space="preserve">the </w:t>
      </w:r>
      <w:r w:rsidR="00ED18F3" w:rsidRPr="005948DE">
        <w:rPr>
          <w:rFonts w:ascii="Times New Roman" w:hAnsi="Times New Roman" w:cs="Times New Roman"/>
        </w:rPr>
        <w:t xml:space="preserve">LSGs. It is the responsibility of </w:t>
      </w:r>
      <w:r w:rsidR="00CB531B">
        <w:rPr>
          <w:rFonts w:ascii="Times New Roman" w:hAnsi="Times New Roman" w:cs="Times New Roman"/>
        </w:rPr>
        <w:t xml:space="preserve">the </w:t>
      </w:r>
      <w:r w:rsidR="00ED18F3" w:rsidRPr="005948DE">
        <w:rPr>
          <w:rFonts w:ascii="Times New Roman" w:hAnsi="Times New Roman" w:cs="Times New Roman"/>
        </w:rPr>
        <w:t xml:space="preserve">MCTI/PIU to organize disclosure of subject documents, announce calls for public consultations in media and </w:t>
      </w:r>
      <w:r w:rsidR="00CB531B">
        <w:rPr>
          <w:rFonts w:ascii="Times New Roman" w:hAnsi="Times New Roman" w:cs="Times New Roman"/>
        </w:rPr>
        <w:t>at</w:t>
      </w:r>
      <w:r w:rsidR="00CB531B" w:rsidRPr="005948DE">
        <w:rPr>
          <w:rFonts w:ascii="Times New Roman" w:hAnsi="Times New Roman" w:cs="Times New Roman"/>
        </w:rPr>
        <w:t xml:space="preserve"> </w:t>
      </w:r>
      <w:r w:rsidR="00ED18F3" w:rsidRPr="005948DE">
        <w:rPr>
          <w:rFonts w:ascii="Times New Roman" w:hAnsi="Times New Roman" w:cs="Times New Roman"/>
        </w:rPr>
        <w:t xml:space="preserve">local level, prepare and perform presentation of the </w:t>
      </w:r>
      <w:r w:rsidR="00420737" w:rsidRPr="005948DE">
        <w:rPr>
          <w:rFonts w:ascii="Times New Roman" w:hAnsi="Times New Roman" w:cs="Times New Roman"/>
        </w:rPr>
        <w:t>infrastructure investment</w:t>
      </w:r>
      <w:r w:rsidR="00ED18F3" w:rsidRPr="005948DE">
        <w:rPr>
          <w:rFonts w:ascii="Times New Roman" w:hAnsi="Times New Roman" w:cs="Times New Roman"/>
        </w:rPr>
        <w:t xml:space="preserve">s and </w:t>
      </w:r>
      <w:r w:rsidR="00CB531B">
        <w:rPr>
          <w:rFonts w:ascii="Times New Roman" w:hAnsi="Times New Roman" w:cs="Times New Roman"/>
        </w:rPr>
        <w:t>their</w:t>
      </w:r>
      <w:r w:rsidR="00CB531B" w:rsidRPr="005948DE">
        <w:rPr>
          <w:rFonts w:ascii="Times New Roman" w:hAnsi="Times New Roman" w:cs="Times New Roman"/>
        </w:rPr>
        <w:t xml:space="preserve"> </w:t>
      </w:r>
      <w:r w:rsidR="00ED18F3" w:rsidRPr="005948DE">
        <w:rPr>
          <w:rFonts w:ascii="Times New Roman" w:hAnsi="Times New Roman" w:cs="Times New Roman"/>
        </w:rPr>
        <w:t xml:space="preserve">environmental and social aspects in line with the Project </w:t>
      </w:r>
      <w:r w:rsidR="009474BF">
        <w:rPr>
          <w:rFonts w:ascii="Times New Roman" w:hAnsi="Times New Roman" w:cs="Times New Roman"/>
        </w:rPr>
        <w:t>l</w:t>
      </w:r>
      <w:r w:rsidR="009474BF" w:rsidRPr="005948DE">
        <w:rPr>
          <w:rFonts w:ascii="Times New Roman" w:hAnsi="Times New Roman" w:cs="Times New Roman"/>
        </w:rPr>
        <w:t xml:space="preserve">evel </w:t>
      </w:r>
      <w:r w:rsidR="00ED18F3" w:rsidRPr="005948DE">
        <w:rPr>
          <w:rFonts w:ascii="Times New Roman" w:hAnsi="Times New Roman" w:cs="Times New Roman"/>
        </w:rPr>
        <w:t xml:space="preserve">SEP. Alongside the documents, an invitation for the public consultation will be published (e-format and printed media) and comments are invited to be submitted electronically and written submission thereof within a clearly defined time period (for a minimum of two weeks). Hard copies shall be made available </w:t>
      </w:r>
      <w:r w:rsidR="00CB531B">
        <w:rPr>
          <w:rFonts w:ascii="Times New Roman" w:hAnsi="Times New Roman" w:cs="Times New Roman"/>
        </w:rPr>
        <w:t xml:space="preserve">at the </w:t>
      </w:r>
      <w:r w:rsidR="00701ED7" w:rsidRPr="005948DE">
        <w:rPr>
          <w:rFonts w:ascii="Times New Roman" w:hAnsi="Times New Roman" w:cs="Times New Roman"/>
        </w:rPr>
        <w:t>LSGs</w:t>
      </w:r>
      <w:r w:rsidR="00ED18F3" w:rsidRPr="005948DE">
        <w:rPr>
          <w:rFonts w:ascii="Times New Roman" w:hAnsi="Times New Roman" w:cs="Times New Roman"/>
        </w:rPr>
        <w:t xml:space="preserve"> premises, and other locations as deemed relevant. By the end of the disclosure period, the public consultation meetings for the E</w:t>
      </w:r>
      <w:r>
        <w:rPr>
          <w:rFonts w:ascii="Times New Roman" w:hAnsi="Times New Roman" w:cs="Times New Roman"/>
        </w:rPr>
        <w:t>SMPs</w:t>
      </w:r>
      <w:r w:rsidR="00ED18F3" w:rsidRPr="005948DE">
        <w:rPr>
          <w:rFonts w:ascii="Times New Roman" w:hAnsi="Times New Roman" w:cs="Times New Roman"/>
        </w:rPr>
        <w:t xml:space="preserve"> shall be conducted, inviting stakeholders and the general public to proactively participate. The design and organization of the consultation meeting will take into account the </w:t>
      </w:r>
      <w:bookmarkStart w:id="523" w:name="OLE_LINK1"/>
      <w:bookmarkStart w:id="524" w:name="OLE_LINK2"/>
      <w:r w:rsidR="009474BF" w:rsidRPr="005948DE">
        <w:rPr>
          <w:rFonts w:ascii="Times New Roman" w:hAnsi="Times New Roman" w:cs="Times New Roman"/>
        </w:rPr>
        <w:t>C</w:t>
      </w:r>
      <w:r w:rsidR="009474BF">
        <w:rPr>
          <w:rFonts w:ascii="Times New Roman" w:hAnsi="Times New Roman" w:cs="Times New Roman"/>
        </w:rPr>
        <w:t>ovid-</w:t>
      </w:r>
      <w:r w:rsidR="009474BF" w:rsidRPr="005948DE">
        <w:rPr>
          <w:rFonts w:ascii="Times New Roman" w:hAnsi="Times New Roman" w:cs="Times New Roman"/>
        </w:rPr>
        <w:t xml:space="preserve">19 </w:t>
      </w:r>
      <w:bookmarkEnd w:id="523"/>
      <w:bookmarkEnd w:id="524"/>
      <w:r w:rsidR="00ED18F3" w:rsidRPr="005948DE">
        <w:rPr>
          <w:rFonts w:ascii="Times New Roman" w:hAnsi="Times New Roman" w:cs="Times New Roman"/>
        </w:rPr>
        <w:t xml:space="preserve">national and </w:t>
      </w:r>
      <w:r w:rsidR="00CB531B">
        <w:rPr>
          <w:rFonts w:ascii="Times New Roman" w:hAnsi="Times New Roman" w:cs="Times New Roman"/>
        </w:rPr>
        <w:t xml:space="preserve">the </w:t>
      </w:r>
      <w:r w:rsidR="00ED18F3" w:rsidRPr="005948DE">
        <w:rPr>
          <w:rFonts w:ascii="Times New Roman" w:hAnsi="Times New Roman" w:cs="Times New Roman"/>
        </w:rPr>
        <w:t xml:space="preserve">WHO rules and recommendations. If the measures related to the </w:t>
      </w:r>
      <w:r w:rsidR="009474BF" w:rsidRPr="005948DE">
        <w:rPr>
          <w:rFonts w:ascii="Times New Roman" w:hAnsi="Times New Roman" w:cs="Times New Roman"/>
        </w:rPr>
        <w:t>C</w:t>
      </w:r>
      <w:r w:rsidR="009474BF">
        <w:rPr>
          <w:rFonts w:ascii="Times New Roman" w:hAnsi="Times New Roman" w:cs="Times New Roman"/>
        </w:rPr>
        <w:t>ovid-19</w:t>
      </w:r>
      <w:r w:rsidR="00ED18F3" w:rsidRPr="005948DE">
        <w:rPr>
          <w:rFonts w:ascii="Times New Roman" w:hAnsi="Times New Roman" w:cs="Times New Roman"/>
        </w:rPr>
        <w:t xml:space="preserve"> pandemic would not allow the classic public consultations, virtual public consultation is to be organized where the subject document is disclosed and a set of activities is performed to ensure public awareness (public call for comments announced through newspapers, TV, radio, social networks; recording or live stream of the presentation etc.).</w:t>
      </w:r>
    </w:p>
    <w:p w14:paraId="19C22C4B" w14:textId="0E3712DB" w:rsidR="00ED18F3" w:rsidRPr="005948DE" w:rsidRDefault="00ED18F3" w:rsidP="005948DE">
      <w:pPr>
        <w:spacing w:line="276" w:lineRule="auto"/>
        <w:jc w:val="both"/>
        <w:rPr>
          <w:rFonts w:ascii="Times New Roman" w:hAnsi="Times New Roman" w:cs="Times New Roman"/>
        </w:rPr>
      </w:pPr>
      <w:r w:rsidRPr="005948DE">
        <w:rPr>
          <w:rFonts w:ascii="Times New Roman" w:hAnsi="Times New Roman" w:cs="Times New Roman"/>
        </w:rPr>
        <w:t xml:space="preserve">All comments and questions shall be processed and together with feedback incorporated in the final version of the Environmental </w:t>
      </w:r>
      <w:r w:rsidR="00337235">
        <w:rPr>
          <w:rFonts w:ascii="Times New Roman" w:hAnsi="Times New Roman" w:cs="Times New Roman"/>
        </w:rPr>
        <w:t xml:space="preserve">and Social </w:t>
      </w:r>
      <w:r w:rsidRPr="005948DE">
        <w:rPr>
          <w:rFonts w:ascii="Times New Roman" w:hAnsi="Times New Roman" w:cs="Times New Roman"/>
        </w:rPr>
        <w:t>Assessments (E</w:t>
      </w:r>
      <w:r w:rsidR="00337235">
        <w:rPr>
          <w:rFonts w:ascii="Times New Roman" w:hAnsi="Times New Roman" w:cs="Times New Roman"/>
        </w:rPr>
        <w:t>S</w:t>
      </w:r>
      <w:r w:rsidRPr="005948DE">
        <w:rPr>
          <w:rFonts w:ascii="Times New Roman" w:hAnsi="Times New Roman" w:cs="Times New Roman"/>
        </w:rPr>
        <w:t xml:space="preserve">As, meaning ESMP, ESMP Checklist) and captured in the minutes of the meeting. The disclosure and consultation shall be guided by the </w:t>
      </w:r>
      <w:r w:rsidR="009474BF">
        <w:rPr>
          <w:rFonts w:ascii="Times New Roman" w:hAnsi="Times New Roman" w:cs="Times New Roman"/>
        </w:rPr>
        <w:t>P</w:t>
      </w:r>
      <w:r w:rsidRPr="005948DE">
        <w:rPr>
          <w:rFonts w:ascii="Times New Roman" w:hAnsi="Times New Roman" w:cs="Times New Roman"/>
        </w:rPr>
        <w:t xml:space="preserve">roject PSEP and subsequent SEPs and consider potential limitations to traditional engagement due to the </w:t>
      </w:r>
      <w:r w:rsidR="009474BF" w:rsidRPr="005948DE">
        <w:rPr>
          <w:rFonts w:ascii="Times New Roman" w:hAnsi="Times New Roman" w:cs="Times New Roman"/>
        </w:rPr>
        <w:t>C</w:t>
      </w:r>
      <w:r w:rsidR="009474BF">
        <w:rPr>
          <w:rFonts w:ascii="Times New Roman" w:hAnsi="Times New Roman" w:cs="Times New Roman"/>
        </w:rPr>
        <w:t>ovid-</w:t>
      </w:r>
      <w:r w:rsidR="009474BF" w:rsidRPr="005948DE">
        <w:rPr>
          <w:rFonts w:ascii="Times New Roman" w:hAnsi="Times New Roman" w:cs="Times New Roman"/>
        </w:rPr>
        <w:t xml:space="preserve">19 </w:t>
      </w:r>
      <w:r w:rsidRPr="005948DE">
        <w:rPr>
          <w:rFonts w:ascii="Times New Roman" w:hAnsi="Times New Roman" w:cs="Times New Roman"/>
        </w:rPr>
        <w:t>pandemic.</w:t>
      </w:r>
    </w:p>
    <w:p w14:paraId="467FA449" w14:textId="71DB13E7" w:rsidR="005D7C87" w:rsidRPr="005948DE" w:rsidRDefault="005D7C87" w:rsidP="005D7C87">
      <w:pPr>
        <w:spacing w:line="276" w:lineRule="auto"/>
        <w:jc w:val="both"/>
        <w:rPr>
          <w:rFonts w:ascii="Times New Roman" w:hAnsi="Times New Roman" w:cs="Times New Roman"/>
        </w:rPr>
      </w:pPr>
      <w:r w:rsidRPr="005948DE">
        <w:rPr>
          <w:rFonts w:ascii="Times New Roman" w:hAnsi="Times New Roman" w:cs="Times New Roman"/>
        </w:rPr>
        <w:t xml:space="preserve"> </w:t>
      </w:r>
    </w:p>
    <w:p w14:paraId="6929E89C" w14:textId="46DF5A04" w:rsidR="00C92979" w:rsidRPr="005948DE" w:rsidRDefault="00C92979" w:rsidP="005948DE">
      <w:pPr>
        <w:spacing w:line="276" w:lineRule="auto"/>
        <w:jc w:val="both"/>
        <w:rPr>
          <w:rFonts w:ascii="Times New Roman" w:hAnsi="Times New Roman" w:cs="Times New Roman"/>
        </w:rPr>
      </w:pPr>
      <w:r w:rsidRPr="005948DE">
        <w:rPr>
          <w:rFonts w:ascii="Times New Roman" w:hAnsi="Times New Roman" w:cs="Times New Roman"/>
        </w:rPr>
        <w:t xml:space="preserve"> </w:t>
      </w:r>
    </w:p>
    <w:p w14:paraId="4929EF7E" w14:textId="5C8D0C55" w:rsidR="00ED18F3" w:rsidRPr="005948DE" w:rsidRDefault="00CF21ED" w:rsidP="005948DE">
      <w:pPr>
        <w:pStyle w:val="Heading4"/>
        <w:spacing w:before="120" w:after="120" w:line="276" w:lineRule="auto"/>
        <w:jc w:val="both"/>
        <w:rPr>
          <w:rFonts w:ascii="Times New Roman" w:hAnsi="Times New Roman" w:cs="Times New Roman"/>
          <w:b w:val="0"/>
          <w:color w:val="auto"/>
          <w:u w:val="single"/>
        </w:rPr>
      </w:pPr>
      <w:bookmarkStart w:id="525" w:name="_Toc80630242"/>
      <w:r w:rsidRPr="005948DE">
        <w:rPr>
          <w:rFonts w:ascii="Times New Roman" w:hAnsi="Times New Roman" w:cs="Times New Roman"/>
          <w:b w:val="0"/>
          <w:i w:val="0"/>
          <w:color w:val="auto"/>
          <w:u w:val="single"/>
        </w:rPr>
        <w:t xml:space="preserve">Step 4 - </w:t>
      </w:r>
      <w:r w:rsidR="00F20B7C" w:rsidRPr="005948DE">
        <w:rPr>
          <w:rFonts w:ascii="Times New Roman" w:hAnsi="Times New Roman" w:cs="Times New Roman"/>
          <w:b w:val="0"/>
          <w:i w:val="0"/>
          <w:color w:val="auto"/>
          <w:u w:val="single"/>
        </w:rPr>
        <w:t>I</w:t>
      </w:r>
      <w:r w:rsidR="00ED18F3" w:rsidRPr="005948DE">
        <w:rPr>
          <w:rFonts w:ascii="Times New Roman" w:hAnsi="Times New Roman" w:cs="Times New Roman"/>
          <w:b w:val="0"/>
          <w:i w:val="0"/>
          <w:color w:val="auto"/>
          <w:u w:val="single"/>
        </w:rPr>
        <w:t>ntegration of ESMP and ESMP Checklist in tender documents</w:t>
      </w:r>
      <w:bookmarkEnd w:id="525"/>
    </w:p>
    <w:p w14:paraId="68D5A217" w14:textId="1FFD7BA8" w:rsidR="00ED18F3" w:rsidRPr="005948DE" w:rsidRDefault="00ED18F3" w:rsidP="005948DE">
      <w:pPr>
        <w:spacing w:line="276" w:lineRule="auto"/>
        <w:jc w:val="both"/>
        <w:rPr>
          <w:rFonts w:ascii="Times New Roman" w:hAnsi="Times New Roman" w:cs="Times New Roman"/>
        </w:rPr>
      </w:pPr>
      <w:r w:rsidRPr="005948DE">
        <w:rPr>
          <w:rFonts w:ascii="Times New Roman" w:hAnsi="Times New Roman" w:cs="Times New Roman"/>
        </w:rPr>
        <w:t>The</w:t>
      </w:r>
      <w:r w:rsidR="00C92979" w:rsidRPr="005948DE">
        <w:rPr>
          <w:rFonts w:ascii="Times New Roman" w:hAnsi="Times New Roman" w:cs="Times New Roman"/>
        </w:rPr>
        <w:t xml:space="preserve"> E&amp;S management instruments </w:t>
      </w:r>
      <w:r w:rsidR="00A56B49" w:rsidRPr="005948DE">
        <w:rPr>
          <w:rFonts w:ascii="Times New Roman" w:hAnsi="Times New Roman" w:cs="Times New Roman"/>
        </w:rPr>
        <w:t>(ESMP</w:t>
      </w:r>
      <w:r w:rsidRPr="005948DE">
        <w:rPr>
          <w:rFonts w:ascii="Times New Roman" w:hAnsi="Times New Roman" w:cs="Times New Roman"/>
        </w:rPr>
        <w:t xml:space="preserve">, ESMP Checklist) will be prepared prior to the bidding of works and the </w:t>
      </w:r>
      <w:r w:rsidR="00A56B49" w:rsidRPr="005948DE">
        <w:rPr>
          <w:rFonts w:ascii="Times New Roman" w:hAnsi="Times New Roman" w:cs="Times New Roman"/>
        </w:rPr>
        <w:t>PIU</w:t>
      </w:r>
      <w:r w:rsidRPr="005948DE">
        <w:rPr>
          <w:rFonts w:ascii="Times New Roman" w:hAnsi="Times New Roman" w:cs="Times New Roman"/>
        </w:rPr>
        <w:t xml:space="preserve"> will be responsible to integrate final version of E</w:t>
      </w:r>
      <w:r w:rsidR="00337235">
        <w:rPr>
          <w:rFonts w:ascii="Times New Roman" w:hAnsi="Times New Roman" w:cs="Times New Roman"/>
        </w:rPr>
        <w:t>S</w:t>
      </w:r>
      <w:r w:rsidRPr="005948DE">
        <w:rPr>
          <w:rFonts w:ascii="Times New Roman" w:hAnsi="Times New Roman" w:cs="Times New Roman"/>
        </w:rPr>
        <w:t xml:space="preserve">As into tender documents for the selected </w:t>
      </w:r>
      <w:r w:rsidR="00420737" w:rsidRPr="005948DE">
        <w:rPr>
          <w:rFonts w:ascii="Times New Roman" w:hAnsi="Times New Roman" w:cs="Times New Roman"/>
        </w:rPr>
        <w:t>infrastructure investment</w:t>
      </w:r>
      <w:r w:rsidRPr="005948DE">
        <w:rPr>
          <w:rFonts w:ascii="Times New Roman" w:hAnsi="Times New Roman" w:cs="Times New Roman"/>
        </w:rPr>
        <w:t xml:space="preserve">s and in the contracts for their execution to be signed with the selected works contractors. The </w:t>
      </w:r>
      <w:r w:rsidR="00C92979" w:rsidRPr="005948DE">
        <w:rPr>
          <w:rFonts w:ascii="Times New Roman" w:hAnsi="Times New Roman" w:cs="Times New Roman"/>
        </w:rPr>
        <w:t>tender documents</w:t>
      </w:r>
      <w:r w:rsidRPr="005948DE">
        <w:rPr>
          <w:rFonts w:ascii="Times New Roman" w:hAnsi="Times New Roman" w:cs="Times New Roman"/>
        </w:rPr>
        <w:t xml:space="preserve"> shall impose the Contractor's obligation to comply with the requirements specified in the E</w:t>
      </w:r>
      <w:r w:rsidR="00337235">
        <w:rPr>
          <w:rFonts w:ascii="Times New Roman" w:hAnsi="Times New Roman" w:cs="Times New Roman"/>
        </w:rPr>
        <w:t>S</w:t>
      </w:r>
      <w:r w:rsidRPr="005948DE">
        <w:rPr>
          <w:rFonts w:ascii="Times New Roman" w:hAnsi="Times New Roman" w:cs="Times New Roman"/>
        </w:rPr>
        <w:t xml:space="preserve">As. The Contractors will be required to demonstrate that all mitigation measures have been accounted for to ensure </w:t>
      </w:r>
      <w:r w:rsidR="00420737" w:rsidRPr="005948DE">
        <w:rPr>
          <w:rFonts w:ascii="Times New Roman" w:hAnsi="Times New Roman" w:cs="Times New Roman"/>
        </w:rPr>
        <w:t>infrastructure investment</w:t>
      </w:r>
      <w:r w:rsidRPr="005948DE">
        <w:rPr>
          <w:rFonts w:ascii="Times New Roman" w:hAnsi="Times New Roman" w:cs="Times New Roman"/>
        </w:rPr>
        <w:t xml:space="preserve"> implementation in environmentally and socially acceptable manner.</w:t>
      </w:r>
    </w:p>
    <w:p w14:paraId="66B84D15" w14:textId="76712249" w:rsidR="00ED18F3" w:rsidRPr="005948DE" w:rsidRDefault="00ED18F3" w:rsidP="005948DE">
      <w:pPr>
        <w:spacing w:line="276" w:lineRule="auto"/>
        <w:jc w:val="both"/>
        <w:rPr>
          <w:rFonts w:ascii="Times New Roman" w:hAnsi="Times New Roman" w:cs="Times New Roman"/>
        </w:rPr>
      </w:pPr>
      <w:r w:rsidRPr="005948DE">
        <w:rPr>
          <w:rFonts w:ascii="Times New Roman" w:hAnsi="Times New Roman" w:cs="Times New Roman"/>
        </w:rPr>
        <w:t>Standard Bidding Documents of the W</w:t>
      </w:r>
      <w:r w:rsidR="00CB531B">
        <w:rPr>
          <w:rFonts w:ascii="Times New Roman" w:hAnsi="Times New Roman" w:cs="Times New Roman"/>
        </w:rPr>
        <w:t xml:space="preserve">orld </w:t>
      </w:r>
      <w:r w:rsidRPr="005948DE">
        <w:rPr>
          <w:rFonts w:ascii="Times New Roman" w:hAnsi="Times New Roman" w:cs="Times New Roman"/>
        </w:rPr>
        <w:t>B</w:t>
      </w:r>
      <w:r w:rsidR="00CB531B">
        <w:rPr>
          <w:rFonts w:ascii="Times New Roman" w:hAnsi="Times New Roman" w:cs="Times New Roman"/>
        </w:rPr>
        <w:t>ank</w:t>
      </w:r>
      <w:r w:rsidRPr="005948DE">
        <w:rPr>
          <w:rFonts w:ascii="Times New Roman" w:hAnsi="Times New Roman" w:cs="Times New Roman"/>
        </w:rPr>
        <w:t xml:space="preserve"> for Procurement of Works as updated in January and October 2017 and revised in July 2019 and further updated in January 2020 already contain clauses for enhancement of environmental, social, health and safety performance. </w:t>
      </w:r>
    </w:p>
    <w:p w14:paraId="7209E987" w14:textId="0E0FE251" w:rsidR="00D63AD3" w:rsidRPr="005948DE" w:rsidRDefault="00701ED7"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In addition to the overall technical screening under 4.3 the infrastructure investment </w:t>
      </w:r>
      <w:r w:rsidR="00AF3C21">
        <w:rPr>
          <w:rFonts w:ascii="Times New Roman" w:hAnsi="Times New Roman" w:cs="Times New Roman"/>
        </w:rPr>
        <w:t>sub</w:t>
      </w:r>
      <w:r w:rsidRPr="005948DE">
        <w:rPr>
          <w:rFonts w:ascii="Times New Roman" w:hAnsi="Times New Roman" w:cs="Times New Roman"/>
        </w:rPr>
        <w:t xml:space="preserve">project will be subjected to the </w:t>
      </w:r>
      <w:r w:rsidR="00C92979" w:rsidRPr="005948DE">
        <w:rPr>
          <w:rFonts w:ascii="Times New Roman" w:hAnsi="Times New Roman" w:cs="Times New Roman"/>
        </w:rPr>
        <w:t>E&amp;S</w:t>
      </w:r>
      <w:r w:rsidR="00D63AD3" w:rsidRPr="005948DE">
        <w:rPr>
          <w:rFonts w:ascii="Times New Roman" w:hAnsi="Times New Roman" w:cs="Times New Roman"/>
        </w:rPr>
        <w:t xml:space="preserve"> screening </w:t>
      </w:r>
      <w:r w:rsidRPr="005948DE">
        <w:rPr>
          <w:rFonts w:ascii="Times New Roman" w:hAnsi="Times New Roman" w:cs="Times New Roman"/>
        </w:rPr>
        <w:t xml:space="preserve">and </w:t>
      </w:r>
      <w:r w:rsidR="00C92979" w:rsidRPr="005948DE">
        <w:rPr>
          <w:rFonts w:ascii="Times New Roman" w:hAnsi="Times New Roman" w:cs="Times New Roman"/>
        </w:rPr>
        <w:t>may</w:t>
      </w:r>
      <w:r w:rsidR="00D63AD3" w:rsidRPr="005948DE">
        <w:rPr>
          <w:rFonts w:ascii="Times New Roman" w:hAnsi="Times New Roman" w:cs="Times New Roman"/>
        </w:rPr>
        <w:t xml:space="preserve"> result in the project </w:t>
      </w:r>
      <w:r w:rsidRPr="005948DE">
        <w:rPr>
          <w:rFonts w:ascii="Times New Roman" w:hAnsi="Times New Roman" w:cs="Times New Roman"/>
        </w:rPr>
        <w:t xml:space="preserve">finally </w:t>
      </w:r>
      <w:r w:rsidR="00D63AD3" w:rsidRPr="005948DE">
        <w:rPr>
          <w:rFonts w:ascii="Times New Roman" w:hAnsi="Times New Roman" w:cs="Times New Roman"/>
        </w:rPr>
        <w:t>being classified in one of the following categories:</w:t>
      </w:r>
    </w:p>
    <w:tbl>
      <w:tblPr>
        <w:tblStyle w:val="GridTable4-Accent51"/>
        <w:tblW w:w="9606"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shd w:val="clear" w:color="auto" w:fill="FFFFFF" w:themeFill="background1"/>
        <w:tblLayout w:type="fixed"/>
        <w:tblLook w:val="04A0" w:firstRow="1" w:lastRow="0" w:firstColumn="1" w:lastColumn="0" w:noHBand="0" w:noVBand="1"/>
      </w:tblPr>
      <w:tblGrid>
        <w:gridCol w:w="675"/>
        <w:gridCol w:w="5670"/>
        <w:gridCol w:w="3261"/>
      </w:tblGrid>
      <w:tr w:rsidR="00C92979" w:rsidRPr="005948DE" w14:paraId="13CA4401" w14:textId="77777777" w:rsidTr="004A4AB5">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75" w:type="dxa"/>
            <w:tcBorders>
              <w:top w:val="single" w:sz="8" w:space="0" w:color="398E98"/>
              <w:left w:val="single" w:sz="8" w:space="0" w:color="398E98"/>
              <w:bottom w:val="single" w:sz="8" w:space="0" w:color="398E98"/>
              <w:right w:val="single" w:sz="8" w:space="0" w:color="398E98"/>
            </w:tcBorders>
            <w:shd w:val="clear" w:color="auto" w:fill="398E98"/>
            <w:vAlign w:val="center"/>
          </w:tcPr>
          <w:p w14:paraId="0150E784" w14:textId="77777777" w:rsidR="00D63AD3" w:rsidRPr="005948DE" w:rsidRDefault="00D63AD3" w:rsidP="005948DE">
            <w:pPr>
              <w:spacing w:line="276" w:lineRule="auto"/>
              <w:jc w:val="both"/>
              <w:rPr>
                <w:rFonts w:ascii="Times New Roman" w:hAnsi="Times New Roman" w:cs="Times New Roman"/>
                <w:color w:val="auto"/>
                <w:sz w:val="20"/>
                <w:szCs w:val="20"/>
              </w:rPr>
            </w:pPr>
            <w:r w:rsidRPr="005948DE">
              <w:rPr>
                <w:rFonts w:ascii="Times New Roman" w:hAnsi="Times New Roman" w:cs="Times New Roman"/>
                <w:color w:val="auto"/>
                <w:sz w:val="20"/>
                <w:szCs w:val="20"/>
              </w:rPr>
              <w:t>Category</w:t>
            </w:r>
          </w:p>
        </w:tc>
        <w:tc>
          <w:tcPr>
            <w:tcW w:w="5670" w:type="dxa"/>
            <w:tcBorders>
              <w:top w:val="single" w:sz="8" w:space="0" w:color="4BACC6" w:themeColor="accent5"/>
              <w:left w:val="single" w:sz="8" w:space="0" w:color="4BACC6" w:themeColor="accent5"/>
              <w:right w:val="single" w:sz="8" w:space="0" w:color="4BACC6" w:themeColor="accent5"/>
            </w:tcBorders>
            <w:shd w:val="clear" w:color="auto" w:fill="398E98"/>
            <w:vAlign w:val="center"/>
          </w:tcPr>
          <w:p w14:paraId="17CE7604" w14:textId="77777777" w:rsidR="00D63AD3" w:rsidRPr="005948DE" w:rsidRDefault="00D63AD3" w:rsidP="005948DE">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5948DE">
              <w:rPr>
                <w:rFonts w:ascii="Times New Roman" w:hAnsi="Times New Roman" w:cs="Times New Roman"/>
                <w:color w:val="auto"/>
                <w:sz w:val="20"/>
                <w:szCs w:val="20"/>
              </w:rPr>
              <w:t>Risk level</w:t>
            </w:r>
          </w:p>
        </w:tc>
        <w:tc>
          <w:tcPr>
            <w:tcW w:w="3261" w:type="dxa"/>
            <w:tcBorders>
              <w:top w:val="single" w:sz="8" w:space="0" w:color="4BACC6" w:themeColor="accent5"/>
              <w:left w:val="single" w:sz="8" w:space="0" w:color="4BACC6" w:themeColor="accent5"/>
              <w:right w:val="single" w:sz="8" w:space="0" w:color="4BACC6" w:themeColor="accent5"/>
            </w:tcBorders>
            <w:shd w:val="clear" w:color="auto" w:fill="398E98"/>
          </w:tcPr>
          <w:p w14:paraId="669240BB" w14:textId="77777777" w:rsidR="00D63AD3" w:rsidRPr="005948DE" w:rsidRDefault="00D63AD3" w:rsidP="005948DE">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5948DE">
              <w:rPr>
                <w:rFonts w:ascii="Times New Roman" w:hAnsi="Times New Roman" w:cs="Times New Roman"/>
                <w:color w:val="auto"/>
                <w:sz w:val="20"/>
                <w:szCs w:val="20"/>
              </w:rPr>
              <w:t>Decision</w:t>
            </w:r>
          </w:p>
        </w:tc>
      </w:tr>
      <w:tr w:rsidR="00C92979" w:rsidRPr="005948DE" w14:paraId="4D4DD482" w14:textId="77777777" w:rsidTr="004A4AB5">
        <w:trPr>
          <w:cnfStyle w:val="000000100000" w:firstRow="0" w:lastRow="0" w:firstColumn="0" w:lastColumn="0" w:oddVBand="0" w:evenVBand="0" w:oddHBand="1"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675" w:type="dxa"/>
            <w:tcBorders>
              <w:top w:val="single" w:sz="8" w:space="0" w:color="398E98"/>
              <w:left w:val="single" w:sz="8" w:space="0" w:color="4BACC6" w:themeColor="accent5"/>
            </w:tcBorders>
            <w:shd w:val="clear" w:color="auto" w:fill="FFFFFF" w:themeFill="background1"/>
            <w:vAlign w:val="center"/>
          </w:tcPr>
          <w:p w14:paraId="519F921C" w14:textId="77777777" w:rsidR="00D63AD3" w:rsidRPr="005948DE" w:rsidRDefault="00D63AD3" w:rsidP="005948DE">
            <w:pPr>
              <w:spacing w:line="276" w:lineRule="auto"/>
              <w:jc w:val="both"/>
              <w:rPr>
                <w:rFonts w:ascii="Times New Roman" w:hAnsi="Times New Roman" w:cs="Times New Roman"/>
                <w:sz w:val="20"/>
                <w:szCs w:val="20"/>
              </w:rPr>
            </w:pPr>
            <w:r w:rsidRPr="005948DE">
              <w:rPr>
                <w:rFonts w:ascii="Times New Roman" w:hAnsi="Times New Roman" w:cs="Times New Roman"/>
                <w:sz w:val="20"/>
                <w:szCs w:val="20"/>
              </w:rPr>
              <w:t>1</w:t>
            </w:r>
          </w:p>
        </w:tc>
        <w:tc>
          <w:tcPr>
            <w:tcW w:w="5670" w:type="dxa"/>
            <w:shd w:val="clear" w:color="auto" w:fill="FFFFFF" w:themeFill="background1"/>
            <w:vAlign w:val="center"/>
          </w:tcPr>
          <w:p w14:paraId="71B51B67" w14:textId="7C977588" w:rsidR="00D63AD3" w:rsidRPr="00665F55" w:rsidRDefault="00D63AD3" w:rsidP="005948DE">
            <w:pPr>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65F55">
              <w:rPr>
                <w:rFonts w:ascii="Times New Roman" w:hAnsi="Times New Roman" w:cs="Times New Roman"/>
                <w:sz w:val="22"/>
                <w:szCs w:val="22"/>
              </w:rPr>
              <w:t>Low Risk – negligible environmental and social impacts/ environmental impact assessment not needed</w:t>
            </w:r>
          </w:p>
        </w:tc>
        <w:tc>
          <w:tcPr>
            <w:tcW w:w="3261" w:type="dxa"/>
            <w:shd w:val="clear" w:color="auto" w:fill="FFFFFF" w:themeFill="background1"/>
          </w:tcPr>
          <w:p w14:paraId="4BE93973" w14:textId="77777777" w:rsidR="00D63AD3" w:rsidRPr="005948DE" w:rsidRDefault="00D63AD3" w:rsidP="005948DE">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5948DE">
              <w:rPr>
                <w:rFonts w:ascii="Times New Roman" w:hAnsi="Times New Roman" w:cs="Times New Roman"/>
                <w:sz w:val="20"/>
                <w:szCs w:val="20"/>
              </w:rPr>
              <w:t xml:space="preserve">Eligible for financing. No additional environmental and social assessment needed. </w:t>
            </w:r>
          </w:p>
        </w:tc>
      </w:tr>
      <w:tr w:rsidR="00C92979" w:rsidRPr="005948DE" w14:paraId="670B5865" w14:textId="77777777" w:rsidTr="004A4AB5">
        <w:trPr>
          <w:trHeight w:val="492"/>
        </w:trPr>
        <w:tc>
          <w:tcPr>
            <w:cnfStyle w:val="001000000000" w:firstRow="0" w:lastRow="0" w:firstColumn="1" w:lastColumn="0" w:oddVBand="0" w:evenVBand="0" w:oddHBand="0" w:evenHBand="0" w:firstRowFirstColumn="0" w:firstRowLastColumn="0" w:lastRowFirstColumn="0" w:lastRowLastColumn="0"/>
            <w:tcW w:w="675" w:type="dxa"/>
            <w:tcBorders>
              <w:left w:val="single" w:sz="8" w:space="0" w:color="4BACC6" w:themeColor="accent5"/>
            </w:tcBorders>
            <w:shd w:val="clear" w:color="auto" w:fill="FFFFFF" w:themeFill="background1"/>
            <w:vAlign w:val="center"/>
          </w:tcPr>
          <w:p w14:paraId="3DDE5000" w14:textId="77777777" w:rsidR="00D63AD3" w:rsidRPr="005948DE" w:rsidRDefault="00D63AD3" w:rsidP="005948DE">
            <w:pPr>
              <w:spacing w:line="276" w:lineRule="auto"/>
              <w:jc w:val="both"/>
              <w:rPr>
                <w:rFonts w:ascii="Times New Roman" w:hAnsi="Times New Roman" w:cs="Times New Roman"/>
                <w:sz w:val="20"/>
                <w:szCs w:val="20"/>
              </w:rPr>
            </w:pPr>
            <w:r w:rsidRPr="005948DE">
              <w:rPr>
                <w:rFonts w:ascii="Times New Roman" w:hAnsi="Times New Roman" w:cs="Times New Roman"/>
                <w:sz w:val="20"/>
                <w:szCs w:val="20"/>
              </w:rPr>
              <w:t>2</w:t>
            </w:r>
          </w:p>
        </w:tc>
        <w:tc>
          <w:tcPr>
            <w:tcW w:w="5670" w:type="dxa"/>
            <w:shd w:val="clear" w:color="auto" w:fill="FFFFFF" w:themeFill="background1"/>
            <w:vAlign w:val="center"/>
          </w:tcPr>
          <w:p w14:paraId="14AFE280" w14:textId="77777777" w:rsidR="00D63AD3" w:rsidRPr="00665F55" w:rsidRDefault="00D63AD3" w:rsidP="005948DE">
            <w:pPr>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65F55">
              <w:rPr>
                <w:rFonts w:ascii="Times New Roman" w:hAnsi="Times New Roman" w:cs="Times New Roman"/>
                <w:sz w:val="22"/>
                <w:szCs w:val="22"/>
              </w:rPr>
              <w:t>Moderate Risk – environmental and social impacts are expected to be manageable, easy to envisage, temporary and local</w:t>
            </w:r>
          </w:p>
        </w:tc>
        <w:tc>
          <w:tcPr>
            <w:tcW w:w="3261" w:type="dxa"/>
            <w:shd w:val="clear" w:color="auto" w:fill="FFFFFF" w:themeFill="background1"/>
          </w:tcPr>
          <w:p w14:paraId="3A90FB74" w14:textId="1C00C01A" w:rsidR="00D63AD3" w:rsidRPr="005948DE" w:rsidRDefault="00D63AD3" w:rsidP="005948DE">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5948DE">
              <w:rPr>
                <w:rFonts w:ascii="Times New Roman" w:hAnsi="Times New Roman" w:cs="Times New Roman"/>
                <w:sz w:val="20"/>
                <w:szCs w:val="20"/>
              </w:rPr>
              <w:t xml:space="preserve">Eligible for financing. The MCTI/PIU is responsible to develop </w:t>
            </w:r>
            <w:r w:rsidR="00CB531B">
              <w:rPr>
                <w:rFonts w:ascii="Times New Roman" w:hAnsi="Times New Roman" w:cs="Times New Roman"/>
                <w:sz w:val="20"/>
                <w:szCs w:val="20"/>
              </w:rPr>
              <w:t xml:space="preserve">the </w:t>
            </w:r>
            <w:r w:rsidRPr="005948DE">
              <w:rPr>
                <w:rFonts w:ascii="Times New Roman" w:hAnsi="Times New Roman" w:cs="Times New Roman"/>
                <w:sz w:val="20"/>
                <w:szCs w:val="20"/>
              </w:rPr>
              <w:t xml:space="preserve">ESMP checklist or </w:t>
            </w:r>
            <w:r w:rsidR="00CB531B">
              <w:rPr>
                <w:rFonts w:ascii="Times New Roman" w:hAnsi="Times New Roman" w:cs="Times New Roman"/>
                <w:sz w:val="20"/>
                <w:szCs w:val="20"/>
              </w:rPr>
              <w:t>the</w:t>
            </w:r>
            <w:r w:rsidR="00AF3C21">
              <w:rPr>
                <w:rFonts w:ascii="Times New Roman" w:hAnsi="Times New Roman" w:cs="Times New Roman"/>
                <w:sz w:val="20"/>
                <w:szCs w:val="20"/>
              </w:rPr>
              <w:t xml:space="preserve"> </w:t>
            </w:r>
            <w:r w:rsidRPr="005948DE">
              <w:rPr>
                <w:rFonts w:ascii="Times New Roman" w:hAnsi="Times New Roman" w:cs="Times New Roman"/>
                <w:sz w:val="20"/>
                <w:szCs w:val="20"/>
              </w:rPr>
              <w:t>ESMP. Consultations are mandatory.</w:t>
            </w:r>
          </w:p>
        </w:tc>
      </w:tr>
      <w:tr w:rsidR="00C92979" w:rsidRPr="005948DE" w14:paraId="74078293" w14:textId="77777777" w:rsidTr="004A4AB5">
        <w:trPr>
          <w:cnfStyle w:val="000000100000" w:firstRow="0" w:lastRow="0" w:firstColumn="0" w:lastColumn="0" w:oddVBand="0" w:evenVBand="0" w:oddHBand="1"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675" w:type="dxa"/>
            <w:tcBorders>
              <w:left w:val="single" w:sz="8" w:space="0" w:color="4BACC6" w:themeColor="accent5"/>
            </w:tcBorders>
            <w:shd w:val="clear" w:color="auto" w:fill="FFFFFF" w:themeFill="background1"/>
            <w:vAlign w:val="center"/>
          </w:tcPr>
          <w:p w14:paraId="394B10EE" w14:textId="77777777" w:rsidR="00D63AD3" w:rsidRPr="005948DE" w:rsidRDefault="00D63AD3" w:rsidP="005948DE">
            <w:pPr>
              <w:spacing w:line="276" w:lineRule="auto"/>
              <w:jc w:val="both"/>
              <w:rPr>
                <w:rFonts w:ascii="Times New Roman" w:hAnsi="Times New Roman" w:cs="Times New Roman"/>
                <w:sz w:val="20"/>
                <w:szCs w:val="20"/>
              </w:rPr>
            </w:pPr>
            <w:r w:rsidRPr="005948DE">
              <w:rPr>
                <w:rFonts w:ascii="Times New Roman" w:hAnsi="Times New Roman" w:cs="Times New Roman"/>
                <w:sz w:val="20"/>
                <w:szCs w:val="20"/>
              </w:rPr>
              <w:t>3</w:t>
            </w:r>
          </w:p>
        </w:tc>
        <w:tc>
          <w:tcPr>
            <w:tcW w:w="5670" w:type="dxa"/>
            <w:shd w:val="clear" w:color="auto" w:fill="FFFFFF" w:themeFill="background1"/>
            <w:vAlign w:val="center"/>
          </w:tcPr>
          <w:p w14:paraId="0FD54611" w14:textId="292479DC" w:rsidR="00D63AD3" w:rsidRPr="00665F55" w:rsidRDefault="00D63AD3" w:rsidP="005948DE">
            <w:pPr>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65F55">
              <w:rPr>
                <w:rFonts w:ascii="Times New Roman" w:hAnsi="Times New Roman" w:cs="Times New Roman"/>
                <w:sz w:val="22"/>
                <w:szCs w:val="22"/>
              </w:rPr>
              <w:t>Substantial risk – possible significant and adverse impacts to human health and the environment can be expected, but the magnitude of impacts cannot be determined in the project identification phase</w:t>
            </w:r>
            <w:r w:rsidR="00921B17" w:rsidRPr="00665F55">
              <w:rPr>
                <w:rFonts w:ascii="Times New Roman" w:hAnsi="Times New Roman" w:cs="Times New Roman"/>
                <w:sz w:val="22"/>
                <w:szCs w:val="22"/>
              </w:rPr>
              <w:t xml:space="preserve"> </w:t>
            </w:r>
          </w:p>
        </w:tc>
        <w:tc>
          <w:tcPr>
            <w:tcW w:w="3261" w:type="dxa"/>
            <w:shd w:val="clear" w:color="auto" w:fill="FFFFFF" w:themeFill="background1"/>
          </w:tcPr>
          <w:p w14:paraId="03EDB838" w14:textId="77777777" w:rsidR="00D63AD3" w:rsidRPr="005948DE" w:rsidRDefault="00D63AD3" w:rsidP="005948DE">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p w14:paraId="51C0FF1B" w14:textId="77777777" w:rsidR="00D63AD3" w:rsidRPr="005948DE" w:rsidRDefault="00D63AD3" w:rsidP="005948DE">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5948DE">
              <w:rPr>
                <w:rFonts w:ascii="Times New Roman" w:hAnsi="Times New Roman" w:cs="Times New Roman"/>
                <w:sz w:val="20"/>
                <w:szCs w:val="20"/>
              </w:rPr>
              <w:t>Not eligible for financing.</w:t>
            </w:r>
          </w:p>
        </w:tc>
      </w:tr>
      <w:tr w:rsidR="00C92979" w:rsidRPr="005948DE" w14:paraId="2F97ED39" w14:textId="77777777" w:rsidTr="004A4AB5">
        <w:trPr>
          <w:trHeight w:val="830"/>
        </w:trPr>
        <w:tc>
          <w:tcPr>
            <w:cnfStyle w:val="001000000000" w:firstRow="0" w:lastRow="0" w:firstColumn="1" w:lastColumn="0" w:oddVBand="0" w:evenVBand="0" w:oddHBand="0" w:evenHBand="0" w:firstRowFirstColumn="0" w:firstRowLastColumn="0" w:lastRowFirstColumn="0" w:lastRowLastColumn="0"/>
            <w:tcW w:w="675" w:type="dxa"/>
            <w:tcBorders>
              <w:left w:val="single" w:sz="8" w:space="0" w:color="4BACC6" w:themeColor="accent5"/>
            </w:tcBorders>
            <w:shd w:val="clear" w:color="auto" w:fill="FFFFFF" w:themeFill="background1"/>
            <w:vAlign w:val="center"/>
          </w:tcPr>
          <w:p w14:paraId="5F294473" w14:textId="77777777" w:rsidR="00D63AD3" w:rsidRPr="005948DE" w:rsidRDefault="00D63AD3" w:rsidP="005948DE">
            <w:pPr>
              <w:spacing w:line="276" w:lineRule="auto"/>
              <w:jc w:val="both"/>
              <w:rPr>
                <w:rFonts w:ascii="Times New Roman" w:hAnsi="Times New Roman" w:cs="Times New Roman"/>
                <w:sz w:val="20"/>
                <w:szCs w:val="20"/>
              </w:rPr>
            </w:pPr>
            <w:r w:rsidRPr="005948DE">
              <w:rPr>
                <w:rFonts w:ascii="Times New Roman" w:hAnsi="Times New Roman" w:cs="Times New Roman"/>
                <w:sz w:val="20"/>
                <w:szCs w:val="20"/>
              </w:rPr>
              <w:t>4</w:t>
            </w:r>
          </w:p>
        </w:tc>
        <w:tc>
          <w:tcPr>
            <w:tcW w:w="5670" w:type="dxa"/>
            <w:shd w:val="clear" w:color="auto" w:fill="FFFFFF" w:themeFill="background1"/>
            <w:vAlign w:val="center"/>
          </w:tcPr>
          <w:p w14:paraId="4D33E424" w14:textId="77777777" w:rsidR="00D63AD3" w:rsidRPr="00665F55" w:rsidRDefault="00D63AD3" w:rsidP="005948DE">
            <w:pPr>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665F55">
              <w:rPr>
                <w:rFonts w:ascii="Times New Roman" w:hAnsi="Times New Roman" w:cs="Times New Roman"/>
                <w:sz w:val="22"/>
                <w:szCs w:val="22"/>
              </w:rPr>
              <w:t xml:space="preserve">High Risk – expected to have highly significant, diverse and/or long-term adverse impacts to human health and the environment. It can be expected that magnitudes of these impacts are such that they may also affect an area broader that the infrastructure investment sites. Measures for mitigating such environmental impacts could be complex and costly. </w:t>
            </w:r>
          </w:p>
        </w:tc>
        <w:tc>
          <w:tcPr>
            <w:tcW w:w="3261" w:type="dxa"/>
            <w:shd w:val="clear" w:color="auto" w:fill="FFFFFF" w:themeFill="background1"/>
          </w:tcPr>
          <w:p w14:paraId="5AC4164A" w14:textId="77777777" w:rsidR="00D63AD3" w:rsidRPr="005948DE" w:rsidRDefault="00D63AD3" w:rsidP="005948DE">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5948DE">
              <w:rPr>
                <w:rFonts w:ascii="Times New Roman" w:hAnsi="Times New Roman" w:cs="Times New Roman"/>
                <w:sz w:val="20"/>
                <w:szCs w:val="20"/>
              </w:rPr>
              <w:t>Not eligible for financing.</w:t>
            </w:r>
          </w:p>
        </w:tc>
      </w:tr>
      <w:tr w:rsidR="00C92979" w:rsidRPr="005948DE" w14:paraId="09B05F52" w14:textId="77777777" w:rsidTr="004A4AB5">
        <w:trPr>
          <w:cnfStyle w:val="000000100000" w:firstRow="0" w:lastRow="0" w:firstColumn="0" w:lastColumn="0" w:oddVBand="0" w:evenVBand="0" w:oddHBand="1" w:evenHBand="0" w:firstRowFirstColumn="0" w:firstRowLastColumn="0" w:lastRowFirstColumn="0" w:lastRowLastColumn="0"/>
          <w:trHeight w:val="830"/>
        </w:trPr>
        <w:tc>
          <w:tcPr>
            <w:cnfStyle w:val="001000000000" w:firstRow="0" w:lastRow="0" w:firstColumn="1" w:lastColumn="0" w:oddVBand="0" w:evenVBand="0" w:oddHBand="0" w:evenHBand="0" w:firstRowFirstColumn="0" w:firstRowLastColumn="0" w:lastRowFirstColumn="0" w:lastRowLastColumn="0"/>
            <w:tcW w:w="675" w:type="dxa"/>
            <w:tcBorders>
              <w:left w:val="single" w:sz="8" w:space="0" w:color="4BACC6" w:themeColor="accent5"/>
              <w:bottom w:val="single" w:sz="8" w:space="0" w:color="4BACC6" w:themeColor="accent5"/>
            </w:tcBorders>
            <w:shd w:val="clear" w:color="auto" w:fill="FFFFFF" w:themeFill="background1"/>
            <w:vAlign w:val="center"/>
          </w:tcPr>
          <w:p w14:paraId="72748376" w14:textId="77777777" w:rsidR="00D63AD3" w:rsidRPr="005948DE" w:rsidRDefault="00D63AD3" w:rsidP="005948DE">
            <w:pPr>
              <w:spacing w:line="276" w:lineRule="auto"/>
              <w:jc w:val="both"/>
              <w:rPr>
                <w:rFonts w:ascii="Times New Roman" w:hAnsi="Times New Roman" w:cs="Times New Roman"/>
                <w:sz w:val="20"/>
                <w:szCs w:val="20"/>
              </w:rPr>
            </w:pPr>
            <w:r w:rsidRPr="005948DE">
              <w:rPr>
                <w:rFonts w:ascii="Times New Roman" w:hAnsi="Times New Roman" w:cs="Times New Roman"/>
                <w:sz w:val="20"/>
                <w:szCs w:val="20"/>
              </w:rPr>
              <w:t>5</w:t>
            </w:r>
          </w:p>
        </w:tc>
        <w:tc>
          <w:tcPr>
            <w:tcW w:w="5670" w:type="dxa"/>
            <w:shd w:val="clear" w:color="auto" w:fill="FFFFFF" w:themeFill="background1"/>
            <w:vAlign w:val="center"/>
          </w:tcPr>
          <w:p w14:paraId="7AE44B50" w14:textId="77777777" w:rsidR="00D63AD3" w:rsidRPr="00665F55" w:rsidRDefault="00D63AD3" w:rsidP="005948DE">
            <w:pPr>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65F55">
              <w:rPr>
                <w:rFonts w:ascii="Times New Roman" w:hAnsi="Times New Roman" w:cs="Times New Roman"/>
                <w:sz w:val="22"/>
                <w:szCs w:val="22"/>
              </w:rPr>
              <w:t>Ongoing and/or completed works, including financing of</w:t>
            </w:r>
          </w:p>
          <w:p w14:paraId="232A293C" w14:textId="77777777" w:rsidR="00D63AD3" w:rsidRPr="00665F55" w:rsidRDefault="00D63AD3" w:rsidP="005948DE">
            <w:pPr>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665F55">
              <w:rPr>
                <w:rFonts w:ascii="Times New Roman" w:hAnsi="Times New Roman" w:cs="Times New Roman"/>
                <w:sz w:val="22"/>
                <w:szCs w:val="22"/>
              </w:rPr>
              <w:t>works’ continuation</w:t>
            </w:r>
          </w:p>
        </w:tc>
        <w:tc>
          <w:tcPr>
            <w:tcW w:w="3261" w:type="dxa"/>
            <w:shd w:val="clear" w:color="auto" w:fill="FFFFFF" w:themeFill="background1"/>
          </w:tcPr>
          <w:p w14:paraId="237CAF4D" w14:textId="77777777" w:rsidR="00D63AD3" w:rsidRPr="005948DE" w:rsidRDefault="00D63AD3" w:rsidP="005948DE">
            <w:pPr>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5948DE">
              <w:rPr>
                <w:rFonts w:ascii="Times New Roman" w:hAnsi="Times New Roman" w:cs="Times New Roman"/>
                <w:sz w:val="20"/>
                <w:szCs w:val="20"/>
              </w:rPr>
              <w:t>This also is subject to risk rating.</w:t>
            </w:r>
          </w:p>
          <w:p w14:paraId="015DE1E9" w14:textId="5984E2E8" w:rsidR="00D63AD3" w:rsidRPr="005948DE" w:rsidRDefault="00D63AD3" w:rsidP="005948DE">
            <w:pPr>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5948DE">
              <w:rPr>
                <w:rFonts w:ascii="Times New Roman" w:hAnsi="Times New Roman" w:cs="Times New Roman"/>
                <w:sz w:val="20"/>
                <w:szCs w:val="20"/>
              </w:rPr>
              <w:t xml:space="preserve">Risk category and eligibility for financing will be determined based on </w:t>
            </w:r>
            <w:r w:rsidR="00AF3C21">
              <w:rPr>
                <w:rFonts w:ascii="Times New Roman" w:hAnsi="Times New Roman" w:cs="Times New Roman"/>
                <w:sz w:val="20"/>
                <w:szCs w:val="20"/>
              </w:rPr>
              <w:t>E&amp;S</w:t>
            </w:r>
            <w:r w:rsidRPr="005948DE">
              <w:rPr>
                <w:rFonts w:ascii="Times New Roman" w:hAnsi="Times New Roman" w:cs="Times New Roman"/>
                <w:sz w:val="20"/>
                <w:szCs w:val="20"/>
              </w:rPr>
              <w:t xml:space="preserve"> audit that needs to be undertaken. </w:t>
            </w:r>
          </w:p>
        </w:tc>
      </w:tr>
    </w:tbl>
    <w:p w14:paraId="286A1BA2" w14:textId="77777777" w:rsidR="00D63AD3" w:rsidRPr="005948DE" w:rsidRDefault="00D63AD3" w:rsidP="005948DE">
      <w:pPr>
        <w:spacing w:line="276" w:lineRule="auto"/>
        <w:jc w:val="both"/>
        <w:rPr>
          <w:rFonts w:ascii="Times New Roman" w:hAnsi="Times New Roman" w:cs="Times New Roman"/>
          <w:color w:val="FF9900"/>
        </w:rPr>
      </w:pPr>
    </w:p>
    <w:p w14:paraId="4771FAB7" w14:textId="5A01CBE6" w:rsidR="00ED18F3" w:rsidRPr="005948DE" w:rsidRDefault="00556DCF" w:rsidP="005948DE">
      <w:pPr>
        <w:pStyle w:val="Heading3"/>
        <w:numPr>
          <w:ilvl w:val="2"/>
          <w:numId w:val="330"/>
        </w:numPr>
        <w:spacing w:before="120" w:after="120" w:line="276" w:lineRule="auto"/>
        <w:jc w:val="both"/>
        <w:rPr>
          <w:rFonts w:ascii="Times New Roman" w:hAnsi="Times New Roman" w:cs="Times New Roman"/>
        </w:rPr>
      </w:pPr>
      <w:bookmarkStart w:id="526" w:name="_Toc80630243"/>
      <w:bookmarkStart w:id="527" w:name="_Toc93342258"/>
      <w:r w:rsidRPr="005948DE">
        <w:rPr>
          <w:rFonts w:ascii="Times New Roman" w:hAnsi="Times New Roman" w:cs="Times New Roman"/>
        </w:rPr>
        <w:t>E</w:t>
      </w:r>
      <w:r w:rsidR="006E30EF" w:rsidRPr="005948DE">
        <w:rPr>
          <w:rFonts w:ascii="Times New Roman" w:hAnsi="Times New Roman" w:cs="Times New Roman"/>
        </w:rPr>
        <w:t>&amp;</w:t>
      </w:r>
      <w:r w:rsidRPr="005948DE">
        <w:rPr>
          <w:rFonts w:ascii="Times New Roman" w:hAnsi="Times New Roman" w:cs="Times New Roman"/>
        </w:rPr>
        <w:t>S Performance</w:t>
      </w:r>
      <w:r w:rsidR="006E30EF" w:rsidRPr="005948DE">
        <w:rPr>
          <w:rFonts w:ascii="Times New Roman" w:hAnsi="Times New Roman" w:cs="Times New Roman"/>
        </w:rPr>
        <w:t xml:space="preserve">, Supervision, Monitoring </w:t>
      </w:r>
      <w:r w:rsidR="006E30EF">
        <w:rPr>
          <w:rFonts w:ascii="Times New Roman" w:hAnsi="Times New Roman" w:cs="Times New Roman"/>
        </w:rPr>
        <w:t>a</w:t>
      </w:r>
      <w:r w:rsidR="006E30EF" w:rsidRPr="005948DE">
        <w:rPr>
          <w:rFonts w:ascii="Times New Roman" w:hAnsi="Times New Roman" w:cs="Times New Roman"/>
        </w:rPr>
        <w:t>nd Reporting</w:t>
      </w:r>
      <w:bookmarkEnd w:id="526"/>
      <w:bookmarkEnd w:id="527"/>
    </w:p>
    <w:p w14:paraId="7AAC2162" w14:textId="32902CA6" w:rsidR="00ED18F3" w:rsidRPr="005948DE" w:rsidRDefault="00ED18F3" w:rsidP="005948DE">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Implementation of mitigation measures and environmental and social monitoring is an obligation of the Contractor compliant to </w:t>
      </w:r>
      <w:r w:rsidR="00CB531B">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ESMP and</w:t>
      </w:r>
      <w:r w:rsidR="00CB531B">
        <w:rPr>
          <w:rFonts w:ascii="Times New Roman" w:hAnsi="Times New Roman" w:cs="Times New Roman"/>
          <w:color w:val="000000" w:themeColor="text1"/>
        </w:rPr>
        <w:t xml:space="preserve"> the</w:t>
      </w:r>
      <w:r w:rsidRPr="005948DE">
        <w:rPr>
          <w:rFonts w:ascii="Times New Roman" w:hAnsi="Times New Roman" w:cs="Times New Roman"/>
          <w:color w:val="000000" w:themeColor="text1"/>
        </w:rPr>
        <w:t xml:space="preserve"> ESMP Checklist. The Supervision Engineer (compliant to the Standard conditions of contract (i.e. </w:t>
      </w:r>
      <w:r w:rsidR="00CB531B">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FIDIC Yellow book and </w:t>
      </w:r>
      <w:r w:rsidR="00CB531B">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FIDIC Red Book or </w:t>
      </w:r>
      <w:r w:rsidR="00CB531B">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MDBH Harmonized edition (Pink book) and (ii) the PIU specialists, alongside other routine activities, shall supervise the Contractor`s Environmental and Social performance and verify compliance with E&amp;S Instruments. The overall implementation and compliance responsibilities lie with the MCTI. The P</w:t>
      </w:r>
      <w:r w:rsidR="00DB78E0" w:rsidRPr="005948DE">
        <w:rPr>
          <w:rFonts w:ascii="Times New Roman" w:hAnsi="Times New Roman" w:cs="Times New Roman"/>
          <w:color w:val="000000" w:themeColor="text1"/>
        </w:rPr>
        <w:t>IU (E</w:t>
      </w:r>
      <w:r w:rsidRPr="005948DE">
        <w:rPr>
          <w:rFonts w:ascii="Times New Roman" w:hAnsi="Times New Roman" w:cs="Times New Roman"/>
          <w:color w:val="000000" w:themeColor="text1"/>
        </w:rPr>
        <w:t xml:space="preserve">nvironmental specialist and </w:t>
      </w:r>
      <w:r w:rsidR="00DB78E0" w:rsidRPr="005948DE">
        <w:rPr>
          <w:rFonts w:ascii="Times New Roman" w:hAnsi="Times New Roman" w:cs="Times New Roman"/>
          <w:color w:val="000000" w:themeColor="text1"/>
        </w:rPr>
        <w:t xml:space="preserve">Social </w:t>
      </w:r>
      <w:r w:rsidR="00CB531B">
        <w:rPr>
          <w:rFonts w:ascii="Times New Roman" w:hAnsi="Times New Roman" w:cs="Times New Roman"/>
          <w:color w:val="000000" w:themeColor="text1"/>
        </w:rPr>
        <w:t>S</w:t>
      </w:r>
      <w:r w:rsidR="00CB531B" w:rsidRPr="005948DE">
        <w:rPr>
          <w:rFonts w:ascii="Times New Roman" w:hAnsi="Times New Roman" w:cs="Times New Roman"/>
          <w:color w:val="000000" w:themeColor="text1"/>
        </w:rPr>
        <w:t xml:space="preserve">afeguard </w:t>
      </w:r>
      <w:r w:rsidR="00DB78E0" w:rsidRPr="005948DE">
        <w:rPr>
          <w:rFonts w:ascii="Times New Roman" w:hAnsi="Times New Roman" w:cs="Times New Roman"/>
          <w:color w:val="000000" w:themeColor="text1"/>
        </w:rPr>
        <w:t xml:space="preserve">and </w:t>
      </w:r>
      <w:r w:rsidR="00AF3C21">
        <w:rPr>
          <w:rFonts w:ascii="Times New Roman" w:hAnsi="Times New Roman" w:cs="Times New Roman"/>
          <w:color w:val="000000" w:themeColor="text1"/>
        </w:rPr>
        <w:t>CE</w:t>
      </w:r>
      <w:r w:rsidR="00CB531B" w:rsidRPr="005948DE">
        <w:rPr>
          <w:rFonts w:ascii="Times New Roman" w:hAnsi="Times New Roman" w:cs="Times New Roman"/>
          <w:color w:val="000000" w:themeColor="text1"/>
        </w:rPr>
        <w:t xml:space="preserve"> </w:t>
      </w:r>
      <w:r w:rsidR="00DB78E0" w:rsidRPr="005948DE">
        <w:rPr>
          <w:rFonts w:ascii="Times New Roman" w:hAnsi="Times New Roman" w:cs="Times New Roman"/>
          <w:color w:val="000000" w:themeColor="text1"/>
        </w:rPr>
        <w:t>specialist</w:t>
      </w:r>
      <w:r w:rsidRPr="005948DE">
        <w:rPr>
          <w:rFonts w:ascii="Times New Roman" w:hAnsi="Times New Roman" w:cs="Times New Roman"/>
          <w:color w:val="000000" w:themeColor="text1"/>
        </w:rPr>
        <w:t>)</w:t>
      </w:r>
      <w:r w:rsidR="00BC2459" w:rsidRPr="005948DE">
        <w:rPr>
          <w:rFonts w:ascii="Times New Roman" w:eastAsia="Calibri" w:hAnsi="Times New Roman" w:cs="Times New Roman"/>
          <w:color w:val="000000" w:themeColor="text1"/>
        </w:rPr>
        <w:t xml:space="preserve"> </w:t>
      </w:r>
      <w:r w:rsidRPr="005948DE">
        <w:rPr>
          <w:rFonts w:ascii="Times New Roman" w:hAnsi="Times New Roman" w:cs="Times New Roman"/>
          <w:color w:val="000000" w:themeColor="text1"/>
        </w:rPr>
        <w:t xml:space="preserve">will report on ESA implementation and E&amp;S (ESF, national regulation, and EHSG) compliance to </w:t>
      </w:r>
      <w:r w:rsidR="00CB531B">
        <w:rPr>
          <w:rFonts w:ascii="Times New Roman" w:hAnsi="Times New Roman" w:cs="Times New Roman"/>
          <w:color w:val="000000" w:themeColor="text1"/>
        </w:rPr>
        <w:t>Bank</w:t>
      </w:r>
      <w:r w:rsidR="00CB531B"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 xml:space="preserve">in Progress Reports, while </w:t>
      </w:r>
      <w:r w:rsidR="00420737" w:rsidRPr="005948DE">
        <w:rPr>
          <w:rFonts w:ascii="Times New Roman" w:hAnsi="Times New Roman" w:cs="Times New Roman"/>
          <w:color w:val="000000" w:themeColor="text1"/>
        </w:rPr>
        <w:t>infrastructure investment</w:t>
      </w:r>
      <w:r w:rsidRPr="005948DE">
        <w:rPr>
          <w:rFonts w:ascii="Times New Roman" w:hAnsi="Times New Roman" w:cs="Times New Roman"/>
          <w:color w:val="000000" w:themeColor="text1"/>
        </w:rPr>
        <w:t xml:space="preserve"> ESAs implementation reporting will be quarterly, unless differently agreed with the </w:t>
      </w:r>
      <w:r w:rsidR="00EA79C9">
        <w:rPr>
          <w:rFonts w:ascii="Times New Roman" w:hAnsi="Times New Roman" w:cs="Times New Roman"/>
          <w:color w:val="000000" w:themeColor="text1"/>
        </w:rPr>
        <w:t>Bank’s</w:t>
      </w:r>
      <w:r w:rsidRPr="005948DE">
        <w:rPr>
          <w:rFonts w:ascii="Times New Roman" w:hAnsi="Times New Roman" w:cs="Times New Roman"/>
          <w:color w:val="000000" w:themeColor="text1"/>
        </w:rPr>
        <w:t xml:space="preserve"> specialists.</w:t>
      </w:r>
    </w:p>
    <w:p w14:paraId="3889A3D0" w14:textId="600DB28C" w:rsidR="00ED18F3" w:rsidRDefault="00ED18F3" w:rsidP="005948DE">
      <w:pPr>
        <w:spacing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ESA process diagram is given in </w:t>
      </w:r>
      <w:r w:rsidR="00EA79C9">
        <w:rPr>
          <w:rFonts w:ascii="Times New Roman" w:hAnsi="Times New Roman" w:cs="Times New Roman"/>
          <w:color w:val="000000" w:themeColor="text1"/>
        </w:rPr>
        <w:t xml:space="preserve">the </w:t>
      </w:r>
      <w:r w:rsidRPr="005948DE">
        <w:rPr>
          <w:rFonts w:ascii="Times New Roman" w:hAnsi="Times New Roman" w:cs="Times New Roman"/>
          <w:color w:val="000000" w:themeColor="text1"/>
        </w:rPr>
        <w:t xml:space="preserve">Figure </w:t>
      </w:r>
      <w:r w:rsidR="00105074">
        <w:rPr>
          <w:rFonts w:ascii="Times New Roman" w:hAnsi="Times New Roman" w:cs="Times New Roman"/>
          <w:color w:val="000000" w:themeColor="text1"/>
        </w:rPr>
        <w:t>4</w:t>
      </w:r>
      <w:r w:rsidRPr="005948DE">
        <w:rPr>
          <w:rFonts w:ascii="Times New Roman" w:hAnsi="Times New Roman" w:cs="Times New Roman"/>
          <w:color w:val="000000" w:themeColor="text1"/>
        </w:rPr>
        <w:t>.</w:t>
      </w:r>
    </w:p>
    <w:p w14:paraId="376BF7B2" w14:textId="77777777" w:rsidR="00CA566B" w:rsidRDefault="00CA566B">
      <w:pPr>
        <w:rPr>
          <w:i/>
          <w:iCs/>
          <w:color w:val="1F497D" w:themeColor="text2"/>
          <w:sz w:val="18"/>
          <w:szCs w:val="18"/>
        </w:rPr>
      </w:pPr>
      <w:r>
        <w:br w:type="page"/>
      </w:r>
    </w:p>
    <w:p w14:paraId="012A2773" w14:textId="08878153" w:rsidR="00337235" w:rsidRPr="006F115D" w:rsidRDefault="00337235" w:rsidP="006F115D">
      <w:pPr>
        <w:pStyle w:val="Caption"/>
        <w:rPr>
          <w:rFonts w:ascii="Times New Roman" w:hAnsi="Times New Roman" w:cs="Times New Roman"/>
          <w:sz w:val="22"/>
          <w:szCs w:val="22"/>
        </w:rPr>
      </w:pPr>
      <w:r w:rsidRPr="006F115D">
        <w:rPr>
          <w:rFonts w:ascii="Times New Roman" w:hAnsi="Times New Roman" w:cs="Times New Roman"/>
          <w:sz w:val="22"/>
          <w:szCs w:val="22"/>
        </w:rPr>
        <w:t xml:space="preserve">Figure </w:t>
      </w:r>
      <w:r w:rsidRPr="006F115D">
        <w:rPr>
          <w:rFonts w:ascii="Times New Roman" w:hAnsi="Times New Roman" w:cs="Times New Roman"/>
          <w:sz w:val="22"/>
          <w:szCs w:val="22"/>
        </w:rPr>
        <w:fldChar w:fldCharType="begin"/>
      </w:r>
      <w:r w:rsidRPr="006F115D">
        <w:rPr>
          <w:rFonts w:ascii="Times New Roman" w:hAnsi="Times New Roman" w:cs="Times New Roman"/>
          <w:sz w:val="22"/>
          <w:szCs w:val="22"/>
        </w:rPr>
        <w:instrText xml:space="preserve"> SEQ Figure \* ARABIC </w:instrText>
      </w:r>
      <w:r w:rsidRPr="006F115D">
        <w:rPr>
          <w:rFonts w:ascii="Times New Roman" w:hAnsi="Times New Roman" w:cs="Times New Roman"/>
          <w:sz w:val="22"/>
          <w:szCs w:val="22"/>
        </w:rPr>
        <w:fldChar w:fldCharType="separate"/>
      </w:r>
      <w:r w:rsidRPr="006F115D">
        <w:rPr>
          <w:rFonts w:ascii="Times New Roman" w:hAnsi="Times New Roman" w:cs="Times New Roman"/>
          <w:sz w:val="22"/>
          <w:szCs w:val="22"/>
        </w:rPr>
        <w:t>4</w:t>
      </w:r>
      <w:r w:rsidRPr="006F115D">
        <w:rPr>
          <w:rFonts w:ascii="Times New Roman" w:hAnsi="Times New Roman" w:cs="Times New Roman"/>
          <w:sz w:val="22"/>
          <w:szCs w:val="22"/>
        </w:rPr>
        <w:fldChar w:fldCharType="end"/>
      </w:r>
      <w:r w:rsidRPr="006F115D">
        <w:rPr>
          <w:rFonts w:ascii="Times New Roman" w:hAnsi="Times New Roman" w:cs="Times New Roman"/>
          <w:sz w:val="22"/>
          <w:szCs w:val="22"/>
        </w:rPr>
        <w:t>. The ESA process diagram</w:t>
      </w:r>
      <w:r w:rsidR="00835C1A" w:rsidRPr="006F115D">
        <w:rPr>
          <w:sz w:val="22"/>
          <w:szCs w:val="22"/>
        </w:rPr>
        <w:footnoteReference w:id="9"/>
      </w:r>
    </w:p>
    <w:p w14:paraId="49380EB7" w14:textId="57E4A00E" w:rsidR="00337235" w:rsidRPr="005948DE" w:rsidRDefault="0081087B" w:rsidP="00337235">
      <w:pPr>
        <w:spacing w:line="276" w:lineRule="auto"/>
        <w:jc w:val="both"/>
        <w:rPr>
          <w:rFonts w:ascii="Times New Roman" w:hAnsi="Times New Roman" w:cs="Times New Roman"/>
          <w:color w:val="FF9900"/>
        </w:rPr>
      </w:pPr>
      <w:r w:rsidRPr="006F115D">
        <w:rPr>
          <w:rFonts w:ascii="Times New Roman" w:hAnsi="Times New Roman" w:cs="Times New Roman"/>
          <w:noProof/>
          <w:color w:val="FF9900"/>
          <w:lang w:val="en-US"/>
        </w:rPr>
        <w:drawing>
          <wp:inline distT="0" distB="0" distL="0" distR="0" wp14:anchorId="78DD1B04" wp14:editId="63C4A0A0">
            <wp:extent cx="5945832" cy="7342361"/>
            <wp:effectExtent l="0" t="0" r="0" b="0"/>
            <wp:docPr id="1073742073" name="Picture 107374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A Dijagram.jpg"/>
                    <pic:cNvPicPr/>
                  </pic:nvPicPr>
                  <pic:blipFill rotWithShape="1">
                    <a:blip r:embed="rId29">
                      <a:extLst>
                        <a:ext uri="{28A0092B-C50C-407E-A947-70E740481C1C}">
                          <a14:useLocalDpi xmlns:a14="http://schemas.microsoft.com/office/drawing/2010/main" val="0"/>
                        </a:ext>
                      </a:extLst>
                    </a:blip>
                    <a:srcRect l="5487" t="8397" r="8837" b="16899"/>
                    <a:stretch/>
                  </pic:blipFill>
                  <pic:spPr bwMode="auto">
                    <a:xfrm>
                      <a:off x="0" y="0"/>
                      <a:ext cx="5946214" cy="7342833"/>
                    </a:xfrm>
                    <a:prstGeom prst="rect">
                      <a:avLst/>
                    </a:prstGeom>
                    <a:ln>
                      <a:noFill/>
                    </a:ln>
                    <a:extLst>
                      <a:ext uri="{53640926-AAD7-44D8-BBD7-CCE9431645EC}">
                        <a14:shadowObscured xmlns:a14="http://schemas.microsoft.com/office/drawing/2010/main"/>
                      </a:ext>
                    </a:extLst>
                  </pic:spPr>
                </pic:pic>
              </a:graphicData>
            </a:graphic>
          </wp:inline>
        </w:drawing>
      </w:r>
    </w:p>
    <w:p w14:paraId="20ABA6E8" w14:textId="65D1E5E9" w:rsidR="00337235" w:rsidRPr="00337235" w:rsidRDefault="00ED18F3" w:rsidP="00337235">
      <w:pPr>
        <w:pStyle w:val="Heading3"/>
        <w:numPr>
          <w:ilvl w:val="2"/>
          <w:numId w:val="330"/>
        </w:numPr>
        <w:spacing w:before="120" w:after="120" w:line="276" w:lineRule="auto"/>
        <w:jc w:val="both"/>
        <w:rPr>
          <w:rFonts w:ascii="Times New Roman" w:hAnsi="Times New Roman" w:cs="Times New Roman"/>
        </w:rPr>
      </w:pPr>
      <w:bookmarkStart w:id="528" w:name="_Toc93244840"/>
      <w:bookmarkStart w:id="529" w:name="_Toc93342259"/>
      <w:bookmarkStart w:id="530" w:name="_Toc93244841"/>
      <w:bookmarkStart w:id="531" w:name="_Toc93342260"/>
      <w:bookmarkStart w:id="532" w:name="_Toc93244842"/>
      <w:bookmarkStart w:id="533" w:name="_Toc93342261"/>
      <w:bookmarkStart w:id="534" w:name="_Toc93244843"/>
      <w:bookmarkStart w:id="535" w:name="_Toc93342262"/>
      <w:bookmarkStart w:id="536" w:name="_Toc93244844"/>
      <w:bookmarkStart w:id="537" w:name="_Toc93342263"/>
      <w:bookmarkStart w:id="538" w:name="_Toc93244845"/>
      <w:bookmarkStart w:id="539" w:name="_Toc93342264"/>
      <w:bookmarkStart w:id="540" w:name="_Toc93244846"/>
      <w:bookmarkStart w:id="541" w:name="_Toc93342265"/>
      <w:bookmarkStart w:id="542" w:name="_Toc93244847"/>
      <w:bookmarkStart w:id="543" w:name="_Toc93342266"/>
      <w:bookmarkStart w:id="544" w:name="_Toc93244848"/>
      <w:bookmarkStart w:id="545" w:name="_Toc93342267"/>
      <w:bookmarkStart w:id="546" w:name="_Toc93244849"/>
      <w:bookmarkStart w:id="547" w:name="_Toc93342268"/>
      <w:bookmarkStart w:id="548" w:name="_Toc93244850"/>
      <w:bookmarkStart w:id="549" w:name="_Toc93342269"/>
      <w:bookmarkStart w:id="550" w:name="_Toc80630244"/>
      <w:bookmarkStart w:id="551" w:name="_Toc93342270"/>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rsidRPr="005948DE">
        <w:rPr>
          <w:rFonts w:ascii="Times New Roman" w:hAnsi="Times New Roman" w:cs="Times New Roman"/>
        </w:rPr>
        <w:t xml:space="preserve">Environmental and Social Audit for </w:t>
      </w:r>
      <w:r w:rsidR="006E30EF" w:rsidRPr="005948DE">
        <w:rPr>
          <w:rFonts w:ascii="Times New Roman" w:hAnsi="Times New Roman" w:cs="Times New Roman"/>
        </w:rPr>
        <w:t>Activities Already Commenced</w:t>
      </w:r>
      <w:bookmarkEnd w:id="550"/>
      <w:bookmarkEnd w:id="551"/>
    </w:p>
    <w:p w14:paraId="21348D9C" w14:textId="08CBBEED" w:rsidR="00ED18F3" w:rsidRPr="005948DE" w:rsidRDefault="00ED18F3" w:rsidP="006F115D">
      <w:pPr>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For </w:t>
      </w:r>
      <w:r w:rsidR="00230712" w:rsidRPr="005948DE">
        <w:rPr>
          <w:rFonts w:ascii="Times New Roman" w:hAnsi="Times New Roman" w:cs="Times New Roman"/>
          <w:color w:val="000000" w:themeColor="text1"/>
        </w:rPr>
        <w:t>infrastructure investment projects</w:t>
      </w:r>
      <w:r w:rsidRPr="005948DE">
        <w:rPr>
          <w:rFonts w:ascii="Times New Roman" w:hAnsi="Times New Roman" w:cs="Times New Roman"/>
          <w:color w:val="000000" w:themeColor="text1"/>
        </w:rPr>
        <w:t xml:space="preserve"> the </w:t>
      </w:r>
      <w:r w:rsidR="00EA79C9">
        <w:rPr>
          <w:rFonts w:ascii="Times New Roman" w:hAnsi="Times New Roman" w:cs="Times New Roman"/>
          <w:color w:val="000000" w:themeColor="text1"/>
        </w:rPr>
        <w:t>Bank</w:t>
      </w:r>
      <w:r w:rsidR="00EA79C9"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intends to finance as a subsequent phase of works, where construction in previous phases has been completed, an assessment of compliance with the Bank</w:t>
      </w:r>
      <w:r w:rsidR="00EA79C9">
        <w:rPr>
          <w:rFonts w:ascii="Times New Roman" w:hAnsi="Times New Roman" w:cs="Times New Roman"/>
          <w:color w:val="000000" w:themeColor="text1"/>
        </w:rPr>
        <w:t>’s</w:t>
      </w:r>
      <w:r w:rsidRPr="005948DE">
        <w:rPr>
          <w:rFonts w:ascii="Times New Roman" w:hAnsi="Times New Roman" w:cs="Times New Roman"/>
          <w:color w:val="000000" w:themeColor="text1"/>
        </w:rPr>
        <w:t xml:space="preserve"> ESF ESSs, EHS Guidelines, national legislation and good practices will be conducted. The ToR of the E&amp;S Audit shall be prepared by the PIU and endorsed by the </w:t>
      </w:r>
      <w:r w:rsidR="00EA79C9">
        <w:rPr>
          <w:rFonts w:ascii="Times New Roman" w:hAnsi="Times New Roman" w:cs="Times New Roman"/>
          <w:color w:val="000000" w:themeColor="text1"/>
        </w:rPr>
        <w:t>Bank</w:t>
      </w:r>
      <w:r w:rsidRPr="005948DE">
        <w:rPr>
          <w:rFonts w:ascii="Times New Roman" w:hAnsi="Times New Roman" w:cs="Times New Roman"/>
          <w:color w:val="000000" w:themeColor="text1"/>
        </w:rPr>
        <w:t xml:space="preserve">. Subject to approval the Audit may be carried out internally by the PIU staff or in absence of such agreement the PIU will procure an independent third party. The Audit report shall identify areas of major non-compliance with the ESF requirement, and propose relevant remedial measures, either though developments of remedial management instruments or individual actions. ESAs prepared for the commenced </w:t>
      </w:r>
      <w:r w:rsidR="00230712" w:rsidRPr="005948DE">
        <w:rPr>
          <w:rFonts w:ascii="Times New Roman" w:hAnsi="Times New Roman" w:cs="Times New Roman"/>
          <w:color w:val="000000" w:themeColor="text1"/>
        </w:rPr>
        <w:t>infrastructure investment projects</w:t>
      </w:r>
      <w:r w:rsidRPr="005948DE">
        <w:rPr>
          <w:rFonts w:ascii="Times New Roman" w:hAnsi="Times New Roman" w:cs="Times New Roman"/>
          <w:color w:val="000000" w:themeColor="text1"/>
        </w:rPr>
        <w:t xml:space="preserve"> will be reviewed and revised for the part financed by the </w:t>
      </w:r>
      <w:r w:rsidR="00AF3C21">
        <w:rPr>
          <w:rFonts w:ascii="Times New Roman" w:hAnsi="Times New Roman" w:cs="Times New Roman"/>
          <w:color w:val="000000" w:themeColor="text1"/>
        </w:rPr>
        <w:t>Bank</w:t>
      </w:r>
      <w:r w:rsidR="00AF3C21" w:rsidRPr="005948DE">
        <w:rPr>
          <w:rFonts w:ascii="Times New Roman" w:hAnsi="Times New Roman" w:cs="Times New Roman"/>
          <w:color w:val="000000" w:themeColor="text1"/>
        </w:rPr>
        <w:t xml:space="preserve"> </w:t>
      </w:r>
      <w:r w:rsidRPr="005948DE">
        <w:rPr>
          <w:rFonts w:ascii="Times New Roman" w:hAnsi="Times New Roman" w:cs="Times New Roman"/>
          <w:color w:val="000000" w:themeColor="text1"/>
        </w:rPr>
        <w:t>and assess whether the ESA is compliant to the ESF requirements.</w:t>
      </w:r>
    </w:p>
    <w:p w14:paraId="375DA082" w14:textId="0B682DD8" w:rsidR="00C55550" w:rsidRPr="005948DE" w:rsidRDefault="00C55550" w:rsidP="006F115D">
      <w:pPr>
        <w:pStyle w:val="Heading3"/>
        <w:numPr>
          <w:ilvl w:val="2"/>
          <w:numId w:val="330"/>
        </w:numPr>
        <w:spacing w:before="0" w:after="120" w:line="276" w:lineRule="auto"/>
        <w:jc w:val="both"/>
        <w:rPr>
          <w:rFonts w:ascii="Times New Roman" w:hAnsi="Times New Roman" w:cs="Times New Roman"/>
          <w:smallCaps/>
          <w:color w:val="auto"/>
        </w:rPr>
      </w:pPr>
      <w:bookmarkStart w:id="552" w:name="_Toc89025128"/>
      <w:bookmarkStart w:id="553" w:name="_Toc89025133"/>
      <w:bookmarkStart w:id="554" w:name="_Toc89025134"/>
      <w:bookmarkStart w:id="555" w:name="_Toc89025135"/>
      <w:bookmarkStart w:id="556" w:name="_Toc89025136"/>
      <w:bookmarkStart w:id="557" w:name="_Toc89025137"/>
      <w:bookmarkStart w:id="558" w:name="_Toc89025138"/>
      <w:bookmarkStart w:id="559" w:name="_Toc88732366"/>
      <w:bookmarkStart w:id="560" w:name="_Toc93342271"/>
      <w:bookmarkEnd w:id="552"/>
      <w:bookmarkEnd w:id="553"/>
      <w:bookmarkEnd w:id="554"/>
      <w:bookmarkEnd w:id="555"/>
      <w:bookmarkEnd w:id="556"/>
      <w:bookmarkEnd w:id="557"/>
      <w:bookmarkEnd w:id="558"/>
      <w:r w:rsidRPr="005948DE">
        <w:rPr>
          <w:rFonts w:ascii="Times New Roman" w:hAnsi="Times New Roman" w:cs="Times New Roman"/>
          <w:color w:val="auto"/>
        </w:rPr>
        <w:t xml:space="preserve">Social </w:t>
      </w:r>
      <w:r w:rsidR="00337235">
        <w:rPr>
          <w:rFonts w:ascii="Times New Roman" w:hAnsi="Times New Roman" w:cs="Times New Roman"/>
          <w:color w:val="auto"/>
        </w:rPr>
        <w:t>screening</w:t>
      </w:r>
      <w:r w:rsidR="00337235" w:rsidRPr="005948DE">
        <w:rPr>
          <w:rFonts w:ascii="Times New Roman" w:hAnsi="Times New Roman" w:cs="Times New Roman"/>
          <w:color w:val="auto"/>
        </w:rPr>
        <w:t xml:space="preserve"> </w:t>
      </w:r>
      <w:r w:rsidR="006E30EF">
        <w:rPr>
          <w:rFonts w:ascii="Times New Roman" w:hAnsi="Times New Roman" w:cs="Times New Roman"/>
          <w:color w:val="auto"/>
        </w:rPr>
        <w:t>o</w:t>
      </w:r>
      <w:r w:rsidR="006E30EF" w:rsidRPr="005948DE">
        <w:rPr>
          <w:rFonts w:ascii="Times New Roman" w:hAnsi="Times New Roman" w:cs="Times New Roman"/>
          <w:color w:val="auto"/>
        </w:rPr>
        <w:t xml:space="preserve">f Infrastructure Investments </w:t>
      </w:r>
      <w:r w:rsidR="006E30EF">
        <w:rPr>
          <w:rFonts w:ascii="Times New Roman" w:hAnsi="Times New Roman" w:cs="Times New Roman"/>
          <w:color w:val="auto"/>
        </w:rPr>
        <w:t>f</w:t>
      </w:r>
      <w:r w:rsidR="006E30EF" w:rsidRPr="005948DE">
        <w:rPr>
          <w:rFonts w:ascii="Times New Roman" w:hAnsi="Times New Roman" w:cs="Times New Roman"/>
          <w:color w:val="auto"/>
        </w:rPr>
        <w:t xml:space="preserve">or Land Acquisition, Restriction </w:t>
      </w:r>
      <w:r w:rsidR="006E30EF">
        <w:rPr>
          <w:rFonts w:ascii="Times New Roman" w:hAnsi="Times New Roman" w:cs="Times New Roman"/>
          <w:color w:val="auto"/>
        </w:rPr>
        <w:t>o</w:t>
      </w:r>
      <w:r w:rsidR="006E30EF" w:rsidRPr="005948DE">
        <w:rPr>
          <w:rFonts w:ascii="Times New Roman" w:hAnsi="Times New Roman" w:cs="Times New Roman"/>
          <w:color w:val="auto"/>
        </w:rPr>
        <w:t xml:space="preserve">n Land Use </w:t>
      </w:r>
      <w:r w:rsidR="006E30EF">
        <w:rPr>
          <w:rFonts w:ascii="Times New Roman" w:hAnsi="Times New Roman" w:cs="Times New Roman"/>
          <w:color w:val="auto"/>
        </w:rPr>
        <w:t>a</w:t>
      </w:r>
      <w:r w:rsidR="006E30EF" w:rsidRPr="005948DE">
        <w:rPr>
          <w:rFonts w:ascii="Times New Roman" w:hAnsi="Times New Roman" w:cs="Times New Roman"/>
          <w:color w:val="auto"/>
        </w:rPr>
        <w:t>nd Involuntary Resettlement Impacts</w:t>
      </w:r>
      <w:bookmarkEnd w:id="559"/>
      <w:bookmarkEnd w:id="560"/>
    </w:p>
    <w:p w14:paraId="1DE37930" w14:textId="416654BF" w:rsidR="00C55550" w:rsidRPr="005948DE" w:rsidRDefault="00C55550" w:rsidP="006F115D">
      <w:pPr>
        <w:pStyle w:val="BOdy0"/>
        <w:spacing w:after="120" w:line="240" w:lineRule="auto"/>
        <w:jc w:val="both"/>
        <w:rPr>
          <w:rFonts w:ascii="Times New Roman" w:hAnsi="Times New Roman" w:cs="Times New Roman"/>
          <w:color w:val="auto"/>
        </w:rPr>
      </w:pPr>
      <w:r w:rsidRPr="005948DE">
        <w:rPr>
          <w:rFonts w:ascii="Times New Roman" w:hAnsi="Times New Roman" w:cs="Times New Roman"/>
          <w:color w:val="auto"/>
        </w:rPr>
        <w:t xml:space="preserve">The PIU will receive preliminary information from </w:t>
      </w:r>
      <w:r w:rsidR="00EA79C9">
        <w:rPr>
          <w:rFonts w:ascii="Times New Roman" w:hAnsi="Times New Roman" w:cs="Times New Roman"/>
          <w:color w:val="auto"/>
        </w:rPr>
        <w:t xml:space="preserve">the </w:t>
      </w:r>
      <w:r w:rsidR="00493EB8" w:rsidRPr="005948DE">
        <w:rPr>
          <w:rFonts w:ascii="Times New Roman" w:hAnsi="Times New Roman" w:cs="Times New Roman"/>
          <w:color w:val="auto"/>
        </w:rPr>
        <w:t xml:space="preserve">LSGs </w:t>
      </w:r>
      <w:r w:rsidRPr="005948DE">
        <w:rPr>
          <w:rFonts w:ascii="Times New Roman" w:hAnsi="Times New Roman" w:cs="Times New Roman"/>
          <w:color w:val="auto"/>
        </w:rPr>
        <w:t xml:space="preserve">once the locations of proposed </w:t>
      </w:r>
      <w:r w:rsidR="00420737" w:rsidRPr="005948DE">
        <w:rPr>
          <w:rFonts w:ascii="Times New Roman" w:hAnsi="Times New Roman" w:cs="Times New Roman"/>
          <w:color w:val="auto"/>
        </w:rPr>
        <w:t>infrastructure investment</w:t>
      </w:r>
      <w:r w:rsidRPr="005948DE">
        <w:rPr>
          <w:rFonts w:ascii="Times New Roman" w:hAnsi="Times New Roman" w:cs="Times New Roman"/>
          <w:color w:val="auto"/>
        </w:rPr>
        <w:t xml:space="preserve">s are known. The required information shall include a description of the nature, scope and location of the proposed </w:t>
      </w:r>
      <w:r w:rsidR="00420737" w:rsidRPr="005948DE">
        <w:rPr>
          <w:rFonts w:ascii="Times New Roman" w:hAnsi="Times New Roman" w:cs="Times New Roman"/>
          <w:color w:val="auto"/>
        </w:rPr>
        <w:t>infrastructure investment</w:t>
      </w:r>
      <w:r w:rsidRPr="005948DE">
        <w:rPr>
          <w:rFonts w:ascii="Times New Roman" w:hAnsi="Times New Roman" w:cs="Times New Roman"/>
          <w:color w:val="auto"/>
        </w:rPr>
        <w:t xml:space="preserve">, accompanied by location maps and any other details as may be required. By using the resettlement screening checklist provided in Annex </w:t>
      </w:r>
      <w:r w:rsidR="00E2669C" w:rsidRPr="005948DE">
        <w:rPr>
          <w:rFonts w:ascii="Times New Roman" w:hAnsi="Times New Roman" w:cs="Times New Roman"/>
          <w:color w:val="auto"/>
        </w:rPr>
        <w:t>8</w:t>
      </w:r>
      <w:r w:rsidRPr="005948DE">
        <w:rPr>
          <w:rFonts w:ascii="Times New Roman" w:hAnsi="Times New Roman" w:cs="Times New Roman"/>
          <w:color w:val="auto"/>
        </w:rPr>
        <w:t xml:space="preserve"> of the RPF, the </w:t>
      </w:r>
      <w:r w:rsidR="00EA79C9">
        <w:rPr>
          <w:rFonts w:ascii="Times New Roman" w:hAnsi="Times New Roman" w:cs="Times New Roman"/>
          <w:color w:val="auto"/>
        </w:rPr>
        <w:t>S</w:t>
      </w:r>
      <w:r w:rsidR="00EA79C9" w:rsidRPr="005948DE">
        <w:rPr>
          <w:rFonts w:ascii="Times New Roman" w:hAnsi="Times New Roman" w:cs="Times New Roman"/>
          <w:color w:val="auto"/>
        </w:rPr>
        <w:t xml:space="preserve">ocial </w:t>
      </w:r>
      <w:r w:rsidR="00EA79C9">
        <w:rPr>
          <w:rFonts w:ascii="Times New Roman" w:hAnsi="Times New Roman" w:cs="Times New Roman"/>
          <w:color w:val="auto"/>
        </w:rPr>
        <w:t>S</w:t>
      </w:r>
      <w:r w:rsidR="00EA79C9" w:rsidRPr="005948DE">
        <w:rPr>
          <w:rFonts w:ascii="Times New Roman" w:hAnsi="Times New Roman" w:cs="Times New Roman"/>
          <w:color w:val="auto"/>
        </w:rPr>
        <w:t xml:space="preserve">afeguard </w:t>
      </w:r>
      <w:r w:rsidR="00DB78E0" w:rsidRPr="005948DE">
        <w:rPr>
          <w:rFonts w:ascii="Times New Roman" w:hAnsi="Times New Roman" w:cs="Times New Roman"/>
          <w:color w:val="auto"/>
        </w:rPr>
        <w:t xml:space="preserve">and </w:t>
      </w:r>
      <w:r w:rsidR="00AF3C21">
        <w:rPr>
          <w:rFonts w:ascii="Times New Roman" w:hAnsi="Times New Roman" w:cs="Times New Roman"/>
          <w:color w:val="auto"/>
        </w:rPr>
        <w:t>CE</w:t>
      </w:r>
      <w:r w:rsidR="00EA79C9" w:rsidRPr="005948DE">
        <w:rPr>
          <w:rFonts w:ascii="Times New Roman" w:hAnsi="Times New Roman" w:cs="Times New Roman"/>
          <w:color w:val="auto"/>
        </w:rPr>
        <w:t xml:space="preserve"> </w:t>
      </w:r>
      <w:r w:rsidR="00DB78E0" w:rsidRPr="005948DE">
        <w:rPr>
          <w:rFonts w:ascii="Times New Roman" w:hAnsi="Times New Roman" w:cs="Times New Roman"/>
          <w:color w:val="auto"/>
        </w:rPr>
        <w:t>s</w:t>
      </w:r>
      <w:r w:rsidRPr="005948DE">
        <w:rPr>
          <w:rFonts w:ascii="Times New Roman" w:hAnsi="Times New Roman" w:cs="Times New Roman"/>
          <w:color w:val="auto"/>
        </w:rPr>
        <w:t xml:space="preserve">pecialist retained by the PIU will verify on site the information provided in cooperation with local authorities, to confirm whether the project has potential involuntary resettlement impacts. Screening of activities will be carried out by the PIU’s </w:t>
      </w:r>
      <w:r w:rsidR="00EA79C9">
        <w:rPr>
          <w:rFonts w:ascii="Times New Roman" w:hAnsi="Times New Roman" w:cs="Times New Roman"/>
          <w:color w:val="auto"/>
        </w:rPr>
        <w:t>S</w:t>
      </w:r>
      <w:r w:rsidR="00EA79C9" w:rsidRPr="005948DE">
        <w:rPr>
          <w:rFonts w:ascii="Times New Roman" w:hAnsi="Times New Roman" w:cs="Times New Roman"/>
          <w:color w:val="auto"/>
        </w:rPr>
        <w:t xml:space="preserve">ocial </w:t>
      </w:r>
      <w:r w:rsidR="00EA79C9">
        <w:rPr>
          <w:rFonts w:ascii="Times New Roman" w:hAnsi="Times New Roman" w:cs="Times New Roman"/>
          <w:color w:val="auto"/>
        </w:rPr>
        <w:t>S</w:t>
      </w:r>
      <w:r w:rsidR="00EA79C9" w:rsidRPr="005948DE">
        <w:rPr>
          <w:rFonts w:ascii="Times New Roman" w:hAnsi="Times New Roman" w:cs="Times New Roman"/>
          <w:color w:val="auto"/>
        </w:rPr>
        <w:t xml:space="preserve">afeguard and </w:t>
      </w:r>
      <w:r w:rsidR="00FD43F3">
        <w:rPr>
          <w:rFonts w:ascii="Times New Roman" w:hAnsi="Times New Roman" w:cs="Times New Roman"/>
          <w:color w:val="auto"/>
        </w:rPr>
        <w:t>CE</w:t>
      </w:r>
      <w:r w:rsidRPr="005948DE">
        <w:rPr>
          <w:rFonts w:ascii="Times New Roman" w:hAnsi="Times New Roman" w:cs="Times New Roman"/>
          <w:color w:val="auto"/>
        </w:rPr>
        <w:t>. The screening reports will be endorsed by the Head of the PIU and submitted to the Bank.</w:t>
      </w:r>
      <w:r w:rsidR="00943B59" w:rsidRPr="005948DE">
        <w:rPr>
          <w:rFonts w:ascii="Times New Roman" w:hAnsi="Times New Roman" w:cs="Times New Roman"/>
          <w:color w:val="auto"/>
        </w:rPr>
        <w:t xml:space="preserve"> </w:t>
      </w:r>
      <w:r w:rsidRPr="005948DE">
        <w:rPr>
          <w:rFonts w:ascii="Times New Roman" w:hAnsi="Times New Roman" w:cs="Times New Roman"/>
          <w:color w:val="auto"/>
        </w:rPr>
        <w:t xml:space="preserve">The screening will rely on the following criteria and will aim to faithfully identify whether the proposed </w:t>
      </w:r>
      <w:r w:rsidR="00420737" w:rsidRPr="005948DE">
        <w:rPr>
          <w:rFonts w:ascii="Times New Roman" w:hAnsi="Times New Roman" w:cs="Times New Roman"/>
          <w:color w:val="auto"/>
        </w:rPr>
        <w:t>infrastructure investment</w:t>
      </w:r>
      <w:r w:rsidRPr="005948DE">
        <w:rPr>
          <w:rFonts w:ascii="Times New Roman" w:hAnsi="Times New Roman" w:cs="Times New Roman"/>
          <w:color w:val="auto"/>
        </w:rPr>
        <w:t>s will have adverse impacts on:</w:t>
      </w:r>
    </w:p>
    <w:p w14:paraId="3AACF7BC"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loss of shelter, physical displacement;</w:t>
      </w:r>
    </w:p>
    <w:p w14:paraId="18A8C436"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assets/resources or access to assets/resources;</w:t>
      </w:r>
    </w:p>
    <w:p w14:paraId="1D7C0816"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loss of income sources or means of livelihood;</w:t>
      </w:r>
    </w:p>
    <w:p w14:paraId="3A4EFDDF"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loss of, or loss of access to, land;</w:t>
      </w:r>
    </w:p>
    <w:p w14:paraId="036E319A"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loss of business both permanent and temporary;</w:t>
      </w:r>
    </w:p>
    <w:p w14:paraId="35718F67"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loss of access to education and health of the community;</w:t>
      </w:r>
    </w:p>
    <w:p w14:paraId="60972D92"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loss of community recourse;</w:t>
      </w:r>
    </w:p>
    <w:p w14:paraId="22BC1B00" w14:textId="77777777" w:rsidR="00C55550" w:rsidRPr="005948DE" w:rsidRDefault="00C55550" w:rsidP="006F115D">
      <w:pPr>
        <w:pStyle w:val="ListParagraph"/>
        <w:widowControl w:val="0"/>
        <w:numPr>
          <w:ilvl w:val="0"/>
          <w:numId w:val="229"/>
        </w:numPr>
        <w:autoSpaceDE w:val="0"/>
        <w:autoSpaceDN w:val="0"/>
        <w:adjustRightInd w:val="0"/>
        <w:spacing w:after="120" w:line="276" w:lineRule="auto"/>
        <w:ind w:left="714" w:hanging="357"/>
        <w:jc w:val="both"/>
        <w:rPr>
          <w:rFonts w:ascii="Times New Roman" w:eastAsia="Calibri" w:hAnsi="Times New Roman" w:cs="Times New Roman"/>
        </w:rPr>
      </w:pPr>
      <w:r w:rsidRPr="005948DE">
        <w:rPr>
          <w:rFonts w:ascii="Times New Roman" w:eastAsia="Calibri" w:hAnsi="Times New Roman" w:cs="Times New Roman"/>
        </w:rPr>
        <w:t>vulnerable persons and households.</w:t>
      </w:r>
    </w:p>
    <w:p w14:paraId="25648420" w14:textId="7C172819" w:rsidR="00C55550" w:rsidRPr="005948DE" w:rsidRDefault="00C55550" w:rsidP="00C307B0">
      <w:pPr>
        <w:pStyle w:val="BOdy0"/>
        <w:spacing w:after="120"/>
        <w:jc w:val="both"/>
        <w:rPr>
          <w:rFonts w:ascii="Times New Roman" w:hAnsi="Times New Roman" w:cs="Times New Roman"/>
          <w:color w:val="auto"/>
        </w:rPr>
      </w:pPr>
      <w:r w:rsidRPr="005948DE">
        <w:rPr>
          <w:rFonts w:ascii="Times New Roman" w:hAnsi="Times New Roman" w:cs="Times New Roman"/>
          <w:color w:val="auto"/>
        </w:rPr>
        <w:t xml:space="preserve">The Social </w:t>
      </w:r>
      <w:r w:rsidR="00337235">
        <w:rPr>
          <w:rFonts w:ascii="Times New Roman" w:hAnsi="Times New Roman" w:cs="Times New Roman"/>
          <w:color w:val="auto"/>
        </w:rPr>
        <w:t>screening</w:t>
      </w:r>
      <w:r w:rsidRPr="005948DE">
        <w:rPr>
          <w:rFonts w:ascii="Times New Roman" w:hAnsi="Times New Roman" w:cs="Times New Roman"/>
          <w:color w:val="auto"/>
        </w:rPr>
        <w:t xml:space="preserve"> will identify persons with formal rights to land and assets (including customary and traditional rights recognized under the laws of the country). The </w:t>
      </w:r>
      <w:r w:rsidR="00337235">
        <w:rPr>
          <w:rFonts w:ascii="Times New Roman" w:hAnsi="Times New Roman" w:cs="Times New Roman"/>
          <w:color w:val="auto"/>
        </w:rPr>
        <w:t>screening</w:t>
      </w:r>
      <w:r w:rsidRPr="005948DE">
        <w:rPr>
          <w:rFonts w:ascii="Times New Roman" w:hAnsi="Times New Roman" w:cs="Times New Roman"/>
          <w:color w:val="auto"/>
        </w:rPr>
        <w:t xml:space="preserve"> will also identify persons who do not have formal rights to land but have a claim to such land and assets. It will not rely only on the use and analysis of secondary data that is readily available, but will also require a walk-over survey to validate that the secondary data provides a true, reliable and accurate accounting of the social environment. In cases where no conclusive decisions can be drawn from the walkover survey, further efforts will be made to acquire and verify information through key informant interviews, focus group discussions and other adequate methodology.</w:t>
      </w:r>
      <w:r w:rsidR="00943B59" w:rsidRPr="005948DE">
        <w:rPr>
          <w:rFonts w:ascii="Times New Roman" w:hAnsi="Times New Roman" w:cs="Times New Roman"/>
          <w:color w:val="auto"/>
        </w:rPr>
        <w:t xml:space="preserve"> </w:t>
      </w:r>
      <w:r w:rsidRPr="005948DE">
        <w:rPr>
          <w:rFonts w:ascii="Times New Roman" w:hAnsi="Times New Roman" w:cs="Times New Roman"/>
          <w:color w:val="auto"/>
        </w:rPr>
        <w:t xml:space="preserve">If the </w:t>
      </w:r>
      <w:r w:rsidR="00337235">
        <w:rPr>
          <w:rFonts w:ascii="Times New Roman" w:hAnsi="Times New Roman" w:cs="Times New Roman"/>
          <w:color w:val="auto"/>
        </w:rPr>
        <w:t>screening</w:t>
      </w:r>
      <w:r w:rsidRPr="005948DE">
        <w:rPr>
          <w:rFonts w:ascii="Times New Roman" w:hAnsi="Times New Roman" w:cs="Times New Roman"/>
          <w:color w:val="auto"/>
        </w:rPr>
        <w:t xml:space="preserve"> finds that such impacts as described above are present on </w:t>
      </w:r>
      <w:r w:rsidR="00420737" w:rsidRPr="005948DE">
        <w:rPr>
          <w:rFonts w:ascii="Times New Roman" w:hAnsi="Times New Roman" w:cs="Times New Roman"/>
          <w:color w:val="auto"/>
        </w:rPr>
        <w:t>infrastructure investment</w:t>
      </w:r>
      <w:r w:rsidRPr="005948DE">
        <w:rPr>
          <w:rFonts w:ascii="Times New Roman" w:hAnsi="Times New Roman" w:cs="Times New Roman"/>
          <w:color w:val="auto"/>
        </w:rPr>
        <w:t xml:space="preserve"> affected land, a RAP applicable will be prepared based on the principles and guidance provided by the RPF.</w:t>
      </w:r>
    </w:p>
    <w:p w14:paraId="1B262A43" w14:textId="1F58FFC7" w:rsidR="00C55550" w:rsidRPr="005948DE" w:rsidRDefault="00FD43F3" w:rsidP="00C307B0">
      <w:pPr>
        <w:pStyle w:val="BOdy0"/>
        <w:spacing w:after="120"/>
        <w:jc w:val="both"/>
      </w:pPr>
      <w:r w:rsidRPr="005948DE">
        <w:rPr>
          <w:rFonts w:ascii="Times New Roman" w:hAnsi="Times New Roman" w:cs="Times New Roman"/>
          <w:color w:val="auto"/>
        </w:rPr>
        <w:t>C</w:t>
      </w:r>
      <w:r>
        <w:rPr>
          <w:rFonts w:ascii="Times New Roman" w:hAnsi="Times New Roman" w:cs="Times New Roman"/>
          <w:color w:val="auto"/>
        </w:rPr>
        <w:t>ovid</w:t>
      </w:r>
      <w:r w:rsidR="00C55550" w:rsidRPr="005948DE">
        <w:rPr>
          <w:rFonts w:ascii="Times New Roman" w:hAnsi="Times New Roman" w:cs="Times New Roman"/>
          <w:color w:val="auto"/>
        </w:rPr>
        <w:t xml:space="preserve">-19 consideration - Since the current </w:t>
      </w:r>
      <w:r w:rsidRPr="005948DE">
        <w:rPr>
          <w:rFonts w:ascii="Times New Roman" w:hAnsi="Times New Roman" w:cs="Times New Roman"/>
          <w:color w:val="auto"/>
        </w:rPr>
        <w:t>C</w:t>
      </w:r>
      <w:r>
        <w:rPr>
          <w:rFonts w:ascii="Times New Roman" w:hAnsi="Times New Roman" w:cs="Times New Roman"/>
          <w:color w:val="auto"/>
        </w:rPr>
        <w:t>ovid-</w:t>
      </w:r>
      <w:r w:rsidR="00C55550" w:rsidRPr="005948DE">
        <w:rPr>
          <w:rFonts w:ascii="Times New Roman" w:hAnsi="Times New Roman" w:cs="Times New Roman"/>
          <w:color w:val="auto"/>
        </w:rPr>
        <w:t>19 pandemics could take unpredictable turns site visits and travels might not be allowed. Depending on the severity on non-pharmaceutical interventions and measures imposed by the public authorities and the Go</w:t>
      </w:r>
      <w:r w:rsidR="00EA79C9">
        <w:rPr>
          <w:rFonts w:ascii="Times New Roman" w:hAnsi="Times New Roman" w:cs="Times New Roman"/>
          <w:color w:val="auto"/>
        </w:rPr>
        <w:t>S</w:t>
      </w:r>
      <w:r w:rsidR="00EF65D5" w:rsidRPr="005948DE">
        <w:rPr>
          <w:rFonts w:ascii="Times New Roman" w:hAnsi="Times New Roman" w:cs="Times New Roman"/>
          <w:color w:val="auto"/>
        </w:rPr>
        <w:t>,</w:t>
      </w:r>
      <w:r w:rsidR="00C55550" w:rsidRPr="005948DE">
        <w:rPr>
          <w:rFonts w:ascii="Times New Roman" w:hAnsi="Times New Roman" w:cs="Times New Roman"/>
          <w:color w:val="auto"/>
        </w:rPr>
        <w:t xml:space="preserve"> the Social analysis will be adapted to acceptable telephone surveys, census and surveys conducted through appropriately trained local representatives who will have received adequate training from the PIUs Public </w:t>
      </w:r>
      <w:r>
        <w:rPr>
          <w:rFonts w:ascii="Times New Roman" w:hAnsi="Times New Roman" w:cs="Times New Roman"/>
          <w:color w:val="auto"/>
        </w:rPr>
        <w:t>C</w:t>
      </w:r>
      <w:r w:rsidRPr="005948DE">
        <w:rPr>
          <w:rFonts w:ascii="Times New Roman" w:hAnsi="Times New Roman" w:cs="Times New Roman"/>
          <w:color w:val="auto"/>
        </w:rPr>
        <w:t>ommunications</w:t>
      </w:r>
      <w:r w:rsidR="00C55550" w:rsidRPr="005948DE">
        <w:rPr>
          <w:rFonts w:ascii="Times New Roman" w:hAnsi="Times New Roman" w:cs="Times New Roman"/>
          <w:color w:val="auto"/>
        </w:rPr>
        <w:t xml:space="preserve">, </w:t>
      </w:r>
      <w:r>
        <w:rPr>
          <w:rFonts w:ascii="Times New Roman" w:hAnsi="Times New Roman" w:cs="Times New Roman"/>
          <w:color w:val="auto"/>
        </w:rPr>
        <w:t>S</w:t>
      </w:r>
      <w:r w:rsidRPr="005948DE">
        <w:rPr>
          <w:rFonts w:ascii="Times New Roman" w:hAnsi="Times New Roman" w:cs="Times New Roman"/>
          <w:color w:val="auto"/>
        </w:rPr>
        <w:t xml:space="preserve">ocial </w:t>
      </w:r>
      <w:r w:rsidR="00C55550" w:rsidRPr="005948DE">
        <w:rPr>
          <w:rFonts w:ascii="Times New Roman" w:hAnsi="Times New Roman" w:cs="Times New Roman"/>
          <w:color w:val="auto"/>
        </w:rPr>
        <w:t xml:space="preserve">and </w:t>
      </w:r>
      <w:r>
        <w:rPr>
          <w:rFonts w:ascii="Times New Roman" w:hAnsi="Times New Roman" w:cs="Times New Roman"/>
          <w:color w:val="auto"/>
        </w:rPr>
        <w:t>CE</w:t>
      </w:r>
      <w:r w:rsidR="00C55550" w:rsidRPr="005948DE">
        <w:rPr>
          <w:rFonts w:ascii="Times New Roman" w:hAnsi="Times New Roman" w:cs="Times New Roman"/>
          <w:color w:val="auto"/>
        </w:rPr>
        <w:t xml:space="preserve"> Specialist to be hired under the project.</w:t>
      </w:r>
    </w:p>
    <w:p w14:paraId="222FFC72" w14:textId="30D8F946" w:rsidR="00C55550" w:rsidRPr="005948DE" w:rsidRDefault="00943B59"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r w:rsidRPr="005948DE">
        <w:rPr>
          <w:rFonts w:ascii="Times New Roman" w:hAnsi="Times New Roman" w:cs="Times New Roman"/>
          <w:smallCaps w:val="0"/>
          <w:color w:val="auto"/>
          <w:sz w:val="24"/>
        </w:rPr>
        <w:t xml:space="preserve"> </w:t>
      </w:r>
      <w:bookmarkStart w:id="561" w:name="_Toc88732367"/>
      <w:bookmarkStart w:id="562" w:name="_Toc93342272"/>
      <w:r w:rsidR="00C55550" w:rsidRPr="005948DE">
        <w:rPr>
          <w:rFonts w:ascii="Times New Roman" w:hAnsi="Times New Roman" w:cs="Times New Roman"/>
          <w:smallCaps w:val="0"/>
          <w:color w:val="auto"/>
          <w:sz w:val="24"/>
        </w:rPr>
        <w:t>Monitoring and Reporting</w:t>
      </w:r>
      <w:bookmarkEnd w:id="561"/>
      <w:bookmarkEnd w:id="562"/>
      <w:r w:rsidR="00C55550" w:rsidRPr="005948DE">
        <w:rPr>
          <w:rFonts w:ascii="Times New Roman" w:hAnsi="Times New Roman" w:cs="Times New Roman"/>
          <w:smallCaps w:val="0"/>
          <w:color w:val="auto"/>
          <w:sz w:val="24"/>
        </w:rPr>
        <w:t xml:space="preserve"> </w:t>
      </w:r>
    </w:p>
    <w:p w14:paraId="66BCEC64" w14:textId="07D5869D" w:rsidR="00725DCD" w:rsidRPr="005948DE" w:rsidRDefault="00C55550" w:rsidP="006F115D">
      <w:pPr>
        <w:autoSpaceDE w:val="0"/>
        <w:autoSpaceDN w:val="0"/>
        <w:adjustRightInd w:val="0"/>
        <w:spacing w:after="0" w:line="240" w:lineRule="auto"/>
        <w:jc w:val="both"/>
        <w:rPr>
          <w:rFonts w:ascii="Times New Roman" w:eastAsiaTheme="majorEastAsia" w:hAnsi="Times New Roman" w:cs="Times New Roman"/>
          <w:b/>
          <w:bCs/>
          <w:sz w:val="30"/>
          <w:szCs w:val="30"/>
        </w:rPr>
      </w:pPr>
      <w:r w:rsidRPr="005948DE">
        <w:rPr>
          <w:rFonts w:ascii="Times New Roman" w:eastAsia="Calibri" w:hAnsi="Times New Roman" w:cs="Times New Roman"/>
        </w:rPr>
        <w:t xml:space="preserve">The PIUs will report on ESA implementation and E&amp;S (ESF, national regulation, and EHSG) compliance to </w:t>
      </w:r>
      <w:r w:rsidR="00EA79C9">
        <w:rPr>
          <w:rFonts w:ascii="Times New Roman" w:eastAsia="Calibri" w:hAnsi="Times New Roman" w:cs="Times New Roman"/>
        </w:rPr>
        <w:t>the Bank</w:t>
      </w:r>
      <w:r w:rsidR="00EA79C9" w:rsidRPr="005948DE">
        <w:rPr>
          <w:rFonts w:ascii="Times New Roman" w:eastAsia="Calibri" w:hAnsi="Times New Roman" w:cs="Times New Roman"/>
        </w:rPr>
        <w:t xml:space="preserve"> </w:t>
      </w:r>
      <w:r w:rsidRPr="005948DE">
        <w:rPr>
          <w:rFonts w:ascii="Times New Roman" w:eastAsia="Calibri" w:hAnsi="Times New Roman" w:cs="Times New Roman"/>
        </w:rPr>
        <w:t xml:space="preserve">in Progress Reports, while </w:t>
      </w:r>
      <w:r w:rsidR="00420737" w:rsidRPr="005948DE">
        <w:rPr>
          <w:rFonts w:ascii="Times New Roman" w:eastAsia="Calibri" w:hAnsi="Times New Roman" w:cs="Times New Roman"/>
        </w:rPr>
        <w:t>infrastructure investment</w:t>
      </w:r>
      <w:r w:rsidRPr="005948DE">
        <w:rPr>
          <w:rFonts w:ascii="Times New Roman" w:eastAsia="Calibri" w:hAnsi="Times New Roman" w:cs="Times New Roman"/>
        </w:rPr>
        <w:t xml:space="preserve"> ESAs implementation reporting will be quarterly, unless differently agreed with </w:t>
      </w:r>
      <w:r w:rsidR="00EA79C9">
        <w:rPr>
          <w:rFonts w:ascii="Times New Roman" w:eastAsia="Calibri" w:hAnsi="Times New Roman" w:cs="Times New Roman"/>
        </w:rPr>
        <w:t>the Bank’s</w:t>
      </w:r>
      <w:r w:rsidRPr="005948DE">
        <w:rPr>
          <w:rFonts w:ascii="Times New Roman" w:eastAsia="Calibri" w:hAnsi="Times New Roman" w:cs="Times New Roman"/>
        </w:rPr>
        <w:t xml:space="preserve"> E&amp;S specialists. </w:t>
      </w:r>
      <w:r w:rsidR="00EA79C9">
        <w:rPr>
          <w:rFonts w:ascii="Times New Roman" w:eastAsia="Calibri" w:hAnsi="Times New Roman" w:cs="Times New Roman"/>
        </w:rPr>
        <w:t xml:space="preserve">The </w:t>
      </w:r>
      <w:r w:rsidRPr="005948DE">
        <w:rPr>
          <w:rFonts w:ascii="Times New Roman" w:eastAsia="Calibri" w:hAnsi="Times New Roman" w:cs="Times New Roman"/>
        </w:rPr>
        <w:t>P</w:t>
      </w:r>
      <w:r w:rsidR="00EA79C9">
        <w:rPr>
          <w:rFonts w:ascii="Times New Roman" w:eastAsia="Calibri" w:hAnsi="Times New Roman" w:cs="Times New Roman"/>
        </w:rPr>
        <w:t>I</w:t>
      </w:r>
      <w:r w:rsidRPr="005948DE">
        <w:rPr>
          <w:rFonts w:ascii="Times New Roman" w:eastAsia="Calibri" w:hAnsi="Times New Roman" w:cs="Times New Roman"/>
        </w:rPr>
        <w:t xml:space="preserve">U would report on regular basis to the Bank on </w:t>
      </w:r>
      <w:r w:rsidR="00420737" w:rsidRPr="005948DE">
        <w:rPr>
          <w:rFonts w:ascii="Times New Roman" w:eastAsia="Calibri" w:hAnsi="Times New Roman" w:cs="Times New Roman"/>
        </w:rPr>
        <w:t>infrastructure investment</w:t>
      </w:r>
      <w:r w:rsidRPr="005948DE">
        <w:rPr>
          <w:rFonts w:ascii="Times New Roman" w:eastAsia="Calibri" w:hAnsi="Times New Roman" w:cs="Times New Roman"/>
        </w:rPr>
        <w:t>s screening, approval and monitoring results</w:t>
      </w:r>
      <w:r w:rsidR="00EA79C9">
        <w:rPr>
          <w:rFonts w:ascii="Times New Roman" w:eastAsia="Calibri" w:hAnsi="Times New Roman" w:cs="Times New Roman"/>
          <w:color w:val="00D25F"/>
        </w:rPr>
        <w:t>.</w:t>
      </w:r>
      <w:bookmarkStart w:id="563" w:name="_Toc24664317"/>
      <w:bookmarkStart w:id="564" w:name="_Toc24664318"/>
      <w:bookmarkEnd w:id="501"/>
      <w:bookmarkEnd w:id="563"/>
      <w:bookmarkEnd w:id="564"/>
      <w:r w:rsidR="00725DCD" w:rsidRPr="005948DE">
        <w:rPr>
          <w:rFonts w:ascii="Times New Roman" w:hAnsi="Times New Roman" w:cs="Times New Roman"/>
          <w:smallCaps/>
          <w:color w:val="0066FF"/>
        </w:rPr>
        <w:br w:type="page"/>
      </w:r>
    </w:p>
    <w:p w14:paraId="5AA5D6AC" w14:textId="2D4CD789" w:rsidR="002E50FB" w:rsidRPr="005948DE" w:rsidRDefault="002E50FB" w:rsidP="005948DE">
      <w:pPr>
        <w:pStyle w:val="Heading1"/>
        <w:numPr>
          <w:ilvl w:val="0"/>
          <w:numId w:val="330"/>
        </w:numPr>
        <w:pBdr>
          <w:bottom w:val="none" w:sz="0" w:space="0" w:color="auto"/>
        </w:pBdr>
        <w:spacing w:line="276" w:lineRule="auto"/>
        <w:jc w:val="both"/>
        <w:rPr>
          <w:rFonts w:ascii="Times New Roman" w:hAnsi="Times New Roman" w:cs="Times New Roman"/>
          <w:smallCaps w:val="0"/>
          <w:color w:val="auto"/>
          <w:sz w:val="30"/>
          <w:szCs w:val="30"/>
        </w:rPr>
      </w:pPr>
      <w:bookmarkStart w:id="565" w:name="_Toc93342273"/>
      <w:r w:rsidRPr="005948DE">
        <w:rPr>
          <w:rFonts w:ascii="Times New Roman" w:hAnsi="Times New Roman" w:cs="Times New Roman"/>
          <w:smallCaps w:val="0"/>
          <w:color w:val="auto"/>
          <w:sz w:val="30"/>
          <w:szCs w:val="30"/>
        </w:rPr>
        <w:t>FINANCIAL MANAGEMENT</w:t>
      </w:r>
      <w:bookmarkEnd w:id="565"/>
    </w:p>
    <w:p w14:paraId="77DA6624" w14:textId="77777777" w:rsidR="00EB32D1" w:rsidRPr="006E30EF"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szCs w:val="24"/>
        </w:rPr>
      </w:pPr>
      <w:bookmarkStart w:id="566" w:name="_Toc61610191"/>
      <w:bookmarkStart w:id="567" w:name="_Toc93342274"/>
      <w:r w:rsidRPr="006E30EF">
        <w:rPr>
          <w:rFonts w:ascii="Times New Roman" w:hAnsi="Times New Roman" w:cs="Times New Roman"/>
          <w:smallCaps w:val="0"/>
          <w:color w:val="auto"/>
          <w:sz w:val="24"/>
          <w:szCs w:val="24"/>
        </w:rPr>
        <w:t>Financial Management</w:t>
      </w:r>
      <w:bookmarkEnd w:id="566"/>
      <w:bookmarkEnd w:id="567"/>
    </w:p>
    <w:p w14:paraId="108D7934" w14:textId="2599E61D"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In line with Financial Management Manual</w:t>
      </w:r>
      <w:r w:rsidR="00C67438">
        <w:rPr>
          <w:rFonts w:ascii="Times New Roman" w:hAnsi="Times New Roman" w:cs="Times New Roman"/>
        </w:rPr>
        <w:t xml:space="preserve"> (FMM)</w:t>
      </w:r>
      <w:r w:rsidRPr="005948DE">
        <w:rPr>
          <w:rFonts w:ascii="Times New Roman" w:hAnsi="Times New Roman" w:cs="Times New Roman"/>
        </w:rPr>
        <w:t xml:space="preserve"> and other relevant Bank</w:t>
      </w:r>
      <w:r w:rsidR="00EA79C9">
        <w:rPr>
          <w:rFonts w:ascii="Times New Roman" w:hAnsi="Times New Roman" w:cs="Times New Roman"/>
        </w:rPr>
        <w:t>’s</w:t>
      </w:r>
      <w:r w:rsidRPr="005948DE">
        <w:rPr>
          <w:rFonts w:ascii="Times New Roman" w:hAnsi="Times New Roman" w:cs="Times New Roman"/>
        </w:rPr>
        <w:t xml:space="preserve"> guidelines, the financial management risk has been assessed as substantial. Appropriate financial management arrangements have been instituted for planning and budgeting; flow of funds; internal controls; accounting and reporting; and external audit. There is sufficient implementation capacity for financial management on the side of the implementing entities.</w:t>
      </w:r>
      <w:r w:rsidR="00921B17" w:rsidRPr="005948DE">
        <w:rPr>
          <w:rFonts w:ascii="Times New Roman" w:hAnsi="Times New Roman" w:cs="Times New Roman"/>
        </w:rPr>
        <w:t xml:space="preserve"> </w:t>
      </w:r>
    </w:p>
    <w:p w14:paraId="1E6F78C3" w14:textId="1C1DBF67"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The Project will follow traditional financial management (FM) arrangements. </w:t>
      </w:r>
      <w:r w:rsidR="00FD43F3">
        <w:rPr>
          <w:rFonts w:ascii="Times New Roman" w:hAnsi="Times New Roman" w:cs="Times New Roman"/>
        </w:rPr>
        <w:t>FM</w:t>
      </w:r>
      <w:r w:rsidRPr="005948DE">
        <w:rPr>
          <w:rFonts w:ascii="Times New Roman" w:hAnsi="Times New Roman" w:cs="Times New Roman"/>
        </w:rPr>
        <w:t xml:space="preserve"> of the Project will be the responsibility of the CFU, already established in the MoF. </w:t>
      </w:r>
      <w:r w:rsidR="00EA79C9">
        <w:rPr>
          <w:rFonts w:ascii="Times New Roman" w:hAnsi="Times New Roman" w:cs="Times New Roman"/>
        </w:rPr>
        <w:t xml:space="preserve">The </w:t>
      </w:r>
      <w:r w:rsidRPr="005948DE">
        <w:rPr>
          <w:rFonts w:ascii="Times New Roman" w:hAnsi="Times New Roman" w:cs="Times New Roman"/>
        </w:rPr>
        <w:t xml:space="preserve">CFU will be responsible for </w:t>
      </w:r>
      <w:r w:rsidR="00EA79C9">
        <w:rPr>
          <w:rFonts w:ascii="Times New Roman" w:hAnsi="Times New Roman" w:cs="Times New Roman"/>
        </w:rPr>
        <w:t xml:space="preserve">the </w:t>
      </w:r>
      <w:r w:rsidRPr="005948DE">
        <w:rPr>
          <w:rFonts w:ascii="Times New Roman" w:hAnsi="Times New Roman" w:cs="Times New Roman"/>
        </w:rPr>
        <w:t>establishment and maintenance</w:t>
      </w:r>
      <w:r w:rsidR="00EA79C9">
        <w:rPr>
          <w:rFonts w:ascii="Times New Roman" w:hAnsi="Times New Roman" w:cs="Times New Roman"/>
        </w:rPr>
        <w:t>,</w:t>
      </w:r>
      <w:r w:rsidRPr="005948DE">
        <w:rPr>
          <w:rFonts w:ascii="Times New Roman" w:hAnsi="Times New Roman" w:cs="Times New Roman"/>
        </w:rPr>
        <w:t xml:space="preserve"> during </w:t>
      </w:r>
      <w:r w:rsidR="00EA79C9">
        <w:rPr>
          <w:rFonts w:ascii="Times New Roman" w:hAnsi="Times New Roman" w:cs="Times New Roman"/>
        </w:rPr>
        <w:t xml:space="preserve">the </w:t>
      </w:r>
      <w:r w:rsidRPr="005948DE">
        <w:rPr>
          <w:rFonts w:ascii="Times New Roman" w:hAnsi="Times New Roman" w:cs="Times New Roman"/>
        </w:rPr>
        <w:t>Project lifetime</w:t>
      </w:r>
      <w:r w:rsidR="00EA79C9">
        <w:rPr>
          <w:rFonts w:ascii="Times New Roman" w:hAnsi="Times New Roman" w:cs="Times New Roman"/>
        </w:rPr>
        <w:t>,</w:t>
      </w:r>
      <w:r w:rsidRPr="005948DE">
        <w:rPr>
          <w:rFonts w:ascii="Times New Roman" w:hAnsi="Times New Roman" w:cs="Times New Roman"/>
        </w:rPr>
        <w:t xml:space="preserve"> </w:t>
      </w:r>
      <w:r w:rsidR="00EA79C9">
        <w:rPr>
          <w:rFonts w:ascii="Times New Roman" w:hAnsi="Times New Roman" w:cs="Times New Roman"/>
        </w:rPr>
        <w:t xml:space="preserve">of </w:t>
      </w:r>
      <w:r w:rsidRPr="005948DE">
        <w:rPr>
          <w:rFonts w:ascii="Times New Roman" w:hAnsi="Times New Roman" w:cs="Times New Roman"/>
        </w:rPr>
        <w:t>the Financial Management System (FMS) acceptable to the Bank and the AFD, which includes: (i) proper accounting system, (ii) financial reporting system, (iii) internal control system and (iv) financial procedures.</w:t>
      </w:r>
    </w:p>
    <w:p w14:paraId="3578A583" w14:textId="77777777"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68" w:name="_Toc61610192"/>
      <w:bookmarkStart w:id="569" w:name="_Toc93342275"/>
      <w:r w:rsidRPr="005948DE">
        <w:rPr>
          <w:rFonts w:ascii="Times New Roman" w:hAnsi="Times New Roman" w:cs="Times New Roman"/>
          <w:smallCaps w:val="0"/>
          <w:color w:val="auto"/>
          <w:sz w:val="24"/>
        </w:rPr>
        <w:t>Accounting System</w:t>
      </w:r>
      <w:bookmarkEnd w:id="568"/>
      <w:bookmarkEnd w:id="569"/>
      <w:r w:rsidRPr="005948DE">
        <w:rPr>
          <w:rFonts w:ascii="Times New Roman" w:hAnsi="Times New Roman" w:cs="Times New Roman"/>
          <w:smallCaps w:val="0"/>
          <w:color w:val="auto"/>
          <w:sz w:val="24"/>
        </w:rPr>
        <w:t xml:space="preserve"> </w:t>
      </w:r>
    </w:p>
    <w:p w14:paraId="3862760E" w14:textId="099FB133" w:rsidR="00554638"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Acceptable accounting software is in place and administered by the CFU, and it will be used for </w:t>
      </w:r>
      <w:r w:rsidR="00EA79C9">
        <w:rPr>
          <w:rFonts w:ascii="Times New Roman" w:hAnsi="Times New Roman" w:cs="Times New Roman"/>
        </w:rPr>
        <w:t xml:space="preserve">the </w:t>
      </w:r>
      <w:r w:rsidRPr="005948DE">
        <w:rPr>
          <w:rFonts w:ascii="Times New Roman" w:hAnsi="Times New Roman" w:cs="Times New Roman"/>
        </w:rPr>
        <w:t xml:space="preserve">Project accounting and reporting. Accounting records should include appropriate analytics of expenditures per contract and each specific payment. The Project will follow cash basis of accounting (cash based IPSAS), recording transactions when actual payment is done, rather than when they are incurred. Transactions should be accounted for within </w:t>
      </w:r>
      <w:r w:rsidR="00EA79C9">
        <w:rPr>
          <w:rFonts w:ascii="Times New Roman" w:hAnsi="Times New Roman" w:cs="Times New Roman"/>
        </w:rPr>
        <w:t>eight</w:t>
      </w:r>
      <w:r w:rsidR="00EA79C9" w:rsidRPr="005948DE">
        <w:rPr>
          <w:rFonts w:ascii="Times New Roman" w:hAnsi="Times New Roman" w:cs="Times New Roman"/>
        </w:rPr>
        <w:t xml:space="preserve"> </w:t>
      </w:r>
      <w:r w:rsidRPr="005948DE">
        <w:rPr>
          <w:rFonts w:ascii="Times New Roman" w:hAnsi="Times New Roman" w:cs="Times New Roman"/>
        </w:rPr>
        <w:t xml:space="preserve">days after incurring. There should be appropriate back up of accounting records on external drives, as well as appropriate security regulation with regard to access and editing rights of the financial information. The accounting system will be maintained and performed by </w:t>
      </w:r>
      <w:r w:rsidR="00EA79C9">
        <w:rPr>
          <w:rFonts w:ascii="Times New Roman" w:hAnsi="Times New Roman" w:cs="Times New Roman"/>
        </w:rPr>
        <w:t xml:space="preserve">the </w:t>
      </w:r>
      <w:r w:rsidRPr="005948DE">
        <w:rPr>
          <w:rFonts w:ascii="Times New Roman" w:hAnsi="Times New Roman" w:cs="Times New Roman"/>
        </w:rPr>
        <w:t xml:space="preserve">CFU </w:t>
      </w:r>
      <w:r w:rsidR="00F32453" w:rsidRPr="005948DE">
        <w:rPr>
          <w:rFonts w:ascii="Times New Roman" w:hAnsi="Times New Roman" w:cs="Times New Roman"/>
        </w:rPr>
        <w:t xml:space="preserve">Financial </w:t>
      </w:r>
      <w:r w:rsidR="00F32453">
        <w:rPr>
          <w:rFonts w:ascii="Times New Roman" w:hAnsi="Times New Roman" w:cs="Times New Roman"/>
        </w:rPr>
        <w:t xml:space="preserve">Management </w:t>
      </w:r>
      <w:r w:rsidRPr="005948DE">
        <w:rPr>
          <w:rFonts w:ascii="Times New Roman" w:hAnsi="Times New Roman" w:cs="Times New Roman"/>
        </w:rPr>
        <w:t>Specialist.</w:t>
      </w:r>
    </w:p>
    <w:p w14:paraId="3457CEFB" w14:textId="248D3368" w:rsidR="00554638" w:rsidRPr="005948DE" w:rsidRDefault="00EA79C9" w:rsidP="005948DE">
      <w:pPr>
        <w:spacing w:line="276" w:lineRule="auto"/>
        <w:jc w:val="both"/>
        <w:rPr>
          <w:rFonts w:ascii="Times New Roman" w:hAnsi="Times New Roman" w:cs="Times New Roman"/>
        </w:rPr>
      </w:pPr>
      <w:r>
        <w:rPr>
          <w:rFonts w:ascii="Times New Roman" w:hAnsi="Times New Roman" w:cs="Times New Roman"/>
        </w:rPr>
        <w:t xml:space="preserve">The </w:t>
      </w:r>
      <w:r w:rsidR="00554638" w:rsidRPr="005948DE">
        <w:rPr>
          <w:rFonts w:ascii="Times New Roman" w:hAnsi="Times New Roman" w:cs="Times New Roman"/>
        </w:rPr>
        <w:t xml:space="preserve">CFU Financial </w:t>
      </w:r>
      <w:r w:rsidR="00F32453">
        <w:rPr>
          <w:rFonts w:ascii="Times New Roman" w:hAnsi="Times New Roman" w:cs="Times New Roman"/>
        </w:rPr>
        <w:t xml:space="preserve">Management </w:t>
      </w:r>
      <w:r w:rsidR="00554638" w:rsidRPr="005948DE">
        <w:rPr>
          <w:rFonts w:ascii="Times New Roman" w:hAnsi="Times New Roman" w:cs="Times New Roman"/>
        </w:rPr>
        <w:t>Specialist will be responsible to ensure that following fundamental principles are respected:</w:t>
      </w:r>
    </w:p>
    <w:p w14:paraId="27AC4023" w14:textId="77777777"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A true and fair view of financial position and financial performance presented by the financial statements,</w:t>
      </w:r>
    </w:p>
    <w:p w14:paraId="16254719" w14:textId="77777777"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Financial statements should contain full disclosure of all material information and should be accompanied by supplementary notes to explain or qualify various accounts,</w:t>
      </w:r>
    </w:p>
    <w:p w14:paraId="2F254F64" w14:textId="7683A727"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Full disclosure of the accounting principles and financial policies adopted</w:t>
      </w:r>
      <w:r w:rsidR="00FA3B57" w:rsidRPr="005948DE">
        <w:rPr>
          <w:rFonts w:ascii="Times New Roman" w:hAnsi="Times New Roman" w:cs="Times New Roman"/>
        </w:rPr>
        <w:t>,</w:t>
      </w:r>
      <w:r w:rsidRPr="005948DE">
        <w:rPr>
          <w:rFonts w:ascii="Times New Roman" w:hAnsi="Times New Roman" w:cs="Times New Roman"/>
        </w:rPr>
        <w:t xml:space="preserve"> as well as disclosure of any subsequent changes in either existing accounting practices or financial policies should be included in the notes to the financial statement,</w:t>
      </w:r>
    </w:p>
    <w:p w14:paraId="456389D7" w14:textId="45696FC6"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 xml:space="preserve">Financial statements should be fair presentation of </w:t>
      </w:r>
      <w:r w:rsidR="00EA79C9">
        <w:rPr>
          <w:rFonts w:ascii="Times New Roman" w:hAnsi="Times New Roman" w:cs="Times New Roman"/>
        </w:rPr>
        <w:t xml:space="preserve">the </w:t>
      </w:r>
      <w:r w:rsidRPr="005948DE">
        <w:rPr>
          <w:rFonts w:ascii="Times New Roman" w:hAnsi="Times New Roman" w:cs="Times New Roman"/>
        </w:rPr>
        <w:t>Project's financial position.</w:t>
      </w:r>
    </w:p>
    <w:p w14:paraId="16ABE722" w14:textId="77777777" w:rsidR="00554638"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In order to ensure that accounting practices are followed consistently from one period to another, so that financial statements are comparable, following accounting principles shall be respected:</w:t>
      </w:r>
    </w:p>
    <w:p w14:paraId="5BCEB7A6" w14:textId="07CA817C"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Regularity - All accounting records are conformed to enforce</w:t>
      </w:r>
      <w:r w:rsidR="00FA3B57" w:rsidRPr="005948DE">
        <w:rPr>
          <w:rFonts w:ascii="Times New Roman" w:hAnsi="Times New Roman" w:cs="Times New Roman"/>
        </w:rPr>
        <w:t xml:space="preserve"> national</w:t>
      </w:r>
      <w:r w:rsidRPr="005948DE">
        <w:rPr>
          <w:rFonts w:ascii="Times New Roman" w:hAnsi="Times New Roman" w:cs="Times New Roman"/>
        </w:rPr>
        <w:t xml:space="preserve"> rules and laws;</w:t>
      </w:r>
    </w:p>
    <w:p w14:paraId="24685344" w14:textId="77777777"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Consistency - Once fixed method for the accounting treatment of an item, will apply and enter exactly in the same way as all similar items that follows;</w:t>
      </w:r>
    </w:p>
    <w:p w14:paraId="514F2A20" w14:textId="054CEAD8"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 xml:space="preserve">Complete - All appropriate transactions have been recorded in accordance with the accounting procedures set in </w:t>
      </w:r>
      <w:r w:rsidR="00C67438">
        <w:rPr>
          <w:rFonts w:ascii="Times New Roman" w:hAnsi="Times New Roman" w:cs="Times New Roman"/>
        </w:rPr>
        <w:t>FMM</w:t>
      </w:r>
      <w:r w:rsidRPr="005948DE">
        <w:rPr>
          <w:rFonts w:ascii="Times New Roman" w:hAnsi="Times New Roman" w:cs="Times New Roman"/>
        </w:rPr>
        <w:t xml:space="preserve"> and other relevant Bank guidelines</w:t>
      </w:r>
    </w:p>
    <w:p w14:paraId="650FDFF8" w14:textId="77777777"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Relevant - Accounting information is relevant when accounting transactions are recorded and reported in timely fashion;</w:t>
      </w:r>
    </w:p>
    <w:p w14:paraId="2D101ED6" w14:textId="48DB0FB0" w:rsidR="00554638" w:rsidRPr="005948DE" w:rsidRDefault="00554638" w:rsidP="005948DE">
      <w:pPr>
        <w:pStyle w:val="ListParagraph"/>
        <w:numPr>
          <w:ilvl w:val="0"/>
          <w:numId w:val="125"/>
        </w:numPr>
        <w:spacing w:after="240" w:line="276" w:lineRule="auto"/>
        <w:jc w:val="both"/>
        <w:rPr>
          <w:rFonts w:ascii="Times New Roman" w:hAnsi="Times New Roman" w:cs="Times New Roman"/>
        </w:rPr>
      </w:pPr>
      <w:r w:rsidRPr="005948DE">
        <w:rPr>
          <w:rFonts w:ascii="Times New Roman" w:hAnsi="Times New Roman" w:cs="Times New Roman"/>
        </w:rPr>
        <w:t>All accounts should be updated and reconciled regularly, no less frequently than monthly</w:t>
      </w:r>
      <w:r w:rsidR="004F1D1E" w:rsidRPr="005948DE">
        <w:rPr>
          <w:rFonts w:ascii="Times New Roman" w:hAnsi="Times New Roman" w:cs="Times New Roman"/>
        </w:rPr>
        <w:t xml:space="preserve">. </w:t>
      </w:r>
    </w:p>
    <w:p w14:paraId="5E7BC73D" w14:textId="77777777" w:rsidR="00554638" w:rsidRPr="00665F55" w:rsidRDefault="00554638" w:rsidP="00665F55">
      <w:pPr>
        <w:pStyle w:val="ListParagraph"/>
        <w:numPr>
          <w:ilvl w:val="0"/>
          <w:numId w:val="709"/>
        </w:numPr>
        <w:spacing w:after="240" w:line="276" w:lineRule="auto"/>
        <w:jc w:val="both"/>
        <w:rPr>
          <w:rFonts w:ascii="Times New Roman" w:hAnsi="Times New Roman" w:cs="Times New Roman"/>
        </w:rPr>
      </w:pPr>
      <w:r w:rsidRPr="00665F55">
        <w:rPr>
          <w:rFonts w:ascii="Times New Roman" w:hAnsi="Times New Roman" w:cs="Times New Roman"/>
        </w:rPr>
        <w:t>Reliable - It means that information is free from material error and it is neutral, respectively, it is free from bias, accurately presents the facts and faithfully represents what is supposed to represent;</w:t>
      </w:r>
    </w:p>
    <w:p w14:paraId="4D9764A6" w14:textId="456E8C7D" w:rsidR="00554638" w:rsidRPr="00665F55" w:rsidRDefault="00554638" w:rsidP="00665F55">
      <w:pPr>
        <w:pStyle w:val="ListParagraph"/>
        <w:numPr>
          <w:ilvl w:val="0"/>
          <w:numId w:val="709"/>
        </w:numPr>
        <w:spacing w:after="240" w:line="276" w:lineRule="auto"/>
        <w:jc w:val="both"/>
        <w:rPr>
          <w:rFonts w:ascii="Times New Roman" w:hAnsi="Times New Roman" w:cs="Times New Roman"/>
        </w:rPr>
      </w:pPr>
      <w:r w:rsidRPr="00665F55">
        <w:rPr>
          <w:rFonts w:ascii="Times New Roman" w:hAnsi="Times New Roman" w:cs="Times New Roman"/>
        </w:rPr>
        <w:t xml:space="preserve">Comparable - Enables </w:t>
      </w:r>
      <w:r w:rsidR="00C67438" w:rsidRPr="00665F55">
        <w:rPr>
          <w:rFonts w:ascii="Times New Roman" w:hAnsi="Times New Roman" w:cs="Times New Roman"/>
        </w:rPr>
        <w:t xml:space="preserve">the </w:t>
      </w:r>
      <w:r w:rsidRPr="00665F55">
        <w:rPr>
          <w:rFonts w:ascii="Times New Roman" w:hAnsi="Times New Roman" w:cs="Times New Roman"/>
        </w:rPr>
        <w:t>CFU and</w:t>
      </w:r>
      <w:r w:rsidR="00C67438" w:rsidRPr="00665F55">
        <w:rPr>
          <w:rFonts w:ascii="Times New Roman" w:hAnsi="Times New Roman" w:cs="Times New Roman"/>
        </w:rPr>
        <w:t xml:space="preserve"> the</w:t>
      </w:r>
      <w:r w:rsidRPr="00665F55">
        <w:rPr>
          <w:rFonts w:ascii="Times New Roman" w:hAnsi="Times New Roman" w:cs="Times New Roman"/>
        </w:rPr>
        <w:t xml:space="preserve"> PIU to compare financial reports of the Project and specific activity over time in order to identify trends in </w:t>
      </w:r>
      <w:r w:rsidR="00C67438" w:rsidRPr="00665F55">
        <w:rPr>
          <w:rFonts w:ascii="Times New Roman" w:hAnsi="Times New Roman" w:cs="Times New Roman"/>
        </w:rPr>
        <w:t xml:space="preserve">the </w:t>
      </w:r>
      <w:r w:rsidRPr="00665F55">
        <w:rPr>
          <w:rFonts w:ascii="Times New Roman" w:hAnsi="Times New Roman" w:cs="Times New Roman"/>
        </w:rPr>
        <w:t>Project financial position and performance</w:t>
      </w:r>
      <w:r w:rsidR="00C67438" w:rsidRPr="00665F55">
        <w:rPr>
          <w:rFonts w:ascii="Times New Roman" w:hAnsi="Times New Roman" w:cs="Times New Roman"/>
        </w:rPr>
        <w:t>;</w:t>
      </w:r>
    </w:p>
    <w:p w14:paraId="43FD06F3" w14:textId="3D107D77" w:rsidR="00554638" w:rsidRPr="00665F55" w:rsidRDefault="00554638" w:rsidP="00665F55">
      <w:pPr>
        <w:pStyle w:val="ListParagraph"/>
        <w:numPr>
          <w:ilvl w:val="0"/>
          <w:numId w:val="709"/>
        </w:numPr>
        <w:spacing w:after="240" w:line="276" w:lineRule="auto"/>
        <w:jc w:val="both"/>
        <w:rPr>
          <w:rFonts w:ascii="Times New Roman" w:hAnsi="Times New Roman" w:cs="Times New Roman"/>
        </w:rPr>
      </w:pPr>
      <w:r w:rsidRPr="00665F55">
        <w:rPr>
          <w:rFonts w:ascii="Times New Roman" w:hAnsi="Times New Roman" w:cs="Times New Roman"/>
        </w:rPr>
        <w:t>Understandable - Accounting records provide all needed information</w:t>
      </w:r>
      <w:r w:rsidR="00C67438" w:rsidRPr="00665F55">
        <w:rPr>
          <w:rFonts w:ascii="Times New Roman" w:hAnsi="Times New Roman" w:cs="Times New Roman"/>
        </w:rPr>
        <w:t>;</w:t>
      </w:r>
    </w:p>
    <w:p w14:paraId="5D007F87" w14:textId="16F5AD27" w:rsidR="00554638" w:rsidRPr="00665F55" w:rsidRDefault="00554638" w:rsidP="00665F55">
      <w:pPr>
        <w:pStyle w:val="ListParagraph"/>
        <w:numPr>
          <w:ilvl w:val="0"/>
          <w:numId w:val="709"/>
        </w:numPr>
        <w:spacing w:after="240" w:line="276" w:lineRule="auto"/>
        <w:jc w:val="both"/>
        <w:rPr>
          <w:rFonts w:ascii="Times New Roman" w:hAnsi="Times New Roman" w:cs="Times New Roman"/>
        </w:rPr>
      </w:pPr>
      <w:r w:rsidRPr="00665F55">
        <w:rPr>
          <w:rFonts w:ascii="Times New Roman" w:hAnsi="Times New Roman" w:cs="Times New Roman"/>
        </w:rPr>
        <w:t xml:space="preserve">Acceptable to the outside world - </w:t>
      </w:r>
      <w:r w:rsidR="006E30EF">
        <w:rPr>
          <w:rFonts w:ascii="Times New Roman" w:hAnsi="Times New Roman" w:cs="Times New Roman"/>
        </w:rPr>
        <w:t>e</w:t>
      </w:r>
      <w:r w:rsidR="006E30EF" w:rsidRPr="00665F55">
        <w:rPr>
          <w:rFonts w:ascii="Times New Roman" w:hAnsi="Times New Roman" w:cs="Times New Roman"/>
        </w:rPr>
        <w:t xml:space="preserve">specially </w:t>
      </w:r>
      <w:r w:rsidRPr="00665F55">
        <w:rPr>
          <w:rFonts w:ascii="Times New Roman" w:hAnsi="Times New Roman" w:cs="Times New Roman"/>
        </w:rPr>
        <w:t>to the MCTI and the Bank.</w:t>
      </w:r>
    </w:p>
    <w:p w14:paraId="7729436B" w14:textId="60EF244D" w:rsidR="00554638"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Considering that the Project will be implemented by the MCTI, </w:t>
      </w:r>
      <w:r w:rsidR="00C67438">
        <w:rPr>
          <w:rFonts w:ascii="Times New Roman" w:hAnsi="Times New Roman" w:cs="Times New Roman"/>
        </w:rPr>
        <w:t xml:space="preserve">and </w:t>
      </w:r>
      <w:r w:rsidRPr="005948DE">
        <w:rPr>
          <w:rFonts w:ascii="Times New Roman" w:hAnsi="Times New Roman" w:cs="Times New Roman"/>
        </w:rPr>
        <w:t xml:space="preserve">assisted with the CFU for financial issues, </w:t>
      </w:r>
      <w:r w:rsidR="00C67438">
        <w:rPr>
          <w:rFonts w:ascii="Times New Roman" w:hAnsi="Times New Roman" w:cs="Times New Roman"/>
        </w:rPr>
        <w:t xml:space="preserve">the </w:t>
      </w:r>
      <w:r w:rsidRPr="005948DE">
        <w:rPr>
          <w:rFonts w:ascii="Times New Roman" w:hAnsi="Times New Roman" w:cs="Times New Roman"/>
        </w:rPr>
        <w:t xml:space="preserve">Financial Department in the MCTI will be responsible for opening and maintaining of the Project record account in RSD. This Project Account should be separated from the other operation accounts of the MCTI. </w:t>
      </w:r>
    </w:p>
    <w:p w14:paraId="050C56DC" w14:textId="30213193" w:rsidR="00554638"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Since subject of this Project are investments in the infrastructure, vehicles, machinery, equipment, etc., where final beneficiaries are </w:t>
      </w:r>
      <w:r w:rsidR="00C67438">
        <w:rPr>
          <w:rFonts w:ascii="Times New Roman" w:hAnsi="Times New Roman" w:cs="Times New Roman"/>
        </w:rPr>
        <w:t xml:space="preserve">the </w:t>
      </w:r>
      <w:r w:rsidRPr="005948DE">
        <w:rPr>
          <w:rFonts w:ascii="Times New Roman" w:hAnsi="Times New Roman" w:cs="Times New Roman"/>
        </w:rPr>
        <w:t xml:space="preserve">LSGs, who will be also responsible for future management and maintenance, recording of investments will be done in compliance with the relevant provision of the </w:t>
      </w:r>
      <w:r w:rsidR="006913CC" w:rsidRPr="005948DE">
        <w:rPr>
          <w:rFonts w:ascii="Times New Roman" w:hAnsi="Times New Roman" w:cs="Times New Roman"/>
        </w:rPr>
        <w:t>G</w:t>
      </w:r>
      <w:r w:rsidR="00FD43F3">
        <w:rPr>
          <w:rFonts w:ascii="Times New Roman" w:hAnsi="Times New Roman" w:cs="Times New Roman"/>
        </w:rPr>
        <w:t>A</w:t>
      </w:r>
      <w:r w:rsidR="00835C1A">
        <w:rPr>
          <w:rFonts w:ascii="Times New Roman" w:hAnsi="Times New Roman" w:cs="Times New Roman"/>
        </w:rPr>
        <w:t xml:space="preserve"> </w:t>
      </w:r>
      <w:r w:rsidR="004F1D1E" w:rsidRPr="005948DE">
        <w:rPr>
          <w:rFonts w:ascii="Times New Roman" w:hAnsi="Times New Roman" w:cs="Times New Roman"/>
        </w:rPr>
        <w:t>to</w:t>
      </w:r>
      <w:r w:rsidRPr="005948DE">
        <w:rPr>
          <w:rFonts w:ascii="Times New Roman" w:hAnsi="Times New Roman" w:cs="Times New Roman"/>
        </w:rPr>
        <w:t xml:space="preserve"> be signed by the MCTI and </w:t>
      </w:r>
      <w:r w:rsidR="00C67438">
        <w:rPr>
          <w:rFonts w:ascii="Times New Roman" w:hAnsi="Times New Roman" w:cs="Times New Roman"/>
        </w:rPr>
        <w:t xml:space="preserve">the </w:t>
      </w:r>
      <w:r w:rsidRPr="005948DE">
        <w:rPr>
          <w:rFonts w:ascii="Times New Roman" w:hAnsi="Times New Roman" w:cs="Times New Roman"/>
        </w:rPr>
        <w:t>LSG</w:t>
      </w:r>
      <w:r w:rsidR="00917962" w:rsidRPr="005948DE">
        <w:rPr>
          <w:rFonts w:ascii="Times New Roman" w:hAnsi="Times New Roman" w:cs="Times New Roman"/>
        </w:rPr>
        <w:t>s</w:t>
      </w:r>
      <w:r w:rsidRPr="005948DE">
        <w:rPr>
          <w:rFonts w:ascii="Times New Roman" w:hAnsi="Times New Roman" w:cs="Times New Roman"/>
        </w:rPr>
        <w:t xml:space="preserve">. </w:t>
      </w:r>
    </w:p>
    <w:p w14:paraId="1B62280B" w14:textId="3C41A4EC"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70" w:name="_Toc61610193"/>
      <w:bookmarkStart w:id="571" w:name="_Toc93342276"/>
      <w:r w:rsidRPr="005948DE">
        <w:rPr>
          <w:rFonts w:ascii="Times New Roman" w:hAnsi="Times New Roman" w:cs="Times New Roman"/>
          <w:smallCaps w:val="0"/>
          <w:color w:val="auto"/>
          <w:sz w:val="24"/>
        </w:rPr>
        <w:t>Financial Repor</w:t>
      </w:r>
      <w:bookmarkEnd w:id="570"/>
      <w:r w:rsidR="004375E3" w:rsidRPr="005948DE">
        <w:rPr>
          <w:rFonts w:ascii="Times New Roman" w:hAnsi="Times New Roman" w:cs="Times New Roman"/>
          <w:smallCaps w:val="0"/>
          <w:color w:val="auto"/>
          <w:sz w:val="24"/>
        </w:rPr>
        <w:t>t</w:t>
      </w:r>
      <w:r w:rsidR="006573FD" w:rsidRPr="005948DE">
        <w:rPr>
          <w:rFonts w:ascii="Times New Roman" w:hAnsi="Times New Roman" w:cs="Times New Roman"/>
          <w:smallCaps w:val="0"/>
          <w:color w:val="auto"/>
          <w:sz w:val="24"/>
        </w:rPr>
        <w:t>ing</w:t>
      </w:r>
      <w:bookmarkEnd w:id="571"/>
    </w:p>
    <w:p w14:paraId="5C6D7ADE" w14:textId="4E5DA201" w:rsidR="00554638" w:rsidRPr="005948DE" w:rsidRDefault="004375E3" w:rsidP="005948DE">
      <w:pPr>
        <w:spacing w:line="276" w:lineRule="auto"/>
        <w:jc w:val="both"/>
        <w:rPr>
          <w:rFonts w:ascii="Times New Roman" w:hAnsi="Times New Roman" w:cs="Times New Roman"/>
        </w:rPr>
      </w:pPr>
      <w:r w:rsidRPr="005948DE">
        <w:rPr>
          <w:rFonts w:ascii="Times New Roman" w:hAnsi="Times New Roman" w:cs="Times New Roman"/>
        </w:rPr>
        <w:t xml:space="preserve">The CFU must prepare and furnish to the Bank not later than forty-five (45) days after the end of each calendar quarter, interim unaudited financial reports (IFR) for the Project covering the quarter. </w:t>
      </w:r>
      <w:r w:rsidR="00554638" w:rsidRPr="005948DE">
        <w:rPr>
          <w:rFonts w:ascii="Times New Roman" w:hAnsi="Times New Roman" w:cs="Times New Roman"/>
        </w:rPr>
        <w:t xml:space="preserve">The CFU Financial Specialist will submit a full set of interim IFRs consolidated for all </w:t>
      </w:r>
      <w:r w:rsidR="00C67438">
        <w:rPr>
          <w:rFonts w:ascii="Times New Roman" w:hAnsi="Times New Roman" w:cs="Times New Roman"/>
        </w:rPr>
        <w:t>P</w:t>
      </w:r>
      <w:r w:rsidR="00554638" w:rsidRPr="005948DE">
        <w:rPr>
          <w:rFonts w:ascii="Times New Roman" w:hAnsi="Times New Roman" w:cs="Times New Roman"/>
        </w:rPr>
        <w:t xml:space="preserve">roject components and subcomponents for each calendar quarter throughout the life of the </w:t>
      </w:r>
      <w:r w:rsidR="00C67438">
        <w:rPr>
          <w:rFonts w:ascii="Times New Roman" w:hAnsi="Times New Roman" w:cs="Times New Roman"/>
        </w:rPr>
        <w:t>P</w:t>
      </w:r>
      <w:r w:rsidR="00C67438" w:rsidRPr="005948DE">
        <w:rPr>
          <w:rFonts w:ascii="Times New Roman" w:hAnsi="Times New Roman" w:cs="Times New Roman"/>
        </w:rPr>
        <w:t>roject</w:t>
      </w:r>
      <w:r w:rsidR="00554638" w:rsidRPr="005948DE">
        <w:rPr>
          <w:rFonts w:ascii="Times New Roman" w:hAnsi="Times New Roman" w:cs="Times New Roman"/>
        </w:rPr>
        <w:t xml:space="preserve">. IFRs will be made available to the AFD through the </w:t>
      </w:r>
      <w:r w:rsidR="00FD43F3">
        <w:rPr>
          <w:rFonts w:ascii="Times New Roman" w:hAnsi="Times New Roman" w:cs="Times New Roman"/>
        </w:rPr>
        <w:t>Bank</w:t>
      </w:r>
      <w:r w:rsidR="00554638" w:rsidRPr="005948DE">
        <w:rPr>
          <w:rFonts w:ascii="Times New Roman" w:hAnsi="Times New Roman" w:cs="Times New Roman"/>
        </w:rPr>
        <w:t xml:space="preserve">. IFRs will be prepared in line with cash basis of accounting. The CFU Financial Specialist will be responsible for </w:t>
      </w:r>
      <w:r w:rsidR="00C67438">
        <w:rPr>
          <w:rFonts w:ascii="Times New Roman" w:hAnsi="Times New Roman" w:cs="Times New Roman"/>
        </w:rPr>
        <w:t xml:space="preserve">the </w:t>
      </w:r>
      <w:r w:rsidR="00554638" w:rsidRPr="005948DE">
        <w:rPr>
          <w:rFonts w:ascii="Times New Roman" w:hAnsi="Times New Roman" w:cs="Times New Roman"/>
        </w:rPr>
        <w:t xml:space="preserve">preparation of the IFRs, as well as </w:t>
      </w:r>
      <w:r w:rsidR="00C67438">
        <w:rPr>
          <w:rFonts w:ascii="Times New Roman" w:hAnsi="Times New Roman" w:cs="Times New Roman"/>
        </w:rPr>
        <w:t xml:space="preserve">for </w:t>
      </w:r>
      <w:r w:rsidR="00554638" w:rsidRPr="005948DE">
        <w:rPr>
          <w:rFonts w:ascii="Times New Roman" w:hAnsi="Times New Roman" w:cs="Times New Roman"/>
        </w:rPr>
        <w:t xml:space="preserve">annual Project financial statements. The reporting currency will be EUR, as the currency of the </w:t>
      </w:r>
      <w:r w:rsidR="00C67438">
        <w:rPr>
          <w:rFonts w:ascii="Times New Roman" w:hAnsi="Times New Roman" w:cs="Times New Roman"/>
        </w:rPr>
        <w:t>L</w:t>
      </w:r>
      <w:r w:rsidR="00554638" w:rsidRPr="005948DE">
        <w:rPr>
          <w:rFonts w:ascii="Times New Roman" w:hAnsi="Times New Roman" w:cs="Times New Roman"/>
        </w:rPr>
        <w:t xml:space="preserve">oan. IFRs are intended to comprise the following reports (i) Cash Receipts and Payments, including comparison of budgeted versus actual amounts, (ii) Uses of Funds by Activity, (iii) </w:t>
      </w:r>
      <w:r w:rsidR="00842328" w:rsidRPr="005948DE">
        <w:rPr>
          <w:rFonts w:ascii="Times New Roman" w:hAnsi="Times New Roman" w:cs="Times New Roman"/>
        </w:rPr>
        <w:t xml:space="preserve">two </w:t>
      </w:r>
      <w:r w:rsidR="002D245F" w:rsidRPr="005948DE">
        <w:rPr>
          <w:rFonts w:ascii="Times New Roman" w:hAnsi="Times New Roman" w:cs="Times New Roman"/>
        </w:rPr>
        <w:t>segregated</w:t>
      </w:r>
      <w:r w:rsidR="00842328" w:rsidRPr="005948DE">
        <w:rPr>
          <w:rFonts w:ascii="Times New Roman" w:hAnsi="Times New Roman" w:cs="Times New Roman"/>
        </w:rPr>
        <w:t xml:space="preserve"> </w:t>
      </w:r>
      <w:r w:rsidR="00FD43F3">
        <w:rPr>
          <w:rFonts w:ascii="Times New Roman" w:hAnsi="Times New Roman" w:cs="Times New Roman"/>
        </w:rPr>
        <w:t>D</w:t>
      </w:r>
      <w:r w:rsidR="00CD6C7F">
        <w:rPr>
          <w:rFonts w:ascii="Times New Roman" w:hAnsi="Times New Roman" w:cs="Times New Roman"/>
        </w:rPr>
        <w:t>a</w:t>
      </w:r>
      <w:r w:rsidR="00FD43F3">
        <w:rPr>
          <w:rFonts w:ascii="Times New Roman" w:hAnsi="Times New Roman" w:cs="Times New Roman"/>
        </w:rPr>
        <w:t>s</w:t>
      </w:r>
      <w:r w:rsidR="00554638" w:rsidRPr="005948DE">
        <w:rPr>
          <w:rFonts w:ascii="Times New Roman" w:hAnsi="Times New Roman" w:cs="Times New Roman"/>
        </w:rPr>
        <w:t xml:space="preserve"> </w:t>
      </w:r>
      <w:r w:rsidR="00D23E88" w:rsidRPr="005948DE">
        <w:rPr>
          <w:rFonts w:ascii="Times New Roman" w:hAnsi="Times New Roman" w:cs="Times New Roman"/>
        </w:rPr>
        <w:t>statements (</w:t>
      </w:r>
      <w:r w:rsidR="00554638" w:rsidRPr="005948DE">
        <w:rPr>
          <w:rFonts w:ascii="Times New Roman" w:hAnsi="Times New Roman" w:cs="Times New Roman"/>
        </w:rPr>
        <w:t>iv) Accounting policies and explanatory notes</w:t>
      </w:r>
      <w:r w:rsidR="005D7C87">
        <w:rPr>
          <w:rFonts w:ascii="Times New Roman" w:hAnsi="Times New Roman" w:cs="Times New Roman"/>
        </w:rPr>
        <w:t xml:space="preserve">, and (v) </w:t>
      </w:r>
      <w:r w:rsidR="005D7C87">
        <w:t>the Grants Breakdown Summary report</w:t>
      </w:r>
    </w:p>
    <w:p w14:paraId="6F0F72F5" w14:textId="3D44F4F7" w:rsidR="00554638"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The IFRs also serve as basis for the annual audited financial statements. The supporting documentation of the Project financial statements shall be maintained by the CFU Financial </w:t>
      </w:r>
      <w:r w:rsidR="00FF2F36">
        <w:rPr>
          <w:rFonts w:ascii="Times New Roman" w:hAnsi="Times New Roman" w:cs="Times New Roman"/>
        </w:rPr>
        <w:t xml:space="preserve">Management </w:t>
      </w:r>
      <w:r w:rsidRPr="005948DE">
        <w:rPr>
          <w:rFonts w:ascii="Times New Roman" w:hAnsi="Times New Roman" w:cs="Times New Roman"/>
        </w:rPr>
        <w:t xml:space="preserve">Specialist and </w:t>
      </w:r>
      <w:r w:rsidR="00C67438">
        <w:rPr>
          <w:rFonts w:ascii="Times New Roman" w:hAnsi="Times New Roman" w:cs="Times New Roman"/>
        </w:rPr>
        <w:t xml:space="preserve">the </w:t>
      </w:r>
      <w:r w:rsidRPr="005948DE">
        <w:rPr>
          <w:rFonts w:ascii="Times New Roman" w:hAnsi="Times New Roman" w:cs="Times New Roman"/>
        </w:rPr>
        <w:t>MCTI and made easily accessible to the Bank</w:t>
      </w:r>
      <w:r w:rsidR="00CD6C7F">
        <w:rPr>
          <w:rFonts w:ascii="Times New Roman" w:hAnsi="Times New Roman" w:cs="Times New Roman"/>
        </w:rPr>
        <w:t>’</w:t>
      </w:r>
      <w:r w:rsidRPr="005948DE">
        <w:rPr>
          <w:rFonts w:ascii="Times New Roman" w:hAnsi="Times New Roman" w:cs="Times New Roman"/>
        </w:rPr>
        <w:t xml:space="preserve">s and </w:t>
      </w:r>
      <w:r w:rsidR="00C67438">
        <w:rPr>
          <w:rFonts w:ascii="Times New Roman" w:hAnsi="Times New Roman" w:cs="Times New Roman"/>
        </w:rPr>
        <w:t xml:space="preserve">the </w:t>
      </w:r>
      <w:r w:rsidRPr="005948DE">
        <w:rPr>
          <w:rFonts w:ascii="Times New Roman" w:hAnsi="Times New Roman" w:cs="Times New Roman"/>
        </w:rPr>
        <w:t>AFD</w:t>
      </w:r>
      <w:r w:rsidR="00CD6C7F">
        <w:rPr>
          <w:rFonts w:ascii="Times New Roman" w:hAnsi="Times New Roman" w:cs="Times New Roman"/>
        </w:rPr>
        <w:t>’</w:t>
      </w:r>
      <w:r w:rsidRPr="005948DE">
        <w:rPr>
          <w:rFonts w:ascii="Times New Roman" w:hAnsi="Times New Roman" w:cs="Times New Roman"/>
        </w:rPr>
        <w:t xml:space="preserve">s supervision missions and to the external </w:t>
      </w:r>
      <w:r w:rsidR="005D7C87" w:rsidRPr="005948DE">
        <w:rPr>
          <w:rFonts w:ascii="Times New Roman" w:hAnsi="Times New Roman" w:cs="Times New Roman"/>
        </w:rPr>
        <w:t>auditors</w:t>
      </w:r>
      <w:r w:rsidR="00FF2F36">
        <w:rPr>
          <w:rFonts w:ascii="Times New Roman" w:hAnsi="Times New Roman" w:cs="Times New Roman"/>
        </w:rPr>
        <w:t>.</w:t>
      </w:r>
    </w:p>
    <w:p w14:paraId="6A1F5EA7" w14:textId="77777777" w:rsidR="00FF2F36" w:rsidRPr="005948DE" w:rsidRDefault="00FF2F36" w:rsidP="00FF2F36">
      <w:pPr>
        <w:spacing w:line="276" w:lineRule="auto"/>
        <w:jc w:val="both"/>
        <w:rPr>
          <w:rFonts w:ascii="Times New Roman" w:hAnsi="Times New Roman" w:cs="Times New Roman"/>
        </w:rPr>
      </w:pPr>
      <w:r>
        <w:rPr>
          <w:rFonts w:ascii="Times New Roman" w:hAnsi="Times New Roman" w:cs="Times New Roman"/>
        </w:rPr>
        <w:t>LSG will furnish to the PIU not later than 25 days after the end of each calendar quarter quarterly Financial Reports documenting the use of Grant proceeds, in RSD currency. These Financial Reports (template will be given by PIU as Annex to GA) will be used as the basis for preparation of Grant Summary Report, in RSD currency, that will be prepared by the PIU and submitted to the CFU no later than 30 days after the end of each calendar quarter. Grant Summary Report (template given in Annex 12 to this document) will be used as the basis for preparation of Breakdown of Grants Summary Report as part of the quarterly IFRs as well as Statement of Expenditure (SOE) for Grants.</w:t>
      </w:r>
    </w:p>
    <w:p w14:paraId="19767BF4" w14:textId="77777777" w:rsidR="00FF2F36" w:rsidRPr="005948DE" w:rsidRDefault="00FF2F36" w:rsidP="005948DE">
      <w:pPr>
        <w:spacing w:line="276" w:lineRule="auto"/>
        <w:jc w:val="both"/>
        <w:rPr>
          <w:rFonts w:ascii="Times New Roman" w:hAnsi="Times New Roman" w:cs="Times New Roman"/>
        </w:rPr>
      </w:pPr>
    </w:p>
    <w:p w14:paraId="21D9DE3A" w14:textId="77777777"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72" w:name="_Toc61610194"/>
      <w:bookmarkStart w:id="573" w:name="_Toc93342277"/>
      <w:r w:rsidRPr="005948DE">
        <w:rPr>
          <w:rFonts w:ascii="Times New Roman" w:hAnsi="Times New Roman" w:cs="Times New Roman"/>
          <w:smallCaps w:val="0"/>
          <w:color w:val="auto"/>
          <w:sz w:val="24"/>
        </w:rPr>
        <w:t>Financial Control</w:t>
      </w:r>
      <w:bookmarkEnd w:id="572"/>
      <w:bookmarkEnd w:id="573"/>
    </w:p>
    <w:p w14:paraId="6B36A28F" w14:textId="77777777" w:rsidR="00554638"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The importance of financial control is to ensure that implementation of the Project is running in smooth, accountable and consistent way, as well as in transparent way. During the implementation period, two types of financial control will be performed: internal and external. </w:t>
      </w:r>
    </w:p>
    <w:p w14:paraId="2A07344C" w14:textId="4290EC5F" w:rsidR="00554638"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A system of internal financial control is established to ensure that transactions amounts are protected from theft or embezzlement, and it will be responsibility of the CFU and </w:t>
      </w:r>
      <w:r w:rsidR="00C67438">
        <w:rPr>
          <w:rFonts w:ascii="Times New Roman" w:hAnsi="Times New Roman" w:cs="Times New Roman"/>
        </w:rPr>
        <w:t xml:space="preserve">the </w:t>
      </w:r>
      <w:r w:rsidRPr="005948DE">
        <w:rPr>
          <w:rFonts w:ascii="Times New Roman" w:hAnsi="Times New Roman" w:cs="Times New Roman"/>
        </w:rPr>
        <w:t>PIU. External financial control will be responsibility of an independent auditor.</w:t>
      </w:r>
    </w:p>
    <w:p w14:paraId="716E1442" w14:textId="7F50D1EC" w:rsidR="00554638" w:rsidRPr="005948DE" w:rsidRDefault="00C67438" w:rsidP="005948DE">
      <w:pPr>
        <w:spacing w:line="276" w:lineRule="auto"/>
        <w:jc w:val="both"/>
        <w:rPr>
          <w:rFonts w:ascii="Times New Roman" w:hAnsi="Times New Roman" w:cs="Times New Roman"/>
        </w:rPr>
      </w:pPr>
      <w:r>
        <w:rPr>
          <w:rFonts w:ascii="Times New Roman" w:hAnsi="Times New Roman" w:cs="Times New Roman"/>
        </w:rPr>
        <w:t xml:space="preserve">The </w:t>
      </w:r>
      <w:r w:rsidR="00554638" w:rsidRPr="005948DE">
        <w:rPr>
          <w:rFonts w:ascii="Times New Roman" w:hAnsi="Times New Roman" w:cs="Times New Roman"/>
        </w:rPr>
        <w:t>PIU</w:t>
      </w:r>
      <w:r>
        <w:rPr>
          <w:rFonts w:ascii="Times New Roman" w:hAnsi="Times New Roman" w:cs="Times New Roman"/>
        </w:rPr>
        <w:t>,</w:t>
      </w:r>
      <w:r w:rsidR="00554638" w:rsidRPr="005948DE">
        <w:rPr>
          <w:rFonts w:ascii="Times New Roman" w:hAnsi="Times New Roman" w:cs="Times New Roman"/>
        </w:rPr>
        <w:t xml:space="preserve"> with </w:t>
      </w:r>
      <w:r>
        <w:rPr>
          <w:rFonts w:ascii="Times New Roman" w:hAnsi="Times New Roman" w:cs="Times New Roman"/>
        </w:rPr>
        <w:t xml:space="preserve">the </w:t>
      </w:r>
      <w:r w:rsidR="00554638" w:rsidRPr="005948DE">
        <w:rPr>
          <w:rFonts w:ascii="Times New Roman" w:hAnsi="Times New Roman" w:cs="Times New Roman"/>
        </w:rPr>
        <w:t>support of the CFU</w:t>
      </w:r>
      <w:r>
        <w:rPr>
          <w:rFonts w:ascii="Times New Roman" w:hAnsi="Times New Roman" w:cs="Times New Roman"/>
        </w:rPr>
        <w:t>,</w:t>
      </w:r>
      <w:r w:rsidR="00554638" w:rsidRPr="005948DE">
        <w:rPr>
          <w:rFonts w:ascii="Times New Roman" w:hAnsi="Times New Roman" w:cs="Times New Roman"/>
        </w:rPr>
        <w:t xml:space="preserve"> will be responsible for:</w:t>
      </w:r>
    </w:p>
    <w:p w14:paraId="270C2136" w14:textId="51797E80" w:rsidR="00554638" w:rsidRPr="005948DE" w:rsidRDefault="00554638" w:rsidP="005948DE">
      <w:pPr>
        <w:pStyle w:val="ListParagraph"/>
        <w:numPr>
          <w:ilvl w:val="0"/>
          <w:numId w:val="529"/>
        </w:numPr>
        <w:spacing w:line="276" w:lineRule="auto"/>
        <w:jc w:val="both"/>
        <w:rPr>
          <w:rFonts w:ascii="Times New Roman" w:hAnsi="Times New Roman" w:cs="Times New Roman"/>
        </w:rPr>
      </w:pPr>
      <w:r w:rsidRPr="005948DE">
        <w:rPr>
          <w:rFonts w:ascii="Times New Roman" w:hAnsi="Times New Roman" w:cs="Times New Roman"/>
        </w:rPr>
        <w:t xml:space="preserve">Determining of the budgets for </w:t>
      </w:r>
      <w:r w:rsidR="00C67438">
        <w:rPr>
          <w:rFonts w:ascii="Times New Roman" w:hAnsi="Times New Roman" w:cs="Times New Roman"/>
        </w:rPr>
        <w:t xml:space="preserve">the </w:t>
      </w:r>
      <w:r w:rsidRPr="005948DE">
        <w:rPr>
          <w:rFonts w:ascii="Times New Roman" w:hAnsi="Times New Roman" w:cs="Times New Roman"/>
        </w:rPr>
        <w:t>Project activities,</w:t>
      </w:r>
    </w:p>
    <w:p w14:paraId="1762EA90" w14:textId="77777777" w:rsidR="00554638" w:rsidRPr="005948DE" w:rsidRDefault="00554638" w:rsidP="005948DE">
      <w:pPr>
        <w:pStyle w:val="ListParagraph"/>
        <w:numPr>
          <w:ilvl w:val="0"/>
          <w:numId w:val="529"/>
        </w:numPr>
        <w:spacing w:line="276" w:lineRule="auto"/>
        <w:jc w:val="both"/>
        <w:rPr>
          <w:rFonts w:ascii="Times New Roman" w:hAnsi="Times New Roman" w:cs="Times New Roman"/>
        </w:rPr>
      </w:pPr>
      <w:r w:rsidRPr="005948DE">
        <w:rPr>
          <w:rFonts w:ascii="Times New Roman" w:hAnsi="Times New Roman" w:cs="Times New Roman"/>
        </w:rPr>
        <w:t>Monitoring of these budgets against expenditures,</w:t>
      </w:r>
    </w:p>
    <w:p w14:paraId="48CD56E7" w14:textId="77777777" w:rsidR="00554638" w:rsidRPr="005948DE" w:rsidRDefault="00554638" w:rsidP="005948DE">
      <w:pPr>
        <w:pStyle w:val="ListParagraph"/>
        <w:numPr>
          <w:ilvl w:val="0"/>
          <w:numId w:val="529"/>
        </w:numPr>
        <w:spacing w:line="276" w:lineRule="auto"/>
        <w:jc w:val="both"/>
        <w:rPr>
          <w:rFonts w:ascii="Times New Roman" w:hAnsi="Times New Roman" w:cs="Times New Roman"/>
        </w:rPr>
      </w:pPr>
      <w:r w:rsidRPr="005948DE">
        <w:rPr>
          <w:rFonts w:ascii="Times New Roman" w:hAnsi="Times New Roman" w:cs="Times New Roman"/>
        </w:rPr>
        <w:t>Managing of these budgets within the limits set,</w:t>
      </w:r>
    </w:p>
    <w:p w14:paraId="088BA56D" w14:textId="77777777" w:rsidR="00554638" w:rsidRPr="005948DE" w:rsidRDefault="00554638" w:rsidP="005948DE">
      <w:pPr>
        <w:pStyle w:val="ListParagraph"/>
        <w:numPr>
          <w:ilvl w:val="0"/>
          <w:numId w:val="529"/>
        </w:numPr>
        <w:spacing w:line="276" w:lineRule="auto"/>
        <w:jc w:val="both"/>
        <w:rPr>
          <w:rFonts w:ascii="Times New Roman" w:hAnsi="Times New Roman" w:cs="Times New Roman"/>
        </w:rPr>
      </w:pPr>
      <w:r w:rsidRPr="005948DE">
        <w:rPr>
          <w:rFonts w:ascii="Times New Roman" w:hAnsi="Times New Roman" w:cs="Times New Roman"/>
        </w:rPr>
        <w:t>Opening, maintenance and controlling/monitoring of special account at the National Bank of Serbia</w:t>
      </w:r>
    </w:p>
    <w:p w14:paraId="70560157" w14:textId="3CF6E1AC" w:rsidR="00554638" w:rsidRPr="005948DE" w:rsidRDefault="00554638" w:rsidP="005948DE">
      <w:pPr>
        <w:pStyle w:val="ListParagraph"/>
        <w:numPr>
          <w:ilvl w:val="0"/>
          <w:numId w:val="529"/>
        </w:numPr>
        <w:spacing w:line="276" w:lineRule="auto"/>
        <w:jc w:val="both"/>
        <w:rPr>
          <w:rFonts w:ascii="Times New Roman" w:hAnsi="Times New Roman" w:cs="Times New Roman"/>
        </w:rPr>
      </w:pPr>
      <w:r w:rsidRPr="005948DE">
        <w:rPr>
          <w:rFonts w:ascii="Times New Roman" w:hAnsi="Times New Roman" w:cs="Times New Roman"/>
        </w:rPr>
        <w:t xml:space="preserve">Opening, maintenance and controlling/monitoring of </w:t>
      </w:r>
      <w:r w:rsidR="00C67438">
        <w:rPr>
          <w:rFonts w:ascii="Times New Roman" w:hAnsi="Times New Roman" w:cs="Times New Roman"/>
        </w:rPr>
        <w:t xml:space="preserve">the </w:t>
      </w:r>
      <w:r w:rsidRPr="005948DE">
        <w:rPr>
          <w:rFonts w:ascii="Times New Roman" w:hAnsi="Times New Roman" w:cs="Times New Roman"/>
        </w:rPr>
        <w:t>Project record account in the MCTI,</w:t>
      </w:r>
    </w:p>
    <w:p w14:paraId="2E7E5008" w14:textId="77777777" w:rsidR="00554638" w:rsidRPr="005948DE" w:rsidRDefault="00554638" w:rsidP="005948DE">
      <w:pPr>
        <w:pStyle w:val="ListParagraph"/>
        <w:numPr>
          <w:ilvl w:val="0"/>
          <w:numId w:val="529"/>
        </w:numPr>
        <w:spacing w:line="276" w:lineRule="auto"/>
        <w:jc w:val="both"/>
        <w:rPr>
          <w:rFonts w:ascii="Times New Roman" w:hAnsi="Times New Roman" w:cs="Times New Roman"/>
        </w:rPr>
      </w:pPr>
      <w:r w:rsidRPr="005948DE">
        <w:rPr>
          <w:rFonts w:ascii="Times New Roman" w:hAnsi="Times New Roman" w:cs="Times New Roman"/>
        </w:rPr>
        <w:t xml:space="preserve">Supervision of all transactions </w:t>
      </w:r>
    </w:p>
    <w:p w14:paraId="3ED10C43" w14:textId="0C7A34D1" w:rsidR="00554638" w:rsidRPr="005948DE" w:rsidRDefault="00C67438" w:rsidP="005948DE">
      <w:pPr>
        <w:pStyle w:val="ListParagraph"/>
        <w:numPr>
          <w:ilvl w:val="0"/>
          <w:numId w:val="529"/>
        </w:numPr>
        <w:spacing w:line="276" w:lineRule="auto"/>
        <w:jc w:val="both"/>
        <w:rPr>
          <w:rFonts w:ascii="Times New Roman" w:hAnsi="Times New Roman" w:cs="Times New Roman"/>
        </w:rPr>
      </w:pPr>
      <w:r>
        <w:rPr>
          <w:rFonts w:ascii="Times New Roman" w:hAnsi="Times New Roman" w:cs="Times New Roman"/>
        </w:rPr>
        <w:t xml:space="preserve">The </w:t>
      </w:r>
      <w:r w:rsidR="00554638" w:rsidRPr="005948DE">
        <w:rPr>
          <w:rFonts w:ascii="Times New Roman" w:hAnsi="Times New Roman" w:cs="Times New Roman"/>
        </w:rPr>
        <w:t>MCTI cash flow statements reflecting the Payments to the contractor</w:t>
      </w:r>
      <w:r w:rsidR="002D245F" w:rsidRPr="005948DE">
        <w:rPr>
          <w:rFonts w:ascii="Times New Roman" w:hAnsi="Times New Roman" w:cs="Times New Roman"/>
        </w:rPr>
        <w:t>s</w:t>
      </w:r>
      <w:r w:rsidR="00554638" w:rsidRPr="005948DE">
        <w:rPr>
          <w:rFonts w:ascii="Times New Roman" w:hAnsi="Times New Roman" w:cs="Times New Roman"/>
        </w:rPr>
        <w:t>/consultant</w:t>
      </w:r>
      <w:r w:rsidR="002D245F" w:rsidRPr="005948DE">
        <w:rPr>
          <w:rFonts w:ascii="Times New Roman" w:hAnsi="Times New Roman" w:cs="Times New Roman"/>
        </w:rPr>
        <w:t>s</w:t>
      </w:r>
      <w:r>
        <w:rPr>
          <w:rFonts w:ascii="Times New Roman" w:hAnsi="Times New Roman" w:cs="Times New Roman"/>
        </w:rPr>
        <w:t>,</w:t>
      </w:r>
    </w:p>
    <w:p w14:paraId="380805FA" w14:textId="4748F8E9" w:rsidR="002D245F" w:rsidRPr="005948DE" w:rsidRDefault="00C67438" w:rsidP="005948DE">
      <w:pPr>
        <w:pStyle w:val="ListParagraph"/>
        <w:numPr>
          <w:ilvl w:val="0"/>
          <w:numId w:val="529"/>
        </w:numPr>
        <w:spacing w:line="276" w:lineRule="auto"/>
        <w:jc w:val="both"/>
        <w:rPr>
          <w:rFonts w:ascii="Times New Roman" w:hAnsi="Times New Roman" w:cs="Times New Roman"/>
        </w:rPr>
      </w:pPr>
      <w:r>
        <w:rPr>
          <w:rFonts w:ascii="Times New Roman" w:hAnsi="Times New Roman" w:cs="Times New Roman"/>
        </w:rPr>
        <w:t xml:space="preserve">The </w:t>
      </w:r>
      <w:r w:rsidR="002D245F" w:rsidRPr="005948DE">
        <w:rPr>
          <w:rFonts w:ascii="Times New Roman" w:hAnsi="Times New Roman" w:cs="Times New Roman"/>
        </w:rPr>
        <w:t>LSG</w:t>
      </w:r>
      <w:r>
        <w:rPr>
          <w:rFonts w:ascii="Times New Roman" w:hAnsi="Times New Roman" w:cs="Times New Roman"/>
        </w:rPr>
        <w:t xml:space="preserve">s </w:t>
      </w:r>
      <w:r w:rsidR="002D245F" w:rsidRPr="005948DE">
        <w:rPr>
          <w:rFonts w:ascii="Times New Roman" w:hAnsi="Times New Roman" w:cs="Times New Roman"/>
        </w:rPr>
        <w:t>cash flow statements reflecting the Payments to the contractor/consultant</w:t>
      </w:r>
      <w:r>
        <w:rPr>
          <w:rFonts w:ascii="Times New Roman" w:hAnsi="Times New Roman" w:cs="Times New Roman"/>
        </w:rPr>
        <w:t>.</w:t>
      </w:r>
    </w:p>
    <w:p w14:paraId="33430EC3" w14:textId="27810521" w:rsidR="00EB32D1" w:rsidRPr="005948DE" w:rsidRDefault="00554638" w:rsidP="005948DE">
      <w:pPr>
        <w:spacing w:line="276" w:lineRule="auto"/>
        <w:jc w:val="both"/>
        <w:rPr>
          <w:rFonts w:ascii="Times New Roman" w:hAnsi="Times New Roman" w:cs="Times New Roman"/>
        </w:rPr>
      </w:pPr>
      <w:r w:rsidRPr="005948DE">
        <w:rPr>
          <w:rFonts w:ascii="Times New Roman" w:hAnsi="Times New Roman" w:cs="Times New Roman"/>
        </w:rPr>
        <w:t xml:space="preserve">All transactions must be reflected by supporting documentation. The CFU Financial </w:t>
      </w:r>
      <w:r w:rsidR="00FF2F36">
        <w:rPr>
          <w:rFonts w:ascii="Times New Roman" w:hAnsi="Times New Roman" w:cs="Times New Roman"/>
        </w:rPr>
        <w:t xml:space="preserve">Management </w:t>
      </w:r>
      <w:r w:rsidRPr="005948DE">
        <w:rPr>
          <w:rFonts w:ascii="Times New Roman" w:hAnsi="Times New Roman" w:cs="Times New Roman"/>
        </w:rPr>
        <w:t xml:space="preserve">Specialist will monitor transaction balances to ensure that </w:t>
      </w:r>
      <w:r w:rsidR="00C67438">
        <w:rPr>
          <w:rFonts w:ascii="Times New Roman" w:hAnsi="Times New Roman" w:cs="Times New Roman"/>
        </w:rPr>
        <w:t xml:space="preserve">the </w:t>
      </w:r>
      <w:r w:rsidRPr="005948DE">
        <w:rPr>
          <w:rFonts w:ascii="Times New Roman" w:hAnsi="Times New Roman" w:cs="Times New Roman"/>
        </w:rPr>
        <w:t xml:space="preserve">PIU follows all legal requirements in concordance with the LA and the CFA. </w:t>
      </w:r>
    </w:p>
    <w:p w14:paraId="2E9A1B1E" w14:textId="77777777"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74" w:name="_Toc61610195"/>
      <w:bookmarkStart w:id="575" w:name="_Toc93342278"/>
      <w:r w:rsidRPr="005948DE">
        <w:rPr>
          <w:rFonts w:ascii="Times New Roman" w:hAnsi="Times New Roman" w:cs="Times New Roman"/>
          <w:smallCaps w:val="0"/>
          <w:color w:val="auto"/>
          <w:sz w:val="24"/>
        </w:rPr>
        <w:t>Internal Control</w:t>
      </w:r>
      <w:bookmarkEnd w:id="574"/>
      <w:bookmarkEnd w:id="575"/>
    </w:p>
    <w:p w14:paraId="690F244A" w14:textId="2A264D2B"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The PIU and </w:t>
      </w:r>
      <w:r w:rsidR="00C67438">
        <w:rPr>
          <w:rFonts w:ascii="Times New Roman" w:hAnsi="Times New Roman" w:cs="Times New Roman"/>
        </w:rPr>
        <w:t xml:space="preserve">the </w:t>
      </w:r>
      <w:r w:rsidRPr="005948DE">
        <w:rPr>
          <w:rFonts w:ascii="Times New Roman" w:hAnsi="Times New Roman" w:cs="Times New Roman"/>
        </w:rPr>
        <w:t xml:space="preserve">CFU will create an internal control system with task to guard the integrity of the Project, and in which, all persons that are dealing with it are instructed on the requirements to ensure the compliance. Beside this, the persons involved are aware of their responsibility. The final responsibility for </w:t>
      </w:r>
      <w:r w:rsidR="0047053F">
        <w:rPr>
          <w:rFonts w:ascii="Times New Roman" w:hAnsi="Times New Roman" w:cs="Times New Roman"/>
        </w:rPr>
        <w:t xml:space="preserve">the </w:t>
      </w:r>
      <w:r w:rsidRPr="005948DE">
        <w:rPr>
          <w:rFonts w:ascii="Times New Roman" w:hAnsi="Times New Roman" w:cs="Times New Roman"/>
        </w:rPr>
        <w:t xml:space="preserve">implementation of internal control system lies with the Head of </w:t>
      </w:r>
      <w:r w:rsidR="0047053F">
        <w:rPr>
          <w:rFonts w:ascii="Times New Roman" w:hAnsi="Times New Roman" w:cs="Times New Roman"/>
        </w:rPr>
        <w:t xml:space="preserve">the </w:t>
      </w:r>
      <w:r w:rsidRPr="005948DE">
        <w:rPr>
          <w:rFonts w:ascii="Times New Roman" w:hAnsi="Times New Roman" w:cs="Times New Roman"/>
        </w:rPr>
        <w:t xml:space="preserve">PIU and </w:t>
      </w:r>
      <w:r w:rsidR="0047053F">
        <w:rPr>
          <w:rFonts w:ascii="Times New Roman" w:hAnsi="Times New Roman" w:cs="Times New Roman"/>
        </w:rPr>
        <w:t xml:space="preserve">the </w:t>
      </w:r>
      <w:r w:rsidRPr="005948DE">
        <w:rPr>
          <w:rFonts w:ascii="Times New Roman" w:hAnsi="Times New Roman" w:cs="Times New Roman"/>
        </w:rPr>
        <w:t xml:space="preserve">CFU Head of Operations. Internal Control </w:t>
      </w:r>
      <w:r w:rsidR="0047053F">
        <w:rPr>
          <w:rFonts w:ascii="Times New Roman" w:hAnsi="Times New Roman" w:cs="Times New Roman"/>
        </w:rPr>
        <w:t>S</w:t>
      </w:r>
      <w:r w:rsidR="0047053F" w:rsidRPr="005948DE">
        <w:rPr>
          <w:rFonts w:ascii="Times New Roman" w:hAnsi="Times New Roman" w:cs="Times New Roman"/>
        </w:rPr>
        <w:t xml:space="preserve">ystem </w:t>
      </w:r>
      <w:r w:rsidRPr="005948DE">
        <w:rPr>
          <w:rFonts w:ascii="Times New Roman" w:hAnsi="Times New Roman" w:cs="Times New Roman"/>
        </w:rPr>
        <w:t xml:space="preserve">will be able to ensure that financial records are reliable and complete, operations under the Project are effective and efficient, and that conditions from the LA and the CFA </w:t>
      </w:r>
      <w:r w:rsidR="0047053F">
        <w:rPr>
          <w:rFonts w:ascii="Times New Roman" w:hAnsi="Times New Roman" w:cs="Times New Roman"/>
        </w:rPr>
        <w:t>are</w:t>
      </w:r>
      <w:r w:rsidRPr="005948DE">
        <w:rPr>
          <w:rFonts w:ascii="Times New Roman" w:hAnsi="Times New Roman" w:cs="Times New Roman"/>
        </w:rPr>
        <w:t xml:space="preserve"> met. In particular, the </w:t>
      </w:r>
      <w:r w:rsidR="0047053F">
        <w:rPr>
          <w:rFonts w:ascii="Times New Roman" w:hAnsi="Times New Roman" w:cs="Times New Roman"/>
        </w:rPr>
        <w:t>I</w:t>
      </w:r>
      <w:r w:rsidR="0047053F" w:rsidRPr="005948DE">
        <w:rPr>
          <w:rFonts w:ascii="Times New Roman" w:hAnsi="Times New Roman" w:cs="Times New Roman"/>
        </w:rPr>
        <w:t xml:space="preserve">nternal </w:t>
      </w:r>
      <w:r w:rsidR="0047053F">
        <w:rPr>
          <w:rFonts w:ascii="Times New Roman" w:hAnsi="Times New Roman" w:cs="Times New Roman"/>
        </w:rPr>
        <w:t>C</w:t>
      </w:r>
      <w:r w:rsidR="0047053F" w:rsidRPr="005948DE">
        <w:rPr>
          <w:rFonts w:ascii="Times New Roman" w:hAnsi="Times New Roman" w:cs="Times New Roman"/>
        </w:rPr>
        <w:t xml:space="preserve">ontrol </w:t>
      </w:r>
      <w:r w:rsidR="0047053F">
        <w:rPr>
          <w:rFonts w:ascii="Times New Roman" w:hAnsi="Times New Roman" w:cs="Times New Roman"/>
        </w:rPr>
        <w:t>S</w:t>
      </w:r>
      <w:r w:rsidR="0047053F" w:rsidRPr="005948DE">
        <w:rPr>
          <w:rFonts w:ascii="Times New Roman" w:hAnsi="Times New Roman" w:cs="Times New Roman"/>
        </w:rPr>
        <w:t xml:space="preserve">ystem </w:t>
      </w:r>
      <w:r w:rsidRPr="005948DE">
        <w:rPr>
          <w:rFonts w:ascii="Times New Roman" w:hAnsi="Times New Roman" w:cs="Times New Roman"/>
        </w:rPr>
        <w:t xml:space="preserve">will ensure proper recording and safeguarding of data, as well as transaction control and will be designed to: </w:t>
      </w:r>
    </w:p>
    <w:p w14:paraId="04F01549" w14:textId="77777777"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Safeguard the assets,</w:t>
      </w:r>
    </w:p>
    <w:p w14:paraId="096D424D" w14:textId="1A6B3F25"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Ensure that all transactions are recorded and that all recorded transactions are legitimate</w:t>
      </w:r>
      <w:r w:rsidR="0047053F">
        <w:rPr>
          <w:rFonts w:ascii="Times New Roman" w:hAnsi="Times New Roman" w:cs="Times New Roman"/>
        </w:rPr>
        <w:t xml:space="preserve">, </w:t>
      </w:r>
      <w:r w:rsidRPr="005948DE">
        <w:rPr>
          <w:rFonts w:ascii="Times New Roman" w:hAnsi="Times New Roman" w:cs="Times New Roman"/>
        </w:rPr>
        <w:t>and</w:t>
      </w:r>
    </w:p>
    <w:p w14:paraId="3F9540F7" w14:textId="1F621DB9"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 xml:space="preserve">Ensure the effective and efficient usage of </w:t>
      </w:r>
      <w:r w:rsidR="0047053F">
        <w:rPr>
          <w:rFonts w:ascii="Times New Roman" w:hAnsi="Times New Roman" w:cs="Times New Roman"/>
        </w:rPr>
        <w:t>the L</w:t>
      </w:r>
      <w:r w:rsidR="0047053F" w:rsidRPr="005948DE">
        <w:rPr>
          <w:rFonts w:ascii="Times New Roman" w:hAnsi="Times New Roman" w:cs="Times New Roman"/>
        </w:rPr>
        <w:t xml:space="preserve">oan </w:t>
      </w:r>
      <w:r w:rsidRPr="005948DE">
        <w:rPr>
          <w:rFonts w:ascii="Times New Roman" w:hAnsi="Times New Roman" w:cs="Times New Roman"/>
        </w:rPr>
        <w:t>funds.</w:t>
      </w:r>
    </w:p>
    <w:p w14:paraId="5BEA1806" w14:textId="791CEE34"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To achieve above mentioned, adequate procedures and controls are developed and will be applied. Key internal controls, which are to be applied for the Project include, but are not, limited on: </w:t>
      </w:r>
    </w:p>
    <w:p w14:paraId="3EA88548" w14:textId="77777777"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Appropriate authorizations and approvals,</w:t>
      </w:r>
    </w:p>
    <w:p w14:paraId="620DF299" w14:textId="77777777"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Segregation of duties,</w:t>
      </w:r>
    </w:p>
    <w:p w14:paraId="4C20B072" w14:textId="77777777"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Different persons being responsible for different phases of the transactions,</w:t>
      </w:r>
    </w:p>
    <w:p w14:paraId="1D1DEF97" w14:textId="77777777"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Reconciliations between records and actual balances should be performed on regular basis,</w:t>
      </w:r>
    </w:p>
    <w:p w14:paraId="207D3618" w14:textId="32D98382"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 xml:space="preserve">Adequate documentation </w:t>
      </w:r>
      <w:r w:rsidR="00CD6C7F">
        <w:rPr>
          <w:rFonts w:ascii="Times New Roman" w:hAnsi="Times New Roman" w:cs="Times New Roman"/>
        </w:rPr>
        <w:t>–</w:t>
      </w:r>
      <w:r w:rsidRPr="005948DE">
        <w:rPr>
          <w:rFonts w:ascii="Times New Roman" w:hAnsi="Times New Roman" w:cs="Times New Roman"/>
        </w:rPr>
        <w:t xml:space="preserve"> complete original documentation exists and archiving in order to support the Project transactions (scanned copies of original documents will be accepted </w:t>
      </w:r>
      <w:r w:rsidR="00554638" w:rsidRPr="005948DE">
        <w:rPr>
          <w:rFonts w:ascii="Times New Roman" w:hAnsi="Times New Roman" w:cs="Times New Roman"/>
        </w:rPr>
        <w:t>temporarily</w:t>
      </w:r>
      <w:r w:rsidRPr="005948DE">
        <w:rPr>
          <w:rFonts w:ascii="Times New Roman" w:hAnsi="Times New Roman" w:cs="Times New Roman"/>
        </w:rPr>
        <w:t xml:space="preserve">, during </w:t>
      </w:r>
      <w:r w:rsidR="0047053F">
        <w:rPr>
          <w:rFonts w:ascii="Times New Roman" w:hAnsi="Times New Roman" w:cs="Times New Roman"/>
        </w:rPr>
        <w:t xml:space="preserve">the </w:t>
      </w:r>
      <w:r w:rsidR="00FD43F3" w:rsidRPr="005948DE">
        <w:rPr>
          <w:rFonts w:ascii="Times New Roman" w:hAnsi="Times New Roman" w:cs="Times New Roman"/>
        </w:rPr>
        <w:t>C</w:t>
      </w:r>
      <w:r w:rsidR="00FD43F3">
        <w:rPr>
          <w:rFonts w:ascii="Times New Roman" w:hAnsi="Times New Roman" w:cs="Times New Roman"/>
        </w:rPr>
        <w:t>ovid-</w:t>
      </w:r>
      <w:r w:rsidRPr="005948DE">
        <w:rPr>
          <w:rFonts w:ascii="Times New Roman" w:hAnsi="Times New Roman" w:cs="Times New Roman"/>
        </w:rPr>
        <w:t>19 situation),</w:t>
      </w:r>
    </w:p>
    <w:p w14:paraId="7E910012" w14:textId="77777777"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Clear description of preconditions for contracts,</w:t>
      </w:r>
    </w:p>
    <w:p w14:paraId="1BBCAC13" w14:textId="5D96F1D5"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Procedures relating to the evaluation and selection of contractors/consultants, including determining and describing responsibilities for these processes,</w:t>
      </w:r>
    </w:p>
    <w:p w14:paraId="3022205B" w14:textId="02C86FE5"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 xml:space="preserve">Procedures and processes of monitoring of </w:t>
      </w:r>
      <w:r w:rsidR="0047053F">
        <w:rPr>
          <w:rFonts w:ascii="Times New Roman" w:hAnsi="Times New Roman" w:cs="Times New Roman"/>
        </w:rPr>
        <w:t>the L</w:t>
      </w:r>
      <w:r w:rsidR="0047053F" w:rsidRPr="005948DE">
        <w:rPr>
          <w:rFonts w:ascii="Times New Roman" w:hAnsi="Times New Roman" w:cs="Times New Roman"/>
        </w:rPr>
        <w:t xml:space="preserve">oan </w:t>
      </w:r>
      <w:r w:rsidRPr="005948DE">
        <w:rPr>
          <w:rFonts w:ascii="Times New Roman" w:hAnsi="Times New Roman" w:cs="Times New Roman"/>
        </w:rPr>
        <w:t>usage, implementation, liabilities, including reporting back,</w:t>
      </w:r>
    </w:p>
    <w:p w14:paraId="28401987" w14:textId="5E794CCD" w:rsidR="00EB32D1" w:rsidRPr="005948DE" w:rsidRDefault="00EB32D1" w:rsidP="005948DE">
      <w:pPr>
        <w:pStyle w:val="ListParagraph"/>
        <w:numPr>
          <w:ilvl w:val="0"/>
          <w:numId w:val="288"/>
        </w:numPr>
        <w:spacing w:after="240" w:line="276" w:lineRule="auto"/>
        <w:jc w:val="both"/>
        <w:rPr>
          <w:rFonts w:ascii="Times New Roman" w:hAnsi="Times New Roman" w:cs="Times New Roman"/>
        </w:rPr>
      </w:pPr>
      <w:r w:rsidRPr="005948DE">
        <w:rPr>
          <w:rFonts w:ascii="Times New Roman" w:hAnsi="Times New Roman" w:cs="Times New Roman"/>
        </w:rPr>
        <w:t xml:space="preserve">Flow of </w:t>
      </w:r>
      <w:r w:rsidR="0047053F">
        <w:rPr>
          <w:rFonts w:ascii="Times New Roman" w:hAnsi="Times New Roman" w:cs="Times New Roman"/>
        </w:rPr>
        <w:t>the L</w:t>
      </w:r>
      <w:r w:rsidRPr="005948DE">
        <w:rPr>
          <w:rFonts w:ascii="Times New Roman" w:hAnsi="Times New Roman" w:cs="Times New Roman"/>
        </w:rPr>
        <w:t>oan funding.</w:t>
      </w:r>
    </w:p>
    <w:p w14:paraId="3E201B0C" w14:textId="736F01A1" w:rsidR="00EB32D1" w:rsidRPr="005948DE" w:rsidRDefault="004375E3"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76" w:name="_Toc93342279"/>
      <w:r w:rsidRPr="005948DE">
        <w:rPr>
          <w:rFonts w:ascii="Times New Roman" w:hAnsi="Times New Roman" w:cs="Times New Roman"/>
          <w:smallCaps w:val="0"/>
          <w:color w:val="auto"/>
          <w:sz w:val="24"/>
        </w:rPr>
        <w:t>Financial Audit</w:t>
      </w:r>
      <w:bookmarkEnd w:id="576"/>
    </w:p>
    <w:p w14:paraId="784EE10B" w14:textId="6E843F8C" w:rsidR="004375E3" w:rsidRPr="005948DE" w:rsidRDefault="004375E3" w:rsidP="005948DE">
      <w:pPr>
        <w:pStyle w:val="BodyText"/>
        <w:spacing w:line="276" w:lineRule="auto"/>
        <w:jc w:val="both"/>
        <w:rPr>
          <w:rFonts w:ascii="Times New Roman" w:hAnsi="Times New Roman"/>
          <w:bCs w:val="0"/>
          <w:i/>
          <w:color w:val="auto"/>
        </w:rPr>
      </w:pPr>
      <w:r w:rsidRPr="005948DE">
        <w:rPr>
          <w:rFonts w:ascii="Times New Roman" w:hAnsi="Times New Roman"/>
          <w:bCs w:val="0"/>
          <w:color w:val="auto"/>
        </w:rPr>
        <w:t xml:space="preserve">Each audit of the Financial Statements must cover the period of one fiscal year of </w:t>
      </w:r>
      <w:r w:rsidR="00FD43F3">
        <w:rPr>
          <w:rFonts w:ascii="Times New Roman" w:hAnsi="Times New Roman"/>
          <w:bCs w:val="0"/>
          <w:color w:val="auto"/>
          <w:lang w:val="sr-Latn-RS"/>
        </w:rPr>
        <w:t xml:space="preserve">the Republic of </w:t>
      </w:r>
      <w:r w:rsidR="0047053F">
        <w:rPr>
          <w:rFonts w:ascii="Times New Roman" w:hAnsi="Times New Roman"/>
          <w:bCs w:val="0"/>
          <w:color w:val="auto"/>
          <w:lang w:val="sr-Latn-RS"/>
        </w:rPr>
        <w:t>Serbia</w:t>
      </w:r>
      <w:r w:rsidRPr="005948DE">
        <w:rPr>
          <w:rFonts w:ascii="Times New Roman" w:hAnsi="Times New Roman"/>
          <w:bCs w:val="0"/>
          <w:color w:val="auto"/>
        </w:rPr>
        <w:t>, commencing with the fiscal year in which the first withdrawal was made. The audited Financial Statements for each such period must be furnished to the Bank</w:t>
      </w:r>
      <w:r w:rsidR="00CF0E0B" w:rsidRPr="005948DE">
        <w:rPr>
          <w:rFonts w:ascii="Times New Roman" w:hAnsi="Times New Roman"/>
          <w:bCs w:val="0"/>
          <w:color w:val="auto"/>
          <w:lang w:val="en-GB"/>
        </w:rPr>
        <w:t xml:space="preserve"> and </w:t>
      </w:r>
      <w:r w:rsidR="0047053F">
        <w:rPr>
          <w:rFonts w:ascii="Times New Roman" w:hAnsi="Times New Roman"/>
          <w:bCs w:val="0"/>
          <w:color w:val="auto"/>
          <w:lang w:val="en-GB"/>
        </w:rPr>
        <w:t xml:space="preserve">the </w:t>
      </w:r>
      <w:r w:rsidR="00CF0E0B" w:rsidRPr="005948DE">
        <w:rPr>
          <w:rFonts w:ascii="Times New Roman" w:hAnsi="Times New Roman"/>
          <w:bCs w:val="0"/>
          <w:color w:val="auto"/>
          <w:lang w:val="en-GB"/>
        </w:rPr>
        <w:t>AFD</w:t>
      </w:r>
      <w:r w:rsidRPr="005948DE">
        <w:rPr>
          <w:rFonts w:ascii="Times New Roman" w:hAnsi="Times New Roman"/>
          <w:bCs w:val="0"/>
          <w:color w:val="auto"/>
        </w:rPr>
        <w:t xml:space="preserve"> not later than six (6) months after the end of such period. </w:t>
      </w:r>
    </w:p>
    <w:p w14:paraId="70BA6E61" w14:textId="167B0F78"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The annual audit of the Project financial statements will be conducted by a private audit firm acceptable to the Bank and in line with the ToR to be agreed between the </w:t>
      </w:r>
      <w:r w:rsidR="001F4367" w:rsidRPr="005948DE">
        <w:rPr>
          <w:rFonts w:ascii="Times New Roman" w:hAnsi="Times New Roman" w:cs="Times New Roman"/>
        </w:rPr>
        <w:t>CFU</w:t>
      </w:r>
      <w:r w:rsidRPr="005948DE">
        <w:rPr>
          <w:rFonts w:ascii="Times New Roman" w:hAnsi="Times New Roman" w:cs="Times New Roman"/>
        </w:rPr>
        <w:t xml:space="preserve"> and the Bank. Costs of audit will be financed from the Loan. </w:t>
      </w:r>
    </w:p>
    <w:p w14:paraId="3B2962F8" w14:textId="663394E9"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The audit will review compliance with procedures laid out in th</w:t>
      </w:r>
      <w:r w:rsidR="00933305" w:rsidRPr="005948DE">
        <w:rPr>
          <w:rFonts w:ascii="Times New Roman" w:hAnsi="Times New Roman" w:cs="Times New Roman"/>
        </w:rPr>
        <w:t xml:space="preserve">is Manual </w:t>
      </w:r>
      <w:r w:rsidRPr="005948DE">
        <w:rPr>
          <w:rFonts w:ascii="Times New Roman" w:hAnsi="Times New Roman" w:cs="Times New Roman"/>
        </w:rPr>
        <w:t xml:space="preserve">and will be conducted in line with International Standards on Auditing. The Project financial statements to be audited annually include: (i) sources and uses of funds by disbursement category and Project component; (ii) Statement of </w:t>
      </w:r>
      <w:r w:rsidR="001F4367" w:rsidRPr="005948DE">
        <w:rPr>
          <w:rFonts w:ascii="Times New Roman" w:hAnsi="Times New Roman" w:cs="Times New Roman"/>
        </w:rPr>
        <w:t>Expenditures;</w:t>
      </w:r>
      <w:r w:rsidRPr="005948DE">
        <w:rPr>
          <w:rFonts w:ascii="Times New Roman" w:hAnsi="Times New Roman" w:cs="Times New Roman"/>
        </w:rPr>
        <w:t xml:space="preserve"> (iii) </w:t>
      </w:r>
      <w:r w:rsidR="0002661B" w:rsidRPr="005948DE">
        <w:rPr>
          <w:rFonts w:ascii="Times New Roman" w:hAnsi="Times New Roman" w:cs="Times New Roman"/>
        </w:rPr>
        <w:t>S</w:t>
      </w:r>
      <w:r w:rsidRPr="005948DE">
        <w:rPr>
          <w:rFonts w:ascii="Times New Roman" w:hAnsi="Times New Roman" w:cs="Times New Roman"/>
        </w:rPr>
        <w:t>tatements of DA; (iv) notes to the financial statements</w:t>
      </w:r>
      <w:r w:rsidR="005D7C87">
        <w:rPr>
          <w:rFonts w:ascii="Times New Roman" w:hAnsi="Times New Roman" w:cs="Times New Roman"/>
        </w:rPr>
        <w:t xml:space="preserve"> and (v) </w:t>
      </w:r>
      <w:r w:rsidR="005D7C87">
        <w:t>Grants Breakdown Summary on a sample basis</w:t>
      </w:r>
      <w:r w:rsidRPr="005948DE">
        <w:rPr>
          <w:rFonts w:ascii="Times New Roman" w:hAnsi="Times New Roman" w:cs="Times New Roman"/>
        </w:rPr>
        <w:t xml:space="preserve">. The audit of the Project financial statements shall include: (a) an assessment of the adequacy of accounting and internal control systems to monitor expenditures and other financial transactions and ensure safe custody of </w:t>
      </w:r>
      <w:r w:rsidR="0047053F">
        <w:rPr>
          <w:rFonts w:ascii="Times New Roman" w:hAnsi="Times New Roman" w:cs="Times New Roman"/>
        </w:rPr>
        <w:t>the P</w:t>
      </w:r>
      <w:r w:rsidRPr="005948DE">
        <w:rPr>
          <w:rFonts w:ascii="Times New Roman" w:hAnsi="Times New Roman" w:cs="Times New Roman"/>
        </w:rPr>
        <w:t xml:space="preserve">roject-financed assets; (b) a determination as to whether the MCTI and the CFU have maintained adequate documentation on all relevant transactions; (c) verification that expenditures submitted to the Bank and </w:t>
      </w:r>
      <w:r w:rsidR="0047053F">
        <w:rPr>
          <w:rFonts w:ascii="Times New Roman" w:hAnsi="Times New Roman" w:cs="Times New Roman"/>
        </w:rPr>
        <w:t xml:space="preserve">the </w:t>
      </w:r>
      <w:r w:rsidRPr="005948DE">
        <w:rPr>
          <w:rFonts w:ascii="Times New Roman" w:hAnsi="Times New Roman" w:cs="Times New Roman"/>
        </w:rPr>
        <w:t>AFD are eligible for financing, and identification of any ineligible expenditures; (d) a separate opinion for the Statement of Expenditures against which disbursements have been made. The auditor will be selected from the short-list</w:t>
      </w:r>
      <w:r w:rsidR="0047053F">
        <w:rPr>
          <w:rFonts w:ascii="Times New Roman" w:hAnsi="Times New Roman" w:cs="Times New Roman"/>
        </w:rPr>
        <w:t>ed</w:t>
      </w:r>
      <w:r w:rsidRPr="005948DE">
        <w:rPr>
          <w:rFonts w:ascii="Times New Roman" w:hAnsi="Times New Roman" w:cs="Times New Roman"/>
        </w:rPr>
        <w:t xml:space="preserve"> firms pre-qualified to audit </w:t>
      </w:r>
      <w:r w:rsidR="0047053F">
        <w:rPr>
          <w:rFonts w:ascii="Times New Roman" w:hAnsi="Times New Roman" w:cs="Times New Roman"/>
        </w:rPr>
        <w:t>Bank</w:t>
      </w:r>
      <w:r w:rsidR="0047053F" w:rsidRPr="005948DE">
        <w:rPr>
          <w:rFonts w:ascii="Times New Roman" w:hAnsi="Times New Roman" w:cs="Times New Roman"/>
        </w:rPr>
        <w:t xml:space="preserve"> </w:t>
      </w:r>
      <w:r w:rsidRPr="005948DE">
        <w:rPr>
          <w:rFonts w:ascii="Times New Roman" w:hAnsi="Times New Roman" w:cs="Times New Roman"/>
        </w:rPr>
        <w:t xml:space="preserve">funded projects in Serbia. The auditor will be engaged not less than two months prior to the end of the fiscal year. </w:t>
      </w:r>
    </w:p>
    <w:p w14:paraId="3DC694F1" w14:textId="63E48E1A"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The audited project financial statements will be posted by the MCTI on its web-site within </w:t>
      </w:r>
      <w:r w:rsidR="00FD43F3">
        <w:rPr>
          <w:rFonts w:ascii="Times New Roman" w:hAnsi="Times New Roman" w:cs="Times New Roman"/>
        </w:rPr>
        <w:t xml:space="preserve">two </w:t>
      </w:r>
      <w:r w:rsidR="0047053F">
        <w:rPr>
          <w:rFonts w:ascii="Times New Roman" w:hAnsi="Times New Roman" w:cs="Times New Roman"/>
        </w:rPr>
        <w:t>(</w:t>
      </w:r>
      <w:r w:rsidR="00FD43F3">
        <w:rPr>
          <w:rFonts w:ascii="Times New Roman" w:hAnsi="Times New Roman" w:cs="Times New Roman"/>
        </w:rPr>
        <w:t>2</w:t>
      </w:r>
      <w:r w:rsidR="0047053F">
        <w:rPr>
          <w:rFonts w:ascii="Times New Roman" w:hAnsi="Times New Roman" w:cs="Times New Roman"/>
        </w:rPr>
        <w:t>)</w:t>
      </w:r>
      <w:r w:rsidRPr="005948DE">
        <w:rPr>
          <w:rFonts w:ascii="Times New Roman" w:hAnsi="Times New Roman" w:cs="Times New Roman"/>
        </w:rPr>
        <w:t xml:space="preserve"> weeks upon the audit report being accepted by the Bank and </w:t>
      </w:r>
      <w:r w:rsidR="0047053F">
        <w:rPr>
          <w:rFonts w:ascii="Times New Roman" w:hAnsi="Times New Roman" w:cs="Times New Roman"/>
        </w:rPr>
        <w:t xml:space="preserve">the </w:t>
      </w:r>
      <w:r w:rsidRPr="005948DE">
        <w:rPr>
          <w:rFonts w:ascii="Times New Roman" w:hAnsi="Times New Roman" w:cs="Times New Roman"/>
        </w:rPr>
        <w:t>AFD.</w:t>
      </w:r>
    </w:p>
    <w:p w14:paraId="064CBB05" w14:textId="2CB95977"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In addition, pursuant to the provision of Clause 3.4.3, item </w:t>
      </w:r>
      <w:r w:rsidR="00FD43F3">
        <w:rPr>
          <w:rFonts w:ascii="Times New Roman" w:hAnsi="Times New Roman" w:cs="Times New Roman"/>
        </w:rPr>
        <w:t>“</w:t>
      </w:r>
      <w:r w:rsidRPr="005948DE">
        <w:rPr>
          <w:rFonts w:ascii="Times New Roman" w:hAnsi="Times New Roman" w:cs="Times New Roman"/>
        </w:rPr>
        <w:t>h</w:t>
      </w:r>
      <w:r w:rsidR="00FD43F3">
        <w:rPr>
          <w:rFonts w:ascii="Times New Roman" w:hAnsi="Times New Roman" w:cs="Times New Roman"/>
        </w:rPr>
        <w:t>”</w:t>
      </w:r>
      <w:r w:rsidRPr="005948DE">
        <w:rPr>
          <w:rFonts w:ascii="Times New Roman" w:hAnsi="Times New Roman" w:cs="Times New Roman"/>
        </w:rPr>
        <w:t xml:space="preserve"> of the CFA, the AFD may, during the Drawdown Period, carry out</w:t>
      </w:r>
      <w:r w:rsidR="0047053F">
        <w:rPr>
          <w:rFonts w:ascii="Times New Roman" w:hAnsi="Times New Roman" w:cs="Times New Roman"/>
        </w:rPr>
        <w:t>,</w:t>
      </w:r>
      <w:r w:rsidRPr="005948DE">
        <w:rPr>
          <w:rFonts w:ascii="Times New Roman" w:hAnsi="Times New Roman" w:cs="Times New Roman"/>
        </w:rPr>
        <w:t xml:space="preserve"> or procure that a third party carries out on its behalf and at the cost of the </w:t>
      </w:r>
      <w:r w:rsidRPr="004B03E6">
        <w:rPr>
          <w:rFonts w:ascii="Times New Roman" w:hAnsi="Times New Roman" w:cs="Times New Roman"/>
        </w:rPr>
        <w:t>Borrower</w:t>
      </w:r>
      <w:r w:rsidRPr="005948DE">
        <w:rPr>
          <w:rFonts w:ascii="Times New Roman" w:hAnsi="Times New Roman" w:cs="Times New Roman"/>
        </w:rPr>
        <w:t>, random inspections rather than systematic control of documentary evidence.</w:t>
      </w:r>
    </w:p>
    <w:p w14:paraId="48AF5DA5" w14:textId="77777777"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77" w:name="_Toc61610197"/>
      <w:bookmarkStart w:id="578" w:name="_Toc93342280"/>
      <w:r w:rsidRPr="005948DE">
        <w:rPr>
          <w:rFonts w:ascii="Times New Roman" w:hAnsi="Times New Roman" w:cs="Times New Roman"/>
          <w:smallCaps w:val="0"/>
          <w:color w:val="auto"/>
          <w:sz w:val="24"/>
        </w:rPr>
        <w:t>Financial Procedures</w:t>
      </w:r>
      <w:bookmarkEnd w:id="577"/>
      <w:bookmarkEnd w:id="578"/>
    </w:p>
    <w:p w14:paraId="0AA870F1" w14:textId="04DB4F19"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This part of the </w:t>
      </w:r>
      <w:r w:rsidR="000846C8" w:rsidRPr="005948DE">
        <w:rPr>
          <w:rFonts w:ascii="Times New Roman" w:hAnsi="Times New Roman" w:cs="Times New Roman"/>
        </w:rPr>
        <w:t>Manual</w:t>
      </w:r>
      <w:r w:rsidRPr="005948DE">
        <w:rPr>
          <w:rFonts w:ascii="Times New Roman" w:hAnsi="Times New Roman" w:cs="Times New Roman"/>
        </w:rPr>
        <w:t xml:space="preserve"> describes Financial Procedures of the Project, which are set up in line with the LA and </w:t>
      </w:r>
      <w:r w:rsidR="0047053F">
        <w:rPr>
          <w:rFonts w:ascii="Times New Roman" w:hAnsi="Times New Roman" w:cs="Times New Roman"/>
        </w:rPr>
        <w:t xml:space="preserve">the </w:t>
      </w:r>
      <w:r w:rsidRPr="005948DE">
        <w:rPr>
          <w:rFonts w:ascii="Times New Roman" w:hAnsi="Times New Roman" w:cs="Times New Roman"/>
        </w:rPr>
        <w:t xml:space="preserve">CFA, as the Project financing documents, </w:t>
      </w:r>
      <w:r w:rsidR="001F4367" w:rsidRPr="005948DE">
        <w:rPr>
          <w:rFonts w:ascii="Times New Roman" w:hAnsi="Times New Roman" w:cs="Times New Roman"/>
        </w:rPr>
        <w:t>national</w:t>
      </w:r>
      <w:r w:rsidRPr="005948DE">
        <w:rPr>
          <w:rFonts w:ascii="Times New Roman" w:hAnsi="Times New Roman" w:cs="Times New Roman"/>
        </w:rPr>
        <w:t xml:space="preserve"> legislation and regulation and </w:t>
      </w:r>
      <w:r w:rsidR="0047053F">
        <w:rPr>
          <w:rFonts w:ascii="Times New Roman" w:hAnsi="Times New Roman" w:cs="Times New Roman"/>
        </w:rPr>
        <w:t xml:space="preserve">the </w:t>
      </w:r>
      <w:r w:rsidRPr="005948DE">
        <w:rPr>
          <w:rFonts w:ascii="Times New Roman" w:hAnsi="Times New Roman" w:cs="Times New Roman"/>
        </w:rPr>
        <w:t>MCTI internal documents.</w:t>
      </w:r>
    </w:p>
    <w:p w14:paraId="7B017389" w14:textId="49088ED5"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The LA, </w:t>
      </w:r>
      <w:r w:rsidR="0047053F">
        <w:rPr>
          <w:rFonts w:ascii="Times New Roman" w:hAnsi="Times New Roman" w:cs="Times New Roman"/>
        </w:rPr>
        <w:t>th</w:t>
      </w:r>
      <w:r w:rsidR="00FD43F3">
        <w:rPr>
          <w:rFonts w:ascii="Times New Roman" w:hAnsi="Times New Roman" w:cs="Times New Roman"/>
        </w:rPr>
        <w:t>e</w:t>
      </w:r>
      <w:r w:rsidR="0047053F">
        <w:rPr>
          <w:rFonts w:ascii="Times New Roman" w:hAnsi="Times New Roman" w:cs="Times New Roman"/>
        </w:rPr>
        <w:t xml:space="preserve"> </w:t>
      </w:r>
      <w:r w:rsidRPr="005948DE">
        <w:rPr>
          <w:rFonts w:ascii="Times New Roman" w:hAnsi="Times New Roman" w:cs="Times New Roman"/>
        </w:rPr>
        <w:t>CFA and contracts signed with selected contractors/suppliers/consultants shall constitute the basic documents for accounting of liabilities and disbursement.</w:t>
      </w:r>
    </w:p>
    <w:p w14:paraId="01BA527F" w14:textId="77777777"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79" w:name="_Toc61610198"/>
      <w:bookmarkStart w:id="580" w:name="_Toc93342281"/>
      <w:r w:rsidRPr="005948DE">
        <w:rPr>
          <w:rFonts w:ascii="Times New Roman" w:hAnsi="Times New Roman" w:cs="Times New Roman"/>
          <w:smallCaps w:val="0"/>
          <w:color w:val="auto"/>
          <w:sz w:val="24"/>
        </w:rPr>
        <w:t>Financial Plan</w:t>
      </w:r>
      <w:bookmarkEnd w:id="579"/>
      <w:bookmarkEnd w:id="580"/>
    </w:p>
    <w:p w14:paraId="63FB9233" w14:textId="2266F9C9" w:rsidR="00EB32D1" w:rsidRPr="005948DE" w:rsidRDefault="00EB32D1" w:rsidP="005948DE">
      <w:pPr>
        <w:pStyle w:val="BodyText"/>
        <w:spacing w:after="240" w:line="276" w:lineRule="auto"/>
        <w:jc w:val="both"/>
        <w:rPr>
          <w:rFonts w:ascii="Times New Roman" w:hAnsi="Times New Roman"/>
          <w:lang w:val="en-GB"/>
        </w:rPr>
      </w:pPr>
      <w:r w:rsidRPr="005948DE">
        <w:rPr>
          <w:rFonts w:ascii="Times New Roman" w:hAnsi="Times New Roman"/>
        </w:rPr>
        <w:t xml:space="preserve">Preparation of Financial </w:t>
      </w:r>
      <w:r w:rsidR="00CD6C7F">
        <w:rPr>
          <w:rFonts w:ascii="Times New Roman" w:hAnsi="Times New Roman"/>
          <w:lang w:val="en-GB"/>
        </w:rPr>
        <w:t>Plan</w:t>
      </w:r>
      <w:r w:rsidRPr="005948DE">
        <w:rPr>
          <w:rFonts w:ascii="Times New Roman" w:hAnsi="Times New Roman"/>
        </w:rPr>
        <w:t xml:space="preserve"> (FP) is a first step in </w:t>
      </w:r>
      <w:r w:rsidR="0047053F">
        <w:rPr>
          <w:rFonts w:ascii="Times New Roman" w:hAnsi="Times New Roman"/>
          <w:lang w:val="sr-Latn-RS"/>
        </w:rPr>
        <w:t xml:space="preserve">the </w:t>
      </w:r>
      <w:r w:rsidR="00CD6C7F">
        <w:rPr>
          <w:rFonts w:ascii="Times New Roman" w:hAnsi="Times New Roman"/>
          <w:lang w:val="en-GB"/>
        </w:rPr>
        <w:t xml:space="preserve">Loan </w:t>
      </w:r>
      <w:r w:rsidRPr="005948DE">
        <w:rPr>
          <w:rFonts w:ascii="Times New Roman" w:hAnsi="Times New Roman"/>
        </w:rPr>
        <w:t xml:space="preserve">spending. </w:t>
      </w:r>
      <w:r w:rsidR="0047053F">
        <w:rPr>
          <w:rFonts w:ascii="Times New Roman" w:hAnsi="Times New Roman"/>
          <w:lang w:val="sr-Latn-RS"/>
        </w:rPr>
        <w:t xml:space="preserve">The </w:t>
      </w:r>
      <w:r w:rsidRPr="005948DE">
        <w:rPr>
          <w:rFonts w:ascii="Times New Roman" w:hAnsi="Times New Roman"/>
        </w:rPr>
        <w:t xml:space="preserve">PIU with support of the CFU will prepare quarterly FP, based on the Project Implementation Plan (PIP) and </w:t>
      </w:r>
      <w:r w:rsidR="0047053F">
        <w:rPr>
          <w:rFonts w:ascii="Times New Roman" w:hAnsi="Times New Roman"/>
          <w:lang w:val="sr-Latn-RS"/>
        </w:rPr>
        <w:t xml:space="preserve">the </w:t>
      </w:r>
      <w:r w:rsidRPr="005948DE">
        <w:rPr>
          <w:rFonts w:ascii="Times New Roman" w:hAnsi="Times New Roman"/>
        </w:rPr>
        <w:t>Procurement Plan (PP</w:t>
      </w:r>
      <w:r w:rsidR="004F1D1E" w:rsidRPr="005948DE">
        <w:rPr>
          <w:rFonts w:ascii="Times New Roman" w:hAnsi="Times New Roman"/>
          <w:lang w:val="en-GB"/>
        </w:rPr>
        <w:t>).</w:t>
      </w:r>
    </w:p>
    <w:p w14:paraId="31BD9491" w14:textId="77777777" w:rsidR="002D245F"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Realistic and good financial planning is of essential importance for smooth implementation. </w:t>
      </w:r>
    </w:p>
    <w:p w14:paraId="274DF2C8" w14:textId="7338E486" w:rsidR="00EB32D1" w:rsidRPr="005948DE" w:rsidRDefault="00EB32D1" w:rsidP="005948DE">
      <w:pPr>
        <w:pStyle w:val="BodyText"/>
        <w:spacing w:after="240" w:line="276" w:lineRule="auto"/>
        <w:jc w:val="both"/>
        <w:rPr>
          <w:rFonts w:ascii="Times New Roman" w:hAnsi="Times New Roman"/>
          <w:lang w:val="en-GB"/>
        </w:rPr>
      </w:pPr>
      <w:r w:rsidRPr="005948DE">
        <w:rPr>
          <w:rFonts w:ascii="Times New Roman" w:hAnsi="Times New Roman"/>
        </w:rPr>
        <w:t xml:space="preserve">Initial budget for </w:t>
      </w:r>
      <w:r w:rsidR="0047053F">
        <w:rPr>
          <w:rFonts w:ascii="Times New Roman" w:hAnsi="Times New Roman"/>
          <w:lang w:val="sr-Latn-RS"/>
        </w:rPr>
        <w:t xml:space="preserve">the </w:t>
      </w:r>
      <w:r w:rsidRPr="005948DE">
        <w:rPr>
          <w:rFonts w:ascii="Times New Roman" w:hAnsi="Times New Roman"/>
        </w:rPr>
        <w:t xml:space="preserve">Project activities is defined by </w:t>
      </w:r>
      <w:r w:rsidR="0047053F">
        <w:rPr>
          <w:rFonts w:ascii="Times New Roman" w:hAnsi="Times New Roman"/>
          <w:lang w:val="sr-Latn-RS"/>
        </w:rPr>
        <w:t xml:space="preserve">the </w:t>
      </w:r>
      <w:r w:rsidRPr="005948DE">
        <w:rPr>
          <w:rFonts w:ascii="Times New Roman" w:hAnsi="Times New Roman"/>
        </w:rPr>
        <w:t xml:space="preserve">value of goods, works and services and was agreed during </w:t>
      </w:r>
      <w:r w:rsidR="0047053F">
        <w:rPr>
          <w:rFonts w:ascii="Times New Roman" w:hAnsi="Times New Roman"/>
          <w:lang w:val="sr-Latn-RS"/>
        </w:rPr>
        <w:t xml:space="preserve">the </w:t>
      </w:r>
      <w:r w:rsidRPr="005948DE">
        <w:rPr>
          <w:rFonts w:ascii="Times New Roman" w:hAnsi="Times New Roman"/>
        </w:rPr>
        <w:t xml:space="preserve">Appraisal Mission conducted by the Bank in </w:t>
      </w:r>
      <w:r w:rsidRPr="005948DE">
        <w:rPr>
          <w:rFonts w:ascii="Times New Roman" w:hAnsi="Times New Roman"/>
          <w:lang w:val="en-GB"/>
        </w:rPr>
        <w:t>December</w:t>
      </w:r>
      <w:r w:rsidRPr="005948DE">
        <w:rPr>
          <w:rFonts w:ascii="Times New Roman" w:hAnsi="Times New Roman"/>
        </w:rPr>
        <w:t xml:space="preserve"> 202</w:t>
      </w:r>
      <w:r w:rsidRPr="005948DE">
        <w:rPr>
          <w:rFonts w:ascii="Times New Roman" w:hAnsi="Times New Roman"/>
          <w:lang w:val="en-GB"/>
        </w:rPr>
        <w:t>1</w:t>
      </w:r>
      <w:r w:rsidRPr="005948DE">
        <w:rPr>
          <w:rFonts w:ascii="Times New Roman" w:hAnsi="Times New Roman"/>
        </w:rPr>
        <w:t>. Thi</w:t>
      </w:r>
      <w:r w:rsidR="002D245F" w:rsidRPr="005948DE">
        <w:rPr>
          <w:rFonts w:ascii="Times New Roman" w:hAnsi="Times New Roman"/>
          <w:lang w:val="en-GB"/>
        </w:rPr>
        <w:t>s</w:t>
      </w:r>
      <w:r w:rsidRPr="005948DE">
        <w:rPr>
          <w:rFonts w:ascii="Times New Roman" w:hAnsi="Times New Roman"/>
        </w:rPr>
        <w:t xml:space="preserve"> value will be probably revised following completion of the procurement procedure and contract signing. Thus, actual budget for each activity will be the </w:t>
      </w:r>
      <w:r w:rsidR="002D245F" w:rsidRPr="005948DE">
        <w:rPr>
          <w:rFonts w:ascii="Times New Roman" w:hAnsi="Times New Roman"/>
          <w:lang w:val="en-GB"/>
        </w:rPr>
        <w:t>accepted</w:t>
      </w:r>
      <w:r w:rsidRPr="005948DE">
        <w:rPr>
          <w:rFonts w:ascii="Times New Roman" w:hAnsi="Times New Roman"/>
        </w:rPr>
        <w:t xml:space="preserve"> contract amount with the contractor/supplier/consultant. </w:t>
      </w:r>
      <w:r w:rsidR="002D245F" w:rsidRPr="005948DE">
        <w:rPr>
          <w:rFonts w:ascii="Times New Roman" w:hAnsi="Times New Roman"/>
          <w:lang w:val="en-GB"/>
        </w:rPr>
        <w:t>The estimated cost</w:t>
      </w:r>
      <w:r w:rsidRPr="005948DE">
        <w:rPr>
          <w:rFonts w:ascii="Times New Roman" w:hAnsi="Times New Roman"/>
        </w:rPr>
        <w:t xml:space="preserve"> for any activity can be increased</w:t>
      </w:r>
      <w:r w:rsidR="002D245F" w:rsidRPr="005948DE">
        <w:rPr>
          <w:rFonts w:ascii="Times New Roman" w:hAnsi="Times New Roman"/>
          <w:lang w:val="en-GB"/>
        </w:rPr>
        <w:t xml:space="preserve">. Additional cost during implementation as a result </w:t>
      </w:r>
      <w:r w:rsidR="00C43CC5">
        <w:rPr>
          <w:rFonts w:ascii="Times New Roman" w:hAnsi="Times New Roman"/>
          <w:lang w:val="en-GB"/>
        </w:rPr>
        <w:t>o</w:t>
      </w:r>
      <w:r w:rsidR="002D245F" w:rsidRPr="005948DE">
        <w:rPr>
          <w:rFonts w:ascii="Times New Roman" w:hAnsi="Times New Roman"/>
          <w:lang w:val="en-GB"/>
        </w:rPr>
        <w:t>f variations claims etc</w:t>
      </w:r>
      <w:r w:rsidR="00C43CC5">
        <w:rPr>
          <w:rFonts w:ascii="Times New Roman" w:hAnsi="Times New Roman"/>
          <w:lang w:val="en-GB"/>
        </w:rPr>
        <w:t>.</w:t>
      </w:r>
      <w:r w:rsidR="002D245F" w:rsidRPr="005948DE">
        <w:rPr>
          <w:rFonts w:ascii="Times New Roman" w:hAnsi="Times New Roman"/>
          <w:lang w:val="en-GB"/>
        </w:rPr>
        <w:t xml:space="preserve"> may affect the budget. However, this will require prior</w:t>
      </w:r>
      <w:r w:rsidRPr="005948DE">
        <w:rPr>
          <w:rFonts w:ascii="Times New Roman" w:hAnsi="Times New Roman"/>
        </w:rPr>
        <w:t xml:space="preserve"> “</w:t>
      </w:r>
      <w:r w:rsidR="002D245F" w:rsidRPr="005948DE">
        <w:rPr>
          <w:rFonts w:ascii="Times New Roman" w:hAnsi="Times New Roman"/>
          <w:lang w:val="en-GB"/>
        </w:rPr>
        <w:t>No Objection</w:t>
      </w:r>
      <w:r w:rsidRPr="005948DE">
        <w:rPr>
          <w:rFonts w:ascii="Times New Roman" w:hAnsi="Times New Roman"/>
        </w:rPr>
        <w:t xml:space="preserve">” from the MCTI, the Bank. </w:t>
      </w:r>
    </w:p>
    <w:p w14:paraId="74679A06" w14:textId="3F1766EB"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Therefore, </w:t>
      </w:r>
      <w:r w:rsidR="00C43CC5">
        <w:rPr>
          <w:rFonts w:ascii="Times New Roman" w:hAnsi="Times New Roman"/>
          <w:lang w:val="sr-Latn-RS"/>
        </w:rPr>
        <w:t xml:space="preserve">the </w:t>
      </w:r>
      <w:r w:rsidRPr="005948DE">
        <w:rPr>
          <w:rFonts w:ascii="Times New Roman" w:hAnsi="Times New Roman"/>
        </w:rPr>
        <w:t>FP will be prepared taking into account level of readiness for implementation of each specific activity, respectively foreseen dynamic of works/goods/services specified in the signed contract.</w:t>
      </w:r>
    </w:p>
    <w:p w14:paraId="458CE14C" w14:textId="77777777" w:rsidR="00EB32D1" w:rsidRPr="005948DE"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r w:rsidRPr="005948DE">
        <w:rPr>
          <w:rFonts w:ascii="Times New Roman" w:hAnsi="Times New Roman" w:cs="Times New Roman"/>
          <w:smallCaps w:val="0"/>
          <w:color w:val="auto"/>
          <w:sz w:val="24"/>
        </w:rPr>
        <w:t xml:space="preserve"> </w:t>
      </w:r>
      <w:bookmarkStart w:id="581" w:name="_Toc61610199"/>
      <w:bookmarkStart w:id="582" w:name="_Toc93342282"/>
      <w:r w:rsidRPr="005948DE">
        <w:rPr>
          <w:rFonts w:ascii="Times New Roman" w:hAnsi="Times New Roman" w:cs="Times New Roman"/>
          <w:smallCaps w:val="0"/>
          <w:color w:val="auto"/>
          <w:sz w:val="24"/>
        </w:rPr>
        <w:t>Disbursement</w:t>
      </w:r>
      <w:bookmarkEnd w:id="581"/>
      <w:bookmarkEnd w:id="582"/>
    </w:p>
    <w:p w14:paraId="1CD81C71" w14:textId="4B9B40FE" w:rsidR="00BE1B56" w:rsidRPr="005948DE" w:rsidRDefault="00BE1B56" w:rsidP="005948DE">
      <w:pPr>
        <w:spacing w:line="276" w:lineRule="auto"/>
        <w:jc w:val="both"/>
        <w:rPr>
          <w:rFonts w:ascii="Times New Roman" w:hAnsi="Times New Roman" w:cs="Times New Roman"/>
        </w:rPr>
      </w:pPr>
      <w:r w:rsidRPr="005948DE">
        <w:rPr>
          <w:rFonts w:ascii="Times New Roman" w:hAnsi="Times New Roman" w:cs="Times New Roman"/>
        </w:rPr>
        <w:t xml:space="preserve">The Project will be disbursed in line with the </w:t>
      </w:r>
      <w:r w:rsidRPr="005948DE">
        <w:rPr>
          <w:rFonts w:ascii="Times New Roman" w:hAnsi="Times New Roman" w:cs="Times New Roman"/>
          <w:i/>
        </w:rPr>
        <w:t>Disbursement Guidelines for Investment Project Financing,</w:t>
      </w:r>
      <w:r w:rsidR="00C60C14">
        <w:rPr>
          <w:rFonts w:ascii="Times New Roman" w:hAnsi="Times New Roman" w:cs="Times New Roman"/>
        </w:rPr>
        <w:t xml:space="preserve"> dated February 2017</w:t>
      </w:r>
      <w:r w:rsidRPr="005948DE">
        <w:rPr>
          <w:rFonts w:ascii="Times New Roman" w:hAnsi="Times New Roman" w:cs="Times New Roman"/>
        </w:rPr>
        <w:t xml:space="preserve"> (“Disbursement Guidelines”)</w:t>
      </w:r>
      <w:r w:rsidR="00C43CC5">
        <w:rPr>
          <w:rFonts w:ascii="Times New Roman" w:hAnsi="Times New Roman" w:cs="Times New Roman"/>
        </w:rPr>
        <w:t xml:space="preserve">, </w:t>
      </w:r>
      <w:r w:rsidRPr="005948DE">
        <w:rPr>
          <w:rFonts w:ascii="Times New Roman" w:hAnsi="Times New Roman" w:cs="Times New Roman"/>
        </w:rPr>
        <w:t xml:space="preserve">available </w:t>
      </w:r>
      <w:r w:rsidR="00C43CC5">
        <w:rPr>
          <w:rFonts w:ascii="Times New Roman" w:hAnsi="Times New Roman" w:cs="Times New Roman"/>
        </w:rPr>
        <w:t>at</w:t>
      </w:r>
      <w:r w:rsidR="00C43CC5" w:rsidRPr="005948DE">
        <w:rPr>
          <w:rFonts w:ascii="Times New Roman" w:hAnsi="Times New Roman" w:cs="Times New Roman"/>
        </w:rPr>
        <w:t xml:space="preserve"> </w:t>
      </w:r>
      <w:r w:rsidRPr="005948DE">
        <w:rPr>
          <w:rFonts w:ascii="Times New Roman" w:hAnsi="Times New Roman" w:cs="Times New Roman"/>
        </w:rPr>
        <w:t xml:space="preserve">the Bank’s public website </w:t>
      </w:r>
      <w:hyperlink w:history="1">
        <w:r w:rsidR="00725E6A" w:rsidRPr="005948DE">
          <w:rPr>
            <w:rStyle w:val="Hyperlink"/>
            <w:rFonts w:ascii="Times New Roman" w:hAnsi="Times New Roman" w:cs="Times New Roman"/>
          </w:rPr>
          <w:t>https://www.worldbank.org</w:t>
        </w:r>
      </w:hyperlink>
      <w:r w:rsidR="00C60C14">
        <w:rPr>
          <w:rStyle w:val="Hyperlink"/>
          <w:rFonts w:ascii="Times New Roman" w:hAnsi="Times New Roman" w:cs="Times New Roman"/>
        </w:rPr>
        <w:t xml:space="preserve"> </w:t>
      </w:r>
      <w:r w:rsidRPr="005948DE">
        <w:rPr>
          <w:rFonts w:ascii="Times New Roman" w:hAnsi="Times New Roman" w:cs="Times New Roman"/>
        </w:rPr>
        <w:t xml:space="preserve">and its secure website “Client Connection” </w:t>
      </w:r>
      <w:r w:rsidR="00725E6A" w:rsidRPr="005948DE">
        <w:rPr>
          <w:rFonts w:ascii="Times New Roman" w:hAnsi="Times New Roman" w:cs="Times New Roman"/>
        </w:rPr>
        <w:t>at</w:t>
      </w:r>
      <w:r w:rsidR="00027A2D" w:rsidRPr="005948DE">
        <w:rPr>
          <w:rFonts w:ascii="Times New Roman" w:hAnsi="Times New Roman" w:cs="Times New Roman"/>
        </w:rPr>
        <w:t xml:space="preserve"> https://</w:t>
      </w:r>
      <w:r w:rsidR="00C60C14">
        <w:rPr>
          <w:rFonts w:ascii="Times New Roman" w:hAnsi="Times New Roman" w:cs="Times New Roman"/>
        </w:rPr>
        <w:t>clientconnection.worldbank.org.</w:t>
      </w:r>
      <w:r w:rsidR="00027A2D" w:rsidRPr="005948DE">
        <w:rPr>
          <w:rFonts w:ascii="Times New Roman" w:hAnsi="Times New Roman" w:cs="Times New Roman"/>
        </w:rPr>
        <w:t xml:space="preserve"> </w:t>
      </w:r>
      <w:hyperlink w:history="1">
        <w:r w:rsidR="00027A2D" w:rsidRPr="005948DE">
          <w:rPr>
            <w:rStyle w:val="Hyperlink"/>
            <w:rFonts w:ascii="Times New Roman" w:hAnsi="Times New Roman" w:cs="Times New Roman"/>
          </w:rPr>
          <w:t>https://clientconnection.worldbank.org</w:t>
        </w:r>
      </w:hyperlink>
      <w:r w:rsidRPr="005948DE">
        <w:rPr>
          <w:rFonts w:ascii="Times New Roman" w:hAnsi="Times New Roman" w:cs="Times New Roman"/>
        </w:rPr>
        <w:t xml:space="preserve">The Disbursement Guidelines are an integral part of the </w:t>
      </w:r>
      <w:r w:rsidR="00FD43F3">
        <w:rPr>
          <w:rFonts w:ascii="Times New Roman" w:hAnsi="Times New Roman" w:cs="Times New Roman"/>
        </w:rPr>
        <w:t>LA</w:t>
      </w:r>
      <w:r w:rsidR="00725E6A" w:rsidRPr="005948DE">
        <w:rPr>
          <w:rFonts w:ascii="Times New Roman" w:hAnsi="Times New Roman" w:cs="Times New Roman"/>
        </w:rPr>
        <w:t xml:space="preserve"> and its Disbursement and Financial Information Letter (</w:t>
      </w:r>
      <w:r w:rsidRPr="005948DE">
        <w:rPr>
          <w:rFonts w:ascii="Times New Roman" w:hAnsi="Times New Roman" w:cs="Times New Roman"/>
        </w:rPr>
        <w:t>DFIL</w:t>
      </w:r>
      <w:r w:rsidR="00725E6A" w:rsidRPr="005948DE">
        <w:rPr>
          <w:rFonts w:ascii="Times New Roman" w:hAnsi="Times New Roman" w:cs="Times New Roman"/>
        </w:rPr>
        <w:t>)</w:t>
      </w:r>
      <w:r w:rsidR="00C43CC5">
        <w:rPr>
          <w:rFonts w:ascii="Times New Roman" w:hAnsi="Times New Roman" w:cs="Times New Roman"/>
        </w:rPr>
        <w:t>.</w:t>
      </w:r>
      <w:r w:rsidRPr="005948DE">
        <w:rPr>
          <w:rFonts w:ascii="Times New Roman" w:hAnsi="Times New Roman" w:cs="Times New Roman"/>
        </w:rPr>
        <w:t xml:space="preserve"> </w:t>
      </w:r>
      <w:r w:rsidR="00C43CC5">
        <w:rPr>
          <w:rFonts w:ascii="Times New Roman" w:hAnsi="Times New Roman" w:cs="Times New Roman"/>
        </w:rPr>
        <w:t>T</w:t>
      </w:r>
      <w:r w:rsidRPr="005948DE">
        <w:rPr>
          <w:rFonts w:ascii="Times New Roman" w:hAnsi="Times New Roman" w:cs="Times New Roman"/>
        </w:rPr>
        <w:t xml:space="preserve">he manner in which the provisions in the Disbursement Guidelines apply to the Loan is specified below. </w:t>
      </w:r>
    </w:p>
    <w:p w14:paraId="09D5E639" w14:textId="0ED0B496" w:rsidR="00BE1B56" w:rsidRPr="005948DE" w:rsidRDefault="00BE1B56" w:rsidP="005948DE">
      <w:pPr>
        <w:pStyle w:val="BodyText"/>
        <w:spacing w:line="276" w:lineRule="auto"/>
        <w:jc w:val="both"/>
        <w:rPr>
          <w:rFonts w:ascii="Times New Roman" w:hAnsi="Times New Roman"/>
          <w:lang w:val="en-US"/>
        </w:rPr>
      </w:pPr>
      <w:r w:rsidRPr="005948DE">
        <w:rPr>
          <w:rFonts w:ascii="Times New Roman" w:hAnsi="Times New Roman"/>
          <w:lang w:val="en-US"/>
        </w:rPr>
        <w:t xml:space="preserve">The table in Schedule </w:t>
      </w:r>
      <w:r w:rsidR="00FF2F36">
        <w:rPr>
          <w:rFonts w:ascii="Times New Roman" w:hAnsi="Times New Roman"/>
          <w:lang w:val="en-US"/>
        </w:rPr>
        <w:t>1</w:t>
      </w:r>
      <w:r w:rsidR="00A97859" w:rsidRPr="005948DE">
        <w:rPr>
          <w:rFonts w:ascii="Times New Roman" w:hAnsi="Times New Roman"/>
          <w:lang w:val="en-US"/>
        </w:rPr>
        <w:t xml:space="preserve"> of the </w:t>
      </w:r>
      <w:r w:rsidR="00FF2F36">
        <w:rPr>
          <w:rFonts w:ascii="Times New Roman" w:hAnsi="Times New Roman"/>
          <w:lang w:val="en-US"/>
        </w:rPr>
        <w:t>DFIL</w:t>
      </w:r>
      <w:r w:rsidRPr="005948DE">
        <w:rPr>
          <w:rFonts w:ascii="Times New Roman" w:hAnsi="Times New Roman"/>
          <w:lang w:val="en-US"/>
        </w:rPr>
        <w:t xml:space="preserve"> sets out the disbursement methods which may be used </w:t>
      </w:r>
      <w:r w:rsidR="00725E6A" w:rsidRPr="005948DE">
        <w:rPr>
          <w:rFonts w:ascii="Times New Roman" w:hAnsi="Times New Roman"/>
          <w:lang w:val="en-US"/>
        </w:rPr>
        <w:t>for disbursement of funds</w:t>
      </w:r>
      <w:r w:rsidRPr="005948DE">
        <w:rPr>
          <w:rFonts w:ascii="Times New Roman" w:hAnsi="Times New Roman"/>
          <w:lang w:val="en-US"/>
        </w:rPr>
        <w:t xml:space="preserve">, and conditions, information on registration of authorized signatures, processing of withdrawal applications (including minimum value of applications and processing of advances), instructions on supporting documentation, and frequency of reporting on the </w:t>
      </w:r>
      <w:r w:rsidR="00842328" w:rsidRPr="005948DE">
        <w:rPr>
          <w:rFonts w:ascii="Times New Roman" w:hAnsi="Times New Roman"/>
          <w:lang w:val="en-US"/>
        </w:rPr>
        <w:t xml:space="preserve">two segregated </w:t>
      </w:r>
      <w:r w:rsidR="00FD43F3">
        <w:rPr>
          <w:rFonts w:ascii="Times New Roman" w:hAnsi="Times New Roman"/>
          <w:lang w:val="en-US"/>
        </w:rPr>
        <w:t>DAs</w:t>
      </w:r>
      <w:r w:rsidRPr="005948DE">
        <w:rPr>
          <w:rFonts w:ascii="Times New Roman" w:hAnsi="Times New Roman"/>
          <w:lang w:val="en-US"/>
        </w:rPr>
        <w:t>.</w:t>
      </w:r>
    </w:p>
    <w:p w14:paraId="07514DD3" w14:textId="35346890" w:rsidR="00933527" w:rsidRPr="005948DE" w:rsidRDefault="00B5302B" w:rsidP="005948DE">
      <w:pPr>
        <w:pStyle w:val="BodyText"/>
        <w:spacing w:after="240" w:line="276" w:lineRule="auto"/>
        <w:jc w:val="both"/>
        <w:rPr>
          <w:rFonts w:ascii="Times New Roman" w:hAnsi="Times New Roman"/>
          <w:lang w:val="en-GB"/>
        </w:rPr>
      </w:pPr>
      <w:r w:rsidRPr="005948DE">
        <w:rPr>
          <w:rFonts w:ascii="Times New Roman" w:hAnsi="Times New Roman"/>
          <w:lang w:val="en-GB"/>
        </w:rPr>
        <w:t xml:space="preserve">Respecting </w:t>
      </w:r>
      <w:r w:rsidR="00725E6A" w:rsidRPr="005948DE">
        <w:rPr>
          <w:rFonts w:ascii="Times New Roman" w:hAnsi="Times New Roman"/>
          <w:lang w:val="en-GB"/>
        </w:rPr>
        <w:t>the</w:t>
      </w:r>
      <w:r w:rsidR="00EB32D1" w:rsidRPr="005948DE">
        <w:rPr>
          <w:rFonts w:ascii="Times New Roman" w:hAnsi="Times New Roman"/>
        </w:rPr>
        <w:t xml:space="preserve"> provisions of the LA and </w:t>
      </w:r>
      <w:r w:rsidR="00C43CC5">
        <w:rPr>
          <w:rFonts w:ascii="Times New Roman" w:hAnsi="Times New Roman"/>
          <w:lang w:val="sr-Latn-RS"/>
        </w:rPr>
        <w:t xml:space="preserve">the </w:t>
      </w:r>
      <w:r w:rsidR="00FF2F36">
        <w:rPr>
          <w:rFonts w:ascii="Times New Roman" w:hAnsi="Times New Roman"/>
          <w:lang w:val="en-GB"/>
        </w:rPr>
        <w:t>CFA</w:t>
      </w:r>
      <w:r w:rsidR="00EB32D1" w:rsidRPr="005948DE">
        <w:rPr>
          <w:rFonts w:ascii="Times New Roman" w:hAnsi="Times New Roman"/>
        </w:rPr>
        <w:t>, total approved Loan in amount of</w:t>
      </w:r>
      <w:r w:rsidR="00921B17" w:rsidRPr="005948DE">
        <w:rPr>
          <w:rFonts w:ascii="Times New Roman" w:hAnsi="Times New Roman"/>
        </w:rPr>
        <w:t xml:space="preserve"> </w:t>
      </w:r>
      <w:r w:rsidR="00EB32D1" w:rsidRPr="005948DE">
        <w:rPr>
          <w:rFonts w:ascii="Times New Roman" w:hAnsi="Times New Roman"/>
          <w:lang w:val="sr-Latn-RS"/>
        </w:rPr>
        <w:t>USD 300 mil</w:t>
      </w:r>
      <w:r w:rsidRPr="005948DE">
        <w:rPr>
          <w:rFonts w:ascii="Times New Roman" w:hAnsi="Times New Roman"/>
          <w:lang w:val="sr-Latn-RS"/>
        </w:rPr>
        <w:t xml:space="preserve"> </w:t>
      </w:r>
      <w:r w:rsidR="00C43CC5">
        <w:rPr>
          <w:rFonts w:ascii="Times New Roman" w:hAnsi="Times New Roman"/>
          <w:lang w:val="sr-Latn-RS"/>
        </w:rPr>
        <w:t xml:space="preserve">is </w:t>
      </w:r>
      <w:r w:rsidRPr="005948DE">
        <w:rPr>
          <w:rFonts w:ascii="Times New Roman" w:hAnsi="Times New Roman"/>
          <w:lang w:val="sr-Latn-RS"/>
        </w:rPr>
        <w:t>to</w:t>
      </w:r>
      <w:r w:rsidR="00EB32D1" w:rsidRPr="005948DE">
        <w:rPr>
          <w:rFonts w:ascii="Times New Roman" w:hAnsi="Times New Roman"/>
        </w:rPr>
        <w:t xml:space="preserve"> be disbursed in several tranches, where the minimum </w:t>
      </w:r>
      <w:r w:rsidRPr="005948DE">
        <w:rPr>
          <w:rFonts w:ascii="Times New Roman" w:hAnsi="Times New Roman"/>
        </w:rPr>
        <w:t>value of applications for Reimbursement and Direct Payment is Euro 200,000 equivalent.</w:t>
      </w:r>
      <w:r w:rsidR="00933527" w:rsidRPr="005948DE">
        <w:rPr>
          <w:rFonts w:ascii="Times New Roman" w:hAnsi="Times New Roman"/>
          <w:lang w:val="en-GB"/>
        </w:rPr>
        <w:t xml:space="preserve"> </w:t>
      </w:r>
    </w:p>
    <w:p w14:paraId="48AC0A09" w14:textId="2B653E47" w:rsidR="00EB32D1" w:rsidRPr="00665F55" w:rsidRDefault="00933527" w:rsidP="00665F55">
      <w:pPr>
        <w:pStyle w:val="EndnoteText"/>
        <w:spacing w:line="276" w:lineRule="auto"/>
        <w:jc w:val="both"/>
        <w:rPr>
          <w:rFonts w:ascii="Times New Roman" w:hAnsi="Times New Roman"/>
        </w:rPr>
      </w:pPr>
      <w:r w:rsidRPr="00665F55">
        <w:rPr>
          <w:rFonts w:ascii="Times New Roman" w:hAnsi="Times New Roman" w:cs="Times New Roman"/>
          <w:bCs/>
          <w:color w:val="000000"/>
          <w:lang w:val="x-none"/>
        </w:rPr>
        <w:t>Two segregated DA</w:t>
      </w:r>
      <w:r w:rsidR="00FD43F3" w:rsidRPr="00A64CEC">
        <w:rPr>
          <w:rFonts w:ascii="Times New Roman" w:hAnsi="Times New Roman" w:cs="Times New Roman"/>
          <w:bCs/>
          <w:color w:val="000000"/>
          <w:lang w:val="sr-Latn-RS"/>
        </w:rPr>
        <w:t>s</w:t>
      </w:r>
      <w:r w:rsidR="00FD43F3" w:rsidRPr="00665F55">
        <w:rPr>
          <w:rFonts w:ascii="Times New Roman" w:hAnsi="Times New Roman" w:cs="Times New Roman"/>
          <w:bCs/>
          <w:color w:val="000000"/>
          <w:lang w:val="x-none"/>
        </w:rPr>
        <w:t xml:space="preserve"> </w:t>
      </w:r>
      <w:r w:rsidRPr="00665F55">
        <w:rPr>
          <w:rFonts w:ascii="Times New Roman" w:hAnsi="Times New Roman" w:cs="Times New Roman"/>
          <w:bCs/>
          <w:color w:val="000000"/>
          <w:lang w:val="x-none"/>
        </w:rPr>
        <w:t xml:space="preserve">will be opened by the </w:t>
      </w:r>
      <w:r w:rsidR="00FD43F3" w:rsidRPr="00A64CEC">
        <w:rPr>
          <w:rFonts w:ascii="Times New Roman" w:hAnsi="Times New Roman" w:cs="Times New Roman"/>
          <w:bCs/>
          <w:color w:val="000000"/>
          <w:lang w:val="sr-Latn-RS"/>
        </w:rPr>
        <w:t>Republic of Serbia</w:t>
      </w:r>
      <w:r w:rsidRPr="00665F55">
        <w:rPr>
          <w:rFonts w:ascii="Times New Roman" w:hAnsi="Times New Roman" w:cs="Times New Roman"/>
          <w:bCs/>
          <w:color w:val="000000"/>
          <w:lang w:val="x-none"/>
        </w:rPr>
        <w:t>, one for the Bank Loan and another for the AFD Loan</w:t>
      </w:r>
      <w:r w:rsidR="00B1665A" w:rsidRPr="00665F55">
        <w:rPr>
          <w:rFonts w:ascii="Times New Roman" w:hAnsi="Times New Roman" w:cs="Times New Roman"/>
          <w:bCs/>
          <w:color w:val="000000"/>
          <w:lang w:val="x-none"/>
        </w:rPr>
        <w:t xml:space="preserve"> (DA-A for IBRD _____YF, DA-B for COFN _____ YF)</w:t>
      </w:r>
      <w:r w:rsidRPr="00665F55">
        <w:rPr>
          <w:rFonts w:ascii="Times New Roman" w:hAnsi="Times New Roman" w:cs="Times New Roman"/>
          <w:bCs/>
          <w:color w:val="000000"/>
          <w:lang w:val="x-none"/>
        </w:rPr>
        <w:t>. The DA for the Bank Loan will have a ceiling set to Euro 10 million and the DA for the AFD Loan will have a ceiling set to Euro 20 million.</w:t>
      </w:r>
      <w:r w:rsidR="00C43CC5" w:rsidRPr="00665F55">
        <w:rPr>
          <w:rFonts w:ascii="Times New Roman" w:hAnsi="Times New Roman" w:cs="Times New Roman"/>
          <w:bCs/>
          <w:color w:val="000000"/>
          <w:lang w:val="x-none"/>
        </w:rPr>
        <w:t xml:space="preserve"> </w:t>
      </w:r>
      <w:r w:rsidR="00EB32D1" w:rsidRPr="00665F55">
        <w:rPr>
          <w:rFonts w:ascii="Times New Roman" w:eastAsiaTheme="minorEastAsia" w:hAnsi="Times New Roman" w:cs="Times New Roman"/>
          <w:bCs/>
          <w:color w:val="000000"/>
          <w:sz w:val="22"/>
          <w:szCs w:val="22"/>
          <w:lang w:val="x-none"/>
        </w:rPr>
        <w:t xml:space="preserve">Each disbursement will be done </w:t>
      </w:r>
      <w:r w:rsidR="00E74078" w:rsidRPr="00665F55">
        <w:rPr>
          <w:rFonts w:ascii="Times New Roman" w:eastAsiaTheme="minorEastAsia" w:hAnsi="Times New Roman" w:cs="Times New Roman"/>
          <w:bCs/>
          <w:color w:val="000000"/>
          <w:sz w:val="22"/>
          <w:szCs w:val="22"/>
          <w:lang w:val="x-none"/>
        </w:rPr>
        <w:t>at pari-passu</w:t>
      </w:r>
      <w:r w:rsidR="00EB32D1" w:rsidRPr="00665F55">
        <w:rPr>
          <w:rFonts w:ascii="Times New Roman" w:eastAsiaTheme="minorEastAsia" w:hAnsi="Times New Roman" w:cs="Times New Roman"/>
          <w:bCs/>
          <w:color w:val="000000"/>
          <w:sz w:val="22"/>
          <w:szCs w:val="22"/>
          <w:lang w:val="x-none"/>
        </w:rPr>
        <w:t xml:space="preserve"> </w:t>
      </w:r>
      <w:r w:rsidR="00A74D41" w:rsidRPr="00665F55">
        <w:rPr>
          <w:rFonts w:ascii="Times New Roman" w:eastAsiaTheme="minorEastAsia" w:hAnsi="Times New Roman" w:cs="Times New Roman"/>
          <w:bCs/>
          <w:color w:val="000000"/>
          <w:sz w:val="22"/>
          <w:szCs w:val="22"/>
          <w:lang w:val="x-none"/>
        </w:rPr>
        <w:t>1/3</w:t>
      </w:r>
      <w:r w:rsidR="00EB32D1" w:rsidRPr="00665F55">
        <w:rPr>
          <w:rFonts w:ascii="Times New Roman" w:eastAsiaTheme="minorEastAsia" w:hAnsi="Times New Roman" w:cs="Times New Roman"/>
          <w:bCs/>
          <w:color w:val="000000"/>
          <w:sz w:val="22"/>
          <w:szCs w:val="22"/>
          <w:lang w:val="x-none"/>
        </w:rPr>
        <w:t xml:space="preserve"> from </w:t>
      </w:r>
      <w:r w:rsidR="00C43CC5" w:rsidRPr="00A64CEC">
        <w:rPr>
          <w:rFonts w:ascii="Times New Roman" w:eastAsiaTheme="minorEastAsia" w:hAnsi="Times New Roman" w:cs="Times New Roman"/>
          <w:bCs/>
          <w:color w:val="000000"/>
          <w:sz w:val="22"/>
          <w:szCs w:val="22"/>
          <w:lang w:val="sr-Latn-RS"/>
        </w:rPr>
        <w:t xml:space="preserve">the </w:t>
      </w:r>
      <w:r w:rsidR="00EB32D1" w:rsidRPr="00665F55">
        <w:rPr>
          <w:rFonts w:ascii="Times New Roman" w:eastAsiaTheme="minorEastAsia" w:hAnsi="Times New Roman" w:cs="Times New Roman"/>
          <w:bCs/>
          <w:color w:val="000000"/>
          <w:sz w:val="22"/>
          <w:szCs w:val="22"/>
          <w:lang w:val="x-none"/>
        </w:rPr>
        <w:t xml:space="preserve">IBRD part of the Loan and </w:t>
      </w:r>
      <w:r w:rsidR="00A74D41" w:rsidRPr="00665F55">
        <w:rPr>
          <w:rFonts w:ascii="Times New Roman" w:eastAsiaTheme="minorEastAsia" w:hAnsi="Times New Roman" w:cs="Times New Roman"/>
          <w:bCs/>
          <w:color w:val="000000"/>
          <w:sz w:val="22"/>
          <w:szCs w:val="22"/>
          <w:lang w:val="x-none"/>
        </w:rPr>
        <w:t xml:space="preserve">2/3 </w:t>
      </w:r>
      <w:r w:rsidR="00EB32D1" w:rsidRPr="00665F55">
        <w:rPr>
          <w:rFonts w:ascii="Times New Roman" w:eastAsiaTheme="minorEastAsia" w:hAnsi="Times New Roman" w:cs="Times New Roman"/>
          <w:bCs/>
          <w:color w:val="000000"/>
          <w:sz w:val="22"/>
          <w:szCs w:val="22"/>
          <w:lang w:val="x-none"/>
        </w:rPr>
        <w:t>from the AFD part of the Loan.</w:t>
      </w:r>
    </w:p>
    <w:p w14:paraId="54072D6B" w14:textId="77777777" w:rsidR="00C43CC5" w:rsidRPr="005948DE" w:rsidRDefault="00C43CC5" w:rsidP="00665F55">
      <w:pPr>
        <w:pStyle w:val="EndnoteText"/>
        <w:spacing w:line="276" w:lineRule="auto"/>
        <w:jc w:val="both"/>
      </w:pPr>
    </w:p>
    <w:p w14:paraId="0B09C48E" w14:textId="77777777"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Before disbursement of first tranche, following preconditions should be fulfilled:</w:t>
      </w:r>
    </w:p>
    <w:p w14:paraId="10C6216E" w14:textId="652FD440" w:rsidR="00EB32D1" w:rsidRPr="005948DE" w:rsidRDefault="00EB32D1" w:rsidP="005948DE">
      <w:pPr>
        <w:pStyle w:val="BodyText"/>
        <w:numPr>
          <w:ilvl w:val="0"/>
          <w:numId w:val="291"/>
        </w:numPr>
        <w:spacing w:after="120" w:line="276" w:lineRule="auto"/>
        <w:ind w:left="714" w:hanging="357"/>
        <w:jc w:val="both"/>
        <w:rPr>
          <w:rFonts w:ascii="Times New Roman" w:hAnsi="Times New Roman"/>
        </w:rPr>
      </w:pPr>
      <w:r w:rsidRPr="005948DE">
        <w:rPr>
          <w:rFonts w:ascii="Times New Roman" w:hAnsi="Times New Roman"/>
        </w:rPr>
        <w:t xml:space="preserve">Project registration in </w:t>
      </w:r>
      <w:r w:rsidR="00C43CC5">
        <w:rPr>
          <w:rFonts w:ascii="Times New Roman" w:hAnsi="Times New Roman"/>
          <w:lang w:val="sr-Latn-RS"/>
        </w:rPr>
        <w:t xml:space="preserve">the </w:t>
      </w:r>
      <w:r w:rsidRPr="005948DE">
        <w:rPr>
          <w:rFonts w:ascii="Times New Roman" w:hAnsi="Times New Roman"/>
        </w:rPr>
        <w:t>Client Connection Platform</w:t>
      </w:r>
      <w:r w:rsidR="008F5AB0">
        <w:rPr>
          <w:rStyle w:val="FootnoteReference"/>
          <w:rFonts w:ascii="Times New Roman" w:hAnsi="Times New Roman"/>
        </w:rPr>
        <w:footnoteReference w:id="10"/>
      </w:r>
    </w:p>
    <w:p w14:paraId="1BFD2206" w14:textId="0245B21D" w:rsidR="00EB32D1" w:rsidRPr="005948DE" w:rsidRDefault="00EB32D1" w:rsidP="005948DE">
      <w:pPr>
        <w:pStyle w:val="BodyText"/>
        <w:numPr>
          <w:ilvl w:val="0"/>
          <w:numId w:val="291"/>
        </w:numPr>
        <w:spacing w:after="120" w:line="276" w:lineRule="auto"/>
        <w:jc w:val="both"/>
        <w:rPr>
          <w:rFonts w:ascii="Times New Roman" w:hAnsi="Times New Roman"/>
        </w:rPr>
      </w:pPr>
      <w:r w:rsidRPr="005948DE">
        <w:rPr>
          <w:rFonts w:ascii="Times New Roman" w:hAnsi="Times New Roman"/>
        </w:rPr>
        <w:t xml:space="preserve">Opening of </w:t>
      </w:r>
      <w:r w:rsidR="00B1665A" w:rsidRPr="005948DE">
        <w:rPr>
          <w:rFonts w:ascii="Times New Roman" w:hAnsi="Times New Roman"/>
          <w:lang w:val="en-GB"/>
        </w:rPr>
        <w:t xml:space="preserve">two segregated </w:t>
      </w:r>
      <w:r w:rsidR="00DE040F">
        <w:rPr>
          <w:rFonts w:ascii="Times New Roman" w:hAnsi="Times New Roman"/>
          <w:lang w:val="sr-Latn-RS"/>
        </w:rPr>
        <w:t>DAs</w:t>
      </w:r>
      <w:r w:rsidRPr="005948DE">
        <w:rPr>
          <w:rFonts w:ascii="Times New Roman" w:hAnsi="Times New Roman"/>
        </w:rPr>
        <w:t xml:space="preserve"> (EUR) in the National Bank of Serbia (the control environment in the NBS is considered to be acceptable)</w:t>
      </w:r>
    </w:p>
    <w:p w14:paraId="590F0856" w14:textId="369C3F72" w:rsidR="00EB32D1" w:rsidRPr="005948DE" w:rsidRDefault="00EB32D1" w:rsidP="005948DE">
      <w:pPr>
        <w:pStyle w:val="BodyText"/>
        <w:numPr>
          <w:ilvl w:val="0"/>
          <w:numId w:val="291"/>
        </w:numPr>
        <w:spacing w:after="120" w:line="276" w:lineRule="auto"/>
        <w:jc w:val="both"/>
        <w:rPr>
          <w:rFonts w:ascii="Times New Roman" w:hAnsi="Times New Roman"/>
        </w:rPr>
      </w:pPr>
      <w:r w:rsidRPr="005948DE">
        <w:rPr>
          <w:rFonts w:ascii="Times New Roman" w:hAnsi="Times New Roman"/>
        </w:rPr>
        <w:t xml:space="preserve">Opening of </w:t>
      </w:r>
      <w:r w:rsidR="00C43CC5">
        <w:rPr>
          <w:rFonts w:ascii="Times New Roman" w:hAnsi="Times New Roman"/>
          <w:lang w:val="sr-Latn-RS"/>
        </w:rPr>
        <w:t xml:space="preserve">the </w:t>
      </w:r>
      <w:r w:rsidRPr="005948DE">
        <w:rPr>
          <w:rFonts w:ascii="Times New Roman" w:hAnsi="Times New Roman"/>
        </w:rPr>
        <w:t>Project record account (RSD)</w:t>
      </w:r>
      <w:r w:rsidR="00236F1F">
        <w:rPr>
          <w:rFonts w:ascii="Times New Roman" w:hAnsi="Times New Roman"/>
          <w:lang w:val="en-GB"/>
        </w:rPr>
        <w:t xml:space="preserve"> with the Treasury Administration,</w:t>
      </w:r>
    </w:p>
    <w:p w14:paraId="41779888" w14:textId="46CEBB41" w:rsidR="00027A2D" w:rsidRPr="005948DE" w:rsidRDefault="00EB32D1" w:rsidP="005948DE">
      <w:pPr>
        <w:pStyle w:val="BodyText"/>
        <w:numPr>
          <w:ilvl w:val="0"/>
          <w:numId w:val="291"/>
        </w:numPr>
        <w:spacing w:after="120" w:line="276" w:lineRule="auto"/>
        <w:jc w:val="both"/>
        <w:rPr>
          <w:rFonts w:ascii="Times New Roman" w:hAnsi="Times New Roman"/>
          <w:iCs/>
          <w:lang w:val="en-US"/>
        </w:rPr>
      </w:pPr>
      <w:r w:rsidRPr="005948DE">
        <w:rPr>
          <w:rFonts w:ascii="Times New Roman" w:hAnsi="Times New Roman"/>
        </w:rPr>
        <w:t xml:space="preserve">Nomination of authorized signatories for tranche disbursement and </w:t>
      </w:r>
      <w:r w:rsidR="00842328" w:rsidRPr="005948DE">
        <w:rPr>
          <w:rFonts w:ascii="Times New Roman" w:hAnsi="Times New Roman"/>
          <w:lang w:val="en-GB"/>
        </w:rPr>
        <w:t xml:space="preserve">the </w:t>
      </w:r>
      <w:r w:rsidR="00D31D43">
        <w:rPr>
          <w:rFonts w:ascii="Times New Roman" w:hAnsi="Times New Roman"/>
          <w:lang w:val="sr-Latn-RS"/>
        </w:rPr>
        <w:t>DA</w:t>
      </w:r>
      <w:r w:rsidRPr="005948DE">
        <w:rPr>
          <w:rFonts w:ascii="Times New Roman" w:hAnsi="Times New Roman"/>
        </w:rPr>
        <w:t xml:space="preserve"> management</w:t>
      </w:r>
      <w:r w:rsidR="00B1665A" w:rsidRPr="005948DE">
        <w:rPr>
          <w:rFonts w:ascii="Times New Roman" w:hAnsi="Times New Roman"/>
          <w:lang w:val="en-GB"/>
        </w:rPr>
        <w:t xml:space="preserve"> of </w:t>
      </w:r>
      <w:r w:rsidR="00D31D43">
        <w:rPr>
          <w:rFonts w:ascii="Times New Roman" w:hAnsi="Times New Roman"/>
          <w:lang w:val="en-GB"/>
        </w:rPr>
        <w:t xml:space="preserve">the </w:t>
      </w:r>
      <w:r w:rsidR="00B1665A" w:rsidRPr="005948DE">
        <w:rPr>
          <w:rFonts w:ascii="Times New Roman" w:hAnsi="Times New Roman"/>
          <w:lang w:val="en-GB"/>
        </w:rPr>
        <w:t xml:space="preserve">IBRD funds. </w:t>
      </w:r>
      <w:r w:rsidR="00B1665A" w:rsidRPr="005948DE">
        <w:rPr>
          <w:rFonts w:ascii="Times New Roman" w:hAnsi="Times New Roman"/>
          <w:iCs/>
          <w:lang w:val="en-US"/>
        </w:rPr>
        <w:t>The form for Authorized Signatories Letter (ASL</w:t>
      </w:r>
      <w:r w:rsidR="002D245F" w:rsidRPr="005948DE">
        <w:rPr>
          <w:rFonts w:ascii="Times New Roman" w:hAnsi="Times New Roman"/>
          <w:iCs/>
          <w:lang w:val="en-US"/>
        </w:rPr>
        <w:t>), should</w:t>
      </w:r>
      <w:r w:rsidR="00B1665A" w:rsidRPr="005948DE">
        <w:rPr>
          <w:rFonts w:ascii="Times New Roman" w:hAnsi="Times New Roman"/>
          <w:iCs/>
          <w:lang w:val="en-US"/>
        </w:rPr>
        <w:t xml:space="preserve"> be furnished to the Bank at the address: </w:t>
      </w:r>
      <w:r w:rsidR="00B1665A" w:rsidRPr="005948DE">
        <w:rPr>
          <w:rFonts w:ascii="Times New Roman" w:hAnsi="Times New Roman"/>
          <w:i/>
          <w:iCs/>
          <w:lang w:val="en-US"/>
        </w:rPr>
        <w:t>The World Bank, Radnicka cesta 80, 9</w:t>
      </w:r>
      <w:r w:rsidR="00B1665A" w:rsidRPr="005948DE">
        <w:rPr>
          <w:rFonts w:ascii="Times New Roman" w:hAnsi="Times New Roman"/>
          <w:i/>
          <w:iCs/>
          <w:vertAlign w:val="superscript"/>
          <w:lang w:val="en-US"/>
        </w:rPr>
        <w:t>th</w:t>
      </w:r>
      <w:r w:rsidR="00B1665A" w:rsidRPr="005948DE">
        <w:rPr>
          <w:rFonts w:ascii="Times New Roman" w:hAnsi="Times New Roman"/>
          <w:i/>
          <w:iCs/>
          <w:lang w:val="en-US"/>
        </w:rPr>
        <w:t xml:space="preserve"> floor, Zagreb, HR-10000, Croatia, Attention: Loan Department (WFACS)</w:t>
      </w:r>
    </w:p>
    <w:p w14:paraId="42B70D9A" w14:textId="4D68F0D0" w:rsidR="00EB32D1" w:rsidRPr="005948DE" w:rsidRDefault="00EB32D1" w:rsidP="005948DE">
      <w:pPr>
        <w:pStyle w:val="BodyText"/>
        <w:numPr>
          <w:ilvl w:val="0"/>
          <w:numId w:val="291"/>
        </w:numPr>
        <w:spacing w:after="240" w:line="276" w:lineRule="auto"/>
        <w:jc w:val="both"/>
        <w:rPr>
          <w:rFonts w:ascii="Times New Roman" w:hAnsi="Times New Roman"/>
        </w:rPr>
      </w:pPr>
      <w:r w:rsidRPr="005948DE">
        <w:rPr>
          <w:rFonts w:ascii="Times New Roman" w:hAnsi="Times New Roman"/>
        </w:rPr>
        <w:t xml:space="preserve">Submission of Authorized List of Signatories to </w:t>
      </w:r>
      <w:r w:rsidR="00D31D43">
        <w:rPr>
          <w:rFonts w:ascii="Times New Roman" w:hAnsi="Times New Roman"/>
          <w:lang w:val="sr-Latn-RS"/>
        </w:rPr>
        <w:t xml:space="preserve">the </w:t>
      </w:r>
      <w:r w:rsidRPr="005948DE">
        <w:rPr>
          <w:rFonts w:ascii="Times New Roman" w:hAnsi="Times New Roman"/>
        </w:rPr>
        <w:t>AFD;</w:t>
      </w:r>
    </w:p>
    <w:p w14:paraId="0391B5D9" w14:textId="4DEB4C54" w:rsidR="00EB32D1" w:rsidRPr="005948DE" w:rsidRDefault="00D31D43" w:rsidP="005948DE">
      <w:pPr>
        <w:pStyle w:val="BodyText"/>
        <w:numPr>
          <w:ilvl w:val="0"/>
          <w:numId w:val="291"/>
        </w:numPr>
        <w:spacing w:after="120" w:line="276" w:lineRule="auto"/>
        <w:jc w:val="both"/>
        <w:rPr>
          <w:rFonts w:ascii="Times New Roman" w:hAnsi="Times New Roman"/>
        </w:rPr>
      </w:pPr>
      <w:r>
        <w:rPr>
          <w:rFonts w:ascii="Times New Roman" w:hAnsi="Times New Roman"/>
          <w:lang w:val="sr-Latn-RS"/>
        </w:rPr>
        <w:t xml:space="preserve">The </w:t>
      </w:r>
      <w:r w:rsidR="00EB32D1" w:rsidRPr="005948DE">
        <w:rPr>
          <w:rFonts w:ascii="Times New Roman" w:hAnsi="Times New Roman"/>
        </w:rPr>
        <w:t>CFA has become effective upon the satisfaction of the conditions stipulated in the Part II of the Schedule 4 of the CFA;</w:t>
      </w:r>
    </w:p>
    <w:p w14:paraId="07FA04B3" w14:textId="77777777" w:rsidR="00EB32D1" w:rsidRPr="005948DE" w:rsidRDefault="00EB32D1" w:rsidP="005948DE">
      <w:pPr>
        <w:pStyle w:val="BodyText"/>
        <w:numPr>
          <w:ilvl w:val="0"/>
          <w:numId w:val="291"/>
        </w:numPr>
        <w:spacing w:after="120" w:line="276" w:lineRule="auto"/>
        <w:jc w:val="both"/>
        <w:rPr>
          <w:rFonts w:ascii="Times New Roman" w:hAnsi="Times New Roman"/>
        </w:rPr>
      </w:pPr>
      <w:r w:rsidRPr="005948DE">
        <w:rPr>
          <w:rFonts w:ascii="Times New Roman" w:hAnsi="Times New Roman"/>
        </w:rPr>
        <w:t>Confirmation that the IBRD Loan Agreement has become effective and that the conditions precedent to the first disbursement in respect of such loan have been fulfilled;</w:t>
      </w:r>
    </w:p>
    <w:p w14:paraId="1D9309B7" w14:textId="77777777" w:rsidR="00EB32D1" w:rsidRPr="005948DE" w:rsidRDefault="00EB32D1" w:rsidP="005948DE">
      <w:pPr>
        <w:pStyle w:val="BodyText"/>
        <w:numPr>
          <w:ilvl w:val="0"/>
          <w:numId w:val="291"/>
        </w:numPr>
        <w:spacing w:after="120" w:line="276" w:lineRule="auto"/>
        <w:jc w:val="both"/>
        <w:rPr>
          <w:rFonts w:ascii="Times New Roman" w:hAnsi="Times New Roman"/>
        </w:rPr>
      </w:pPr>
      <w:r w:rsidRPr="005948DE">
        <w:rPr>
          <w:rFonts w:ascii="Times New Roman" w:hAnsi="Times New Roman"/>
        </w:rPr>
        <w:t>The Co-Financing Agreement between the AFD and the IBRD has been executed;</w:t>
      </w:r>
    </w:p>
    <w:p w14:paraId="2CE87E49" w14:textId="03F299B7" w:rsidR="00EB32D1" w:rsidRPr="005948DE" w:rsidRDefault="00EB32D1" w:rsidP="005948DE">
      <w:pPr>
        <w:pStyle w:val="BodyText"/>
        <w:numPr>
          <w:ilvl w:val="0"/>
          <w:numId w:val="291"/>
        </w:numPr>
        <w:spacing w:after="120" w:line="276" w:lineRule="auto"/>
        <w:jc w:val="both"/>
        <w:rPr>
          <w:rFonts w:ascii="Times New Roman" w:hAnsi="Times New Roman"/>
        </w:rPr>
      </w:pPr>
      <w:r w:rsidRPr="005948DE">
        <w:rPr>
          <w:rFonts w:ascii="Times New Roman" w:hAnsi="Times New Roman"/>
        </w:rPr>
        <w:t xml:space="preserve">Delivery to the AFD of a duly executed legal opinion, in form and substance satisfactory to the AFD, of a reputable law firm who are legal advisers in the jurisdiction of the </w:t>
      </w:r>
      <w:r w:rsidR="00DE040F">
        <w:rPr>
          <w:rFonts w:ascii="Times New Roman" w:hAnsi="Times New Roman"/>
          <w:lang w:val="sr-Latn-RS"/>
        </w:rPr>
        <w:t>Republic of Serbia</w:t>
      </w:r>
      <w:r w:rsidRPr="005948DE">
        <w:rPr>
          <w:rFonts w:ascii="Times New Roman" w:hAnsi="Times New Roman"/>
        </w:rPr>
        <w:t>;</w:t>
      </w:r>
    </w:p>
    <w:p w14:paraId="48B6C228" w14:textId="0CFFB795" w:rsidR="00A97859" w:rsidRPr="005948DE" w:rsidRDefault="00EB32D1" w:rsidP="005948DE">
      <w:pPr>
        <w:pStyle w:val="BodyText"/>
        <w:numPr>
          <w:ilvl w:val="0"/>
          <w:numId w:val="291"/>
        </w:numPr>
        <w:spacing w:after="120" w:line="276" w:lineRule="auto"/>
        <w:jc w:val="both"/>
        <w:rPr>
          <w:rFonts w:ascii="Times New Roman" w:hAnsi="Times New Roman"/>
        </w:rPr>
      </w:pPr>
      <w:r w:rsidRPr="005948DE">
        <w:rPr>
          <w:rFonts w:ascii="Times New Roman" w:hAnsi="Times New Roman"/>
        </w:rPr>
        <w:t xml:space="preserve">Payment by the </w:t>
      </w:r>
      <w:r w:rsidR="00DE040F">
        <w:rPr>
          <w:rFonts w:ascii="Times New Roman" w:hAnsi="Times New Roman"/>
          <w:lang w:val="sr-Latn-RS"/>
        </w:rPr>
        <w:t>Republic of Serbia</w:t>
      </w:r>
      <w:r w:rsidRPr="005948DE">
        <w:rPr>
          <w:rFonts w:ascii="Times New Roman" w:hAnsi="Times New Roman"/>
        </w:rPr>
        <w:t xml:space="preserve"> to the AFD of all fees and expenses due and payable under the CFA;</w:t>
      </w:r>
    </w:p>
    <w:p w14:paraId="3114C3A9" w14:textId="26435D29" w:rsidR="00A97859" w:rsidRPr="005948DE" w:rsidRDefault="00A97859" w:rsidP="005948DE">
      <w:pPr>
        <w:pStyle w:val="BodyText"/>
        <w:spacing w:after="120" w:line="276" w:lineRule="auto"/>
        <w:jc w:val="both"/>
        <w:rPr>
          <w:rFonts w:ascii="Times New Roman" w:hAnsi="Times New Roman"/>
        </w:rPr>
      </w:pPr>
      <w:r w:rsidRPr="005948DE">
        <w:rPr>
          <w:rFonts w:ascii="Times New Roman" w:hAnsi="Times New Roman"/>
        </w:rPr>
        <w:t>Notwithstanding the provisions above, no withdrawal shall be made[:]</w:t>
      </w:r>
    </w:p>
    <w:p w14:paraId="7CB84589" w14:textId="28A0AA5F" w:rsidR="00A97859" w:rsidRPr="005948DE" w:rsidRDefault="00A97859" w:rsidP="005948DE">
      <w:pPr>
        <w:pStyle w:val="BodyText"/>
        <w:numPr>
          <w:ilvl w:val="0"/>
          <w:numId w:val="291"/>
        </w:numPr>
        <w:tabs>
          <w:tab w:val="left" w:pos="720"/>
        </w:tabs>
        <w:spacing w:line="276" w:lineRule="auto"/>
        <w:jc w:val="both"/>
        <w:rPr>
          <w:rFonts w:ascii="Times New Roman" w:hAnsi="Times New Roman"/>
        </w:rPr>
      </w:pPr>
      <w:r w:rsidRPr="005948DE">
        <w:rPr>
          <w:rFonts w:ascii="Times New Roman" w:hAnsi="Times New Roman"/>
        </w:rPr>
        <w:t>for payments made prior to the Signatur</w:t>
      </w:r>
      <w:r w:rsidR="00C60C14">
        <w:rPr>
          <w:rFonts w:ascii="Times New Roman" w:hAnsi="Times New Roman"/>
        </w:rPr>
        <w:t>e Date[.]; or</w:t>
      </w:r>
    </w:p>
    <w:p w14:paraId="615A2D9A" w14:textId="329DFC69" w:rsidR="00A97859" w:rsidRPr="005948DE" w:rsidRDefault="00A97859" w:rsidP="005948DE">
      <w:pPr>
        <w:pStyle w:val="BodyText"/>
        <w:numPr>
          <w:ilvl w:val="0"/>
          <w:numId w:val="291"/>
        </w:numPr>
        <w:spacing w:line="276" w:lineRule="auto"/>
        <w:jc w:val="both"/>
        <w:rPr>
          <w:rFonts w:ascii="Times New Roman" w:hAnsi="Times New Roman"/>
          <w:bCs w:val="0"/>
        </w:rPr>
      </w:pPr>
      <w:r w:rsidRPr="005948DE">
        <w:rPr>
          <w:rFonts w:ascii="Times New Roman" w:hAnsi="Times New Roman"/>
        </w:rPr>
        <w:t xml:space="preserve">under Categories 2 and 3 until the </w:t>
      </w:r>
      <w:r w:rsidR="00DE040F">
        <w:rPr>
          <w:rFonts w:ascii="Times New Roman" w:hAnsi="Times New Roman"/>
          <w:lang w:val="sr-Latn-RS"/>
        </w:rPr>
        <w:t>Republic of Serbia</w:t>
      </w:r>
      <w:r w:rsidRPr="005948DE">
        <w:rPr>
          <w:rFonts w:ascii="Times New Roman" w:hAnsi="Times New Roman"/>
        </w:rPr>
        <w:t xml:space="preserve">, through </w:t>
      </w:r>
      <w:r w:rsidR="00D31D43">
        <w:rPr>
          <w:rFonts w:ascii="Times New Roman" w:hAnsi="Times New Roman"/>
          <w:lang w:val="sr-Latn-RS"/>
        </w:rPr>
        <w:t xml:space="preserve">the </w:t>
      </w:r>
      <w:r w:rsidRPr="005948DE">
        <w:rPr>
          <w:rFonts w:ascii="Times New Roman" w:hAnsi="Times New Roman"/>
        </w:rPr>
        <w:t>MCTI, has developed and adopted a POGM, to the Bank’s satisfaction.</w:t>
      </w:r>
    </w:p>
    <w:p w14:paraId="483B96CB" w14:textId="77777777" w:rsidR="00A97859" w:rsidRPr="005948DE" w:rsidRDefault="00A97859" w:rsidP="005948DE">
      <w:pPr>
        <w:pStyle w:val="BodyText"/>
        <w:spacing w:after="120" w:line="276" w:lineRule="auto"/>
        <w:ind w:left="360"/>
        <w:jc w:val="both"/>
        <w:rPr>
          <w:rFonts w:ascii="Times New Roman" w:hAnsi="Times New Roman"/>
        </w:rPr>
      </w:pPr>
    </w:p>
    <w:p w14:paraId="524780FF" w14:textId="71E9237B"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In addition, due to </w:t>
      </w:r>
      <w:r w:rsidR="00D31D43">
        <w:rPr>
          <w:rFonts w:ascii="Times New Roman" w:hAnsi="Times New Roman"/>
          <w:lang w:val="sr-Latn-RS"/>
        </w:rPr>
        <w:t xml:space="preserve">the </w:t>
      </w:r>
      <w:r w:rsidRPr="005948DE">
        <w:rPr>
          <w:rFonts w:ascii="Times New Roman" w:hAnsi="Times New Roman"/>
        </w:rPr>
        <w:t xml:space="preserve">measures adopted by the </w:t>
      </w:r>
      <w:r w:rsidR="00EF65D5" w:rsidRPr="005948DE">
        <w:rPr>
          <w:rFonts w:ascii="Times New Roman" w:hAnsi="Times New Roman"/>
          <w:lang w:val="en-GB"/>
        </w:rPr>
        <w:t>GoS</w:t>
      </w:r>
      <w:r w:rsidRPr="005948DE">
        <w:rPr>
          <w:rFonts w:ascii="Times New Roman" w:hAnsi="Times New Roman"/>
        </w:rPr>
        <w:t xml:space="preserve"> caused by </w:t>
      </w:r>
      <w:r w:rsidR="00D31D43">
        <w:rPr>
          <w:rFonts w:ascii="Times New Roman" w:hAnsi="Times New Roman"/>
          <w:lang w:val="sr-Latn-RS"/>
        </w:rPr>
        <w:t xml:space="preserve">the </w:t>
      </w:r>
      <w:r w:rsidRPr="005948DE">
        <w:rPr>
          <w:rFonts w:ascii="Times New Roman" w:hAnsi="Times New Roman"/>
        </w:rPr>
        <w:t xml:space="preserve">pandemic </w:t>
      </w:r>
      <w:r w:rsidR="00DE040F" w:rsidRPr="005948DE">
        <w:rPr>
          <w:rFonts w:ascii="Times New Roman" w:hAnsi="Times New Roman"/>
        </w:rPr>
        <w:t>C</w:t>
      </w:r>
      <w:r w:rsidR="00DE040F">
        <w:rPr>
          <w:rFonts w:ascii="Times New Roman" w:hAnsi="Times New Roman"/>
          <w:lang w:val="sr-Latn-RS"/>
        </w:rPr>
        <w:t>ovid</w:t>
      </w:r>
      <w:r w:rsidRPr="005948DE">
        <w:rPr>
          <w:rFonts w:ascii="Times New Roman" w:hAnsi="Times New Roman"/>
        </w:rPr>
        <w:t>-19, each disbursement request should obtain previous consent of the MoF.</w:t>
      </w:r>
    </w:p>
    <w:p w14:paraId="1C2C8850" w14:textId="47555AF6" w:rsidR="00EB32D1" w:rsidRPr="005948DE" w:rsidRDefault="00D31D43" w:rsidP="005948DE">
      <w:pPr>
        <w:pStyle w:val="BodyText"/>
        <w:spacing w:after="240" w:line="276" w:lineRule="auto"/>
        <w:jc w:val="both"/>
        <w:rPr>
          <w:rFonts w:ascii="Times New Roman" w:hAnsi="Times New Roman"/>
        </w:rPr>
      </w:pPr>
      <w:r>
        <w:rPr>
          <w:rFonts w:ascii="Times New Roman" w:hAnsi="Times New Roman"/>
          <w:lang w:val="sr-Latn-RS"/>
        </w:rPr>
        <w:t xml:space="preserve">The </w:t>
      </w:r>
      <w:r w:rsidR="00EB32D1" w:rsidRPr="005948DE">
        <w:rPr>
          <w:rFonts w:ascii="Times New Roman" w:hAnsi="Times New Roman"/>
        </w:rPr>
        <w:t xml:space="preserve">PIU with support of the CFU is responsible for </w:t>
      </w:r>
      <w:r>
        <w:rPr>
          <w:rFonts w:ascii="Times New Roman" w:hAnsi="Times New Roman"/>
          <w:lang w:val="sr-Latn-RS"/>
        </w:rPr>
        <w:t xml:space="preserve">the </w:t>
      </w:r>
      <w:r w:rsidR="00EB32D1" w:rsidRPr="005948DE">
        <w:rPr>
          <w:rFonts w:ascii="Times New Roman" w:hAnsi="Times New Roman"/>
        </w:rPr>
        <w:t>coordination of the above listed activities and obtaining required approval(s).</w:t>
      </w:r>
    </w:p>
    <w:p w14:paraId="76EE1C5D" w14:textId="77777777" w:rsidR="00027A2D" w:rsidRPr="005948DE" w:rsidRDefault="00027A2D" w:rsidP="005948DE">
      <w:pPr>
        <w:pStyle w:val="BodyText"/>
        <w:spacing w:line="276" w:lineRule="auto"/>
        <w:jc w:val="both"/>
        <w:rPr>
          <w:rFonts w:ascii="Times New Roman" w:hAnsi="Times New Roman"/>
          <w:lang w:val="en-US"/>
        </w:rPr>
      </w:pPr>
      <w:r w:rsidRPr="005948DE">
        <w:rPr>
          <w:rFonts w:ascii="Times New Roman" w:hAnsi="Times New Roman"/>
          <w:b/>
          <w:i/>
          <w:lang w:val="en-US"/>
        </w:rPr>
        <w:t>(ii)</w:t>
      </w:r>
      <w:r w:rsidRPr="005948DE">
        <w:rPr>
          <w:rFonts w:ascii="Times New Roman" w:hAnsi="Times New Roman"/>
          <w:lang w:val="en-US"/>
        </w:rPr>
        <w:t xml:space="preserve"> </w:t>
      </w:r>
      <w:r w:rsidRPr="005948DE">
        <w:rPr>
          <w:rFonts w:ascii="Times New Roman" w:hAnsi="Times New Roman"/>
          <w:b/>
          <w:lang w:val="en-US"/>
        </w:rPr>
        <w:t xml:space="preserve">Electronic Delivery. </w:t>
      </w:r>
      <w:r w:rsidRPr="005948DE">
        <w:rPr>
          <w:rFonts w:ascii="Times New Roman" w:hAnsi="Times New Roman"/>
          <w:lang w:val="en-US"/>
        </w:rPr>
        <w:t xml:space="preserve">Section 10.01 (c) of the General Conditions. </w:t>
      </w:r>
    </w:p>
    <w:p w14:paraId="27C30044" w14:textId="2B40E027" w:rsidR="00027A2D" w:rsidRPr="005948DE" w:rsidRDefault="00027A2D" w:rsidP="005948DE">
      <w:pPr>
        <w:pStyle w:val="BodyText"/>
        <w:spacing w:line="276" w:lineRule="auto"/>
        <w:jc w:val="both"/>
        <w:rPr>
          <w:rFonts w:ascii="Times New Roman" w:hAnsi="Times New Roman"/>
          <w:lang w:val="en-US"/>
        </w:rPr>
      </w:pPr>
      <w:r w:rsidRPr="005948DE">
        <w:rPr>
          <w:rFonts w:ascii="Times New Roman" w:hAnsi="Times New Roman"/>
          <w:lang w:val="en-US"/>
        </w:rPr>
        <w:t xml:space="preserve">The </w:t>
      </w:r>
      <w:r w:rsidR="00DE040F">
        <w:rPr>
          <w:rFonts w:ascii="Times New Roman" w:hAnsi="Times New Roman"/>
          <w:lang w:val="sr-Latn-RS"/>
        </w:rPr>
        <w:t>Republic of Serbia</w:t>
      </w:r>
      <w:r w:rsidR="00256751" w:rsidRPr="005948DE">
        <w:rPr>
          <w:rFonts w:ascii="Times New Roman" w:hAnsi="Times New Roman"/>
          <w:lang w:val="en-US"/>
        </w:rPr>
        <w:t xml:space="preserve"> </w:t>
      </w:r>
      <w:r w:rsidRPr="005948DE">
        <w:rPr>
          <w:rFonts w:ascii="Times New Roman" w:hAnsi="Times New Roman"/>
          <w:lang w:val="en-US"/>
        </w:rPr>
        <w:t>will deliver Withdrawal Applications (with supporting documents) electronically through the Bank’s web-based portal “Client Connection”</w:t>
      </w:r>
      <w:r w:rsidR="00F66377">
        <w:fldChar w:fldCharType="begin"/>
      </w:r>
      <w:r w:rsidR="00F66377">
        <w:rPr>
          <w:vanish/>
        </w:rPr>
        <w:instrText xml:space="preserve"> HYPERLINK </w:instrText>
      </w:r>
      <w:r w:rsidR="00F66377">
        <w:fldChar w:fldCharType="separate"/>
      </w:r>
      <w:r w:rsidR="00256751" w:rsidRPr="005948DE">
        <w:rPr>
          <w:rStyle w:val="Hyperlink"/>
          <w:rFonts w:ascii="Times New Roman" w:hAnsi="Times New Roman"/>
          <w:lang w:val="en-US"/>
        </w:rPr>
        <w:t>https://clientconnection.worldbank.org</w:t>
      </w:r>
      <w:r w:rsidR="00F66377">
        <w:rPr>
          <w:rStyle w:val="Hyperlink"/>
          <w:rFonts w:ascii="Times New Roman" w:hAnsi="Times New Roman"/>
          <w:lang w:val="en-US"/>
        </w:rPr>
        <w:fldChar w:fldCharType="end"/>
      </w:r>
      <w:r w:rsidRPr="005948DE">
        <w:rPr>
          <w:rFonts w:ascii="Times New Roman" w:hAnsi="Times New Roman"/>
          <w:lang w:val="en-US"/>
        </w:rPr>
        <w:t xml:space="preserve">. This option will be </w:t>
      </w:r>
      <w:r w:rsidR="00D31D43">
        <w:rPr>
          <w:rFonts w:ascii="Times New Roman" w:hAnsi="Times New Roman"/>
          <w:lang w:val="en-US"/>
        </w:rPr>
        <w:t xml:space="preserve">effective </w:t>
      </w:r>
      <w:r w:rsidRPr="005948DE">
        <w:rPr>
          <w:rFonts w:ascii="Times New Roman" w:hAnsi="Times New Roman"/>
          <w:lang w:val="en-US"/>
        </w:rPr>
        <w:t xml:space="preserve">after the officials designated in writing by the </w:t>
      </w:r>
      <w:r w:rsidR="00DE040F">
        <w:rPr>
          <w:rFonts w:ascii="Times New Roman" w:hAnsi="Times New Roman"/>
          <w:lang w:val="sr-Latn-RS"/>
        </w:rPr>
        <w:t>Republic of Serbia</w:t>
      </w:r>
      <w:r w:rsidRPr="005948DE">
        <w:rPr>
          <w:rFonts w:ascii="Times New Roman" w:hAnsi="Times New Roman"/>
          <w:lang w:val="en-US"/>
        </w:rPr>
        <w:t xml:space="preserve"> who are authorized to sign and deliver Withdrawal Applications have registered as users of “Client Connection”. The designated officials will deliver Applications electronically by completing the Form 2380, which is accessible through “Client Connection”. By signing the Authorized Signatory Letter, the </w:t>
      </w:r>
      <w:r w:rsidR="00DE040F">
        <w:rPr>
          <w:rFonts w:ascii="Times New Roman" w:hAnsi="Times New Roman"/>
          <w:lang w:val="sr-Latn-RS"/>
        </w:rPr>
        <w:t>Republic of Serbia</w:t>
      </w:r>
      <w:r w:rsidRPr="005948DE">
        <w:rPr>
          <w:rFonts w:ascii="Times New Roman" w:hAnsi="Times New Roman"/>
          <w:lang w:val="en-US"/>
        </w:rPr>
        <w:t xml:space="preserve"> confirms that it is authorizing such persons to accept Secure Identification Credentials (SIDC) and to deliver the Applications and supporting documents to the Bank by electronic means. The </w:t>
      </w:r>
      <w:r w:rsidR="00DE040F">
        <w:rPr>
          <w:rFonts w:ascii="Times New Roman" w:hAnsi="Times New Roman"/>
          <w:lang w:val="sr-Latn-RS"/>
        </w:rPr>
        <w:t>Republic of Serbia</w:t>
      </w:r>
      <w:r w:rsidRPr="005948DE">
        <w:rPr>
          <w:rFonts w:ascii="Times New Roman" w:hAnsi="Times New Roman"/>
          <w:lang w:val="en-US"/>
        </w:rPr>
        <w:t xml:space="preserve"> may exercise the option of preparing and delivering Withdrawal Applications in paper form on exceptional cases (including those where the Borrower encounters legal limitations), and which were previously agreed with the Bank. By designating officials to use SIDC and by choosing to deliver the Applications electronically, the </w:t>
      </w:r>
      <w:r w:rsidR="00DE040F">
        <w:rPr>
          <w:rFonts w:ascii="Times New Roman" w:hAnsi="Times New Roman"/>
          <w:lang w:val="sr-Latn-RS"/>
        </w:rPr>
        <w:t>Republic of Serbia</w:t>
      </w:r>
      <w:r w:rsidRPr="005948DE">
        <w:rPr>
          <w:rFonts w:ascii="Times New Roman" w:hAnsi="Times New Roman"/>
          <w:lang w:val="en-US"/>
        </w:rPr>
        <w:t xml:space="preserve"> confirms through the authorized signatory letter its agreement to: (a) abide by the Terms and Conditions of Use of Secure Identification Credentials in connection with Use of Electronic Means to Process Applications and Supporting Documentation, available in the Bank's public website at </w:t>
      </w:r>
      <w:hyperlink r:id="rId30" w:history="1">
        <w:r w:rsidRPr="005948DE">
          <w:rPr>
            <w:rStyle w:val="Hyperlink"/>
            <w:rFonts w:ascii="Times New Roman" w:hAnsi="Times New Roman"/>
            <w:lang w:val="en-US"/>
          </w:rPr>
          <w:t>https://worldbank.org</w:t>
        </w:r>
      </w:hyperlink>
      <w:r w:rsidRPr="005948DE">
        <w:rPr>
          <w:rFonts w:ascii="Times New Roman" w:hAnsi="Times New Roman"/>
          <w:lang w:val="en-US"/>
        </w:rPr>
        <w:t xml:space="preserve"> </w:t>
      </w:r>
      <w:r w:rsidR="008F5AB0" w:rsidRPr="008F5AB0">
        <w:t xml:space="preserve"> </w:t>
      </w:r>
      <w:r w:rsidR="008F5AB0" w:rsidRPr="008F5AB0">
        <w:rPr>
          <w:rFonts w:ascii="Times New Roman" w:hAnsi="Times New Roman"/>
          <w:lang w:val="en-US"/>
        </w:rPr>
        <w:t>https://www.worldbank.org/en/home</w:t>
      </w:r>
      <w:r w:rsidR="008F5AB0">
        <w:rPr>
          <w:rFonts w:ascii="Times New Roman" w:hAnsi="Times New Roman"/>
          <w:lang w:val="en-US"/>
        </w:rPr>
        <w:t xml:space="preserve"> </w:t>
      </w:r>
      <w:r w:rsidRPr="005948DE">
        <w:rPr>
          <w:rFonts w:ascii="Times New Roman" w:hAnsi="Times New Roman"/>
          <w:lang w:val="en-US"/>
        </w:rPr>
        <w:t>and “Client Connection”; and (b) to cause such official to abide by those terms and conditions.</w:t>
      </w:r>
    </w:p>
    <w:p w14:paraId="1A900470" w14:textId="20201453" w:rsidR="00054E86"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lang w:val="sr-Latn-RS"/>
        </w:rPr>
        <w:t xml:space="preserve">Electronic Application for withdrawal </w:t>
      </w:r>
      <w:r w:rsidRPr="005948DE">
        <w:rPr>
          <w:rFonts w:ascii="Times New Roman" w:hAnsi="Times New Roman"/>
        </w:rPr>
        <w:t xml:space="preserve">will be prepared by the CFU Financial Specialist based on the inputs provided by the PIU, and amount to be disbursed should be enough to cover </w:t>
      </w:r>
      <w:r w:rsidRPr="005948DE">
        <w:rPr>
          <w:rFonts w:ascii="Times New Roman" w:hAnsi="Times New Roman"/>
          <w:lang w:val="sr-Latn-RS"/>
        </w:rPr>
        <w:t xml:space="preserve">at least </w:t>
      </w:r>
      <w:r w:rsidRPr="005948DE">
        <w:rPr>
          <w:rFonts w:ascii="Times New Roman" w:hAnsi="Times New Roman"/>
        </w:rPr>
        <w:t>6-month Project financing. For this purpose, Disbursement and Financial Information Letter</w:t>
      </w:r>
      <w:r w:rsidR="00DE040F">
        <w:rPr>
          <w:rFonts w:ascii="Times New Roman" w:hAnsi="Times New Roman"/>
          <w:lang w:val="sr-Latn-RS"/>
        </w:rPr>
        <w:t xml:space="preserve"> </w:t>
      </w:r>
      <w:r w:rsidR="00DE040F" w:rsidRPr="005948DE">
        <w:rPr>
          <w:rFonts w:ascii="Times New Roman" w:hAnsi="Times New Roman"/>
        </w:rPr>
        <w:t>(DFIL)</w:t>
      </w:r>
      <w:r w:rsidR="0087027D">
        <w:rPr>
          <w:rFonts w:ascii="Times New Roman" w:hAnsi="Times New Roman"/>
        </w:rPr>
        <w:t xml:space="preserve"> </w:t>
      </w:r>
      <w:r w:rsidRPr="005948DE">
        <w:rPr>
          <w:rFonts w:ascii="Times New Roman" w:hAnsi="Times New Roman"/>
        </w:rPr>
        <w:t xml:space="preserve">template will be used. </w:t>
      </w:r>
      <w:r w:rsidR="00D31D43">
        <w:rPr>
          <w:rFonts w:ascii="Times New Roman" w:hAnsi="Times New Roman"/>
          <w:lang w:val="sr-Latn-RS"/>
        </w:rPr>
        <w:t xml:space="preserve">The </w:t>
      </w:r>
      <w:r w:rsidRPr="005948DE">
        <w:rPr>
          <w:rFonts w:ascii="Times New Roman" w:hAnsi="Times New Roman"/>
          <w:lang w:val="sr-Latn-RS"/>
        </w:rPr>
        <w:t>Application</w:t>
      </w:r>
      <w:r w:rsidRPr="005948DE">
        <w:rPr>
          <w:rFonts w:ascii="Times New Roman" w:hAnsi="Times New Roman"/>
        </w:rPr>
        <w:t xml:space="preserve"> will be signed electronically by the authorized signatory and submitted to the Bank together with </w:t>
      </w:r>
      <w:r w:rsidRPr="005948DE">
        <w:rPr>
          <w:rFonts w:ascii="Times New Roman" w:hAnsi="Times New Roman"/>
          <w:lang w:val="sr-Latn-RS"/>
        </w:rPr>
        <w:t>supporting documents (</w:t>
      </w:r>
      <w:r w:rsidR="00B1665A" w:rsidRPr="005948DE">
        <w:rPr>
          <w:rFonts w:ascii="Times New Roman" w:hAnsi="Times New Roman"/>
          <w:bCs w:val="0"/>
        </w:rPr>
        <w:t>Statement of Expenditures</w:t>
      </w:r>
      <w:r w:rsidR="00B1665A" w:rsidRPr="005948DE">
        <w:rPr>
          <w:rFonts w:ascii="Times New Roman" w:hAnsi="Times New Roman"/>
          <w:b/>
        </w:rPr>
        <w:t xml:space="preserve"> </w:t>
      </w:r>
      <w:r w:rsidR="00B1665A" w:rsidRPr="005948DE">
        <w:rPr>
          <w:rFonts w:ascii="Times New Roman" w:hAnsi="Times New Roman"/>
          <w:b/>
          <w:lang w:val="en-GB"/>
        </w:rPr>
        <w:t>(</w:t>
      </w:r>
      <w:r w:rsidRPr="005948DE">
        <w:rPr>
          <w:rFonts w:ascii="Times New Roman" w:hAnsi="Times New Roman"/>
          <w:lang w:val="sr-Latn-RS"/>
        </w:rPr>
        <w:t>S</w:t>
      </w:r>
      <w:r w:rsidR="00DE040F">
        <w:rPr>
          <w:rFonts w:ascii="Times New Roman" w:hAnsi="Times New Roman"/>
          <w:lang w:val="sr-Latn-RS"/>
        </w:rPr>
        <w:t>o</w:t>
      </w:r>
      <w:r w:rsidRPr="005948DE">
        <w:rPr>
          <w:rFonts w:ascii="Times New Roman" w:hAnsi="Times New Roman"/>
          <w:lang w:val="sr-Latn-RS"/>
        </w:rPr>
        <w:t>E</w:t>
      </w:r>
      <w:r w:rsidR="00B1665A" w:rsidRPr="005948DE">
        <w:rPr>
          <w:rFonts w:ascii="Times New Roman" w:hAnsi="Times New Roman"/>
          <w:lang w:val="sr-Latn-RS"/>
        </w:rPr>
        <w:t>)</w:t>
      </w:r>
      <w:r w:rsidRPr="005948DE">
        <w:rPr>
          <w:rFonts w:ascii="Times New Roman" w:hAnsi="Times New Roman"/>
          <w:lang w:val="sr-Latn-RS"/>
        </w:rPr>
        <w:t>,</w:t>
      </w:r>
      <w:r w:rsidR="00921B17" w:rsidRPr="005948DE">
        <w:rPr>
          <w:rFonts w:ascii="Times New Roman" w:hAnsi="Times New Roman"/>
          <w:lang w:val="sr-Latn-RS"/>
        </w:rPr>
        <w:t xml:space="preserve"> </w:t>
      </w:r>
      <w:r w:rsidRPr="005948DE">
        <w:rPr>
          <w:rFonts w:ascii="Times New Roman" w:hAnsi="Times New Roman"/>
          <w:lang w:val="sr-Latn-RS"/>
        </w:rPr>
        <w:t xml:space="preserve">appropriate </w:t>
      </w:r>
      <w:r w:rsidRPr="005948DE">
        <w:rPr>
          <w:rFonts w:ascii="Times New Roman" w:hAnsi="Times New Roman"/>
        </w:rPr>
        <w:t>bank statement</w:t>
      </w:r>
      <w:r w:rsidRPr="005948DE">
        <w:rPr>
          <w:rFonts w:ascii="Times New Roman" w:hAnsi="Times New Roman"/>
          <w:lang w:val="sr-Latn-RS"/>
        </w:rPr>
        <w:t>)</w:t>
      </w:r>
      <w:r w:rsidRPr="005948DE">
        <w:rPr>
          <w:rFonts w:ascii="Times New Roman" w:hAnsi="Times New Roman"/>
        </w:rPr>
        <w:t xml:space="preserve">. Pursuant to the Clause 3, item 3.2 of the CFA, an electronic copy of the Drawdown Request duly completed and signed, together with all the supporting documents required for the relevant conditions precedent </w:t>
      </w:r>
      <w:r w:rsidR="001F4367" w:rsidRPr="005948DE">
        <w:rPr>
          <w:rFonts w:ascii="Times New Roman" w:hAnsi="Times New Roman"/>
        </w:rPr>
        <w:t>fulfilment</w:t>
      </w:r>
      <w:r w:rsidRPr="005948DE">
        <w:rPr>
          <w:rFonts w:ascii="Times New Roman" w:hAnsi="Times New Roman"/>
        </w:rPr>
        <w:t xml:space="preserve">, shall at first be submitted to the IBRD, simultaneously with submission of the relevant Withdrawal Application under the IBRD loan in accordance with the conditions and terms of the LA; and, shall be submitted to the AFD. A hard copy of the duly completed and signed Disbursement request shall be delivered by mail to the AFD </w:t>
      </w:r>
      <w:r w:rsidR="00CD6C7F">
        <w:rPr>
          <w:rFonts w:ascii="Times New Roman" w:hAnsi="Times New Roman"/>
          <w:lang w:val="sr-Latn-RS"/>
        </w:rPr>
        <w:t>Office</w:t>
      </w:r>
      <w:r w:rsidRPr="005948DE">
        <w:rPr>
          <w:rFonts w:ascii="Times New Roman" w:hAnsi="Times New Roman"/>
        </w:rPr>
        <w:t xml:space="preserve"> Director at the address specified in Clause 16.1 of the CFA. Payments will be made in accordance with the instructions in the DFIL, updated if necessary, issued by the IBRD. Unless an exception is granted by the AFD, each Drawdown Request shall be made concurrently with a Withdrawal Application under the IBRD LA for respective amounts to meet the financing </w:t>
      </w:r>
      <w:r w:rsidR="00054E86" w:rsidRPr="005948DE">
        <w:rPr>
          <w:rFonts w:ascii="Times New Roman" w:hAnsi="Times New Roman"/>
          <w:lang w:val="en-GB"/>
        </w:rPr>
        <w:t xml:space="preserve">ratio </w:t>
      </w:r>
      <w:r w:rsidRPr="005948DE">
        <w:rPr>
          <w:rFonts w:ascii="Times New Roman" w:hAnsi="Times New Roman"/>
        </w:rPr>
        <w:t xml:space="preserve">indicated in the CFA. </w:t>
      </w:r>
    </w:p>
    <w:p w14:paraId="1486F895" w14:textId="561C665E"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In application of the Co-Financing Agreement, once the IBRD has received a Withdrawal Application and the relevant supporting documents IBRD, on behalf and in the name of the AFD, will: </w:t>
      </w:r>
    </w:p>
    <w:p w14:paraId="18FB37E2" w14:textId="77777777" w:rsidR="00EB32D1" w:rsidRPr="005948DE" w:rsidRDefault="00EB32D1" w:rsidP="005948DE">
      <w:pPr>
        <w:pStyle w:val="BodyText"/>
        <w:numPr>
          <w:ilvl w:val="0"/>
          <w:numId w:val="292"/>
        </w:numPr>
        <w:spacing w:after="120" w:line="276" w:lineRule="auto"/>
        <w:jc w:val="both"/>
        <w:rPr>
          <w:rFonts w:ascii="Times New Roman" w:hAnsi="Times New Roman"/>
        </w:rPr>
      </w:pPr>
      <w:r w:rsidRPr="005948DE">
        <w:rPr>
          <w:rFonts w:ascii="Times New Roman" w:hAnsi="Times New Roman"/>
        </w:rPr>
        <w:t>assess all these supporting documents submitted, in compliance with the its applicable internal rules and procedures; and</w:t>
      </w:r>
    </w:p>
    <w:p w14:paraId="789BA513" w14:textId="77777777" w:rsidR="00EB32D1" w:rsidRPr="005948DE" w:rsidRDefault="00EB32D1" w:rsidP="005948DE">
      <w:pPr>
        <w:pStyle w:val="BodyText"/>
        <w:numPr>
          <w:ilvl w:val="0"/>
          <w:numId w:val="292"/>
        </w:numPr>
        <w:spacing w:after="120" w:line="276" w:lineRule="auto"/>
        <w:jc w:val="both"/>
        <w:rPr>
          <w:rFonts w:ascii="Times New Roman" w:hAnsi="Times New Roman"/>
        </w:rPr>
      </w:pPr>
      <w:r w:rsidRPr="005948DE">
        <w:rPr>
          <w:rFonts w:ascii="Times New Roman" w:hAnsi="Times New Roman"/>
        </w:rPr>
        <w:t xml:space="preserve">verify that the amount requested in the Drawdown Request complies with the co-financing requirements under the Co-Financing Agreement. </w:t>
      </w:r>
    </w:p>
    <w:p w14:paraId="0618D127" w14:textId="77777777" w:rsidR="00EB32D1" w:rsidRPr="005948DE" w:rsidRDefault="00EB32D1" w:rsidP="005948DE">
      <w:pPr>
        <w:pStyle w:val="BodyText"/>
        <w:spacing w:line="276" w:lineRule="auto"/>
        <w:jc w:val="both"/>
        <w:rPr>
          <w:rFonts w:ascii="Times New Roman" w:hAnsi="Times New Roman"/>
        </w:rPr>
      </w:pPr>
      <w:r w:rsidRPr="005948DE">
        <w:rPr>
          <w:rFonts w:ascii="Times New Roman" w:hAnsi="Times New Roman"/>
        </w:rPr>
        <w:t>If the result of the assessment and the verification mentioned above is satisfactory to the IBRD, the latter will notify the AFD in writing of such result through a disbursement notice. Subject to Clause 14.7 of the CFA (Payment Systems Disruption), if each of the conditions set out in Clause 2.4(b) (Conditions precedent) of the CFA has been met, the AFD shall make the requested Drawdown available to the MCTI not later than the Drawdown Date</w:t>
      </w:r>
      <w:r w:rsidRPr="005948DE">
        <w:rPr>
          <w:rStyle w:val="FootnoteReference"/>
          <w:rFonts w:ascii="Times New Roman" w:hAnsi="Times New Roman"/>
        </w:rPr>
        <w:footnoteReference w:id="11"/>
      </w:r>
      <w:r w:rsidRPr="005948DE">
        <w:rPr>
          <w:rFonts w:ascii="Times New Roman" w:hAnsi="Times New Roman"/>
        </w:rPr>
        <w:t>.</w:t>
      </w:r>
    </w:p>
    <w:p w14:paraId="011C7367" w14:textId="0DF057AA" w:rsidR="00EB32D1" w:rsidRPr="006100A9"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Disbursed amount will be withdrawn on the </w:t>
      </w:r>
      <w:r w:rsidR="00842328" w:rsidRPr="005948DE">
        <w:rPr>
          <w:rFonts w:ascii="Times New Roman" w:hAnsi="Times New Roman"/>
        </w:rPr>
        <w:t xml:space="preserve">two segregated </w:t>
      </w:r>
      <w:r w:rsidR="00DE040F">
        <w:rPr>
          <w:rFonts w:ascii="Times New Roman" w:hAnsi="Times New Roman"/>
          <w:lang w:val="sr-Latn-RS"/>
        </w:rPr>
        <w:t>DAs</w:t>
      </w:r>
      <w:r w:rsidRPr="005948DE">
        <w:rPr>
          <w:rFonts w:ascii="Times New Roman" w:hAnsi="Times New Roman"/>
        </w:rPr>
        <w:t xml:space="preserve"> and denominated in EUR, as currency of the </w:t>
      </w:r>
      <w:r w:rsidR="00CD6C7F">
        <w:rPr>
          <w:rFonts w:ascii="Times New Roman" w:hAnsi="Times New Roman"/>
          <w:lang w:val="sr-Latn-RS"/>
        </w:rPr>
        <w:t>Loan</w:t>
      </w:r>
      <w:r w:rsidRPr="005948DE">
        <w:rPr>
          <w:rFonts w:ascii="Times New Roman" w:hAnsi="Times New Roman"/>
        </w:rPr>
        <w:t xml:space="preserve">. Amounts estimated for financing of three-months expenditures </w:t>
      </w:r>
      <w:r w:rsidR="00236F1F">
        <w:rPr>
          <w:rFonts w:ascii="Times New Roman" w:hAnsi="Times New Roman"/>
          <w:lang w:val="en-GB"/>
        </w:rPr>
        <w:t xml:space="preserve">in local, RSD currency, </w:t>
      </w:r>
      <w:r w:rsidRPr="005948DE">
        <w:rPr>
          <w:rFonts w:ascii="Times New Roman" w:hAnsi="Times New Roman"/>
        </w:rPr>
        <w:t xml:space="preserve">will be withdrawn from the </w:t>
      </w:r>
      <w:r w:rsidR="00842328" w:rsidRPr="005948DE">
        <w:rPr>
          <w:rFonts w:ascii="Times New Roman" w:hAnsi="Times New Roman"/>
        </w:rPr>
        <w:t xml:space="preserve">two segregated </w:t>
      </w:r>
      <w:r w:rsidR="00DE040F">
        <w:rPr>
          <w:rFonts w:ascii="Times New Roman" w:hAnsi="Times New Roman"/>
          <w:lang w:val="sr-Latn-RS"/>
        </w:rPr>
        <w:t>DAs</w:t>
      </w:r>
      <w:r w:rsidRPr="005948DE">
        <w:rPr>
          <w:rFonts w:ascii="Times New Roman" w:hAnsi="Times New Roman"/>
        </w:rPr>
        <w:t xml:space="preserve">, converted in RSD and denominated into </w:t>
      </w:r>
      <w:r w:rsidR="00DE040F">
        <w:rPr>
          <w:rFonts w:ascii="Times New Roman" w:hAnsi="Times New Roman"/>
          <w:lang w:val="sr-Latn-RS"/>
        </w:rPr>
        <w:t xml:space="preserve">the </w:t>
      </w:r>
      <w:r w:rsidRPr="006100A9">
        <w:rPr>
          <w:rFonts w:ascii="Times New Roman" w:hAnsi="Times New Roman"/>
        </w:rPr>
        <w:t xml:space="preserve">Project record account in the MCTI. </w:t>
      </w:r>
    </w:p>
    <w:p w14:paraId="3B83ECAB" w14:textId="74BF7045" w:rsidR="00EB32D1" w:rsidRPr="006100A9" w:rsidRDefault="00EB32D1" w:rsidP="005948DE">
      <w:pPr>
        <w:pStyle w:val="BodyText"/>
        <w:spacing w:after="240" w:line="276" w:lineRule="auto"/>
        <w:jc w:val="both"/>
        <w:rPr>
          <w:rFonts w:ascii="Times New Roman" w:hAnsi="Times New Roman"/>
        </w:rPr>
      </w:pPr>
      <w:r w:rsidRPr="006100A9">
        <w:rPr>
          <w:rFonts w:ascii="Times New Roman" w:hAnsi="Times New Roman"/>
        </w:rPr>
        <w:t xml:space="preserve">Compliance with the CFA, deadline for Drawdown of the </w:t>
      </w:r>
      <w:r w:rsidR="00CD6C7F" w:rsidRPr="006100A9">
        <w:rPr>
          <w:rFonts w:ascii="Times New Roman" w:hAnsi="Times New Roman"/>
          <w:lang w:val="sr-Latn-RS"/>
        </w:rPr>
        <w:t>Loan</w:t>
      </w:r>
      <w:r w:rsidRPr="006100A9">
        <w:rPr>
          <w:rFonts w:ascii="Times New Roman" w:hAnsi="Times New Roman"/>
        </w:rPr>
        <w:t xml:space="preserve"> under the CFA is </w:t>
      </w:r>
      <w:r w:rsidRPr="006F115D">
        <w:rPr>
          <w:rFonts w:ascii="Times New Roman" w:hAnsi="Times New Roman"/>
        </w:rPr>
        <w:t>April 30, 202</w:t>
      </w:r>
      <w:r w:rsidR="00A64CEC" w:rsidRPr="006100A9">
        <w:rPr>
          <w:rFonts w:ascii="Times New Roman" w:hAnsi="Times New Roman"/>
          <w:lang w:val="en-US"/>
        </w:rPr>
        <w:t>8</w:t>
      </w:r>
      <w:r w:rsidRPr="006100A9">
        <w:rPr>
          <w:rFonts w:ascii="Times New Roman" w:hAnsi="Times New Roman"/>
        </w:rPr>
        <w:t>, and deadline for use of funds is the date of expiration of a twelve (12) month period starting on the payment date of the last Advance.</w:t>
      </w:r>
    </w:p>
    <w:p w14:paraId="4F1B2314" w14:textId="233AB7CE" w:rsidR="00EB32D1" w:rsidRPr="006100A9" w:rsidRDefault="00EB32D1" w:rsidP="005948DE">
      <w:pPr>
        <w:pStyle w:val="BodyText"/>
        <w:spacing w:line="276" w:lineRule="auto"/>
        <w:jc w:val="both"/>
        <w:rPr>
          <w:rFonts w:ascii="Times New Roman" w:hAnsi="Times New Roman"/>
        </w:rPr>
      </w:pPr>
      <w:r w:rsidRPr="006100A9">
        <w:rPr>
          <w:rFonts w:ascii="Times New Roman" w:hAnsi="Times New Roman"/>
        </w:rPr>
        <w:t xml:space="preserve">Although the Loan Closing Date is set as </w:t>
      </w:r>
      <w:r w:rsidR="008F5AB0" w:rsidRPr="006F115D">
        <w:rPr>
          <w:rFonts w:ascii="Times New Roman" w:hAnsi="Times New Roman"/>
          <w:lang w:val="en-GB"/>
        </w:rPr>
        <w:t>November 30</w:t>
      </w:r>
      <w:r w:rsidR="00D07F62" w:rsidRPr="006F115D">
        <w:rPr>
          <w:rFonts w:ascii="Times New Roman" w:hAnsi="Times New Roman"/>
          <w:lang w:val="en-GB"/>
        </w:rPr>
        <w:t xml:space="preserve">, </w:t>
      </w:r>
      <w:r w:rsidRPr="006F115D">
        <w:rPr>
          <w:rFonts w:ascii="Times New Roman" w:hAnsi="Times New Roman"/>
        </w:rPr>
        <w:t>202</w:t>
      </w:r>
      <w:r w:rsidR="00EA1278">
        <w:rPr>
          <w:rFonts w:ascii="Times New Roman" w:hAnsi="Times New Roman"/>
          <w:lang w:val="en-GB"/>
        </w:rPr>
        <w:t>8</w:t>
      </w:r>
      <w:r w:rsidRPr="006F115D">
        <w:rPr>
          <w:rFonts w:ascii="Times New Roman" w:hAnsi="Times New Roman"/>
        </w:rPr>
        <w:t>,</w:t>
      </w:r>
      <w:r w:rsidRPr="006100A9">
        <w:rPr>
          <w:rFonts w:ascii="Times New Roman" w:hAnsi="Times New Roman"/>
        </w:rPr>
        <w:t xml:space="preserve"> the Bank may decide, without formally extending this date, to disburse or approve the use of proceeds of </w:t>
      </w:r>
      <w:r w:rsidR="00D31D43" w:rsidRPr="006100A9">
        <w:rPr>
          <w:rFonts w:ascii="Times New Roman" w:hAnsi="Times New Roman"/>
          <w:lang w:val="sr-Latn-RS"/>
        </w:rPr>
        <w:t>the</w:t>
      </w:r>
      <w:r w:rsidR="00D31D43" w:rsidRPr="006100A9">
        <w:rPr>
          <w:rFonts w:ascii="Times New Roman" w:hAnsi="Times New Roman"/>
        </w:rPr>
        <w:t xml:space="preserve"> </w:t>
      </w:r>
      <w:r w:rsidRPr="006100A9">
        <w:rPr>
          <w:rFonts w:ascii="Times New Roman" w:hAnsi="Times New Roman"/>
        </w:rPr>
        <w:t xml:space="preserve">Loan under withdrawal applications received within four months after the Loan Closing Date for payments made or payments due for eligible expenditures incurred prior to the Loan Closing Date. Exceptionally, and upon the MCTI’s request, the Bank may decide to extend the period for receipt of such withdrawal applications. </w:t>
      </w:r>
    </w:p>
    <w:p w14:paraId="5F1D9C17" w14:textId="77777777" w:rsidR="00EB32D1" w:rsidRPr="006100A9" w:rsidRDefault="00EB32D1"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583" w:name="_Toc61610200"/>
      <w:bookmarkStart w:id="584" w:name="_Toc93342283"/>
      <w:r w:rsidRPr="006100A9">
        <w:rPr>
          <w:rFonts w:ascii="Times New Roman" w:hAnsi="Times New Roman" w:cs="Times New Roman"/>
          <w:smallCaps w:val="0"/>
          <w:color w:val="auto"/>
          <w:sz w:val="24"/>
        </w:rPr>
        <w:t>Payments</w:t>
      </w:r>
      <w:bookmarkEnd w:id="583"/>
      <w:bookmarkEnd w:id="584"/>
    </w:p>
    <w:p w14:paraId="0DFA18CB" w14:textId="577A5A79" w:rsidR="00EB32D1" w:rsidRPr="006100A9" w:rsidRDefault="00EB32D1" w:rsidP="005948DE">
      <w:pPr>
        <w:pStyle w:val="BodyText"/>
        <w:spacing w:after="240" w:line="276" w:lineRule="auto"/>
        <w:jc w:val="both"/>
        <w:rPr>
          <w:rFonts w:ascii="Times New Roman" w:hAnsi="Times New Roman"/>
        </w:rPr>
      </w:pPr>
      <w:r w:rsidRPr="006100A9">
        <w:rPr>
          <w:rFonts w:ascii="Times New Roman" w:hAnsi="Times New Roman"/>
        </w:rPr>
        <w:t xml:space="preserve">Respecting the provisions of </w:t>
      </w:r>
      <w:r w:rsidR="00D31D43" w:rsidRPr="006100A9">
        <w:rPr>
          <w:rFonts w:ascii="Times New Roman" w:hAnsi="Times New Roman"/>
          <w:lang w:val="sr-Latn-RS"/>
        </w:rPr>
        <w:t xml:space="preserve">the </w:t>
      </w:r>
      <w:r w:rsidRPr="006100A9">
        <w:rPr>
          <w:rFonts w:ascii="Times New Roman" w:hAnsi="Times New Roman"/>
        </w:rPr>
        <w:t xml:space="preserve">signed LA and </w:t>
      </w:r>
      <w:r w:rsidR="00D31D43" w:rsidRPr="006100A9">
        <w:rPr>
          <w:rFonts w:ascii="Times New Roman" w:hAnsi="Times New Roman"/>
          <w:lang w:val="sr-Latn-RS"/>
        </w:rPr>
        <w:t xml:space="preserve">the </w:t>
      </w:r>
      <w:r w:rsidRPr="006100A9">
        <w:rPr>
          <w:rFonts w:ascii="Times New Roman" w:hAnsi="Times New Roman"/>
        </w:rPr>
        <w:t xml:space="preserve">CFA, </w:t>
      </w:r>
      <w:r w:rsidR="00D31D43" w:rsidRPr="006100A9">
        <w:rPr>
          <w:rFonts w:ascii="Times New Roman" w:hAnsi="Times New Roman"/>
          <w:lang w:val="sr-Latn-RS"/>
        </w:rPr>
        <w:t xml:space="preserve">the </w:t>
      </w:r>
      <w:r w:rsidR="00CD6C7F" w:rsidRPr="006100A9">
        <w:rPr>
          <w:rFonts w:ascii="Times New Roman" w:hAnsi="Times New Roman"/>
          <w:lang w:val="sr-Latn-RS"/>
        </w:rPr>
        <w:t>Loan</w:t>
      </w:r>
      <w:r w:rsidRPr="006100A9">
        <w:rPr>
          <w:rFonts w:ascii="Times New Roman" w:hAnsi="Times New Roman"/>
        </w:rPr>
        <w:t xml:space="preserve"> funds will be used for financing of </w:t>
      </w:r>
      <w:r w:rsidR="00D31D43" w:rsidRPr="006100A9">
        <w:rPr>
          <w:rFonts w:ascii="Times New Roman" w:hAnsi="Times New Roman"/>
          <w:lang w:val="sr-Latn-RS"/>
        </w:rPr>
        <w:t xml:space="preserve">the </w:t>
      </w:r>
      <w:r w:rsidR="00CD6C7F" w:rsidRPr="006100A9">
        <w:rPr>
          <w:rFonts w:ascii="Times New Roman" w:hAnsi="Times New Roman"/>
        </w:rPr>
        <w:t>following</w:t>
      </w:r>
      <w:r w:rsidRPr="006100A9">
        <w:rPr>
          <w:rFonts w:ascii="Times New Roman" w:hAnsi="Times New Roman"/>
        </w:rPr>
        <w:t>:</w:t>
      </w:r>
    </w:p>
    <w:p w14:paraId="4E95CF94" w14:textId="13AA0384" w:rsidR="00EB32D1" w:rsidRPr="006100A9" w:rsidRDefault="00EB32D1" w:rsidP="005948DE">
      <w:pPr>
        <w:pStyle w:val="Caption"/>
        <w:spacing w:line="276" w:lineRule="auto"/>
        <w:jc w:val="both"/>
        <w:rPr>
          <w:rFonts w:ascii="Times New Roman" w:hAnsi="Times New Roman" w:cs="Times New Roman"/>
          <w:color w:val="auto"/>
          <w:sz w:val="20"/>
          <w:szCs w:val="20"/>
        </w:rPr>
      </w:pPr>
      <w:bookmarkStart w:id="585" w:name="_Ref61546084"/>
      <w:bookmarkStart w:id="586" w:name="_Toc61610235"/>
      <w:r w:rsidRPr="006100A9">
        <w:rPr>
          <w:rFonts w:ascii="Times New Roman" w:hAnsi="Times New Roman" w:cs="Times New Roman"/>
          <w:color w:val="auto"/>
          <w:sz w:val="20"/>
          <w:szCs w:val="20"/>
        </w:rPr>
        <w:t>Table</w:t>
      </w:r>
      <w:r w:rsidR="002E20C1" w:rsidRPr="006100A9">
        <w:rPr>
          <w:rFonts w:ascii="Times New Roman" w:hAnsi="Times New Roman" w:cs="Times New Roman"/>
        </w:rPr>
        <w:t xml:space="preserve"> </w:t>
      </w:r>
      <w:r w:rsidR="001560C0" w:rsidRPr="006F115D">
        <w:rPr>
          <w:rFonts w:ascii="Times New Roman" w:hAnsi="Times New Roman" w:cs="Times New Roman"/>
        </w:rPr>
        <w:fldChar w:fldCharType="begin"/>
      </w:r>
      <w:r w:rsidR="001560C0" w:rsidRPr="006F115D">
        <w:rPr>
          <w:rFonts w:ascii="Times New Roman" w:hAnsi="Times New Roman" w:cs="Times New Roman"/>
        </w:rPr>
        <w:instrText xml:space="preserve"> SEQ Table \* ARABIC </w:instrText>
      </w:r>
      <w:r w:rsidR="001560C0" w:rsidRPr="006F115D">
        <w:rPr>
          <w:rFonts w:ascii="Times New Roman" w:hAnsi="Times New Roman" w:cs="Times New Roman"/>
        </w:rPr>
        <w:fldChar w:fldCharType="separate"/>
      </w:r>
      <w:r w:rsidR="00A07DB4" w:rsidRPr="006F115D">
        <w:rPr>
          <w:rFonts w:ascii="Times New Roman" w:hAnsi="Times New Roman" w:cs="Times New Roman"/>
          <w:noProof/>
        </w:rPr>
        <w:t>5</w:t>
      </w:r>
      <w:r w:rsidR="001560C0" w:rsidRPr="006F115D">
        <w:rPr>
          <w:rFonts w:ascii="Times New Roman" w:hAnsi="Times New Roman" w:cs="Times New Roman"/>
        </w:rPr>
        <w:fldChar w:fldCharType="end"/>
      </w:r>
      <w:bookmarkEnd w:id="585"/>
      <w:r w:rsidRPr="006F115D">
        <w:rPr>
          <w:rFonts w:ascii="Times New Roman" w:hAnsi="Times New Roman" w:cs="Times New Roman"/>
          <w:color w:val="auto"/>
          <w:sz w:val="20"/>
          <w:szCs w:val="20"/>
        </w:rPr>
        <w:t xml:space="preserve"> Categories of the eligible expenditures under </w:t>
      </w:r>
      <w:r w:rsidR="00D31D43" w:rsidRPr="006F115D">
        <w:rPr>
          <w:rFonts w:ascii="Times New Roman" w:hAnsi="Times New Roman" w:cs="Times New Roman"/>
          <w:color w:val="auto"/>
          <w:sz w:val="20"/>
          <w:szCs w:val="20"/>
        </w:rPr>
        <w:t xml:space="preserve">the </w:t>
      </w:r>
      <w:r w:rsidR="007C6E51" w:rsidRPr="006F115D">
        <w:rPr>
          <w:rFonts w:ascii="Times New Roman" w:hAnsi="Times New Roman" w:cs="Times New Roman"/>
          <w:color w:val="auto"/>
          <w:sz w:val="20"/>
          <w:szCs w:val="20"/>
        </w:rPr>
        <w:t xml:space="preserve">IBRD </w:t>
      </w:r>
      <w:r w:rsidRPr="006F115D">
        <w:rPr>
          <w:rFonts w:ascii="Times New Roman" w:hAnsi="Times New Roman" w:cs="Times New Roman"/>
          <w:color w:val="auto"/>
          <w:sz w:val="20"/>
          <w:szCs w:val="20"/>
        </w:rPr>
        <w:t>LA</w:t>
      </w:r>
      <w:bookmarkEnd w:id="586"/>
      <w:r w:rsidR="00273AF1">
        <w:rPr>
          <w:rStyle w:val="FootnoteReference"/>
          <w:rFonts w:ascii="Times New Roman" w:hAnsi="Times New Roman" w:cs="Times New Roman"/>
          <w:color w:val="auto"/>
          <w:sz w:val="20"/>
          <w:szCs w:val="20"/>
        </w:rPr>
        <w:footnoteReference w:id="1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3115"/>
        <w:gridCol w:w="3113"/>
      </w:tblGrid>
      <w:tr w:rsidR="007C6E51" w:rsidRPr="006100A9" w14:paraId="79B1AEF5" w14:textId="77777777" w:rsidTr="00F66377">
        <w:trPr>
          <w:cantSplit/>
        </w:trPr>
        <w:tc>
          <w:tcPr>
            <w:tcW w:w="1667" w:type="pct"/>
          </w:tcPr>
          <w:p w14:paraId="3D3A5639" w14:textId="77777777" w:rsidR="007C6E51" w:rsidRPr="006100A9" w:rsidRDefault="007C6E51" w:rsidP="005948DE">
            <w:pPr>
              <w:pStyle w:val="BodyText"/>
              <w:spacing w:line="276" w:lineRule="auto"/>
              <w:jc w:val="both"/>
              <w:rPr>
                <w:rFonts w:ascii="Times New Roman" w:hAnsi="Times New Roman"/>
                <w:b/>
              </w:rPr>
            </w:pPr>
            <w:r w:rsidRPr="006100A9">
              <w:rPr>
                <w:rFonts w:ascii="Times New Roman" w:hAnsi="Times New Roman"/>
                <w:b/>
              </w:rPr>
              <w:t>Category</w:t>
            </w:r>
          </w:p>
        </w:tc>
        <w:tc>
          <w:tcPr>
            <w:tcW w:w="1667" w:type="pct"/>
          </w:tcPr>
          <w:p w14:paraId="020AA480" w14:textId="77777777" w:rsidR="007C6E51" w:rsidRPr="006F115D" w:rsidRDefault="007C6E51" w:rsidP="005948DE">
            <w:pPr>
              <w:pStyle w:val="BodyText"/>
              <w:spacing w:line="276" w:lineRule="auto"/>
              <w:jc w:val="both"/>
              <w:rPr>
                <w:rFonts w:ascii="Times New Roman" w:hAnsi="Times New Roman"/>
                <w:b/>
              </w:rPr>
            </w:pPr>
            <w:r w:rsidRPr="006F115D">
              <w:rPr>
                <w:rFonts w:ascii="Times New Roman" w:hAnsi="Times New Roman"/>
                <w:b/>
              </w:rPr>
              <w:t>Amount of the Loan</w:t>
            </w:r>
          </w:p>
          <w:p w14:paraId="7FCA49F4" w14:textId="0BEDA58F" w:rsidR="007C6E51" w:rsidRPr="006100A9" w:rsidRDefault="007C6E51" w:rsidP="005948DE">
            <w:pPr>
              <w:pStyle w:val="BodyText"/>
              <w:spacing w:line="276" w:lineRule="auto"/>
              <w:jc w:val="both"/>
              <w:rPr>
                <w:rFonts w:ascii="Times New Roman" w:hAnsi="Times New Roman"/>
                <w:b/>
              </w:rPr>
            </w:pPr>
            <w:r w:rsidRPr="006F115D">
              <w:rPr>
                <w:rFonts w:ascii="Times New Roman" w:hAnsi="Times New Roman"/>
                <w:b/>
              </w:rPr>
              <w:t>Allocated</w:t>
            </w:r>
            <w:r w:rsidR="00DE040F" w:rsidRPr="006F115D">
              <w:rPr>
                <w:rFonts w:ascii="Times New Roman" w:hAnsi="Times New Roman"/>
                <w:b/>
                <w:lang w:val="sr-Latn-RS"/>
              </w:rPr>
              <w:t xml:space="preserve"> </w:t>
            </w:r>
            <w:r w:rsidRPr="006F115D">
              <w:rPr>
                <w:rFonts w:ascii="Times New Roman" w:hAnsi="Times New Roman"/>
                <w:b/>
              </w:rPr>
              <w:t>(expressed in USD)</w:t>
            </w:r>
          </w:p>
        </w:tc>
        <w:tc>
          <w:tcPr>
            <w:tcW w:w="1666" w:type="pct"/>
          </w:tcPr>
          <w:p w14:paraId="0E84049D" w14:textId="77777777" w:rsidR="007C6E51" w:rsidRPr="006100A9" w:rsidRDefault="007C6E51" w:rsidP="005948DE">
            <w:pPr>
              <w:pStyle w:val="BodyText"/>
              <w:spacing w:line="276" w:lineRule="auto"/>
              <w:jc w:val="both"/>
              <w:rPr>
                <w:rFonts w:ascii="Times New Roman" w:hAnsi="Times New Roman"/>
                <w:b/>
              </w:rPr>
            </w:pPr>
            <w:r w:rsidRPr="006100A9">
              <w:rPr>
                <w:rFonts w:ascii="Times New Roman" w:hAnsi="Times New Roman"/>
                <w:b/>
                <w:spacing w:val="-5"/>
              </w:rPr>
              <w:t xml:space="preserve">Percentage of Expenditures </w:t>
            </w:r>
            <w:r w:rsidRPr="006100A9">
              <w:rPr>
                <w:rFonts w:ascii="Times New Roman" w:hAnsi="Times New Roman"/>
                <w:b/>
                <w:spacing w:val="-5"/>
              </w:rPr>
              <w:br/>
              <w:t xml:space="preserve">to be financed </w:t>
            </w:r>
            <w:r w:rsidRPr="006100A9">
              <w:rPr>
                <w:rFonts w:ascii="Times New Roman" w:hAnsi="Times New Roman"/>
                <w:b/>
                <w:spacing w:val="-5"/>
              </w:rPr>
              <w:br/>
            </w:r>
            <w:r w:rsidRPr="006100A9">
              <w:rPr>
                <w:rFonts w:ascii="Times New Roman" w:hAnsi="Times New Roman"/>
                <w:b/>
                <w:spacing w:val="-7"/>
              </w:rPr>
              <w:t>[(excluded of Taxes)]</w:t>
            </w:r>
          </w:p>
        </w:tc>
      </w:tr>
      <w:tr w:rsidR="007C6E51" w:rsidRPr="006100A9" w14:paraId="157249B9" w14:textId="77777777" w:rsidTr="00F66377">
        <w:trPr>
          <w:cantSplit/>
        </w:trPr>
        <w:tc>
          <w:tcPr>
            <w:tcW w:w="1667" w:type="pct"/>
          </w:tcPr>
          <w:p w14:paraId="3091E87D" w14:textId="752EA625" w:rsidR="007C6E51" w:rsidRPr="00A900A4" w:rsidRDefault="007C6E51" w:rsidP="005948DE">
            <w:pPr>
              <w:pStyle w:val="BodyText"/>
              <w:spacing w:line="276" w:lineRule="auto"/>
              <w:jc w:val="both"/>
              <w:rPr>
                <w:rFonts w:ascii="Times New Roman" w:hAnsi="Times New Roman"/>
                <w:lang w:val="en-GB"/>
              </w:rPr>
            </w:pPr>
            <w:r w:rsidRPr="006100A9">
              <w:rPr>
                <w:rFonts w:ascii="Times New Roman" w:hAnsi="Times New Roman"/>
              </w:rPr>
              <w:t>(1) Goods, works, non-consulting services, and consulting services for the Project</w:t>
            </w:r>
            <w:r w:rsidR="00236F1F">
              <w:rPr>
                <w:rFonts w:ascii="Times New Roman" w:hAnsi="Times New Roman"/>
                <w:lang w:val="en-GB"/>
              </w:rPr>
              <w:t xml:space="preserve"> and Opearting Cost and training</w:t>
            </w:r>
          </w:p>
        </w:tc>
        <w:tc>
          <w:tcPr>
            <w:tcW w:w="1667" w:type="pct"/>
          </w:tcPr>
          <w:p w14:paraId="6890C412" w14:textId="0F99D9E9" w:rsidR="007C6E51" w:rsidRPr="00A900A4" w:rsidRDefault="00273AF1" w:rsidP="005948DE">
            <w:pPr>
              <w:pStyle w:val="BodyText"/>
              <w:spacing w:line="276" w:lineRule="auto"/>
              <w:jc w:val="both"/>
              <w:rPr>
                <w:rFonts w:ascii="Times New Roman" w:hAnsi="Times New Roman"/>
                <w:i/>
                <w:iCs/>
                <w:lang w:val="en-GB"/>
              </w:rPr>
            </w:pPr>
            <w:r>
              <w:rPr>
                <w:rFonts w:ascii="Times New Roman" w:hAnsi="Times New Roman"/>
                <w:i/>
                <w:iCs/>
                <w:lang w:val="en-GB"/>
              </w:rPr>
              <w:t xml:space="preserve">For details of budget and items please refer to the Loan Agreement </w:t>
            </w:r>
          </w:p>
        </w:tc>
        <w:tc>
          <w:tcPr>
            <w:tcW w:w="1666" w:type="pct"/>
          </w:tcPr>
          <w:p w14:paraId="14BEDD61" w14:textId="77777777" w:rsidR="007C6E51" w:rsidRPr="006100A9" w:rsidRDefault="007C6E51" w:rsidP="005948DE">
            <w:pPr>
              <w:pStyle w:val="BodyText"/>
              <w:spacing w:line="276" w:lineRule="auto"/>
              <w:jc w:val="both"/>
              <w:rPr>
                <w:rFonts w:ascii="Times New Roman" w:hAnsi="Times New Roman"/>
              </w:rPr>
            </w:pPr>
          </w:p>
          <w:p w14:paraId="793F88DC" w14:textId="36F50B02" w:rsidR="007C6E51" w:rsidRPr="006100A9" w:rsidRDefault="007C6E51" w:rsidP="005948DE">
            <w:pPr>
              <w:pStyle w:val="BodyText"/>
              <w:spacing w:line="276" w:lineRule="auto"/>
              <w:jc w:val="both"/>
              <w:rPr>
                <w:rFonts w:ascii="Times New Roman" w:hAnsi="Times New Roman"/>
              </w:rPr>
            </w:pPr>
            <w:r w:rsidRPr="006100A9">
              <w:rPr>
                <w:rFonts w:ascii="Times New Roman" w:hAnsi="Times New Roman"/>
              </w:rPr>
              <w:t>33</w:t>
            </w:r>
            <w:r w:rsidR="00D31D43" w:rsidRPr="006100A9">
              <w:rPr>
                <w:rFonts w:ascii="Times New Roman" w:hAnsi="Times New Roman"/>
                <w:lang w:val="sr-Latn-RS"/>
              </w:rPr>
              <w:t xml:space="preserve"> percent </w:t>
            </w:r>
            <w:r w:rsidRPr="006100A9">
              <w:rPr>
                <w:rFonts w:ascii="Times New Roman" w:hAnsi="Times New Roman"/>
              </w:rPr>
              <w:t>Project Expenditures</w:t>
            </w:r>
          </w:p>
        </w:tc>
      </w:tr>
      <w:tr w:rsidR="00273AF1" w:rsidRPr="006100A9" w14:paraId="617BFD43" w14:textId="77777777" w:rsidTr="00F66377">
        <w:trPr>
          <w:cantSplit/>
        </w:trPr>
        <w:tc>
          <w:tcPr>
            <w:tcW w:w="1667" w:type="pct"/>
          </w:tcPr>
          <w:p w14:paraId="293BF8B1" w14:textId="77777777" w:rsidR="00273AF1" w:rsidRPr="006100A9" w:rsidRDefault="00273AF1" w:rsidP="00273AF1">
            <w:pPr>
              <w:pStyle w:val="BodyText"/>
              <w:spacing w:line="276" w:lineRule="auto"/>
              <w:jc w:val="both"/>
              <w:rPr>
                <w:rFonts w:ascii="Times New Roman" w:hAnsi="Times New Roman"/>
              </w:rPr>
            </w:pPr>
            <w:r w:rsidRPr="006100A9">
              <w:rPr>
                <w:rFonts w:ascii="Times New Roman" w:hAnsi="Times New Roman"/>
              </w:rPr>
              <w:t>(2) Grants</w:t>
            </w:r>
          </w:p>
        </w:tc>
        <w:tc>
          <w:tcPr>
            <w:tcW w:w="1667" w:type="pct"/>
          </w:tcPr>
          <w:p w14:paraId="7D861D7D" w14:textId="1CABC37E" w:rsidR="00273AF1" w:rsidRPr="006100A9" w:rsidRDefault="00273AF1" w:rsidP="00273AF1">
            <w:pPr>
              <w:pStyle w:val="BodyText"/>
              <w:spacing w:line="276" w:lineRule="auto"/>
              <w:jc w:val="both"/>
              <w:rPr>
                <w:rFonts w:ascii="Times New Roman" w:hAnsi="Times New Roman"/>
              </w:rPr>
            </w:pPr>
            <w:r w:rsidRPr="00D86FF8">
              <w:rPr>
                <w:rFonts w:ascii="Times New Roman" w:hAnsi="Times New Roman"/>
                <w:i/>
                <w:iCs/>
                <w:lang w:val="en-GB"/>
              </w:rPr>
              <w:t xml:space="preserve">For details of budget and items please refer to the Loan Agreement </w:t>
            </w:r>
          </w:p>
        </w:tc>
        <w:tc>
          <w:tcPr>
            <w:tcW w:w="1666" w:type="pct"/>
          </w:tcPr>
          <w:p w14:paraId="1D264D9B" w14:textId="71B41E12" w:rsidR="00273AF1" w:rsidRPr="006100A9" w:rsidRDefault="00273AF1" w:rsidP="00273AF1">
            <w:pPr>
              <w:pStyle w:val="BodyText"/>
              <w:spacing w:line="276" w:lineRule="auto"/>
              <w:jc w:val="both"/>
              <w:rPr>
                <w:rFonts w:ascii="Times New Roman" w:hAnsi="Times New Roman"/>
              </w:rPr>
            </w:pPr>
            <w:r w:rsidRPr="006100A9">
              <w:rPr>
                <w:rFonts w:ascii="Times New Roman" w:hAnsi="Times New Roman"/>
              </w:rPr>
              <w:t>33</w:t>
            </w:r>
            <w:r w:rsidRPr="006100A9">
              <w:rPr>
                <w:rFonts w:ascii="Times New Roman" w:hAnsi="Times New Roman"/>
                <w:lang w:val="sr-Latn-RS"/>
              </w:rPr>
              <w:t xml:space="preserve"> percent </w:t>
            </w:r>
            <w:r w:rsidRPr="006100A9">
              <w:rPr>
                <w:rFonts w:ascii="Times New Roman" w:hAnsi="Times New Roman"/>
              </w:rPr>
              <w:t>Project Expenditures</w:t>
            </w:r>
          </w:p>
        </w:tc>
      </w:tr>
      <w:tr w:rsidR="00273AF1" w:rsidRPr="006100A9" w14:paraId="2FD50F17" w14:textId="77777777" w:rsidTr="00F66377">
        <w:trPr>
          <w:cantSplit/>
        </w:trPr>
        <w:tc>
          <w:tcPr>
            <w:tcW w:w="1667" w:type="pct"/>
          </w:tcPr>
          <w:p w14:paraId="46470AE9" w14:textId="77777777" w:rsidR="00273AF1" w:rsidRPr="006100A9" w:rsidRDefault="00273AF1" w:rsidP="00273AF1">
            <w:pPr>
              <w:pStyle w:val="BodyText"/>
              <w:spacing w:line="276" w:lineRule="auto"/>
              <w:jc w:val="both"/>
              <w:rPr>
                <w:rFonts w:ascii="Times New Roman" w:hAnsi="Times New Roman"/>
              </w:rPr>
            </w:pPr>
            <w:r w:rsidRPr="006100A9">
              <w:rPr>
                <w:rFonts w:ascii="Times New Roman" w:hAnsi="Times New Roman"/>
              </w:rPr>
              <w:t>[(3)] Front-end Fee</w:t>
            </w:r>
          </w:p>
        </w:tc>
        <w:tc>
          <w:tcPr>
            <w:tcW w:w="1667" w:type="pct"/>
          </w:tcPr>
          <w:p w14:paraId="2E7A606A" w14:textId="6DF8272C" w:rsidR="00273AF1" w:rsidRPr="006100A9" w:rsidRDefault="00273AF1" w:rsidP="00273AF1">
            <w:pPr>
              <w:pStyle w:val="BodyText"/>
              <w:spacing w:line="276" w:lineRule="auto"/>
              <w:jc w:val="both"/>
              <w:rPr>
                <w:rFonts w:ascii="Times New Roman" w:hAnsi="Times New Roman"/>
              </w:rPr>
            </w:pPr>
            <w:r w:rsidRPr="00D86FF8">
              <w:rPr>
                <w:rFonts w:ascii="Times New Roman" w:hAnsi="Times New Roman"/>
                <w:i/>
                <w:iCs/>
                <w:lang w:val="en-GB"/>
              </w:rPr>
              <w:t xml:space="preserve">For details of budget and items please refer to the Loan Agreement </w:t>
            </w:r>
          </w:p>
        </w:tc>
        <w:tc>
          <w:tcPr>
            <w:tcW w:w="1666" w:type="pct"/>
          </w:tcPr>
          <w:p w14:paraId="27D19F32" w14:textId="64AFBBCE" w:rsidR="00273AF1" w:rsidRPr="006100A9" w:rsidRDefault="00273AF1" w:rsidP="00273AF1">
            <w:pPr>
              <w:pStyle w:val="BodyText"/>
              <w:spacing w:line="276" w:lineRule="auto"/>
              <w:jc w:val="both"/>
              <w:rPr>
                <w:rFonts w:ascii="Times New Roman" w:hAnsi="Times New Roman"/>
              </w:rPr>
            </w:pPr>
            <w:r w:rsidRPr="006100A9">
              <w:rPr>
                <w:rFonts w:ascii="Times New Roman" w:hAnsi="Times New Roman"/>
              </w:rPr>
              <w:t xml:space="preserve">Amount payable pursuant to </w:t>
            </w:r>
            <w:r w:rsidRPr="006100A9">
              <w:rPr>
                <w:rFonts w:ascii="Times New Roman" w:hAnsi="Times New Roman"/>
                <w:lang w:val="sr-Latn-RS"/>
              </w:rPr>
              <w:t xml:space="preserve">the </w:t>
            </w:r>
            <w:r w:rsidRPr="006100A9">
              <w:rPr>
                <w:rFonts w:ascii="Times New Roman" w:hAnsi="Times New Roman"/>
              </w:rPr>
              <w:t>Section 2.03 of th</w:t>
            </w:r>
            <w:r w:rsidRPr="006100A9">
              <w:rPr>
                <w:rFonts w:ascii="Times New Roman" w:hAnsi="Times New Roman"/>
                <w:lang w:val="sr-Latn-RS"/>
              </w:rPr>
              <w:t>e</w:t>
            </w:r>
            <w:r w:rsidRPr="006100A9">
              <w:rPr>
                <w:rFonts w:ascii="Times New Roman" w:hAnsi="Times New Roman"/>
              </w:rPr>
              <w:t xml:space="preserve"> </w:t>
            </w:r>
            <w:r w:rsidRPr="006100A9">
              <w:rPr>
                <w:rFonts w:ascii="Times New Roman" w:hAnsi="Times New Roman"/>
                <w:lang w:val="sr-Latn-RS"/>
              </w:rPr>
              <w:t>LA</w:t>
            </w:r>
            <w:r w:rsidRPr="006100A9">
              <w:rPr>
                <w:rFonts w:ascii="Times New Roman" w:hAnsi="Times New Roman"/>
              </w:rPr>
              <w:t xml:space="preserve"> in accordance with </w:t>
            </w:r>
            <w:r w:rsidRPr="006100A9">
              <w:rPr>
                <w:rFonts w:ascii="Times New Roman" w:hAnsi="Times New Roman"/>
                <w:lang w:val="sr-Latn-RS"/>
              </w:rPr>
              <w:t xml:space="preserve">the </w:t>
            </w:r>
            <w:r w:rsidRPr="006100A9">
              <w:rPr>
                <w:rFonts w:ascii="Times New Roman" w:hAnsi="Times New Roman"/>
              </w:rPr>
              <w:t>Section 2.07 (b) of the General Conditions</w:t>
            </w:r>
          </w:p>
        </w:tc>
      </w:tr>
      <w:tr w:rsidR="00273AF1" w:rsidRPr="006100A9" w14:paraId="45E6FDD8" w14:textId="77777777" w:rsidTr="00F66377">
        <w:trPr>
          <w:cantSplit/>
        </w:trPr>
        <w:tc>
          <w:tcPr>
            <w:tcW w:w="1667" w:type="pct"/>
          </w:tcPr>
          <w:p w14:paraId="1BB0BB9A" w14:textId="77777777" w:rsidR="00273AF1" w:rsidRPr="006100A9" w:rsidRDefault="00273AF1" w:rsidP="00273AF1">
            <w:pPr>
              <w:pStyle w:val="BodyText"/>
              <w:spacing w:line="276" w:lineRule="auto"/>
              <w:jc w:val="both"/>
              <w:rPr>
                <w:rFonts w:ascii="Times New Roman" w:hAnsi="Times New Roman"/>
              </w:rPr>
            </w:pPr>
            <w:r w:rsidRPr="006100A9">
              <w:rPr>
                <w:rFonts w:ascii="Times New Roman" w:hAnsi="Times New Roman"/>
              </w:rPr>
              <w:t>[(4)] Interest Rate Cap or Interest Rate Collar premium</w:t>
            </w:r>
          </w:p>
        </w:tc>
        <w:tc>
          <w:tcPr>
            <w:tcW w:w="1667" w:type="pct"/>
          </w:tcPr>
          <w:p w14:paraId="6619B90B" w14:textId="6F144AE9" w:rsidR="00273AF1" w:rsidRPr="006100A9" w:rsidRDefault="00273AF1" w:rsidP="00273AF1">
            <w:pPr>
              <w:pStyle w:val="BodyText"/>
              <w:spacing w:line="276" w:lineRule="auto"/>
              <w:jc w:val="both"/>
              <w:rPr>
                <w:rFonts w:ascii="Times New Roman" w:hAnsi="Times New Roman"/>
              </w:rPr>
            </w:pPr>
            <w:r w:rsidRPr="00D86FF8">
              <w:rPr>
                <w:rFonts w:ascii="Times New Roman" w:hAnsi="Times New Roman"/>
                <w:i/>
                <w:iCs/>
                <w:lang w:val="en-GB"/>
              </w:rPr>
              <w:t xml:space="preserve">For details of budget and items pease refer to the Loan Agreement </w:t>
            </w:r>
          </w:p>
        </w:tc>
        <w:tc>
          <w:tcPr>
            <w:tcW w:w="1666" w:type="pct"/>
          </w:tcPr>
          <w:p w14:paraId="03DCBA62" w14:textId="0B35987B" w:rsidR="00273AF1" w:rsidRPr="006100A9" w:rsidRDefault="00273AF1" w:rsidP="00273AF1">
            <w:pPr>
              <w:pStyle w:val="BodyText"/>
              <w:spacing w:line="276" w:lineRule="auto"/>
              <w:jc w:val="both"/>
              <w:rPr>
                <w:rFonts w:ascii="Times New Roman" w:hAnsi="Times New Roman"/>
              </w:rPr>
            </w:pPr>
            <w:r w:rsidRPr="006100A9">
              <w:rPr>
                <w:rFonts w:ascii="Times New Roman" w:hAnsi="Times New Roman"/>
              </w:rPr>
              <w:t xml:space="preserve">Amount due pursuant to </w:t>
            </w:r>
            <w:r w:rsidRPr="006100A9">
              <w:rPr>
                <w:rFonts w:ascii="Times New Roman" w:hAnsi="Times New Roman"/>
                <w:lang w:val="sr-Latn-RS"/>
              </w:rPr>
              <w:t xml:space="preserve">the </w:t>
            </w:r>
            <w:r w:rsidRPr="006100A9">
              <w:rPr>
                <w:rFonts w:ascii="Times New Roman" w:hAnsi="Times New Roman"/>
              </w:rPr>
              <w:t>Section 4.05 (c) of the General Conditions</w:t>
            </w:r>
          </w:p>
        </w:tc>
      </w:tr>
      <w:tr w:rsidR="00273AF1" w:rsidRPr="006100A9" w14:paraId="327FDE33" w14:textId="77777777" w:rsidTr="00F66377">
        <w:trPr>
          <w:cantSplit/>
        </w:trPr>
        <w:tc>
          <w:tcPr>
            <w:tcW w:w="1667" w:type="pct"/>
          </w:tcPr>
          <w:p w14:paraId="49A522CE" w14:textId="77777777" w:rsidR="00273AF1" w:rsidRPr="006100A9" w:rsidRDefault="00273AF1" w:rsidP="00273AF1">
            <w:pPr>
              <w:pStyle w:val="BodyText"/>
              <w:spacing w:line="276" w:lineRule="auto"/>
              <w:jc w:val="both"/>
              <w:rPr>
                <w:rFonts w:ascii="Times New Roman" w:hAnsi="Times New Roman"/>
              </w:rPr>
            </w:pPr>
            <w:r w:rsidRPr="006F115D">
              <w:rPr>
                <w:rFonts w:ascii="Times New Roman" w:hAnsi="Times New Roman"/>
              </w:rPr>
              <w:t>[(5)]</w:t>
            </w:r>
            <w:r w:rsidRPr="006100A9">
              <w:rPr>
                <w:rFonts w:ascii="Times New Roman" w:hAnsi="Times New Roman"/>
              </w:rPr>
              <w:t xml:space="preserve"> </w:t>
            </w:r>
          </w:p>
        </w:tc>
        <w:tc>
          <w:tcPr>
            <w:tcW w:w="1667" w:type="pct"/>
          </w:tcPr>
          <w:p w14:paraId="5F3522C8" w14:textId="6E7E7E71" w:rsidR="00273AF1" w:rsidRPr="006100A9" w:rsidRDefault="00273AF1" w:rsidP="00273AF1">
            <w:pPr>
              <w:pStyle w:val="BodyText"/>
              <w:spacing w:line="276" w:lineRule="auto"/>
              <w:jc w:val="both"/>
              <w:rPr>
                <w:rFonts w:ascii="Times New Roman" w:hAnsi="Times New Roman"/>
              </w:rPr>
            </w:pPr>
            <w:r w:rsidRPr="00D86FF8">
              <w:rPr>
                <w:rFonts w:ascii="Times New Roman" w:hAnsi="Times New Roman"/>
                <w:i/>
                <w:iCs/>
                <w:lang w:val="en-GB"/>
              </w:rPr>
              <w:t>For details of budget and items p</w:t>
            </w:r>
            <w:r>
              <w:rPr>
                <w:rFonts w:ascii="Times New Roman" w:hAnsi="Times New Roman"/>
                <w:i/>
                <w:iCs/>
                <w:lang w:val="en-GB"/>
              </w:rPr>
              <w:t>l</w:t>
            </w:r>
            <w:r w:rsidRPr="00D86FF8">
              <w:rPr>
                <w:rFonts w:ascii="Times New Roman" w:hAnsi="Times New Roman"/>
                <w:i/>
                <w:iCs/>
                <w:lang w:val="en-GB"/>
              </w:rPr>
              <w:t xml:space="preserve">ease refer to the Loan Agreement </w:t>
            </w:r>
          </w:p>
        </w:tc>
        <w:tc>
          <w:tcPr>
            <w:tcW w:w="1666" w:type="pct"/>
          </w:tcPr>
          <w:p w14:paraId="14844CB8" w14:textId="0473CFE1" w:rsidR="00273AF1" w:rsidRPr="006100A9" w:rsidRDefault="00273AF1" w:rsidP="00273AF1">
            <w:pPr>
              <w:pStyle w:val="BodyText"/>
              <w:spacing w:line="276" w:lineRule="auto"/>
              <w:jc w:val="both"/>
              <w:rPr>
                <w:rFonts w:ascii="Times New Roman" w:hAnsi="Times New Roman"/>
              </w:rPr>
            </w:pPr>
            <w:r w:rsidRPr="006F115D">
              <w:rPr>
                <w:rFonts w:ascii="Times New Roman" w:hAnsi="Times New Roman"/>
              </w:rPr>
              <w:t xml:space="preserve">[Amount due pursuant to </w:t>
            </w:r>
            <w:r w:rsidRPr="006F115D">
              <w:rPr>
                <w:rFonts w:ascii="Times New Roman" w:hAnsi="Times New Roman"/>
                <w:lang w:val="sr-Latn-RS"/>
              </w:rPr>
              <w:t xml:space="preserve">the </w:t>
            </w:r>
            <w:r w:rsidRPr="006F115D">
              <w:rPr>
                <w:rFonts w:ascii="Times New Roman" w:hAnsi="Times New Roman"/>
              </w:rPr>
              <w:t>Section 2.07 (c) of the General Conditions]</w:t>
            </w:r>
          </w:p>
        </w:tc>
      </w:tr>
      <w:tr w:rsidR="007C6E51" w:rsidRPr="006100A9" w14:paraId="05828C18" w14:textId="77777777" w:rsidTr="00F66377">
        <w:trPr>
          <w:cantSplit/>
        </w:trPr>
        <w:tc>
          <w:tcPr>
            <w:tcW w:w="1667" w:type="pct"/>
          </w:tcPr>
          <w:p w14:paraId="6E7C1C92" w14:textId="77777777" w:rsidR="007C6E51" w:rsidRPr="006100A9" w:rsidRDefault="007C6E51" w:rsidP="005948DE">
            <w:pPr>
              <w:pStyle w:val="BodyText"/>
              <w:spacing w:line="276" w:lineRule="auto"/>
              <w:jc w:val="both"/>
              <w:rPr>
                <w:rFonts w:ascii="Times New Roman" w:hAnsi="Times New Roman"/>
              </w:rPr>
            </w:pPr>
            <w:r w:rsidRPr="006100A9">
              <w:rPr>
                <w:rFonts w:ascii="Times New Roman" w:hAnsi="Times New Roman"/>
              </w:rPr>
              <w:t>TOTAL AMOUNT</w:t>
            </w:r>
          </w:p>
        </w:tc>
        <w:tc>
          <w:tcPr>
            <w:tcW w:w="1667" w:type="pct"/>
          </w:tcPr>
          <w:p w14:paraId="2A610946" w14:textId="77777777" w:rsidR="007C6E51" w:rsidRPr="006100A9" w:rsidRDefault="007C6E51" w:rsidP="005948DE">
            <w:pPr>
              <w:pStyle w:val="BodyText"/>
              <w:spacing w:line="276" w:lineRule="auto"/>
              <w:jc w:val="both"/>
              <w:rPr>
                <w:rFonts w:ascii="Times New Roman" w:hAnsi="Times New Roman"/>
              </w:rPr>
            </w:pPr>
            <w:r w:rsidRPr="006100A9">
              <w:rPr>
                <w:rFonts w:ascii="Times New Roman" w:hAnsi="Times New Roman"/>
              </w:rPr>
              <w:t>100,000,000</w:t>
            </w:r>
          </w:p>
        </w:tc>
        <w:tc>
          <w:tcPr>
            <w:tcW w:w="1666" w:type="pct"/>
          </w:tcPr>
          <w:p w14:paraId="67AD7C33" w14:textId="77777777" w:rsidR="007C6E51" w:rsidRPr="006100A9" w:rsidRDefault="007C6E51" w:rsidP="005948DE">
            <w:pPr>
              <w:pStyle w:val="BodyText"/>
              <w:spacing w:line="276" w:lineRule="auto"/>
              <w:jc w:val="both"/>
              <w:rPr>
                <w:rFonts w:ascii="Times New Roman" w:hAnsi="Times New Roman"/>
              </w:rPr>
            </w:pPr>
          </w:p>
        </w:tc>
      </w:tr>
    </w:tbl>
    <w:p w14:paraId="013DE7B5" w14:textId="77777777" w:rsidR="00EB32D1" w:rsidRPr="006100A9" w:rsidRDefault="00EB32D1" w:rsidP="005948DE">
      <w:pPr>
        <w:spacing w:after="80" w:line="276" w:lineRule="auto"/>
        <w:jc w:val="both"/>
        <w:rPr>
          <w:rFonts w:ascii="Times New Roman" w:hAnsi="Times New Roman" w:cs="Times New Roman"/>
        </w:rPr>
      </w:pPr>
    </w:p>
    <w:p w14:paraId="1C2200DE" w14:textId="2325A80A" w:rsidR="007C6E51" w:rsidRPr="006100A9" w:rsidRDefault="007C6E51" w:rsidP="005948DE">
      <w:pPr>
        <w:pStyle w:val="BodyText"/>
        <w:spacing w:line="276" w:lineRule="auto"/>
        <w:jc w:val="both"/>
        <w:rPr>
          <w:rFonts w:ascii="Times New Roman" w:hAnsi="Times New Roman"/>
        </w:rPr>
      </w:pPr>
      <w:bookmarkStart w:id="587" w:name="_Toc61610236"/>
      <w:r w:rsidRPr="006100A9">
        <w:rPr>
          <w:rFonts w:ascii="Times New Roman" w:hAnsi="Times New Roman"/>
        </w:rPr>
        <w:t>For the purpose of this table</w:t>
      </w:r>
      <w:r w:rsidR="00AD721D">
        <w:rPr>
          <w:rFonts w:ascii="Times New Roman" w:hAnsi="Times New Roman"/>
          <w:lang w:val="en-GB"/>
        </w:rPr>
        <w:t xml:space="preserve"> 5</w:t>
      </w:r>
      <w:r w:rsidRPr="006100A9">
        <w:rPr>
          <w:rFonts w:ascii="Times New Roman" w:hAnsi="Times New Roman"/>
          <w:lang w:val="en-GB"/>
        </w:rPr>
        <w:t xml:space="preserve"> above</w:t>
      </w:r>
      <w:r w:rsidRPr="006100A9">
        <w:rPr>
          <w:rFonts w:ascii="Times New Roman" w:hAnsi="Times New Roman"/>
        </w:rPr>
        <w:t>:</w:t>
      </w:r>
      <w:r w:rsidRPr="006100A9">
        <w:rPr>
          <w:rFonts w:ascii="Times New Roman" w:hAnsi="Times New Roman"/>
          <w:lang w:val="en-GB"/>
        </w:rPr>
        <w:t xml:space="preserve"> </w:t>
      </w:r>
      <w:r w:rsidRPr="006100A9">
        <w:rPr>
          <w:rFonts w:ascii="Times New Roman" w:hAnsi="Times New Roman"/>
        </w:rPr>
        <w:t xml:space="preserve">the term “Project Expenditures” means the Eligible Expenditures to be jointly financed by the Loan and by the Co-financing to cover the total cost of </w:t>
      </w:r>
      <w:r w:rsidR="00D31D43" w:rsidRPr="006100A9">
        <w:rPr>
          <w:rFonts w:ascii="Times New Roman" w:hAnsi="Times New Roman"/>
          <w:lang w:val="sr-Latn-RS"/>
        </w:rPr>
        <w:t xml:space="preserve">the </w:t>
      </w:r>
      <w:r w:rsidRPr="006100A9">
        <w:rPr>
          <w:rFonts w:ascii="Times New Roman" w:hAnsi="Times New Roman"/>
        </w:rPr>
        <w:t xml:space="preserve">Project activities, which is estimated to be the equivalent of </w:t>
      </w:r>
      <w:r w:rsidRPr="006F115D">
        <w:rPr>
          <w:rFonts w:ascii="Times New Roman" w:hAnsi="Times New Roman"/>
        </w:rPr>
        <w:t>[EUR _______].]</w:t>
      </w:r>
    </w:p>
    <w:p w14:paraId="65446ECA" w14:textId="31606C9A" w:rsidR="00EB32D1" w:rsidRPr="00AD721D" w:rsidRDefault="002E20C1" w:rsidP="005948DE">
      <w:pPr>
        <w:pStyle w:val="Caption"/>
        <w:spacing w:line="276" w:lineRule="auto"/>
        <w:jc w:val="both"/>
        <w:rPr>
          <w:rFonts w:ascii="Times New Roman" w:hAnsi="Times New Roman" w:cs="Times New Roman"/>
          <w:color w:val="auto"/>
          <w:sz w:val="20"/>
          <w:szCs w:val="20"/>
        </w:rPr>
      </w:pPr>
      <w:r w:rsidRPr="00AD721D">
        <w:rPr>
          <w:rFonts w:ascii="Times New Roman" w:hAnsi="Times New Roman" w:cs="Times New Roman"/>
          <w:color w:val="auto"/>
        </w:rPr>
        <w:t xml:space="preserve">Table </w:t>
      </w:r>
      <w:r w:rsidR="001560C0" w:rsidRPr="00AD721D">
        <w:rPr>
          <w:rFonts w:ascii="Times New Roman" w:hAnsi="Times New Roman" w:cs="Times New Roman"/>
          <w:color w:val="auto"/>
        </w:rPr>
        <w:fldChar w:fldCharType="begin"/>
      </w:r>
      <w:r w:rsidR="001560C0" w:rsidRPr="00AD721D">
        <w:rPr>
          <w:rFonts w:ascii="Times New Roman" w:hAnsi="Times New Roman" w:cs="Times New Roman"/>
          <w:color w:val="auto"/>
        </w:rPr>
        <w:instrText xml:space="preserve"> SEQ Table \* ARABIC </w:instrText>
      </w:r>
      <w:r w:rsidR="001560C0" w:rsidRPr="00AD721D">
        <w:rPr>
          <w:rFonts w:ascii="Times New Roman" w:hAnsi="Times New Roman" w:cs="Times New Roman"/>
          <w:color w:val="auto"/>
        </w:rPr>
        <w:fldChar w:fldCharType="separate"/>
      </w:r>
      <w:r w:rsidR="00A07DB4" w:rsidRPr="00AD721D">
        <w:rPr>
          <w:rFonts w:ascii="Times New Roman" w:hAnsi="Times New Roman" w:cs="Times New Roman"/>
          <w:noProof/>
          <w:color w:val="auto"/>
        </w:rPr>
        <w:t>6</w:t>
      </w:r>
      <w:r w:rsidR="001560C0" w:rsidRPr="00AD721D">
        <w:rPr>
          <w:rFonts w:ascii="Times New Roman" w:hAnsi="Times New Roman" w:cs="Times New Roman"/>
          <w:color w:val="auto"/>
        </w:rPr>
        <w:fldChar w:fldCharType="end"/>
      </w:r>
      <w:r w:rsidR="00AD721D">
        <w:rPr>
          <w:rFonts w:ascii="Times New Roman" w:hAnsi="Times New Roman" w:cs="Times New Roman"/>
          <w:color w:val="auto"/>
        </w:rPr>
        <w:t>:</w:t>
      </w:r>
      <w:r w:rsidR="00EB32D1" w:rsidRPr="00AD721D">
        <w:rPr>
          <w:rFonts w:ascii="Times New Roman" w:hAnsi="Times New Roman" w:cs="Times New Roman"/>
          <w:color w:val="auto"/>
          <w:sz w:val="20"/>
          <w:szCs w:val="20"/>
        </w:rPr>
        <w:t xml:space="preserve"> Categories of the eligible expenditures under CFA</w:t>
      </w:r>
      <w:bookmarkEnd w:id="5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3115"/>
        <w:gridCol w:w="3113"/>
      </w:tblGrid>
      <w:tr w:rsidR="00EB32D1" w:rsidRPr="006100A9" w14:paraId="7C006AE5" w14:textId="77777777" w:rsidTr="004A4AB5">
        <w:trPr>
          <w:cantSplit/>
        </w:trPr>
        <w:tc>
          <w:tcPr>
            <w:tcW w:w="1667" w:type="pct"/>
            <w:vAlign w:val="center"/>
          </w:tcPr>
          <w:p w14:paraId="0D5B2C74" w14:textId="77777777" w:rsidR="00EB32D1" w:rsidRPr="006100A9" w:rsidRDefault="00EB32D1" w:rsidP="005948DE">
            <w:pPr>
              <w:pStyle w:val="BodyText"/>
              <w:keepNext/>
              <w:spacing w:before="40" w:after="40" w:line="276" w:lineRule="auto"/>
              <w:jc w:val="both"/>
              <w:rPr>
                <w:rFonts w:ascii="Times New Roman" w:hAnsi="Times New Roman"/>
                <w:b/>
                <w:sz w:val="20"/>
                <w:szCs w:val="20"/>
              </w:rPr>
            </w:pPr>
            <w:r w:rsidRPr="006100A9">
              <w:rPr>
                <w:rFonts w:ascii="Times New Roman" w:hAnsi="Times New Roman"/>
                <w:b/>
                <w:sz w:val="20"/>
                <w:szCs w:val="20"/>
              </w:rPr>
              <w:t>Category</w:t>
            </w:r>
          </w:p>
        </w:tc>
        <w:tc>
          <w:tcPr>
            <w:tcW w:w="1667" w:type="pct"/>
            <w:vAlign w:val="center"/>
          </w:tcPr>
          <w:p w14:paraId="7DC51549" w14:textId="77777777" w:rsidR="00EB32D1" w:rsidRPr="006100A9" w:rsidRDefault="00EB32D1" w:rsidP="005948DE">
            <w:pPr>
              <w:pStyle w:val="BodyText"/>
              <w:keepNext/>
              <w:spacing w:before="40" w:after="40" w:line="276" w:lineRule="auto"/>
              <w:jc w:val="both"/>
              <w:rPr>
                <w:rFonts w:ascii="Times New Roman" w:hAnsi="Times New Roman"/>
                <w:b/>
                <w:sz w:val="20"/>
                <w:szCs w:val="20"/>
              </w:rPr>
            </w:pPr>
            <w:r w:rsidRPr="006100A9">
              <w:rPr>
                <w:rFonts w:ascii="Times New Roman" w:hAnsi="Times New Roman"/>
                <w:b/>
                <w:sz w:val="20"/>
                <w:szCs w:val="20"/>
              </w:rPr>
              <w:t>Amount of the Loan</w:t>
            </w:r>
          </w:p>
          <w:p w14:paraId="0CCE85BD" w14:textId="77777777" w:rsidR="00EB32D1" w:rsidRPr="006100A9" w:rsidRDefault="00EB32D1" w:rsidP="005948DE">
            <w:pPr>
              <w:pStyle w:val="BodyText"/>
              <w:keepNext/>
              <w:spacing w:before="40" w:after="40" w:line="276" w:lineRule="auto"/>
              <w:jc w:val="both"/>
              <w:rPr>
                <w:rFonts w:ascii="Times New Roman" w:hAnsi="Times New Roman"/>
                <w:b/>
                <w:sz w:val="20"/>
                <w:szCs w:val="20"/>
              </w:rPr>
            </w:pPr>
            <w:r w:rsidRPr="006100A9">
              <w:rPr>
                <w:rFonts w:ascii="Times New Roman" w:hAnsi="Times New Roman"/>
                <w:b/>
                <w:sz w:val="20"/>
                <w:szCs w:val="20"/>
              </w:rPr>
              <w:t>Allocated</w:t>
            </w:r>
          </w:p>
          <w:p w14:paraId="69ED4CA5" w14:textId="77777777" w:rsidR="00EB32D1" w:rsidRPr="006100A9" w:rsidRDefault="00EB32D1" w:rsidP="005948DE">
            <w:pPr>
              <w:pStyle w:val="BodyText"/>
              <w:keepNext/>
              <w:spacing w:before="40" w:after="40" w:line="276" w:lineRule="auto"/>
              <w:jc w:val="both"/>
              <w:rPr>
                <w:rFonts w:ascii="Times New Roman" w:hAnsi="Times New Roman"/>
                <w:b/>
                <w:sz w:val="20"/>
                <w:szCs w:val="20"/>
              </w:rPr>
            </w:pPr>
            <w:r w:rsidRPr="006100A9">
              <w:rPr>
                <w:rFonts w:ascii="Times New Roman" w:hAnsi="Times New Roman"/>
                <w:b/>
                <w:sz w:val="20"/>
                <w:szCs w:val="20"/>
              </w:rPr>
              <w:t>(expressed in [EUR])</w:t>
            </w:r>
          </w:p>
        </w:tc>
        <w:tc>
          <w:tcPr>
            <w:tcW w:w="1666" w:type="pct"/>
            <w:vAlign w:val="center"/>
          </w:tcPr>
          <w:p w14:paraId="4FA23D7E" w14:textId="77777777" w:rsidR="00EB32D1" w:rsidRPr="006100A9" w:rsidRDefault="00EB32D1" w:rsidP="005948DE">
            <w:pPr>
              <w:pStyle w:val="BodyText"/>
              <w:keepNext/>
              <w:spacing w:before="40" w:after="40" w:line="276" w:lineRule="auto"/>
              <w:jc w:val="both"/>
              <w:rPr>
                <w:rFonts w:ascii="Times New Roman" w:hAnsi="Times New Roman"/>
                <w:b/>
                <w:sz w:val="20"/>
                <w:szCs w:val="20"/>
              </w:rPr>
            </w:pPr>
            <w:r w:rsidRPr="006100A9">
              <w:rPr>
                <w:rFonts w:ascii="Times New Roman" w:hAnsi="Times New Roman"/>
                <w:b/>
                <w:sz w:val="20"/>
                <w:szCs w:val="20"/>
              </w:rPr>
              <w:t>Percentage of Expenditures to be financed</w:t>
            </w:r>
          </w:p>
          <w:p w14:paraId="1E1DE5AA" w14:textId="77777777" w:rsidR="00EB32D1" w:rsidRPr="006100A9" w:rsidRDefault="00EB32D1" w:rsidP="005948DE">
            <w:pPr>
              <w:pStyle w:val="BodyText"/>
              <w:keepNext/>
              <w:spacing w:before="40" w:after="40" w:line="276" w:lineRule="auto"/>
              <w:jc w:val="both"/>
              <w:rPr>
                <w:rFonts w:ascii="Times New Roman" w:hAnsi="Times New Roman"/>
                <w:b/>
                <w:sz w:val="20"/>
                <w:szCs w:val="20"/>
              </w:rPr>
            </w:pPr>
          </w:p>
        </w:tc>
      </w:tr>
      <w:tr w:rsidR="00EB32D1" w:rsidRPr="005948DE" w14:paraId="567FF8EF" w14:textId="77777777" w:rsidTr="004A4AB5">
        <w:trPr>
          <w:cantSplit/>
        </w:trPr>
        <w:tc>
          <w:tcPr>
            <w:tcW w:w="1667" w:type="pct"/>
            <w:vAlign w:val="center"/>
          </w:tcPr>
          <w:p w14:paraId="3711BF9D" w14:textId="77777777" w:rsidR="00EB32D1" w:rsidRPr="006100A9" w:rsidRDefault="00EB32D1" w:rsidP="005948DE">
            <w:pPr>
              <w:pStyle w:val="BodyText"/>
              <w:spacing w:before="40" w:after="40" w:line="276" w:lineRule="auto"/>
              <w:jc w:val="both"/>
              <w:rPr>
                <w:rFonts w:ascii="Times New Roman" w:hAnsi="Times New Roman"/>
                <w:sz w:val="20"/>
                <w:szCs w:val="20"/>
              </w:rPr>
            </w:pPr>
            <w:r w:rsidRPr="006100A9">
              <w:rPr>
                <w:rFonts w:ascii="Times New Roman" w:hAnsi="Times New Roman"/>
                <w:sz w:val="20"/>
                <w:szCs w:val="20"/>
              </w:rPr>
              <w:t>(1) Goods, works, non-consulting services, consulting services, Training and Operating Costs for the Project</w:t>
            </w:r>
          </w:p>
        </w:tc>
        <w:tc>
          <w:tcPr>
            <w:tcW w:w="1667" w:type="pct"/>
            <w:vAlign w:val="center"/>
          </w:tcPr>
          <w:p w14:paraId="3EF0BD95" w14:textId="4651FC48" w:rsidR="00EB32D1" w:rsidRPr="006100A9" w:rsidRDefault="00273AF1" w:rsidP="005948DE">
            <w:pPr>
              <w:pStyle w:val="BodyText"/>
              <w:spacing w:before="40" w:after="40" w:line="276" w:lineRule="auto"/>
              <w:jc w:val="both"/>
              <w:rPr>
                <w:rFonts w:ascii="Times New Roman" w:hAnsi="Times New Roman"/>
                <w:sz w:val="20"/>
                <w:szCs w:val="20"/>
                <w:lang w:val="en-GB"/>
              </w:rPr>
            </w:pPr>
            <w:r>
              <w:rPr>
                <w:rFonts w:ascii="Times New Roman" w:hAnsi="Times New Roman"/>
                <w:i/>
                <w:iCs/>
                <w:lang w:val="en-GB"/>
              </w:rPr>
              <w:t xml:space="preserve">For details of budget and items please refer to the finance contract </w:t>
            </w:r>
          </w:p>
        </w:tc>
        <w:tc>
          <w:tcPr>
            <w:tcW w:w="1666" w:type="pct"/>
            <w:vAlign w:val="center"/>
          </w:tcPr>
          <w:p w14:paraId="34A5C4E9" w14:textId="44C4AAE6" w:rsidR="00EB32D1" w:rsidRPr="005948DE" w:rsidRDefault="001A39F5" w:rsidP="005948DE">
            <w:pPr>
              <w:pStyle w:val="BodyText"/>
              <w:spacing w:before="40" w:after="40" w:line="276" w:lineRule="auto"/>
              <w:jc w:val="both"/>
              <w:rPr>
                <w:rFonts w:ascii="Times New Roman" w:hAnsi="Times New Roman"/>
                <w:sz w:val="20"/>
                <w:szCs w:val="20"/>
              </w:rPr>
            </w:pPr>
            <w:r w:rsidRPr="006F115D">
              <w:rPr>
                <w:rFonts w:ascii="Times New Roman" w:hAnsi="Times New Roman"/>
                <w:sz w:val="20"/>
                <w:szCs w:val="20"/>
                <w:lang w:val="sr-Latn-RS"/>
              </w:rPr>
              <w:t>percent</w:t>
            </w:r>
            <w:r w:rsidRPr="006F115D">
              <w:rPr>
                <w:rFonts w:ascii="Times New Roman" w:hAnsi="Times New Roman"/>
                <w:sz w:val="20"/>
                <w:szCs w:val="20"/>
              </w:rPr>
              <w:t xml:space="preserve"> </w:t>
            </w:r>
            <w:r w:rsidR="00EB32D1" w:rsidRPr="006F115D">
              <w:rPr>
                <w:rFonts w:ascii="Times New Roman" w:hAnsi="Times New Roman"/>
                <w:sz w:val="20"/>
                <w:szCs w:val="20"/>
              </w:rPr>
              <w:t>(inclusive of Taxes other than Value Added Tax and Customs Duties for works, goods and non-consulting services)</w:t>
            </w:r>
          </w:p>
        </w:tc>
      </w:tr>
      <w:tr w:rsidR="00EB32D1" w:rsidRPr="005948DE" w14:paraId="510D1C25" w14:textId="77777777" w:rsidTr="004A4AB5">
        <w:trPr>
          <w:cantSplit/>
        </w:trPr>
        <w:tc>
          <w:tcPr>
            <w:tcW w:w="1667" w:type="pct"/>
            <w:vAlign w:val="center"/>
          </w:tcPr>
          <w:p w14:paraId="067DBDF2" w14:textId="77777777" w:rsidR="00EB32D1" w:rsidRPr="005948DE" w:rsidRDefault="00EB32D1" w:rsidP="005948DE">
            <w:pPr>
              <w:pStyle w:val="BodyText"/>
              <w:spacing w:before="40" w:after="40" w:line="276" w:lineRule="auto"/>
              <w:jc w:val="both"/>
              <w:rPr>
                <w:rFonts w:ascii="Times New Roman" w:hAnsi="Times New Roman"/>
                <w:b/>
                <w:sz w:val="20"/>
                <w:szCs w:val="20"/>
              </w:rPr>
            </w:pPr>
            <w:r w:rsidRPr="005948DE">
              <w:rPr>
                <w:rFonts w:ascii="Times New Roman" w:hAnsi="Times New Roman"/>
                <w:b/>
                <w:sz w:val="20"/>
                <w:szCs w:val="20"/>
              </w:rPr>
              <w:t>TOTAL AMOUNT</w:t>
            </w:r>
          </w:p>
        </w:tc>
        <w:tc>
          <w:tcPr>
            <w:tcW w:w="1667" w:type="pct"/>
            <w:shd w:val="clear" w:color="auto" w:fill="auto"/>
            <w:vAlign w:val="center"/>
          </w:tcPr>
          <w:p w14:paraId="20ECAD94" w14:textId="77777777" w:rsidR="00EB32D1" w:rsidRPr="005948DE" w:rsidRDefault="00EB32D1" w:rsidP="005948DE">
            <w:pPr>
              <w:pStyle w:val="BodyText"/>
              <w:spacing w:before="40" w:after="40" w:line="276" w:lineRule="auto"/>
              <w:jc w:val="both"/>
              <w:rPr>
                <w:rFonts w:ascii="Times New Roman" w:hAnsi="Times New Roman"/>
                <w:b/>
                <w:sz w:val="20"/>
                <w:szCs w:val="20"/>
              </w:rPr>
            </w:pPr>
          </w:p>
        </w:tc>
        <w:tc>
          <w:tcPr>
            <w:tcW w:w="1666" w:type="pct"/>
            <w:vAlign w:val="center"/>
          </w:tcPr>
          <w:p w14:paraId="32CBD73D" w14:textId="77777777" w:rsidR="00EB32D1" w:rsidRPr="005948DE" w:rsidRDefault="00EB32D1" w:rsidP="005948DE">
            <w:pPr>
              <w:pStyle w:val="BodyText"/>
              <w:spacing w:before="40" w:after="40" w:line="276" w:lineRule="auto"/>
              <w:jc w:val="both"/>
              <w:rPr>
                <w:rFonts w:ascii="Times New Roman" w:hAnsi="Times New Roman"/>
                <w:b/>
                <w:sz w:val="20"/>
                <w:szCs w:val="20"/>
              </w:rPr>
            </w:pPr>
          </w:p>
        </w:tc>
      </w:tr>
    </w:tbl>
    <w:p w14:paraId="7EFDA13D" w14:textId="77777777" w:rsidR="00EB32D1" w:rsidRPr="005948DE" w:rsidRDefault="00EB32D1" w:rsidP="005948DE">
      <w:pPr>
        <w:pStyle w:val="BodyText"/>
        <w:spacing w:after="80" w:line="276" w:lineRule="auto"/>
        <w:jc w:val="both"/>
        <w:rPr>
          <w:rFonts w:ascii="Times New Roman" w:hAnsi="Times New Roman"/>
        </w:rPr>
      </w:pPr>
    </w:p>
    <w:p w14:paraId="4C7BE131" w14:textId="54F25D4B"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Allowed methods of disbursement will be advances to the </w:t>
      </w:r>
      <w:r w:rsidR="006A474C" w:rsidRPr="005948DE">
        <w:rPr>
          <w:rFonts w:ascii="Times New Roman" w:hAnsi="Times New Roman"/>
          <w:lang w:val="sr-Latn-RS"/>
        </w:rPr>
        <w:t xml:space="preserve">two </w:t>
      </w:r>
      <w:r w:rsidR="00256751" w:rsidRPr="005948DE">
        <w:rPr>
          <w:rFonts w:ascii="Times New Roman" w:hAnsi="Times New Roman"/>
          <w:lang w:val="sr-Latn-RS"/>
        </w:rPr>
        <w:t xml:space="preserve">seggregated </w:t>
      </w:r>
      <w:r w:rsidR="001A39F5">
        <w:rPr>
          <w:rFonts w:ascii="Times New Roman" w:hAnsi="Times New Roman"/>
          <w:lang w:val="en-GB"/>
        </w:rPr>
        <w:t>D</w:t>
      </w:r>
      <w:r w:rsidR="003B107F">
        <w:rPr>
          <w:rFonts w:ascii="Times New Roman" w:hAnsi="Times New Roman"/>
          <w:lang w:val="en-GB"/>
        </w:rPr>
        <w:t>A</w:t>
      </w:r>
      <w:r w:rsidR="001A39F5">
        <w:rPr>
          <w:rFonts w:ascii="Times New Roman" w:hAnsi="Times New Roman"/>
          <w:lang w:val="en-GB"/>
        </w:rPr>
        <w:t>s,</w:t>
      </w:r>
      <w:r w:rsidR="006A474C" w:rsidRPr="005948DE">
        <w:rPr>
          <w:rFonts w:ascii="Times New Roman" w:hAnsi="Times New Roman"/>
          <w:lang w:val="sr-Latn-RS"/>
        </w:rPr>
        <w:t xml:space="preserve"> one for each Loan </w:t>
      </w:r>
      <w:r w:rsidR="001A39F5">
        <w:rPr>
          <w:rFonts w:ascii="Times New Roman" w:hAnsi="Times New Roman"/>
          <w:lang w:val="sr-Latn-RS"/>
        </w:rPr>
        <w:t xml:space="preserve">- </w:t>
      </w:r>
      <w:r w:rsidR="006A474C" w:rsidRPr="005948DE">
        <w:rPr>
          <w:rFonts w:ascii="Times New Roman" w:hAnsi="Times New Roman"/>
          <w:lang w:val="sr-Latn-RS"/>
        </w:rPr>
        <w:t xml:space="preserve">the Bank and </w:t>
      </w:r>
      <w:r w:rsidR="001A39F5">
        <w:rPr>
          <w:rFonts w:ascii="Times New Roman" w:hAnsi="Times New Roman"/>
          <w:lang w:val="sr-Latn-RS"/>
        </w:rPr>
        <w:t xml:space="preserve">the </w:t>
      </w:r>
      <w:r w:rsidR="006A474C" w:rsidRPr="005948DE">
        <w:rPr>
          <w:rFonts w:ascii="Times New Roman" w:hAnsi="Times New Roman"/>
          <w:lang w:val="sr-Latn-RS"/>
        </w:rPr>
        <w:t>AFD respectively</w:t>
      </w:r>
      <w:r w:rsidRPr="005948DE">
        <w:rPr>
          <w:rFonts w:ascii="Times New Roman" w:hAnsi="Times New Roman"/>
        </w:rPr>
        <w:t xml:space="preserve">, direct payments, and reimbursements. </w:t>
      </w:r>
    </w:p>
    <w:p w14:paraId="477AED11" w14:textId="409CA624"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Payments will be done from (i) the Bank and </w:t>
      </w:r>
      <w:r w:rsidR="001A39F5">
        <w:rPr>
          <w:rFonts w:ascii="Times New Roman" w:hAnsi="Times New Roman"/>
          <w:lang w:val="sr-Latn-RS"/>
        </w:rPr>
        <w:t xml:space="preserve">the </w:t>
      </w:r>
      <w:r w:rsidRPr="005948DE">
        <w:rPr>
          <w:rFonts w:ascii="Times New Roman" w:hAnsi="Times New Roman"/>
        </w:rPr>
        <w:t xml:space="preserve">AFD – either as an advance, via </w:t>
      </w:r>
      <w:r w:rsidR="00842328" w:rsidRPr="005948DE">
        <w:rPr>
          <w:rFonts w:ascii="Times New Roman" w:hAnsi="Times New Roman"/>
        </w:rPr>
        <w:t>two segregated D</w:t>
      </w:r>
      <w:r w:rsidR="001A39F5">
        <w:rPr>
          <w:rFonts w:ascii="Times New Roman" w:hAnsi="Times New Roman"/>
          <w:lang w:val="sr-Latn-RS"/>
        </w:rPr>
        <w:t xml:space="preserve">As </w:t>
      </w:r>
      <w:r w:rsidRPr="005948DE">
        <w:rPr>
          <w:rFonts w:ascii="Times New Roman" w:hAnsi="Times New Roman"/>
        </w:rPr>
        <w:t>opened in the NBS, which will be replenished under transaction based disbursement method, or (ii) by direct payments on the basis of direct payment withdrawal applications (direct payments to the contractors/suppliers/service providers).</w:t>
      </w:r>
    </w:p>
    <w:p w14:paraId="51E57DF7" w14:textId="3D3E1E0C" w:rsidR="00EB32D1" w:rsidRPr="005948DE" w:rsidRDefault="00EB32D1" w:rsidP="005948DE">
      <w:pPr>
        <w:pStyle w:val="BodyText"/>
        <w:spacing w:line="276" w:lineRule="auto"/>
        <w:jc w:val="both"/>
        <w:rPr>
          <w:rFonts w:ascii="Times New Roman" w:hAnsi="Times New Roman"/>
        </w:rPr>
      </w:pPr>
      <w:r w:rsidRPr="005948DE">
        <w:rPr>
          <w:rFonts w:ascii="Times New Roman" w:hAnsi="Times New Roman"/>
        </w:rPr>
        <w:t xml:space="preserve">To facilitate the implementation of the joint financing arrangement with </w:t>
      </w:r>
      <w:r w:rsidR="001A39F5">
        <w:rPr>
          <w:rFonts w:ascii="Times New Roman" w:hAnsi="Times New Roman"/>
          <w:lang w:val="sr-Latn-RS"/>
        </w:rPr>
        <w:t xml:space="preserve">the </w:t>
      </w:r>
      <w:r w:rsidRPr="005948DE">
        <w:rPr>
          <w:rFonts w:ascii="Times New Roman" w:hAnsi="Times New Roman"/>
        </w:rPr>
        <w:t>AFD, t</w:t>
      </w:r>
      <w:r w:rsidR="006A474C" w:rsidRPr="005948DE">
        <w:rPr>
          <w:rFonts w:ascii="Times New Roman" w:hAnsi="Times New Roman"/>
          <w:lang w:val="en-GB"/>
        </w:rPr>
        <w:t>wo</w:t>
      </w:r>
      <w:r w:rsidRPr="005948DE">
        <w:rPr>
          <w:rFonts w:ascii="Times New Roman" w:hAnsi="Times New Roman"/>
        </w:rPr>
        <w:t xml:space="preserve"> </w:t>
      </w:r>
      <w:r w:rsidR="00842328" w:rsidRPr="005948DE">
        <w:rPr>
          <w:rFonts w:ascii="Times New Roman" w:hAnsi="Times New Roman"/>
        </w:rPr>
        <w:t xml:space="preserve">segregated </w:t>
      </w:r>
      <w:r w:rsidR="001A39F5">
        <w:rPr>
          <w:rFonts w:ascii="Times New Roman" w:hAnsi="Times New Roman"/>
          <w:lang w:val="sr-Latn-RS"/>
        </w:rPr>
        <w:t>DAs</w:t>
      </w:r>
      <w:r w:rsidR="006A474C" w:rsidRPr="005948DE">
        <w:rPr>
          <w:rFonts w:ascii="Times New Roman" w:hAnsi="Times New Roman"/>
          <w:lang w:val="en-GB"/>
        </w:rPr>
        <w:t xml:space="preserve"> to receive</w:t>
      </w:r>
      <w:r w:rsidRPr="005948DE">
        <w:rPr>
          <w:rFonts w:ascii="Times New Roman" w:hAnsi="Times New Roman"/>
        </w:rPr>
        <w:t xml:space="preserve"> proceeds </w:t>
      </w:r>
      <w:r w:rsidR="006A474C" w:rsidRPr="005948DE">
        <w:rPr>
          <w:rFonts w:ascii="Times New Roman" w:hAnsi="Times New Roman"/>
          <w:lang w:val="en-GB"/>
        </w:rPr>
        <w:t>for</w:t>
      </w:r>
      <w:r w:rsidRPr="005948DE">
        <w:rPr>
          <w:rFonts w:ascii="Times New Roman" w:hAnsi="Times New Roman"/>
        </w:rPr>
        <w:t xml:space="preserve"> </w:t>
      </w:r>
      <w:r w:rsidR="001A39F5">
        <w:rPr>
          <w:rFonts w:ascii="Times New Roman" w:hAnsi="Times New Roman"/>
          <w:lang w:val="sr-Latn-RS"/>
        </w:rPr>
        <w:t>the I</w:t>
      </w:r>
      <w:r w:rsidRPr="005948DE">
        <w:rPr>
          <w:rFonts w:ascii="Times New Roman" w:hAnsi="Times New Roman"/>
        </w:rPr>
        <w:t xml:space="preserve">BRD </w:t>
      </w:r>
      <w:r w:rsidR="00CD6C7F">
        <w:rPr>
          <w:rFonts w:ascii="Times New Roman" w:hAnsi="Times New Roman"/>
          <w:lang w:val="sr-Latn-RS"/>
        </w:rPr>
        <w:t>Loan</w:t>
      </w:r>
      <w:r w:rsidRPr="005948DE">
        <w:rPr>
          <w:rFonts w:ascii="Times New Roman" w:hAnsi="Times New Roman"/>
        </w:rPr>
        <w:t xml:space="preserve"> and the AF</w:t>
      </w:r>
      <w:r w:rsidR="006A474C" w:rsidRPr="005948DE">
        <w:rPr>
          <w:rFonts w:ascii="Times New Roman" w:hAnsi="Times New Roman"/>
          <w:lang w:val="en-GB"/>
        </w:rPr>
        <w:t>D</w:t>
      </w:r>
      <w:r w:rsidRPr="005948DE">
        <w:rPr>
          <w:rFonts w:ascii="Times New Roman" w:hAnsi="Times New Roman"/>
        </w:rPr>
        <w:t xml:space="preserve"> </w:t>
      </w:r>
      <w:r w:rsidR="00CD6C7F">
        <w:rPr>
          <w:rFonts w:ascii="Times New Roman" w:hAnsi="Times New Roman"/>
          <w:lang w:val="sr-Latn-RS"/>
        </w:rPr>
        <w:t xml:space="preserve">Loan </w:t>
      </w:r>
      <w:r w:rsidR="006A474C" w:rsidRPr="005948DE">
        <w:rPr>
          <w:rFonts w:ascii="Times New Roman" w:hAnsi="Times New Roman"/>
          <w:lang w:val="en-GB"/>
        </w:rPr>
        <w:t>will be established</w:t>
      </w:r>
      <w:r w:rsidRPr="005948DE">
        <w:rPr>
          <w:rFonts w:ascii="Times New Roman" w:hAnsi="Times New Roman"/>
        </w:rPr>
        <w:t xml:space="preserve">. </w:t>
      </w:r>
      <w:r w:rsidR="001A39F5">
        <w:rPr>
          <w:rFonts w:ascii="Times New Roman" w:hAnsi="Times New Roman"/>
          <w:lang w:val="sr-Latn-RS"/>
        </w:rPr>
        <w:t>They</w:t>
      </w:r>
      <w:r w:rsidR="001A39F5" w:rsidRPr="005948DE">
        <w:rPr>
          <w:rFonts w:ascii="Times New Roman" w:hAnsi="Times New Roman"/>
        </w:rPr>
        <w:t xml:space="preserve"> </w:t>
      </w:r>
      <w:r w:rsidRPr="005948DE">
        <w:rPr>
          <w:rFonts w:ascii="Times New Roman" w:hAnsi="Times New Roman"/>
        </w:rPr>
        <w:t xml:space="preserve">will be opened in foreign currency in the </w:t>
      </w:r>
      <w:r w:rsidR="001A39F5">
        <w:rPr>
          <w:rFonts w:ascii="Times New Roman" w:hAnsi="Times New Roman"/>
          <w:lang w:val="sr-Latn-RS"/>
        </w:rPr>
        <w:t>NBS</w:t>
      </w:r>
      <w:r w:rsidRPr="005948DE">
        <w:rPr>
          <w:rFonts w:ascii="Times New Roman" w:hAnsi="Times New Roman"/>
        </w:rPr>
        <w:t xml:space="preserve"> for the purpose of </w:t>
      </w:r>
      <w:r w:rsidR="001A39F5">
        <w:rPr>
          <w:rFonts w:ascii="Times New Roman" w:hAnsi="Times New Roman"/>
          <w:lang w:val="sr-Latn-RS"/>
        </w:rPr>
        <w:t xml:space="preserve">the </w:t>
      </w:r>
      <w:r w:rsidRPr="005948DE">
        <w:rPr>
          <w:rFonts w:ascii="Times New Roman" w:hAnsi="Times New Roman"/>
        </w:rPr>
        <w:t>Project implementation and will be managed by the MCTI, with assistance from the CFU, funded with advances from the B</w:t>
      </w:r>
      <w:r w:rsidR="003B107F">
        <w:rPr>
          <w:rFonts w:ascii="Times New Roman" w:hAnsi="Times New Roman"/>
          <w:lang w:val="sr-Latn-RS"/>
        </w:rPr>
        <w:t>ank</w:t>
      </w:r>
      <w:r w:rsidRPr="005948DE">
        <w:rPr>
          <w:rFonts w:ascii="Times New Roman" w:hAnsi="Times New Roman"/>
        </w:rPr>
        <w:t xml:space="preserve"> and </w:t>
      </w:r>
      <w:r w:rsidR="001A39F5">
        <w:rPr>
          <w:rFonts w:ascii="Times New Roman" w:hAnsi="Times New Roman"/>
          <w:lang w:val="sr-Latn-RS"/>
        </w:rPr>
        <w:t xml:space="preserve">the </w:t>
      </w:r>
      <w:r w:rsidRPr="005948DE">
        <w:rPr>
          <w:rFonts w:ascii="Times New Roman" w:hAnsi="Times New Roman"/>
        </w:rPr>
        <w:t>ADF Loan</w:t>
      </w:r>
      <w:r w:rsidR="001A39F5">
        <w:rPr>
          <w:rFonts w:ascii="Times New Roman" w:hAnsi="Times New Roman"/>
          <w:lang w:val="sr-Latn-RS"/>
        </w:rPr>
        <w:t>s</w:t>
      </w:r>
      <w:r w:rsidRPr="005948DE">
        <w:rPr>
          <w:rFonts w:ascii="Times New Roman" w:hAnsi="Times New Roman"/>
        </w:rPr>
        <w:t xml:space="preserve"> and used exclusively to cover </w:t>
      </w:r>
      <w:r w:rsidR="001A39F5">
        <w:rPr>
          <w:rFonts w:ascii="Times New Roman" w:hAnsi="Times New Roman"/>
          <w:lang w:val="sr-Latn-RS"/>
        </w:rPr>
        <w:t xml:space="preserve">the </w:t>
      </w:r>
      <w:r w:rsidRPr="005948DE">
        <w:rPr>
          <w:rFonts w:ascii="Times New Roman" w:hAnsi="Times New Roman"/>
        </w:rPr>
        <w:t xml:space="preserve">Project eligible expenditures (other than direct payments). Currency for denominating of </w:t>
      </w:r>
      <w:r w:rsidR="001A39F5">
        <w:rPr>
          <w:rFonts w:ascii="Times New Roman" w:hAnsi="Times New Roman"/>
          <w:lang w:val="sr-Latn-RS"/>
        </w:rPr>
        <w:t xml:space="preserve">the </w:t>
      </w:r>
      <w:r w:rsidR="00CD6C7F">
        <w:rPr>
          <w:rFonts w:ascii="Times New Roman" w:hAnsi="Times New Roman"/>
          <w:lang w:val="sr-Latn-RS"/>
        </w:rPr>
        <w:t>Loan</w:t>
      </w:r>
      <w:r w:rsidRPr="005948DE">
        <w:rPr>
          <w:rFonts w:ascii="Times New Roman" w:hAnsi="Times New Roman"/>
        </w:rPr>
        <w:t xml:space="preserve"> funds on </w:t>
      </w:r>
      <w:r w:rsidR="00842328" w:rsidRPr="005948DE">
        <w:rPr>
          <w:rFonts w:ascii="Times New Roman" w:hAnsi="Times New Roman"/>
        </w:rPr>
        <w:t xml:space="preserve">two segregated </w:t>
      </w:r>
      <w:r w:rsidR="001A39F5">
        <w:rPr>
          <w:rFonts w:ascii="Times New Roman" w:hAnsi="Times New Roman"/>
          <w:lang w:val="sr-Latn-RS"/>
        </w:rPr>
        <w:t>DAs</w:t>
      </w:r>
      <w:r w:rsidRPr="005948DE">
        <w:rPr>
          <w:rFonts w:ascii="Times New Roman" w:hAnsi="Times New Roman"/>
        </w:rPr>
        <w:t xml:space="preserve"> will be EUR, as the </w:t>
      </w:r>
      <w:r w:rsidR="00CD6C7F">
        <w:rPr>
          <w:rFonts w:ascii="Times New Roman" w:hAnsi="Times New Roman"/>
          <w:lang w:val="sr-Latn-RS"/>
        </w:rPr>
        <w:t>Loan</w:t>
      </w:r>
      <w:r w:rsidR="001A39F5" w:rsidRPr="005948DE">
        <w:rPr>
          <w:rFonts w:ascii="Times New Roman" w:hAnsi="Times New Roman"/>
        </w:rPr>
        <w:t xml:space="preserve"> </w:t>
      </w:r>
      <w:r w:rsidRPr="005948DE">
        <w:rPr>
          <w:rFonts w:ascii="Times New Roman" w:hAnsi="Times New Roman"/>
        </w:rPr>
        <w:t xml:space="preserve">currency. Pursuant to the Clause 3.4.3 items b, c and d, advance from the AFD </w:t>
      </w:r>
      <w:r w:rsidR="00CD6C7F">
        <w:rPr>
          <w:rFonts w:ascii="Times New Roman" w:hAnsi="Times New Roman"/>
          <w:lang w:val="sr-Latn-RS"/>
        </w:rPr>
        <w:t>Loan</w:t>
      </w:r>
      <w:r w:rsidR="001A39F5" w:rsidRPr="005948DE">
        <w:rPr>
          <w:rFonts w:ascii="Times New Roman" w:hAnsi="Times New Roman"/>
        </w:rPr>
        <w:t xml:space="preserve"> </w:t>
      </w:r>
      <w:r w:rsidRPr="005948DE">
        <w:rPr>
          <w:rFonts w:ascii="Times New Roman" w:hAnsi="Times New Roman"/>
        </w:rPr>
        <w:t xml:space="preserve">can be initial, additional and final, and their use should be justified as defined by the provision of Clause 3.4.3, item e) in the CFA. </w:t>
      </w:r>
    </w:p>
    <w:p w14:paraId="6C1E4FEF" w14:textId="488109D1" w:rsidR="00EB32D1" w:rsidRPr="005948DE" w:rsidRDefault="00EB32D1" w:rsidP="005948DE">
      <w:pPr>
        <w:pStyle w:val="BodyText"/>
        <w:spacing w:after="240" w:line="276" w:lineRule="auto"/>
        <w:jc w:val="both"/>
        <w:rPr>
          <w:rFonts w:ascii="Times New Roman" w:hAnsi="Times New Roman"/>
        </w:rPr>
      </w:pPr>
      <w:r w:rsidRPr="005948DE">
        <w:rPr>
          <w:rFonts w:ascii="Times New Roman" w:hAnsi="Times New Roman"/>
        </w:rPr>
        <w:t xml:space="preserve">All payments to contractors/suppliers/consultants will be done in foreign currency in case that they are not local. In case they are local, the payments for implemented works, delivered services and/or purchased equipment will be according to the </w:t>
      </w:r>
      <w:r w:rsidR="00FA3B57" w:rsidRPr="005948DE">
        <w:rPr>
          <w:rFonts w:ascii="Times New Roman" w:hAnsi="Times New Roman"/>
          <w:lang w:val="en-GB"/>
        </w:rPr>
        <w:t>national</w:t>
      </w:r>
      <w:r w:rsidRPr="005948DE">
        <w:rPr>
          <w:rFonts w:ascii="Times New Roman" w:hAnsi="Times New Roman"/>
        </w:rPr>
        <w:t xml:space="preserve"> legislation done in local currency, respectively RSD. For direct payments and/or payments from the DA in the NBS, </w:t>
      </w:r>
      <w:r w:rsidR="001A39F5">
        <w:rPr>
          <w:rFonts w:ascii="Times New Roman" w:hAnsi="Times New Roman"/>
          <w:lang w:val="sr-Latn-RS"/>
        </w:rPr>
        <w:t xml:space="preserve">the </w:t>
      </w:r>
      <w:r w:rsidRPr="005948DE">
        <w:rPr>
          <w:rFonts w:ascii="Times New Roman" w:hAnsi="Times New Roman"/>
        </w:rPr>
        <w:t xml:space="preserve">MCTI Financial Department with support of </w:t>
      </w:r>
      <w:r w:rsidR="001A39F5">
        <w:rPr>
          <w:rFonts w:ascii="Times New Roman" w:hAnsi="Times New Roman"/>
          <w:lang w:val="sr-Latn-RS"/>
        </w:rPr>
        <w:t xml:space="preserve">the </w:t>
      </w:r>
      <w:r w:rsidRPr="005948DE">
        <w:rPr>
          <w:rFonts w:ascii="Times New Roman" w:hAnsi="Times New Roman"/>
        </w:rPr>
        <w:t xml:space="preserve">CFU Financial Specialist will prepare </w:t>
      </w:r>
      <w:r w:rsidR="001A39F5">
        <w:rPr>
          <w:rFonts w:ascii="Times New Roman" w:hAnsi="Times New Roman"/>
          <w:lang w:val="sr-Latn-RS"/>
        </w:rPr>
        <w:t xml:space="preserve">a </w:t>
      </w:r>
      <w:r w:rsidRPr="005948DE">
        <w:rPr>
          <w:rFonts w:ascii="Times New Roman" w:hAnsi="Times New Roman"/>
        </w:rPr>
        <w:t xml:space="preserve">notification for the Treasury Administration. This account will be replenished by disbursements from the </w:t>
      </w:r>
      <w:r w:rsidR="00842328" w:rsidRPr="005948DE">
        <w:rPr>
          <w:rFonts w:ascii="Times New Roman" w:hAnsi="Times New Roman"/>
        </w:rPr>
        <w:t xml:space="preserve">two segregated </w:t>
      </w:r>
      <w:r w:rsidR="001A39F5">
        <w:rPr>
          <w:rFonts w:ascii="Times New Roman" w:hAnsi="Times New Roman"/>
          <w:lang w:val="sr-Latn-RS"/>
        </w:rPr>
        <w:t>DAs</w:t>
      </w:r>
      <w:r w:rsidRPr="005948DE">
        <w:rPr>
          <w:rFonts w:ascii="Times New Roman" w:hAnsi="Times New Roman"/>
        </w:rPr>
        <w:t xml:space="preserve"> opened in the NBS. Before invoicing for such payments, exchange rate will be provided to the relevant legal entity/ entrepreneur. Before payment, subject legal entity/ entrepreneur is obliged to register the invoice in the Central Invoice Register and inform the PIU/MCTI Financial department on the register number, regardless whether the payment is done from DA in the NBS or from the record account. Further, pursuant to the MCTI's internal procedures</w:t>
      </w:r>
      <w:r w:rsidRPr="005948DE">
        <w:rPr>
          <w:rStyle w:val="FootnoteReference"/>
          <w:rFonts w:ascii="Times New Roman" w:hAnsi="Times New Roman"/>
        </w:rPr>
        <w:footnoteReference w:id="13"/>
      </w:r>
      <w:r w:rsidRPr="005948DE">
        <w:rPr>
          <w:rFonts w:ascii="Times New Roman" w:hAnsi="Times New Roman"/>
        </w:rPr>
        <w:t xml:space="preserve">, all payment to be done from the record account shall be accompanied with Internal </w:t>
      </w:r>
      <w:r w:rsidR="00CD6C7F">
        <w:rPr>
          <w:rFonts w:ascii="Times New Roman" w:hAnsi="Times New Roman"/>
          <w:lang w:val="sr-Latn-RS"/>
        </w:rPr>
        <w:t>Payment</w:t>
      </w:r>
      <w:r w:rsidR="001A39F5" w:rsidRPr="005948DE">
        <w:rPr>
          <w:rFonts w:ascii="Times New Roman" w:hAnsi="Times New Roman"/>
        </w:rPr>
        <w:t xml:space="preserve"> </w:t>
      </w:r>
      <w:r w:rsidR="00CD6C7F">
        <w:rPr>
          <w:rFonts w:ascii="Times New Roman" w:hAnsi="Times New Roman"/>
          <w:lang w:val="en-GB"/>
        </w:rPr>
        <w:t>Order</w:t>
      </w:r>
      <w:r w:rsidRPr="005948DE">
        <w:rPr>
          <w:rFonts w:ascii="Times New Roman" w:hAnsi="Times New Roman"/>
        </w:rPr>
        <w:t xml:space="preserve">. </w:t>
      </w:r>
      <w:r w:rsidR="001A39F5">
        <w:rPr>
          <w:rFonts w:ascii="Times New Roman" w:hAnsi="Times New Roman"/>
          <w:lang w:val="sr-Latn-RS"/>
        </w:rPr>
        <w:t xml:space="preserve">The </w:t>
      </w:r>
      <w:r w:rsidRPr="005948DE">
        <w:rPr>
          <w:rFonts w:ascii="Times New Roman" w:hAnsi="Times New Roman"/>
        </w:rPr>
        <w:t xml:space="preserve">MCTI Financial Department will distribute to the CFU and </w:t>
      </w:r>
      <w:r w:rsidR="001A39F5">
        <w:rPr>
          <w:rFonts w:ascii="Times New Roman" w:hAnsi="Times New Roman"/>
          <w:lang w:val="sr-Latn-RS"/>
        </w:rPr>
        <w:t xml:space="preserve">the </w:t>
      </w:r>
      <w:r w:rsidRPr="005948DE">
        <w:rPr>
          <w:rFonts w:ascii="Times New Roman" w:hAnsi="Times New Roman"/>
        </w:rPr>
        <w:t>PIU statement for each account change.</w:t>
      </w:r>
    </w:p>
    <w:p w14:paraId="17B33D6C" w14:textId="77777777" w:rsidR="00EB32D1" w:rsidRPr="005948DE" w:rsidRDefault="00EB32D1" w:rsidP="005948DE">
      <w:pPr>
        <w:pStyle w:val="Heading3"/>
        <w:numPr>
          <w:ilvl w:val="2"/>
          <w:numId w:val="330"/>
        </w:numPr>
        <w:spacing w:before="120" w:after="120" w:line="276" w:lineRule="auto"/>
        <w:jc w:val="both"/>
        <w:rPr>
          <w:rFonts w:ascii="Times New Roman" w:hAnsi="Times New Roman" w:cs="Times New Roman"/>
          <w:color w:val="auto"/>
        </w:rPr>
      </w:pPr>
      <w:bookmarkStart w:id="588" w:name="_Toc93342284"/>
      <w:r w:rsidRPr="005948DE">
        <w:rPr>
          <w:rFonts w:ascii="Times New Roman" w:hAnsi="Times New Roman" w:cs="Times New Roman"/>
          <w:color w:val="auto"/>
        </w:rPr>
        <w:t>Payment of services</w:t>
      </w:r>
      <w:bookmarkEnd w:id="588"/>
    </w:p>
    <w:p w14:paraId="52480AF6" w14:textId="77777777"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Payment for the service contracts shall be conducted considering the provisions of contract(s) and relevant ToR(s), respectively agreed payment schedule based on delivered and approved outputs.</w:t>
      </w:r>
    </w:p>
    <w:p w14:paraId="30D95815" w14:textId="2773EDEC"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Invoices shall be subject of approval of the PIU before submission to the CFU for payments approval.</w:t>
      </w:r>
    </w:p>
    <w:p w14:paraId="1D14F9DE" w14:textId="5C59158E"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 xml:space="preserve">Payment procedure is </w:t>
      </w:r>
      <w:r w:rsidR="001A39F5">
        <w:rPr>
          <w:rFonts w:ascii="Times New Roman" w:hAnsi="Times New Roman" w:cs="Times New Roman"/>
        </w:rPr>
        <w:t xml:space="preserve">the </w:t>
      </w:r>
      <w:r w:rsidRPr="005948DE">
        <w:rPr>
          <w:rFonts w:ascii="Times New Roman" w:hAnsi="Times New Roman" w:cs="Times New Roman"/>
        </w:rPr>
        <w:t>same as for the invoices issued for the works.</w:t>
      </w:r>
    </w:p>
    <w:p w14:paraId="48C28420" w14:textId="77777777" w:rsidR="00EB32D1" w:rsidRPr="005948DE" w:rsidRDefault="00EB32D1" w:rsidP="005948DE">
      <w:pPr>
        <w:pStyle w:val="Heading3"/>
        <w:numPr>
          <w:ilvl w:val="2"/>
          <w:numId w:val="330"/>
        </w:numPr>
        <w:spacing w:before="120" w:after="120" w:line="276" w:lineRule="auto"/>
        <w:jc w:val="both"/>
        <w:rPr>
          <w:rFonts w:ascii="Times New Roman" w:hAnsi="Times New Roman" w:cs="Times New Roman"/>
          <w:color w:val="auto"/>
        </w:rPr>
      </w:pPr>
      <w:bookmarkStart w:id="589" w:name="_Toc93342285"/>
      <w:r w:rsidRPr="005948DE">
        <w:rPr>
          <w:rFonts w:ascii="Times New Roman" w:hAnsi="Times New Roman" w:cs="Times New Roman"/>
          <w:color w:val="auto"/>
        </w:rPr>
        <w:t>Payment of goods</w:t>
      </w:r>
      <w:bookmarkEnd w:id="589"/>
    </w:p>
    <w:p w14:paraId="6953AE97" w14:textId="77777777"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Payment for supply contracts shall be conducted considering the provisions of contract(s) and relevant technical specifications, respectively agreed payment schedule based on delivered and accepted equipment/goods.</w:t>
      </w:r>
    </w:p>
    <w:p w14:paraId="4A5DD76F" w14:textId="77777777" w:rsidR="00EB32D1" w:rsidRPr="005948DE" w:rsidRDefault="00EB32D1" w:rsidP="005948DE">
      <w:pPr>
        <w:spacing w:line="276" w:lineRule="auto"/>
        <w:jc w:val="both"/>
        <w:rPr>
          <w:rFonts w:ascii="Times New Roman" w:hAnsi="Times New Roman" w:cs="Times New Roman"/>
        </w:rPr>
      </w:pPr>
      <w:r w:rsidRPr="005948DE">
        <w:rPr>
          <w:rFonts w:ascii="Times New Roman" w:hAnsi="Times New Roman" w:cs="Times New Roman"/>
        </w:rPr>
        <w:t>Payment procedure is same as for the invoices issued for the works.</w:t>
      </w:r>
    </w:p>
    <w:p w14:paraId="0D1E8B7A" w14:textId="77777777" w:rsidR="00EB32D1" w:rsidRPr="005948DE" w:rsidRDefault="00EB32D1" w:rsidP="005948DE">
      <w:pPr>
        <w:pStyle w:val="Heading3"/>
        <w:numPr>
          <w:ilvl w:val="2"/>
          <w:numId w:val="330"/>
        </w:numPr>
        <w:spacing w:before="120" w:after="120" w:line="276" w:lineRule="auto"/>
        <w:jc w:val="both"/>
        <w:rPr>
          <w:rFonts w:ascii="Times New Roman" w:hAnsi="Times New Roman" w:cs="Times New Roman"/>
          <w:color w:val="auto"/>
        </w:rPr>
      </w:pPr>
      <w:bookmarkStart w:id="590" w:name="_Toc93342286"/>
      <w:r w:rsidRPr="005948DE">
        <w:rPr>
          <w:rFonts w:ascii="Times New Roman" w:hAnsi="Times New Roman" w:cs="Times New Roman"/>
          <w:color w:val="auto"/>
        </w:rPr>
        <w:t>Payments for Infrastructure investment projects implemented by the LSG</w:t>
      </w:r>
      <w:bookmarkEnd w:id="590"/>
    </w:p>
    <w:p w14:paraId="78FF6EA6" w14:textId="634739D1" w:rsidR="002D245F" w:rsidRPr="005948DE" w:rsidRDefault="009636A3" w:rsidP="005948DE">
      <w:pPr>
        <w:spacing w:after="0" w:line="276" w:lineRule="auto"/>
        <w:jc w:val="both"/>
        <w:rPr>
          <w:rFonts w:ascii="Times New Roman" w:hAnsi="Times New Roman" w:cs="Times New Roman"/>
        </w:rPr>
      </w:pPr>
      <w:r w:rsidRPr="005948DE">
        <w:rPr>
          <w:rFonts w:ascii="Times New Roman" w:hAnsi="Times New Roman" w:cs="Times New Roman"/>
        </w:rPr>
        <w:t xml:space="preserve">The flow of funds for the strictly targeted grants will be based on downstream agreements signed between </w:t>
      </w:r>
      <w:r w:rsidR="00E13D42">
        <w:rPr>
          <w:rFonts w:ascii="Times New Roman" w:hAnsi="Times New Roman" w:cs="Times New Roman"/>
        </w:rPr>
        <w:t xml:space="preserve">the </w:t>
      </w:r>
      <w:r w:rsidRPr="005948DE">
        <w:rPr>
          <w:rFonts w:ascii="Times New Roman" w:hAnsi="Times New Roman" w:cs="Times New Roman"/>
        </w:rPr>
        <w:t xml:space="preserve">MCTI and those LSGs </w:t>
      </w:r>
      <w:r w:rsidR="00F313F0" w:rsidRPr="005948DE">
        <w:rPr>
          <w:rFonts w:ascii="Times New Roman" w:hAnsi="Times New Roman" w:cs="Times New Roman"/>
        </w:rPr>
        <w:t>with</w:t>
      </w:r>
      <w:r w:rsidRPr="005948DE">
        <w:rPr>
          <w:rFonts w:ascii="Times New Roman" w:hAnsi="Times New Roman" w:cs="Times New Roman"/>
        </w:rPr>
        <w:t xml:space="preserve"> infrastructure investments accepted as eligible.</w:t>
      </w:r>
      <w:r w:rsidR="00921B17" w:rsidRPr="005948DE">
        <w:rPr>
          <w:rFonts w:ascii="Times New Roman" w:hAnsi="Times New Roman" w:cs="Times New Roman"/>
        </w:rPr>
        <w:t xml:space="preserve"> </w:t>
      </w:r>
      <w:r w:rsidRPr="005948DE">
        <w:rPr>
          <w:rFonts w:ascii="Times New Roman" w:hAnsi="Times New Roman" w:cs="Times New Roman"/>
        </w:rPr>
        <w:t>The downstream agreements will take the form of Grant Agreements and the flow of funds will follow the national procedures for transfer of grants.</w:t>
      </w:r>
    </w:p>
    <w:p w14:paraId="6FF5AEC3" w14:textId="77777777" w:rsidR="002D245F" w:rsidRPr="005948DE" w:rsidRDefault="002D245F" w:rsidP="005948DE">
      <w:pPr>
        <w:spacing w:after="0" w:line="276" w:lineRule="auto"/>
        <w:jc w:val="both"/>
        <w:rPr>
          <w:rFonts w:ascii="Times New Roman" w:hAnsi="Times New Roman" w:cs="Times New Roman"/>
        </w:rPr>
      </w:pPr>
    </w:p>
    <w:p w14:paraId="2822DE26" w14:textId="14396171" w:rsidR="005B26C7" w:rsidRDefault="00933527" w:rsidP="005948DE">
      <w:pPr>
        <w:spacing w:after="0" w:line="276" w:lineRule="auto"/>
        <w:jc w:val="both"/>
        <w:rPr>
          <w:rFonts w:ascii="Times New Roman" w:eastAsia="Times New Roman" w:hAnsi="Times New Roman" w:cs="Times New Roman"/>
          <w:lang w:val="en-US"/>
        </w:rPr>
      </w:pPr>
      <w:r w:rsidRPr="005948DE">
        <w:rPr>
          <w:rFonts w:ascii="Times New Roman" w:eastAsia="Times New Roman" w:hAnsi="Times New Roman" w:cs="Times New Roman"/>
          <w:lang w:val="en-US"/>
        </w:rPr>
        <w:t xml:space="preserve">Funds related to infrastructure investments </w:t>
      </w:r>
      <w:r w:rsidR="002D245F" w:rsidRPr="005948DE">
        <w:rPr>
          <w:rFonts w:ascii="Times New Roman" w:eastAsia="Times New Roman" w:hAnsi="Times New Roman" w:cs="Times New Roman"/>
          <w:lang w:val="en-US"/>
        </w:rPr>
        <w:t>will</w:t>
      </w:r>
      <w:r w:rsidRPr="005948DE">
        <w:rPr>
          <w:rFonts w:ascii="Times New Roman" w:eastAsia="Times New Roman" w:hAnsi="Times New Roman" w:cs="Times New Roman"/>
          <w:lang w:val="en-US"/>
        </w:rPr>
        <w:t xml:space="preserve"> be transferred from the respective DAs to separate accounts/sub-accounts in RSD held by </w:t>
      </w:r>
      <w:r w:rsidR="00E13D42">
        <w:rPr>
          <w:rFonts w:ascii="Times New Roman" w:eastAsia="Times New Roman" w:hAnsi="Times New Roman" w:cs="Times New Roman"/>
          <w:lang w:val="en-US"/>
        </w:rPr>
        <w:t xml:space="preserve">the </w:t>
      </w:r>
      <w:r w:rsidRPr="005948DE">
        <w:rPr>
          <w:rFonts w:ascii="Times New Roman" w:eastAsia="Times New Roman" w:hAnsi="Times New Roman" w:cs="Times New Roman"/>
          <w:lang w:val="en-US"/>
        </w:rPr>
        <w:t xml:space="preserve">respective LSGs within local Consolidated Treasury Account to meet eligible project expenditures, provided that transactions and balances in these accounts are included in all </w:t>
      </w:r>
      <w:r w:rsidR="00E13D42">
        <w:rPr>
          <w:rFonts w:ascii="Times New Roman" w:eastAsia="Times New Roman" w:hAnsi="Times New Roman" w:cs="Times New Roman"/>
          <w:lang w:val="en-US"/>
        </w:rPr>
        <w:t>P</w:t>
      </w:r>
      <w:r w:rsidRPr="005948DE">
        <w:rPr>
          <w:rFonts w:ascii="Times New Roman" w:eastAsia="Times New Roman" w:hAnsi="Times New Roman" w:cs="Times New Roman"/>
          <w:lang w:val="en-US"/>
        </w:rPr>
        <w:t>roject financial reports.</w:t>
      </w:r>
    </w:p>
    <w:p w14:paraId="11C4FDD2" w14:textId="77777777" w:rsidR="00E13D42" w:rsidRPr="005948DE" w:rsidRDefault="00E13D42" w:rsidP="005948DE">
      <w:pPr>
        <w:spacing w:after="0" w:line="276" w:lineRule="auto"/>
        <w:jc w:val="both"/>
        <w:rPr>
          <w:rFonts w:ascii="Times New Roman" w:eastAsia="Times New Roman" w:hAnsi="Times New Roman" w:cs="Times New Roman"/>
          <w:lang w:val="en-US"/>
        </w:rPr>
      </w:pPr>
    </w:p>
    <w:p w14:paraId="15929618" w14:textId="5412CC96" w:rsidR="005B26C7" w:rsidRPr="005948DE" w:rsidRDefault="005B26C7" w:rsidP="005948DE">
      <w:pPr>
        <w:pStyle w:val="Numberedparagraph"/>
        <w:numPr>
          <w:ilvl w:val="0"/>
          <w:numId w:val="0"/>
        </w:numPr>
        <w:spacing w:line="276" w:lineRule="auto"/>
      </w:pPr>
      <w:r w:rsidRPr="005948DE">
        <w:rPr>
          <w:sz w:val="22"/>
          <w:szCs w:val="22"/>
        </w:rPr>
        <w:t xml:space="preserve">The Grant under the Grant Agreement shall be (a) made on a non-reimbursable basis; and (b) disbursed by the PIU to </w:t>
      </w:r>
      <w:r w:rsidR="00E13D42">
        <w:rPr>
          <w:sz w:val="22"/>
          <w:szCs w:val="22"/>
        </w:rPr>
        <w:t>the</w:t>
      </w:r>
      <w:r w:rsidR="00E13D42" w:rsidRPr="005948DE">
        <w:rPr>
          <w:sz w:val="22"/>
          <w:szCs w:val="22"/>
        </w:rPr>
        <w:t xml:space="preserve"> </w:t>
      </w:r>
      <w:r w:rsidRPr="005948DE">
        <w:rPr>
          <w:sz w:val="22"/>
          <w:szCs w:val="22"/>
        </w:rPr>
        <w:t>LSG in two tranches. The PIU shall disburse a (a) 50</w:t>
      </w:r>
      <w:r w:rsidR="00E13D42">
        <w:rPr>
          <w:sz w:val="22"/>
          <w:szCs w:val="22"/>
        </w:rPr>
        <w:t xml:space="preserve"> percent</w:t>
      </w:r>
      <w:r w:rsidRPr="005948DE">
        <w:rPr>
          <w:sz w:val="22"/>
          <w:szCs w:val="22"/>
        </w:rPr>
        <w:t xml:space="preserve"> advance upon the parties’ signing the </w:t>
      </w:r>
      <w:r w:rsidR="00E13D42">
        <w:rPr>
          <w:sz w:val="22"/>
          <w:szCs w:val="22"/>
        </w:rPr>
        <w:t>GA</w:t>
      </w:r>
      <w:r w:rsidRPr="005948DE">
        <w:rPr>
          <w:sz w:val="22"/>
          <w:szCs w:val="22"/>
        </w:rPr>
        <w:t>; and (b) the remaining 50</w:t>
      </w:r>
      <w:r w:rsidR="00E13D42">
        <w:rPr>
          <w:sz w:val="22"/>
          <w:szCs w:val="22"/>
        </w:rPr>
        <w:t xml:space="preserve"> percent</w:t>
      </w:r>
      <w:r w:rsidRPr="005948DE">
        <w:rPr>
          <w:sz w:val="22"/>
          <w:szCs w:val="22"/>
        </w:rPr>
        <w:t xml:space="preserve"> upon the PIU’s and </w:t>
      </w:r>
      <w:r w:rsidR="00E13D42">
        <w:rPr>
          <w:sz w:val="22"/>
          <w:szCs w:val="22"/>
        </w:rPr>
        <w:t xml:space="preserve">the </w:t>
      </w:r>
      <w:r w:rsidRPr="005948DE">
        <w:rPr>
          <w:sz w:val="22"/>
          <w:szCs w:val="22"/>
        </w:rPr>
        <w:t>CFU’s verification that (i) the Grant proceeds of the first tranche were used for intended purposes; and (ii) at least 80</w:t>
      </w:r>
      <w:r w:rsidR="00E13D42">
        <w:rPr>
          <w:sz w:val="22"/>
          <w:szCs w:val="22"/>
        </w:rPr>
        <w:t xml:space="preserve"> percent</w:t>
      </w:r>
      <w:r w:rsidRPr="005948DE">
        <w:rPr>
          <w:sz w:val="22"/>
          <w:szCs w:val="22"/>
        </w:rPr>
        <w:t xml:space="preserve"> o</w:t>
      </w:r>
      <w:r w:rsidR="00C60C14">
        <w:rPr>
          <w:sz w:val="22"/>
          <w:szCs w:val="22"/>
        </w:rPr>
        <w:t xml:space="preserve">f the first tranche was spent. </w:t>
      </w:r>
      <w:r w:rsidRPr="005948DE">
        <w:rPr>
          <w:sz w:val="22"/>
          <w:szCs w:val="22"/>
        </w:rPr>
        <w:t>The PIU and the CFU shall conduct the verification based on (a) the review of the Project financial reports prepared by the LSG; and (b) any additional terms and conditions set forth under this Manual.</w:t>
      </w:r>
      <w:r w:rsidRPr="005948DE">
        <w:t xml:space="preserve"> </w:t>
      </w:r>
    </w:p>
    <w:p w14:paraId="794E4001" w14:textId="703F8383" w:rsidR="005B26C7" w:rsidRPr="005948DE" w:rsidRDefault="005B26C7" w:rsidP="005948DE">
      <w:pPr>
        <w:pStyle w:val="Numberedparagraph"/>
        <w:numPr>
          <w:ilvl w:val="0"/>
          <w:numId w:val="0"/>
        </w:numPr>
        <w:spacing w:line="276" w:lineRule="auto"/>
        <w:rPr>
          <w:sz w:val="22"/>
          <w:szCs w:val="22"/>
        </w:rPr>
      </w:pPr>
      <w:r w:rsidRPr="005948DE">
        <w:rPr>
          <w:sz w:val="22"/>
          <w:szCs w:val="22"/>
        </w:rPr>
        <w:t>Notwithstanding the formula reflected in the Manual to establish Grant amounts, the maximum amount: (i) of all Grants to a single LSG shall not exceed the equivalent of twenty-five million Dollars ($25,000,000); and (ii) of each Grant for a Subproject shall not be less than fifty thousand Dollars $50,000 or more than $10,000,000.</w:t>
      </w:r>
    </w:p>
    <w:p w14:paraId="34886459" w14:textId="4FA51D71" w:rsidR="009636A3" w:rsidRPr="005948DE" w:rsidRDefault="009636A3" w:rsidP="005948DE">
      <w:pPr>
        <w:spacing w:line="276" w:lineRule="auto"/>
        <w:jc w:val="both"/>
        <w:rPr>
          <w:rFonts w:ascii="Times New Roman" w:hAnsi="Times New Roman" w:cs="Times New Roman"/>
        </w:rPr>
      </w:pPr>
      <w:r w:rsidRPr="005948DE">
        <w:rPr>
          <w:rFonts w:ascii="Times New Roman" w:hAnsi="Times New Roman" w:cs="Times New Roman"/>
        </w:rPr>
        <w:t>The LSGs will execute all payments to Contractors once IPCs have been approved and verified.</w:t>
      </w:r>
      <w:r w:rsidR="00921B17" w:rsidRPr="005948DE">
        <w:rPr>
          <w:rFonts w:ascii="Times New Roman" w:hAnsi="Times New Roman" w:cs="Times New Roman"/>
        </w:rPr>
        <w:t xml:space="preserve"> </w:t>
      </w:r>
    </w:p>
    <w:p w14:paraId="6F7E679F" w14:textId="253EE073" w:rsidR="009636A3" w:rsidRPr="005948DE" w:rsidRDefault="00601B2D" w:rsidP="005948DE">
      <w:pPr>
        <w:spacing w:line="276" w:lineRule="auto"/>
        <w:jc w:val="both"/>
        <w:rPr>
          <w:rFonts w:ascii="Times New Roman" w:hAnsi="Times New Roman" w:cs="Times New Roman"/>
        </w:rPr>
      </w:pPr>
      <w:r w:rsidRPr="005948DE">
        <w:rPr>
          <w:rFonts w:ascii="Times New Roman" w:hAnsi="Times New Roman" w:cs="Times New Roman"/>
        </w:rPr>
        <w:t>T</w:t>
      </w:r>
      <w:r w:rsidR="009636A3" w:rsidRPr="005948DE">
        <w:rPr>
          <w:rFonts w:ascii="Times New Roman" w:hAnsi="Times New Roman" w:cs="Times New Roman"/>
        </w:rPr>
        <w:t xml:space="preserve">here shall be no payments for works executed prior signature of Supervision contract. Respectively, only after the Supervision Engineer signs the contract, implementation of signed contracts with contractors can commence. After procurement procedure is completed and contract with selected contractor is signed, the contractor is obliged to submit relevant documentation, such as performance security, advance payment security, retention money security, etc. </w:t>
      </w:r>
      <w:r w:rsidR="00FF4BDA" w:rsidRPr="005948DE">
        <w:rPr>
          <w:rFonts w:ascii="Times New Roman" w:hAnsi="Times New Roman" w:cs="Times New Roman"/>
        </w:rPr>
        <w:t xml:space="preserve">Payment for works may occur only after the Supervision Engineer </w:t>
      </w:r>
      <w:r w:rsidR="009636A3" w:rsidRPr="005948DE">
        <w:rPr>
          <w:rFonts w:ascii="Times New Roman" w:hAnsi="Times New Roman" w:cs="Times New Roman"/>
        </w:rPr>
        <w:t>verifies that all required documents are submitted</w:t>
      </w:r>
      <w:r w:rsidR="00FF4BDA" w:rsidRPr="005948DE">
        <w:rPr>
          <w:rFonts w:ascii="Times New Roman" w:hAnsi="Times New Roman" w:cs="Times New Roman"/>
        </w:rPr>
        <w:t xml:space="preserve">. </w:t>
      </w:r>
    </w:p>
    <w:p w14:paraId="5F5A2EEE" w14:textId="74D56955" w:rsidR="009636A3" w:rsidRPr="005948DE" w:rsidRDefault="009636A3" w:rsidP="005948DE">
      <w:pPr>
        <w:spacing w:line="276" w:lineRule="auto"/>
        <w:jc w:val="both"/>
        <w:rPr>
          <w:rFonts w:ascii="Times New Roman" w:hAnsi="Times New Roman" w:cs="Times New Roman"/>
        </w:rPr>
      </w:pPr>
      <w:r w:rsidRPr="005948DE">
        <w:rPr>
          <w:rFonts w:ascii="Times New Roman" w:hAnsi="Times New Roman" w:cs="Times New Roman"/>
        </w:rPr>
        <w:t>When invoicing, the contractor will calculate VAT separately on the pro-forma invoice and will issue pro-forma invoice in 5</w:t>
      </w:r>
      <w:r w:rsidR="003C3EC9">
        <w:rPr>
          <w:rFonts w:ascii="Times New Roman" w:hAnsi="Times New Roman" w:cs="Times New Roman"/>
        </w:rPr>
        <w:t xml:space="preserve"> (five)</w:t>
      </w:r>
      <w:r w:rsidRPr="005948DE">
        <w:rPr>
          <w:rFonts w:ascii="Times New Roman" w:hAnsi="Times New Roman" w:cs="Times New Roman"/>
        </w:rPr>
        <w:t xml:space="preserve"> copies (one for each</w:t>
      </w:r>
      <w:r w:rsidR="003C3EC9">
        <w:rPr>
          <w:rFonts w:ascii="Times New Roman" w:hAnsi="Times New Roman" w:cs="Times New Roman"/>
        </w:rPr>
        <w:t xml:space="preserve"> -</w:t>
      </w:r>
      <w:r w:rsidRPr="005948DE">
        <w:rPr>
          <w:rFonts w:ascii="Times New Roman" w:hAnsi="Times New Roman" w:cs="Times New Roman"/>
        </w:rPr>
        <w:t xml:space="preserve"> the Supervision Engineer, </w:t>
      </w:r>
      <w:r w:rsidR="003C3EC9">
        <w:rPr>
          <w:rFonts w:ascii="Times New Roman" w:hAnsi="Times New Roman" w:cs="Times New Roman"/>
        </w:rPr>
        <w:t xml:space="preserve">the </w:t>
      </w:r>
      <w:r w:rsidR="00FF4BDA" w:rsidRPr="005948DE">
        <w:rPr>
          <w:rFonts w:ascii="Times New Roman" w:hAnsi="Times New Roman" w:cs="Times New Roman"/>
        </w:rPr>
        <w:t xml:space="preserve">Tax </w:t>
      </w:r>
      <w:r w:rsidR="003C3EC9">
        <w:rPr>
          <w:rFonts w:ascii="Times New Roman" w:hAnsi="Times New Roman" w:cs="Times New Roman"/>
        </w:rPr>
        <w:t>A</w:t>
      </w:r>
      <w:r w:rsidR="003C3EC9" w:rsidRPr="005948DE">
        <w:rPr>
          <w:rFonts w:ascii="Times New Roman" w:hAnsi="Times New Roman" w:cs="Times New Roman"/>
        </w:rPr>
        <w:t>dministration</w:t>
      </w:r>
      <w:r w:rsidR="00FF4BDA" w:rsidRPr="005948DE">
        <w:rPr>
          <w:rFonts w:ascii="Times New Roman" w:hAnsi="Times New Roman" w:cs="Times New Roman"/>
        </w:rPr>
        <w:t xml:space="preserve">, </w:t>
      </w:r>
      <w:r w:rsidR="003C3EC9">
        <w:rPr>
          <w:rFonts w:ascii="Times New Roman" w:hAnsi="Times New Roman" w:cs="Times New Roman"/>
        </w:rPr>
        <w:t xml:space="preserve">the </w:t>
      </w:r>
      <w:r w:rsidRPr="005948DE">
        <w:rPr>
          <w:rFonts w:ascii="Times New Roman" w:hAnsi="Times New Roman" w:cs="Times New Roman"/>
        </w:rPr>
        <w:t xml:space="preserve">PIU/MCTI, </w:t>
      </w:r>
      <w:r w:rsidR="003C3EC9">
        <w:rPr>
          <w:rFonts w:ascii="Times New Roman" w:hAnsi="Times New Roman" w:cs="Times New Roman"/>
        </w:rPr>
        <w:t xml:space="preserve">the </w:t>
      </w:r>
      <w:r w:rsidRPr="005948DE">
        <w:rPr>
          <w:rFonts w:ascii="Times New Roman" w:hAnsi="Times New Roman" w:cs="Times New Roman"/>
        </w:rPr>
        <w:t xml:space="preserve">CFU and the Contractor). Exemption from </w:t>
      </w:r>
      <w:r w:rsidR="003C3EC9">
        <w:rPr>
          <w:rFonts w:ascii="Times New Roman" w:hAnsi="Times New Roman" w:cs="Times New Roman"/>
        </w:rPr>
        <w:t xml:space="preserve">the </w:t>
      </w:r>
      <w:r w:rsidRPr="005948DE">
        <w:rPr>
          <w:rFonts w:ascii="Times New Roman" w:hAnsi="Times New Roman" w:cs="Times New Roman"/>
        </w:rPr>
        <w:t>VAT will be done based on pro-forma invoice.</w:t>
      </w:r>
    </w:p>
    <w:p w14:paraId="5A4F7A8A" w14:textId="3A36E83A" w:rsidR="00C55550" w:rsidRPr="005948DE" w:rsidRDefault="009636A3" w:rsidP="005948DE">
      <w:pPr>
        <w:spacing w:after="120" w:line="276" w:lineRule="auto"/>
        <w:jc w:val="both"/>
        <w:rPr>
          <w:rFonts w:ascii="Times New Roman" w:hAnsi="Times New Roman" w:cs="Times New Roman"/>
          <w:smallCaps/>
          <w:color w:val="0066FF"/>
        </w:rPr>
      </w:pPr>
      <w:r w:rsidRPr="005948DE">
        <w:rPr>
          <w:rFonts w:ascii="Times New Roman" w:hAnsi="Times New Roman" w:cs="Times New Roman"/>
        </w:rPr>
        <w:t>All invoices will be approved and signed by the Supervision Engineer before payments</w:t>
      </w:r>
      <w:r w:rsidR="00FF4BDA" w:rsidRPr="005948DE">
        <w:rPr>
          <w:rFonts w:ascii="Times New Roman" w:hAnsi="Times New Roman" w:cs="Times New Roman"/>
        </w:rPr>
        <w:t xml:space="preserve"> can be executed</w:t>
      </w:r>
      <w:r w:rsidRPr="005948DE">
        <w:rPr>
          <w:rFonts w:ascii="Times New Roman" w:hAnsi="Times New Roman" w:cs="Times New Roman"/>
        </w:rPr>
        <w:t xml:space="preserve">. </w:t>
      </w:r>
      <w:r w:rsidR="003C3EC9">
        <w:rPr>
          <w:rFonts w:ascii="Times New Roman" w:hAnsi="Times New Roman" w:cs="Times New Roman"/>
        </w:rPr>
        <w:t xml:space="preserve">The </w:t>
      </w:r>
      <w:r w:rsidR="00FF4BDA" w:rsidRPr="005948DE">
        <w:rPr>
          <w:rFonts w:ascii="Times New Roman" w:hAnsi="Times New Roman" w:cs="Times New Roman"/>
        </w:rPr>
        <w:t xml:space="preserve">LSG </w:t>
      </w:r>
      <w:r w:rsidRPr="005948DE">
        <w:rPr>
          <w:rFonts w:ascii="Times New Roman" w:hAnsi="Times New Roman" w:cs="Times New Roman"/>
        </w:rPr>
        <w:t xml:space="preserve">will be responsible to monitor whether quality and quantity of executed works complies with the signed contract. </w:t>
      </w:r>
      <w:r w:rsidR="003C3EC9">
        <w:rPr>
          <w:rFonts w:ascii="Times New Roman" w:hAnsi="Times New Roman" w:cs="Times New Roman"/>
        </w:rPr>
        <w:t xml:space="preserve">The </w:t>
      </w:r>
      <w:r w:rsidR="00FF4BDA" w:rsidRPr="005948DE">
        <w:rPr>
          <w:rFonts w:ascii="Times New Roman" w:hAnsi="Times New Roman" w:cs="Times New Roman"/>
        </w:rPr>
        <w:t>LSG</w:t>
      </w:r>
      <w:r w:rsidRPr="005948DE">
        <w:rPr>
          <w:rFonts w:ascii="Times New Roman" w:hAnsi="Times New Roman" w:cs="Times New Roman"/>
        </w:rPr>
        <w:t xml:space="preserve"> will check completeness and accuracy of documents, </w:t>
      </w:r>
      <w:r w:rsidR="003C3EC9">
        <w:rPr>
          <w:rFonts w:ascii="Times New Roman" w:hAnsi="Times New Roman" w:cs="Times New Roman"/>
        </w:rPr>
        <w:t>their</w:t>
      </w:r>
      <w:r w:rsidR="003C3EC9" w:rsidRPr="005948DE">
        <w:rPr>
          <w:rFonts w:ascii="Times New Roman" w:hAnsi="Times New Roman" w:cs="Times New Roman"/>
        </w:rPr>
        <w:t xml:space="preserve"> </w:t>
      </w:r>
      <w:r w:rsidRPr="005948DE">
        <w:rPr>
          <w:rFonts w:ascii="Times New Roman" w:hAnsi="Times New Roman" w:cs="Times New Roman"/>
        </w:rPr>
        <w:t xml:space="preserve">compliance with contract provisions, eligibility for payments from the Loan and will prepare payment order. </w:t>
      </w:r>
      <w:r w:rsidR="003C3EC9">
        <w:rPr>
          <w:rFonts w:ascii="Times New Roman" w:hAnsi="Times New Roman" w:cs="Times New Roman"/>
        </w:rPr>
        <w:t xml:space="preserve">The </w:t>
      </w:r>
      <w:r w:rsidRPr="005948DE">
        <w:rPr>
          <w:rFonts w:ascii="Times New Roman" w:hAnsi="Times New Roman" w:cs="Times New Roman"/>
        </w:rPr>
        <w:t>CFU</w:t>
      </w:r>
      <w:r w:rsidR="00FF4BDA" w:rsidRPr="005948DE">
        <w:rPr>
          <w:rFonts w:ascii="Times New Roman" w:hAnsi="Times New Roman" w:cs="Times New Roman"/>
        </w:rPr>
        <w:t xml:space="preserve"> and</w:t>
      </w:r>
      <w:r w:rsidR="003C3EC9">
        <w:rPr>
          <w:rFonts w:ascii="Times New Roman" w:hAnsi="Times New Roman" w:cs="Times New Roman"/>
        </w:rPr>
        <w:t xml:space="preserve"> the</w:t>
      </w:r>
      <w:r w:rsidR="00FF4BDA" w:rsidRPr="005948DE">
        <w:rPr>
          <w:rFonts w:ascii="Times New Roman" w:hAnsi="Times New Roman" w:cs="Times New Roman"/>
        </w:rPr>
        <w:t xml:space="preserve"> PIU will assist the LSG in </w:t>
      </w:r>
      <w:r w:rsidRPr="005948DE">
        <w:rPr>
          <w:rFonts w:ascii="Times New Roman" w:hAnsi="Times New Roman" w:cs="Times New Roman"/>
        </w:rPr>
        <w:t>check</w:t>
      </w:r>
      <w:r w:rsidR="00FF4BDA" w:rsidRPr="005948DE">
        <w:rPr>
          <w:rFonts w:ascii="Times New Roman" w:hAnsi="Times New Roman" w:cs="Times New Roman"/>
        </w:rPr>
        <w:t>ing the</w:t>
      </w:r>
      <w:r w:rsidRPr="005948DE">
        <w:rPr>
          <w:rFonts w:ascii="Times New Roman" w:hAnsi="Times New Roman" w:cs="Times New Roman"/>
        </w:rPr>
        <w:t xml:space="preserve"> eligibility and accuracy of the prepared payment order and completeness of submitted documents before its approve</w:t>
      </w:r>
      <w:r w:rsidR="00FF4BDA" w:rsidRPr="005948DE">
        <w:rPr>
          <w:rFonts w:ascii="Times New Roman" w:hAnsi="Times New Roman" w:cs="Times New Roman"/>
        </w:rPr>
        <w:t>d</w:t>
      </w:r>
      <w:r w:rsidRPr="005948DE">
        <w:rPr>
          <w:rFonts w:ascii="Times New Roman" w:hAnsi="Times New Roman" w:cs="Times New Roman"/>
        </w:rPr>
        <w:t xml:space="preserve"> for payments. </w:t>
      </w:r>
    </w:p>
    <w:p w14:paraId="361CF47F" w14:textId="77777777" w:rsidR="00C55550" w:rsidRPr="005948DE" w:rsidRDefault="00C55550" w:rsidP="005948DE">
      <w:pPr>
        <w:spacing w:after="120" w:line="276" w:lineRule="auto"/>
        <w:jc w:val="both"/>
        <w:rPr>
          <w:rFonts w:ascii="Times New Roman" w:hAnsi="Times New Roman" w:cs="Times New Roman"/>
          <w:smallCaps/>
          <w:color w:val="0066FF"/>
        </w:rPr>
      </w:pPr>
    </w:p>
    <w:p w14:paraId="049ACFBA" w14:textId="360E3146" w:rsidR="00841164" w:rsidRPr="005948DE" w:rsidRDefault="00841164" w:rsidP="005948DE">
      <w:pPr>
        <w:spacing w:line="276" w:lineRule="auto"/>
        <w:jc w:val="both"/>
        <w:rPr>
          <w:rFonts w:ascii="Times New Roman" w:eastAsiaTheme="majorEastAsia" w:hAnsi="Times New Roman" w:cs="Times New Roman"/>
          <w:b/>
          <w:bCs/>
          <w:color w:val="0066FF"/>
          <w:sz w:val="30"/>
          <w:szCs w:val="30"/>
        </w:rPr>
      </w:pPr>
      <w:r w:rsidRPr="005948DE">
        <w:rPr>
          <w:rFonts w:ascii="Times New Roman" w:hAnsi="Times New Roman" w:cs="Times New Roman"/>
          <w:smallCaps/>
          <w:color w:val="0066FF"/>
          <w:sz w:val="30"/>
          <w:szCs w:val="30"/>
        </w:rPr>
        <w:br w:type="page"/>
      </w:r>
    </w:p>
    <w:p w14:paraId="117F07A1" w14:textId="4067E56F" w:rsidR="00BC151E" w:rsidRPr="005948DE" w:rsidRDefault="00BC151E" w:rsidP="005948DE">
      <w:pPr>
        <w:pStyle w:val="Heading1"/>
        <w:numPr>
          <w:ilvl w:val="0"/>
          <w:numId w:val="330"/>
        </w:numPr>
        <w:pBdr>
          <w:bottom w:val="none" w:sz="0" w:space="0" w:color="auto"/>
        </w:pBdr>
        <w:spacing w:line="276" w:lineRule="auto"/>
        <w:ind w:left="431" w:hanging="431"/>
        <w:jc w:val="both"/>
        <w:rPr>
          <w:rFonts w:ascii="Times New Roman" w:hAnsi="Times New Roman" w:cs="Times New Roman"/>
          <w:smallCaps w:val="0"/>
          <w:color w:val="auto"/>
          <w:sz w:val="30"/>
          <w:szCs w:val="30"/>
        </w:rPr>
      </w:pPr>
      <w:bookmarkStart w:id="591" w:name="_Toc90070671"/>
      <w:bookmarkStart w:id="592" w:name="_Toc90070821"/>
      <w:bookmarkStart w:id="593" w:name="_Toc90071504"/>
      <w:bookmarkStart w:id="594" w:name="_Toc90227335"/>
      <w:bookmarkStart w:id="595" w:name="_Toc90227479"/>
      <w:bookmarkStart w:id="596" w:name="_Toc90070672"/>
      <w:bookmarkStart w:id="597" w:name="_Toc90070822"/>
      <w:bookmarkStart w:id="598" w:name="_Toc90071505"/>
      <w:bookmarkStart w:id="599" w:name="_Toc90227336"/>
      <w:bookmarkStart w:id="600" w:name="_Toc90227480"/>
      <w:bookmarkStart w:id="601" w:name="_Toc90070673"/>
      <w:bookmarkStart w:id="602" w:name="_Toc90070823"/>
      <w:bookmarkStart w:id="603" w:name="_Toc90071506"/>
      <w:bookmarkStart w:id="604" w:name="_Toc90227337"/>
      <w:bookmarkStart w:id="605" w:name="_Toc90227481"/>
      <w:bookmarkStart w:id="606" w:name="_Toc93342287"/>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r w:rsidRPr="005948DE">
        <w:rPr>
          <w:rFonts w:ascii="Times New Roman" w:hAnsi="Times New Roman" w:cs="Times New Roman"/>
          <w:smallCaps w:val="0"/>
          <w:color w:val="auto"/>
          <w:sz w:val="30"/>
          <w:szCs w:val="30"/>
        </w:rPr>
        <w:t>P</w:t>
      </w:r>
      <w:r w:rsidR="001F16B5" w:rsidRPr="005948DE">
        <w:rPr>
          <w:rFonts w:ascii="Times New Roman" w:hAnsi="Times New Roman" w:cs="Times New Roman"/>
          <w:smallCaps w:val="0"/>
          <w:color w:val="auto"/>
          <w:sz w:val="30"/>
          <w:szCs w:val="30"/>
        </w:rPr>
        <w:t>ROCUREMENT</w:t>
      </w:r>
      <w:bookmarkEnd w:id="479"/>
      <w:bookmarkEnd w:id="480"/>
      <w:bookmarkEnd w:id="481"/>
      <w:bookmarkEnd w:id="482"/>
      <w:bookmarkEnd w:id="483"/>
      <w:bookmarkEnd w:id="484"/>
      <w:bookmarkEnd w:id="606"/>
    </w:p>
    <w:p w14:paraId="30A8CEEA" w14:textId="77777777" w:rsidR="00BC151E" w:rsidRPr="005948DE" w:rsidRDefault="00BC151E"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607" w:name="_Toc93342288"/>
      <w:r w:rsidRPr="005948DE">
        <w:rPr>
          <w:rFonts w:ascii="Times New Roman" w:hAnsi="Times New Roman" w:cs="Times New Roman"/>
          <w:smallCaps w:val="0"/>
          <w:color w:val="auto"/>
          <w:sz w:val="24"/>
        </w:rPr>
        <w:t>General</w:t>
      </w:r>
      <w:bookmarkEnd w:id="607"/>
      <w:r w:rsidRPr="005948DE">
        <w:rPr>
          <w:rFonts w:ascii="Times New Roman" w:hAnsi="Times New Roman" w:cs="Times New Roman"/>
          <w:smallCaps w:val="0"/>
          <w:color w:val="auto"/>
          <w:sz w:val="24"/>
        </w:rPr>
        <w:t xml:space="preserve"> </w:t>
      </w:r>
    </w:p>
    <w:p w14:paraId="483062C9" w14:textId="6777C6C5" w:rsidR="0099164E" w:rsidRPr="005948DE" w:rsidRDefault="0099164E" w:rsidP="005948DE">
      <w:pPr>
        <w:widowControl w:val="0"/>
        <w:autoSpaceDE w:val="0"/>
        <w:autoSpaceDN w:val="0"/>
        <w:adjustRightInd w:val="0"/>
        <w:spacing w:after="120" w:line="276" w:lineRule="auto"/>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Efficient procurement in Bank financed projects is a prerequisite for the attainment of project objectives and timely disbursement of loan funds. </w:t>
      </w:r>
    </w:p>
    <w:p w14:paraId="7589DB3D" w14:textId="429B0F16" w:rsidR="0099164E" w:rsidRPr="005948DE" w:rsidRDefault="0099164E" w:rsidP="005948DE">
      <w:pPr>
        <w:spacing w:after="120" w:line="276" w:lineRule="auto"/>
        <w:jc w:val="both"/>
        <w:rPr>
          <w:rFonts w:ascii="Times New Roman" w:hAnsi="Times New Roman" w:cs="Times New Roman"/>
          <w:bCs/>
        </w:rPr>
      </w:pPr>
      <w:r w:rsidRPr="005948DE">
        <w:rPr>
          <w:rFonts w:ascii="Times New Roman" w:hAnsi="Times New Roman" w:cs="Times New Roman"/>
          <w:bCs/>
        </w:rPr>
        <w:t xml:space="preserve">The procurement actions under different expenditure categories are described in general below. For each contract to be financed under the </w:t>
      </w:r>
      <w:r w:rsidR="003B107F">
        <w:rPr>
          <w:rFonts w:ascii="Times New Roman" w:hAnsi="Times New Roman" w:cs="Times New Roman"/>
          <w:bCs/>
        </w:rPr>
        <w:t>LA</w:t>
      </w:r>
      <w:r w:rsidRPr="005948DE">
        <w:rPr>
          <w:rFonts w:ascii="Times New Roman" w:hAnsi="Times New Roman" w:cs="Times New Roman"/>
          <w:bCs/>
        </w:rPr>
        <w:t xml:space="preserve">, the various procurement or consultant selection methods, the need for pre-qualification, estimated costs, prior review requirements, and time frame have been agreed between the </w:t>
      </w:r>
      <w:r w:rsidR="003B107F">
        <w:rPr>
          <w:rFonts w:ascii="Times New Roman" w:hAnsi="Times New Roman" w:cs="Times New Roman"/>
          <w:bCs/>
        </w:rPr>
        <w:t>Republic of Serbia</w:t>
      </w:r>
      <w:r w:rsidR="003B107F" w:rsidRPr="005948DE">
        <w:rPr>
          <w:rFonts w:ascii="Times New Roman" w:hAnsi="Times New Roman" w:cs="Times New Roman"/>
          <w:bCs/>
        </w:rPr>
        <w:t xml:space="preserve"> </w:t>
      </w:r>
      <w:r w:rsidRPr="005948DE">
        <w:rPr>
          <w:rFonts w:ascii="Times New Roman" w:hAnsi="Times New Roman" w:cs="Times New Roman"/>
          <w:bCs/>
        </w:rPr>
        <w:t>and the Bank in the respective Procurement Plan</w:t>
      </w:r>
      <w:r w:rsidR="003C3EC9">
        <w:rPr>
          <w:rFonts w:ascii="Times New Roman" w:hAnsi="Times New Roman" w:cs="Times New Roman"/>
          <w:bCs/>
        </w:rPr>
        <w:t xml:space="preserve"> (PP)</w:t>
      </w:r>
      <w:r w:rsidRPr="005948DE">
        <w:rPr>
          <w:rFonts w:ascii="Times New Roman" w:hAnsi="Times New Roman" w:cs="Times New Roman"/>
          <w:bCs/>
        </w:rPr>
        <w:t xml:space="preserve">. The </w:t>
      </w:r>
      <w:r w:rsidR="003C3EC9">
        <w:rPr>
          <w:rFonts w:ascii="Times New Roman" w:hAnsi="Times New Roman" w:cs="Times New Roman"/>
          <w:bCs/>
        </w:rPr>
        <w:t>PP</w:t>
      </w:r>
      <w:r w:rsidR="003C3EC9" w:rsidRPr="005948DE">
        <w:rPr>
          <w:rFonts w:ascii="Times New Roman" w:hAnsi="Times New Roman" w:cs="Times New Roman"/>
          <w:bCs/>
        </w:rPr>
        <w:t xml:space="preserve"> </w:t>
      </w:r>
      <w:r w:rsidRPr="005948DE">
        <w:rPr>
          <w:rFonts w:ascii="Times New Roman" w:hAnsi="Times New Roman" w:cs="Times New Roman"/>
          <w:bCs/>
        </w:rPr>
        <w:t>will be updated at least annually or as required to reflect the actual project implementation needs and improvements in institutional capacity. A General Procurement Notice (GPN) will be published through STEP after approval of the LIID</w:t>
      </w:r>
      <w:r w:rsidR="003C3EC9">
        <w:rPr>
          <w:rFonts w:ascii="Times New Roman" w:hAnsi="Times New Roman" w:cs="Times New Roman"/>
          <w:bCs/>
        </w:rPr>
        <w:t xml:space="preserve"> Project</w:t>
      </w:r>
      <w:r w:rsidRPr="005948DE">
        <w:rPr>
          <w:rFonts w:ascii="Times New Roman" w:hAnsi="Times New Roman" w:cs="Times New Roman"/>
          <w:bCs/>
        </w:rPr>
        <w:t xml:space="preserve"> and prior to effectiveness in United Nations Development Business (UNDB) on-line and on the electronic system for public procurement hosted by the Public Procurement Bureau</w:t>
      </w:r>
      <w:r w:rsidR="00834292" w:rsidRPr="005948DE">
        <w:rPr>
          <w:rFonts w:ascii="Times New Roman" w:hAnsi="Times New Roman" w:cs="Times New Roman"/>
          <w:bCs/>
        </w:rPr>
        <w:t>.</w:t>
      </w:r>
      <w:r w:rsidRPr="005948DE">
        <w:rPr>
          <w:rFonts w:ascii="Times New Roman" w:hAnsi="Times New Roman" w:cs="Times New Roman"/>
          <w:bCs/>
        </w:rPr>
        <w:t xml:space="preserve"> Specific Procurement Notices (SPN</w:t>
      </w:r>
      <w:r w:rsidR="003C3EC9">
        <w:rPr>
          <w:rFonts w:ascii="Times New Roman" w:hAnsi="Times New Roman" w:cs="Times New Roman"/>
          <w:bCs/>
        </w:rPr>
        <w:t>s</w:t>
      </w:r>
      <w:r w:rsidRPr="005948DE">
        <w:rPr>
          <w:rFonts w:ascii="Times New Roman" w:hAnsi="Times New Roman" w:cs="Times New Roman"/>
          <w:bCs/>
        </w:rPr>
        <w:t xml:space="preserve">) will be published for all RFB-local market procurement and consulting contracts per Procurement Regulations for IPF </w:t>
      </w:r>
      <w:r w:rsidRPr="004B03E6">
        <w:rPr>
          <w:rFonts w:ascii="Times New Roman" w:hAnsi="Times New Roman" w:cs="Times New Roman"/>
          <w:bCs/>
        </w:rPr>
        <w:t>Borrower</w:t>
      </w:r>
      <w:r w:rsidRPr="005948DE">
        <w:rPr>
          <w:rFonts w:ascii="Times New Roman" w:hAnsi="Times New Roman" w:cs="Times New Roman"/>
          <w:bCs/>
        </w:rPr>
        <w:t xml:space="preserve">s, as the corresponding bidding documents and requests for proposals (RFPs) become ready and available. Procurement notices for contracts following national market approach will be published </w:t>
      </w:r>
      <w:r w:rsidR="003C3EC9">
        <w:rPr>
          <w:rFonts w:ascii="Times New Roman" w:hAnsi="Times New Roman" w:cs="Times New Roman"/>
          <w:bCs/>
        </w:rPr>
        <w:t>i</w:t>
      </w:r>
      <w:r w:rsidR="003C3EC9" w:rsidRPr="005948DE">
        <w:rPr>
          <w:rFonts w:ascii="Times New Roman" w:hAnsi="Times New Roman" w:cs="Times New Roman"/>
          <w:bCs/>
        </w:rPr>
        <w:t xml:space="preserve">n </w:t>
      </w:r>
      <w:r w:rsidRPr="005948DE">
        <w:rPr>
          <w:rFonts w:ascii="Times New Roman" w:hAnsi="Times New Roman" w:cs="Times New Roman"/>
          <w:bCs/>
        </w:rPr>
        <w:t>the electronic system for public procurement, hosted by the Public Procurement Bureau</w:t>
      </w:r>
      <w:r w:rsidR="003C3EC9">
        <w:rPr>
          <w:rFonts w:ascii="Times New Roman" w:hAnsi="Times New Roman" w:cs="Times New Roman"/>
          <w:bCs/>
        </w:rPr>
        <w:t>,</w:t>
      </w:r>
      <w:r w:rsidRPr="005948DE">
        <w:rPr>
          <w:rFonts w:ascii="Times New Roman" w:hAnsi="Times New Roman" w:cs="Times New Roman"/>
          <w:bCs/>
        </w:rPr>
        <w:t xml:space="preserve"> a</w:t>
      </w:r>
      <w:r w:rsidR="003C3EC9">
        <w:rPr>
          <w:rFonts w:ascii="Times New Roman" w:hAnsi="Times New Roman" w:cs="Times New Roman"/>
          <w:bCs/>
        </w:rPr>
        <w:t>nd</w:t>
      </w:r>
      <w:r w:rsidRPr="005948DE">
        <w:rPr>
          <w:rFonts w:ascii="Times New Roman" w:hAnsi="Times New Roman" w:cs="Times New Roman"/>
          <w:bCs/>
        </w:rPr>
        <w:t xml:space="preserve"> on the website of the </w:t>
      </w:r>
      <w:r w:rsidR="003C3EC9">
        <w:rPr>
          <w:rFonts w:ascii="Times New Roman" w:hAnsi="Times New Roman" w:cs="Times New Roman"/>
          <w:bCs/>
        </w:rPr>
        <w:t>MCTI</w:t>
      </w:r>
      <w:r w:rsidRPr="005948DE">
        <w:rPr>
          <w:rFonts w:ascii="Times New Roman" w:hAnsi="Times New Roman" w:cs="Times New Roman"/>
          <w:bCs/>
        </w:rPr>
        <w:t>, on the website of the respective municipality with regard to the infrastructure investments, and/or national newspapers with wide daily circulation.</w:t>
      </w:r>
    </w:p>
    <w:p w14:paraId="44AC96D1" w14:textId="561B5969" w:rsidR="0099164E" w:rsidRPr="005948DE" w:rsidRDefault="0099164E" w:rsidP="005948DE">
      <w:pPr>
        <w:spacing w:after="120" w:line="276" w:lineRule="auto"/>
        <w:jc w:val="both"/>
        <w:rPr>
          <w:rFonts w:ascii="Times New Roman" w:hAnsi="Times New Roman" w:cs="Times New Roman"/>
          <w:bCs/>
        </w:rPr>
      </w:pPr>
      <w:r w:rsidRPr="005948DE">
        <w:rPr>
          <w:rFonts w:ascii="Times New Roman" w:hAnsi="Times New Roman" w:cs="Times New Roman"/>
          <w:bCs/>
        </w:rPr>
        <w:t xml:space="preserve">The most recent Standard </w:t>
      </w:r>
      <w:r w:rsidR="003C3EC9">
        <w:rPr>
          <w:rFonts w:ascii="Times New Roman" w:hAnsi="Times New Roman" w:cs="Times New Roman"/>
          <w:bCs/>
        </w:rPr>
        <w:t>P</w:t>
      </w:r>
      <w:r w:rsidR="003C3EC9" w:rsidRPr="005948DE">
        <w:rPr>
          <w:rFonts w:ascii="Times New Roman" w:hAnsi="Times New Roman" w:cs="Times New Roman"/>
          <w:bCs/>
        </w:rPr>
        <w:t xml:space="preserve">rocurement </w:t>
      </w:r>
      <w:r w:rsidR="003C3EC9">
        <w:rPr>
          <w:rFonts w:ascii="Times New Roman" w:hAnsi="Times New Roman" w:cs="Times New Roman"/>
          <w:bCs/>
        </w:rPr>
        <w:t>D</w:t>
      </w:r>
      <w:r w:rsidR="003C3EC9" w:rsidRPr="005948DE">
        <w:rPr>
          <w:rFonts w:ascii="Times New Roman" w:hAnsi="Times New Roman" w:cs="Times New Roman"/>
          <w:bCs/>
        </w:rPr>
        <w:t xml:space="preserve">ocuments </w:t>
      </w:r>
      <w:r w:rsidRPr="005948DE">
        <w:rPr>
          <w:rFonts w:ascii="Times New Roman" w:hAnsi="Times New Roman" w:cs="Times New Roman"/>
          <w:bCs/>
        </w:rPr>
        <w:t xml:space="preserve">applicable to the Procurement </w:t>
      </w:r>
      <w:r w:rsidR="003C3EC9">
        <w:rPr>
          <w:rFonts w:ascii="Times New Roman" w:hAnsi="Times New Roman" w:cs="Times New Roman"/>
          <w:bCs/>
        </w:rPr>
        <w:t>R</w:t>
      </w:r>
      <w:r w:rsidR="003C3EC9" w:rsidRPr="005948DE">
        <w:rPr>
          <w:rFonts w:ascii="Times New Roman" w:hAnsi="Times New Roman" w:cs="Times New Roman"/>
          <w:bCs/>
        </w:rPr>
        <w:t>egulations</w:t>
      </w:r>
      <w:r w:rsidRPr="005948DE">
        <w:rPr>
          <w:rFonts w:ascii="Times New Roman" w:hAnsi="Times New Roman" w:cs="Times New Roman"/>
          <w:bCs/>
        </w:rPr>
        <w:t xml:space="preserve">, available on </w:t>
      </w:r>
      <w:r w:rsidR="003C3EC9">
        <w:rPr>
          <w:rFonts w:ascii="Times New Roman" w:hAnsi="Times New Roman" w:cs="Times New Roman"/>
          <w:bCs/>
        </w:rPr>
        <w:t>the</w:t>
      </w:r>
      <w:r w:rsidR="003C3EC9" w:rsidRPr="005948DE">
        <w:rPr>
          <w:rFonts w:ascii="Times New Roman" w:hAnsi="Times New Roman" w:cs="Times New Roman"/>
          <w:bCs/>
        </w:rPr>
        <w:t xml:space="preserve"> </w:t>
      </w:r>
      <w:r w:rsidRPr="005948DE">
        <w:rPr>
          <w:rFonts w:ascii="Times New Roman" w:hAnsi="Times New Roman" w:cs="Times New Roman"/>
          <w:bCs/>
        </w:rPr>
        <w:t xml:space="preserve">external </w:t>
      </w:r>
      <w:r w:rsidR="003C3EC9">
        <w:rPr>
          <w:rFonts w:ascii="Times New Roman" w:hAnsi="Times New Roman" w:cs="Times New Roman"/>
          <w:bCs/>
        </w:rPr>
        <w:t xml:space="preserve">Bank </w:t>
      </w:r>
      <w:r w:rsidRPr="005948DE">
        <w:rPr>
          <w:rFonts w:ascii="Times New Roman" w:hAnsi="Times New Roman" w:cs="Times New Roman"/>
          <w:bCs/>
        </w:rPr>
        <w:t xml:space="preserve">website at www.worldbank.org/procurement/standarddocuments shall be used for all the procurements under the Project, irrespective of their value. In exceptional cases and for small value procurements, altered bidding documents can be used based on prior approval from the Bank. </w:t>
      </w:r>
    </w:p>
    <w:p w14:paraId="2C2299E2" w14:textId="24A70D1F" w:rsidR="0099164E" w:rsidRPr="005948DE" w:rsidRDefault="0099164E" w:rsidP="005948DE">
      <w:pPr>
        <w:spacing w:after="120" w:line="276" w:lineRule="auto"/>
        <w:jc w:val="both"/>
        <w:rPr>
          <w:rFonts w:ascii="Times New Roman" w:hAnsi="Times New Roman" w:cs="Times New Roman"/>
          <w:bCs/>
        </w:rPr>
      </w:pPr>
      <w:r w:rsidRPr="005948DE">
        <w:rPr>
          <w:rFonts w:ascii="Times New Roman" w:hAnsi="Times New Roman" w:cs="Times New Roman"/>
          <w:bCs/>
        </w:rPr>
        <w:t>The rights and obligations of the Implementing Agency, the M</w:t>
      </w:r>
      <w:r w:rsidR="003C3EC9">
        <w:rPr>
          <w:rFonts w:ascii="Times New Roman" w:hAnsi="Times New Roman" w:cs="Times New Roman"/>
          <w:bCs/>
        </w:rPr>
        <w:t xml:space="preserve">CTI, </w:t>
      </w:r>
      <w:r w:rsidRPr="005948DE">
        <w:rPr>
          <w:rFonts w:ascii="Times New Roman" w:hAnsi="Times New Roman" w:cs="Times New Roman"/>
          <w:bCs/>
        </w:rPr>
        <w:t xml:space="preserve">and the providers of </w:t>
      </w:r>
      <w:r w:rsidR="003C3EC9">
        <w:rPr>
          <w:rFonts w:ascii="Times New Roman" w:hAnsi="Times New Roman" w:cs="Times New Roman"/>
          <w:bCs/>
        </w:rPr>
        <w:t>w</w:t>
      </w:r>
      <w:r w:rsidR="003C3EC9" w:rsidRPr="005948DE">
        <w:rPr>
          <w:rFonts w:ascii="Times New Roman" w:hAnsi="Times New Roman" w:cs="Times New Roman"/>
          <w:bCs/>
        </w:rPr>
        <w:t>orks</w:t>
      </w:r>
      <w:r w:rsidRPr="005948DE">
        <w:rPr>
          <w:rFonts w:ascii="Times New Roman" w:hAnsi="Times New Roman" w:cs="Times New Roman"/>
          <w:bCs/>
        </w:rPr>
        <w:t xml:space="preserve">, </w:t>
      </w:r>
      <w:r w:rsidR="003C3EC9">
        <w:rPr>
          <w:rFonts w:ascii="Times New Roman" w:hAnsi="Times New Roman" w:cs="Times New Roman"/>
          <w:bCs/>
        </w:rPr>
        <w:t>g</w:t>
      </w:r>
      <w:r w:rsidR="003C3EC9" w:rsidRPr="005948DE">
        <w:rPr>
          <w:rFonts w:ascii="Times New Roman" w:hAnsi="Times New Roman" w:cs="Times New Roman"/>
          <w:bCs/>
        </w:rPr>
        <w:t>oods</w:t>
      </w:r>
      <w:r w:rsidRPr="005948DE">
        <w:rPr>
          <w:rFonts w:ascii="Times New Roman" w:hAnsi="Times New Roman" w:cs="Times New Roman"/>
          <w:bCs/>
        </w:rPr>
        <w:t xml:space="preserve">, </w:t>
      </w:r>
      <w:r w:rsidR="003C3EC9">
        <w:rPr>
          <w:rFonts w:ascii="Times New Roman" w:hAnsi="Times New Roman" w:cs="Times New Roman"/>
          <w:bCs/>
        </w:rPr>
        <w:t>n</w:t>
      </w:r>
      <w:r w:rsidR="00322B30" w:rsidRPr="005948DE">
        <w:rPr>
          <w:rFonts w:ascii="Times New Roman" w:hAnsi="Times New Roman" w:cs="Times New Roman"/>
          <w:bCs/>
        </w:rPr>
        <w:t>on-</w:t>
      </w:r>
      <w:r w:rsidR="003C3EC9">
        <w:rPr>
          <w:rFonts w:ascii="Times New Roman" w:hAnsi="Times New Roman" w:cs="Times New Roman"/>
          <w:bCs/>
        </w:rPr>
        <w:t>c</w:t>
      </w:r>
      <w:r w:rsidR="003C3EC9" w:rsidRPr="005948DE">
        <w:rPr>
          <w:rFonts w:ascii="Times New Roman" w:hAnsi="Times New Roman" w:cs="Times New Roman"/>
          <w:bCs/>
        </w:rPr>
        <w:t>onsulting</w:t>
      </w:r>
      <w:r w:rsidR="003C3EC9">
        <w:rPr>
          <w:rFonts w:ascii="Times New Roman" w:hAnsi="Times New Roman" w:cs="Times New Roman"/>
          <w:bCs/>
        </w:rPr>
        <w:t xml:space="preserve"> </w:t>
      </w:r>
      <w:r w:rsidRPr="005948DE">
        <w:rPr>
          <w:rFonts w:ascii="Times New Roman" w:hAnsi="Times New Roman" w:cs="Times New Roman"/>
          <w:bCs/>
        </w:rPr>
        <w:t xml:space="preserve">and </w:t>
      </w:r>
      <w:r w:rsidR="003C3EC9">
        <w:rPr>
          <w:rFonts w:ascii="Times New Roman" w:hAnsi="Times New Roman" w:cs="Times New Roman"/>
          <w:bCs/>
        </w:rPr>
        <w:t>c</w:t>
      </w:r>
      <w:r w:rsidR="003C3EC9" w:rsidRPr="005948DE">
        <w:rPr>
          <w:rFonts w:ascii="Times New Roman" w:hAnsi="Times New Roman" w:cs="Times New Roman"/>
          <w:bCs/>
        </w:rPr>
        <w:t xml:space="preserve">onsulting </w:t>
      </w:r>
      <w:r w:rsidR="003C3EC9">
        <w:rPr>
          <w:rFonts w:ascii="Times New Roman" w:hAnsi="Times New Roman" w:cs="Times New Roman"/>
          <w:bCs/>
        </w:rPr>
        <w:t>s</w:t>
      </w:r>
      <w:r w:rsidR="003C3EC9" w:rsidRPr="005948DE">
        <w:rPr>
          <w:rFonts w:ascii="Times New Roman" w:hAnsi="Times New Roman" w:cs="Times New Roman"/>
          <w:bCs/>
        </w:rPr>
        <w:t xml:space="preserve">ervices </w:t>
      </w:r>
      <w:r w:rsidRPr="005948DE">
        <w:rPr>
          <w:rFonts w:ascii="Times New Roman" w:hAnsi="Times New Roman" w:cs="Times New Roman"/>
          <w:bCs/>
        </w:rPr>
        <w:t xml:space="preserve">for IPF operations are governed by the relevant request for bids/request for proposals document and by the contracts signed by the Implementing Agency and the providers of </w:t>
      </w:r>
      <w:r w:rsidR="003C3EC9">
        <w:rPr>
          <w:rFonts w:ascii="Times New Roman" w:hAnsi="Times New Roman" w:cs="Times New Roman"/>
          <w:bCs/>
        </w:rPr>
        <w:t>w</w:t>
      </w:r>
      <w:r w:rsidR="003C3EC9" w:rsidRPr="005948DE">
        <w:rPr>
          <w:rFonts w:ascii="Times New Roman" w:hAnsi="Times New Roman" w:cs="Times New Roman"/>
          <w:bCs/>
        </w:rPr>
        <w:t>orks</w:t>
      </w:r>
      <w:r w:rsidRPr="005948DE">
        <w:rPr>
          <w:rFonts w:ascii="Times New Roman" w:hAnsi="Times New Roman" w:cs="Times New Roman"/>
          <w:bCs/>
        </w:rPr>
        <w:t xml:space="preserve">, </w:t>
      </w:r>
      <w:r w:rsidR="003C3EC9">
        <w:rPr>
          <w:rFonts w:ascii="Times New Roman" w:hAnsi="Times New Roman" w:cs="Times New Roman"/>
          <w:bCs/>
        </w:rPr>
        <w:t>g</w:t>
      </w:r>
      <w:r w:rsidR="003C3EC9" w:rsidRPr="005948DE">
        <w:rPr>
          <w:rFonts w:ascii="Times New Roman" w:hAnsi="Times New Roman" w:cs="Times New Roman"/>
          <w:bCs/>
        </w:rPr>
        <w:t>oods</w:t>
      </w:r>
      <w:r w:rsidRPr="005948DE">
        <w:rPr>
          <w:rFonts w:ascii="Times New Roman" w:hAnsi="Times New Roman" w:cs="Times New Roman"/>
          <w:bCs/>
        </w:rPr>
        <w:t xml:space="preserve">, </w:t>
      </w:r>
      <w:r w:rsidR="003C3EC9">
        <w:rPr>
          <w:rFonts w:ascii="Times New Roman" w:hAnsi="Times New Roman" w:cs="Times New Roman"/>
          <w:bCs/>
        </w:rPr>
        <w:t>n</w:t>
      </w:r>
      <w:r w:rsidR="003C3EC9" w:rsidRPr="005948DE">
        <w:rPr>
          <w:rFonts w:ascii="Times New Roman" w:hAnsi="Times New Roman" w:cs="Times New Roman"/>
          <w:bCs/>
        </w:rPr>
        <w:t>on</w:t>
      </w:r>
      <w:r w:rsidR="00836CE3" w:rsidRPr="005948DE">
        <w:rPr>
          <w:rFonts w:ascii="Times New Roman" w:hAnsi="Times New Roman" w:cs="Times New Roman"/>
          <w:bCs/>
        </w:rPr>
        <w:t>-</w:t>
      </w:r>
      <w:r w:rsidR="003C3EC9">
        <w:rPr>
          <w:rFonts w:ascii="Times New Roman" w:hAnsi="Times New Roman" w:cs="Times New Roman"/>
          <w:bCs/>
        </w:rPr>
        <w:t>c</w:t>
      </w:r>
      <w:r w:rsidR="00836CE3" w:rsidRPr="005948DE">
        <w:rPr>
          <w:rFonts w:ascii="Times New Roman" w:hAnsi="Times New Roman" w:cs="Times New Roman"/>
          <w:bCs/>
        </w:rPr>
        <w:t>onsulting</w:t>
      </w:r>
      <w:r w:rsidRPr="005948DE">
        <w:rPr>
          <w:rFonts w:ascii="Times New Roman" w:hAnsi="Times New Roman" w:cs="Times New Roman"/>
          <w:bCs/>
        </w:rPr>
        <w:t xml:space="preserve"> and </w:t>
      </w:r>
      <w:r w:rsidR="003C3EC9">
        <w:rPr>
          <w:rFonts w:ascii="Times New Roman" w:hAnsi="Times New Roman" w:cs="Times New Roman"/>
          <w:bCs/>
        </w:rPr>
        <w:t>c</w:t>
      </w:r>
      <w:r w:rsidRPr="005948DE">
        <w:rPr>
          <w:rFonts w:ascii="Times New Roman" w:hAnsi="Times New Roman" w:cs="Times New Roman"/>
          <w:bCs/>
        </w:rPr>
        <w:t xml:space="preserve">onsulting </w:t>
      </w:r>
      <w:r w:rsidR="003C3EC9">
        <w:rPr>
          <w:rFonts w:ascii="Times New Roman" w:hAnsi="Times New Roman" w:cs="Times New Roman"/>
          <w:bCs/>
        </w:rPr>
        <w:t>s</w:t>
      </w:r>
      <w:r w:rsidR="003C3EC9" w:rsidRPr="005948DE">
        <w:rPr>
          <w:rFonts w:ascii="Times New Roman" w:hAnsi="Times New Roman" w:cs="Times New Roman"/>
          <w:bCs/>
        </w:rPr>
        <w:t>ervices</w:t>
      </w:r>
      <w:r w:rsidRPr="005948DE">
        <w:rPr>
          <w:rFonts w:ascii="Times New Roman" w:hAnsi="Times New Roman" w:cs="Times New Roman"/>
          <w:bCs/>
        </w:rPr>
        <w:t>, and not by</w:t>
      </w:r>
      <w:r w:rsidR="003C3EC9">
        <w:rPr>
          <w:rFonts w:ascii="Times New Roman" w:hAnsi="Times New Roman" w:cs="Times New Roman"/>
          <w:bCs/>
        </w:rPr>
        <w:t xml:space="preserve"> the</w:t>
      </w:r>
      <w:r w:rsidRPr="005948DE">
        <w:rPr>
          <w:rFonts w:ascii="Times New Roman" w:hAnsi="Times New Roman" w:cs="Times New Roman"/>
          <w:bCs/>
        </w:rPr>
        <w:t xml:space="preserve"> Procurement Regulations or the Loan Agreement</w:t>
      </w:r>
      <w:r w:rsidR="003C3EC9">
        <w:rPr>
          <w:rFonts w:ascii="Times New Roman" w:hAnsi="Times New Roman" w:cs="Times New Roman"/>
          <w:bCs/>
        </w:rPr>
        <w:t>.</w:t>
      </w:r>
    </w:p>
    <w:p w14:paraId="01B04994" w14:textId="27E21F06" w:rsidR="0099164E" w:rsidRPr="005948DE" w:rsidRDefault="0099164E" w:rsidP="005948DE">
      <w:pPr>
        <w:spacing w:after="120" w:line="276" w:lineRule="auto"/>
        <w:jc w:val="both"/>
        <w:rPr>
          <w:rFonts w:ascii="Times New Roman" w:hAnsi="Times New Roman" w:cs="Times New Roman"/>
          <w:bCs/>
        </w:rPr>
      </w:pPr>
      <w:r w:rsidRPr="005948DE">
        <w:rPr>
          <w:rFonts w:ascii="Times New Roman" w:hAnsi="Times New Roman" w:cs="Times New Roman"/>
          <w:bCs/>
        </w:rPr>
        <w:t xml:space="preserve">The Bank will exercise its procurement oversight through a risk-based approach comprising prior and post review and independent procurement reviews, as appropriate. The post reviews in accordance with the applicable thresholds and review arrangements in the </w:t>
      </w:r>
      <w:r w:rsidR="00145A2B">
        <w:rPr>
          <w:rFonts w:ascii="Times New Roman" w:hAnsi="Times New Roman" w:cs="Times New Roman"/>
          <w:bCs/>
        </w:rPr>
        <w:t>PP</w:t>
      </w:r>
      <w:r w:rsidRPr="005948DE">
        <w:rPr>
          <w:rFonts w:ascii="Times New Roman" w:hAnsi="Times New Roman" w:cs="Times New Roman"/>
          <w:bCs/>
        </w:rPr>
        <w:t xml:space="preserve"> will be conducted on the procurement processes undertaken to determine whether they comply with the requirements of the </w:t>
      </w:r>
      <w:r w:rsidR="00594951">
        <w:rPr>
          <w:rFonts w:ascii="Times New Roman" w:hAnsi="Times New Roman" w:cs="Times New Roman"/>
          <w:bCs/>
        </w:rPr>
        <w:t>LA</w:t>
      </w:r>
      <w:r w:rsidRPr="005948DE">
        <w:rPr>
          <w:rFonts w:ascii="Times New Roman" w:hAnsi="Times New Roman" w:cs="Times New Roman"/>
          <w:bCs/>
        </w:rPr>
        <w:t>.</w:t>
      </w:r>
    </w:p>
    <w:p w14:paraId="5ED02B11" w14:textId="4EA1A40E" w:rsidR="007E0BE2" w:rsidRPr="005948DE" w:rsidRDefault="007E0BE2" w:rsidP="005948DE">
      <w:pPr>
        <w:spacing w:after="120" w:line="276" w:lineRule="auto"/>
        <w:jc w:val="both"/>
        <w:rPr>
          <w:rFonts w:ascii="Times New Roman" w:hAnsi="Times New Roman" w:cs="Times New Roman"/>
        </w:rPr>
      </w:pPr>
      <w:r w:rsidRPr="005948DE">
        <w:rPr>
          <w:rFonts w:ascii="Times New Roman" w:hAnsi="Times New Roman" w:cs="Times New Roman"/>
          <w:bCs/>
        </w:rPr>
        <w:t xml:space="preserve">Procurement will be carried out in accordance with the Bank’s “Procurement Regulations for IPF Borrowers: Procurement in Investment Project Financing Goods, Works, Non‐Consulting and Consulting Services”, dated November 2020. </w:t>
      </w:r>
      <w:r w:rsidRPr="005948DE">
        <w:rPr>
          <w:rFonts w:ascii="Times New Roman" w:hAnsi="Times New Roman" w:cs="Times New Roman"/>
        </w:rPr>
        <w:t xml:space="preserve">A Project Procurement for Strategy Development (PPSD) based on market analysis </w:t>
      </w:r>
      <w:r w:rsidR="005D7C87">
        <w:rPr>
          <w:rFonts w:ascii="Times New Roman" w:hAnsi="Times New Roman" w:cs="Times New Roman"/>
        </w:rPr>
        <w:t xml:space="preserve">has </w:t>
      </w:r>
      <w:r w:rsidR="00C07C2D">
        <w:rPr>
          <w:rFonts w:ascii="Times New Roman" w:hAnsi="Times New Roman" w:cs="Times New Roman"/>
        </w:rPr>
        <w:t xml:space="preserve">been </w:t>
      </w:r>
      <w:r w:rsidR="00C07C2D" w:rsidRPr="005948DE">
        <w:rPr>
          <w:rFonts w:ascii="Times New Roman" w:hAnsi="Times New Roman" w:cs="Times New Roman"/>
        </w:rPr>
        <w:t>prepared</w:t>
      </w:r>
      <w:r w:rsidRPr="005948DE">
        <w:rPr>
          <w:rFonts w:ascii="Times New Roman" w:hAnsi="Times New Roman" w:cs="Times New Roman"/>
        </w:rPr>
        <w:t xml:space="preserve"> with the help of the Bank. A detailed </w:t>
      </w:r>
      <w:r w:rsidR="00145A2B">
        <w:rPr>
          <w:rFonts w:ascii="Times New Roman" w:hAnsi="Times New Roman" w:cs="Times New Roman"/>
        </w:rPr>
        <w:t>PP</w:t>
      </w:r>
      <w:r w:rsidRPr="005948DE">
        <w:rPr>
          <w:rFonts w:ascii="Times New Roman" w:hAnsi="Times New Roman" w:cs="Times New Roman"/>
        </w:rPr>
        <w:t xml:space="preserve"> will be prepared for the first 18</w:t>
      </w:r>
      <w:r w:rsidR="00145A2B">
        <w:rPr>
          <w:rFonts w:ascii="Times New Roman" w:hAnsi="Times New Roman" w:cs="Times New Roman"/>
        </w:rPr>
        <w:t xml:space="preserve"> (eighteen)</w:t>
      </w:r>
      <w:r w:rsidRPr="005948DE">
        <w:rPr>
          <w:rFonts w:ascii="Times New Roman" w:hAnsi="Times New Roman" w:cs="Times New Roman"/>
        </w:rPr>
        <w:t xml:space="preserve"> months of the project based on the PPSD’s outcome</w:t>
      </w:r>
      <w:r w:rsidR="005D7C87">
        <w:rPr>
          <w:rFonts w:ascii="Times New Roman" w:hAnsi="Times New Roman" w:cs="Times New Roman"/>
        </w:rPr>
        <w:t xml:space="preserve"> before </w:t>
      </w:r>
      <w:r w:rsidR="00C07C2D">
        <w:rPr>
          <w:rFonts w:ascii="Times New Roman" w:hAnsi="Times New Roman" w:cs="Times New Roman"/>
        </w:rPr>
        <w:t>negotiations.</w:t>
      </w:r>
      <w:r w:rsidRPr="005948DE">
        <w:rPr>
          <w:rFonts w:ascii="Times New Roman" w:hAnsi="Times New Roman" w:cs="Times New Roman"/>
        </w:rPr>
        <w:t xml:space="preserve"> All procurement documentation will be standardized according to the new policies and regulations which cater to open competition and transparent selection of contractors and individuals. </w:t>
      </w:r>
      <w:r w:rsidR="00145A2B">
        <w:rPr>
          <w:rFonts w:ascii="Times New Roman" w:hAnsi="Times New Roman" w:cs="Times New Roman"/>
        </w:rPr>
        <w:t>The P</w:t>
      </w:r>
      <w:r w:rsidR="00145A2B" w:rsidRPr="005948DE">
        <w:rPr>
          <w:rFonts w:ascii="Times New Roman" w:hAnsi="Times New Roman" w:cs="Times New Roman"/>
        </w:rPr>
        <w:t xml:space="preserve">roject </w:t>
      </w:r>
      <w:r w:rsidRPr="005948DE">
        <w:rPr>
          <w:rFonts w:ascii="Times New Roman" w:hAnsi="Times New Roman" w:cs="Times New Roman"/>
        </w:rPr>
        <w:t xml:space="preserve">procurement communication and </w:t>
      </w:r>
      <w:r w:rsidR="00145A2B">
        <w:rPr>
          <w:rFonts w:ascii="Times New Roman" w:hAnsi="Times New Roman" w:cs="Times New Roman"/>
        </w:rPr>
        <w:t>PP</w:t>
      </w:r>
      <w:r w:rsidRPr="005948DE">
        <w:rPr>
          <w:rFonts w:ascii="Times New Roman" w:hAnsi="Times New Roman" w:cs="Times New Roman"/>
        </w:rPr>
        <w:t xml:space="preserve"> implementation will be performed through the Systematic Tracking of Exchanges in Procurement (STEP) system. </w:t>
      </w:r>
    </w:p>
    <w:p w14:paraId="17F44102" w14:textId="26D1FB7F" w:rsidR="00EF156D" w:rsidRPr="005948DE" w:rsidRDefault="00EF156D"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Procurement </w:t>
      </w:r>
      <w:r w:rsidR="00A0329E" w:rsidRPr="005948DE">
        <w:rPr>
          <w:rFonts w:ascii="Times New Roman" w:hAnsi="Times New Roman" w:cs="Times New Roman"/>
        </w:rPr>
        <w:t xml:space="preserve">for works under the </w:t>
      </w:r>
      <w:r w:rsidR="00C307B0">
        <w:rPr>
          <w:rFonts w:ascii="Times New Roman" w:hAnsi="Times New Roman" w:cs="Times New Roman"/>
        </w:rPr>
        <w:t>S</w:t>
      </w:r>
      <w:r w:rsidR="00D965D0">
        <w:rPr>
          <w:rFonts w:ascii="Times New Roman" w:hAnsi="Times New Roman" w:cs="Times New Roman"/>
        </w:rPr>
        <w:t>ubc</w:t>
      </w:r>
      <w:r w:rsidR="00A0329E" w:rsidRPr="005948DE">
        <w:rPr>
          <w:rFonts w:ascii="Times New Roman" w:hAnsi="Times New Roman" w:cs="Times New Roman"/>
        </w:rPr>
        <w:t>omponent</w:t>
      </w:r>
      <w:r w:rsidR="00D965D0">
        <w:rPr>
          <w:rFonts w:ascii="Times New Roman" w:hAnsi="Times New Roman" w:cs="Times New Roman"/>
        </w:rPr>
        <w:t xml:space="preserve"> 1.1</w:t>
      </w:r>
      <w:r w:rsidR="00A0329E" w:rsidRPr="005948DE">
        <w:rPr>
          <w:rFonts w:ascii="Times New Roman" w:hAnsi="Times New Roman" w:cs="Times New Roman"/>
        </w:rPr>
        <w:t xml:space="preserve"> for Investment in </w:t>
      </w:r>
      <w:r w:rsidR="00145A2B">
        <w:rPr>
          <w:rFonts w:ascii="Times New Roman" w:hAnsi="Times New Roman" w:cs="Times New Roman"/>
        </w:rPr>
        <w:t>C</w:t>
      </w:r>
      <w:r w:rsidR="00145A2B" w:rsidRPr="005948DE">
        <w:rPr>
          <w:rFonts w:ascii="Times New Roman" w:hAnsi="Times New Roman" w:cs="Times New Roman"/>
        </w:rPr>
        <w:t xml:space="preserve">limate </w:t>
      </w:r>
      <w:r w:rsidR="00145A2B">
        <w:rPr>
          <w:rFonts w:ascii="Times New Roman" w:hAnsi="Times New Roman" w:cs="Times New Roman"/>
        </w:rPr>
        <w:t>S</w:t>
      </w:r>
      <w:r w:rsidR="00145A2B" w:rsidRPr="005948DE">
        <w:rPr>
          <w:rFonts w:ascii="Times New Roman" w:hAnsi="Times New Roman" w:cs="Times New Roman"/>
        </w:rPr>
        <w:t xml:space="preserve">mart </w:t>
      </w:r>
      <w:r w:rsidR="00D965D0">
        <w:rPr>
          <w:rFonts w:ascii="Times New Roman" w:hAnsi="Times New Roman" w:cs="Times New Roman"/>
        </w:rPr>
        <w:t xml:space="preserve">Mobility </w:t>
      </w:r>
      <w:r w:rsidR="00A0329E" w:rsidRPr="005948DE">
        <w:rPr>
          <w:rFonts w:ascii="Times New Roman" w:hAnsi="Times New Roman" w:cs="Times New Roman"/>
        </w:rPr>
        <w:t xml:space="preserve">will be conducted based on a standardized template Bidding document for works, </w:t>
      </w:r>
      <w:r w:rsidR="00364B75" w:rsidRPr="005948DE">
        <w:rPr>
          <w:rFonts w:ascii="Times New Roman" w:hAnsi="Times New Roman" w:cs="Times New Roman"/>
        </w:rPr>
        <w:t>based on national contracts works</w:t>
      </w:r>
      <w:r w:rsidR="00A0329E" w:rsidRPr="005948DE">
        <w:rPr>
          <w:rFonts w:ascii="Times New Roman" w:hAnsi="Times New Roman" w:cs="Times New Roman"/>
        </w:rPr>
        <w:t xml:space="preserve"> </w:t>
      </w:r>
      <w:r w:rsidR="00364B75" w:rsidRPr="005948DE">
        <w:rPr>
          <w:rFonts w:ascii="Times New Roman" w:hAnsi="Times New Roman" w:cs="Times New Roman"/>
        </w:rPr>
        <w:t xml:space="preserve">adapted to meet the </w:t>
      </w:r>
      <w:r w:rsidR="00145A2B">
        <w:rPr>
          <w:rFonts w:ascii="Times New Roman" w:hAnsi="Times New Roman" w:cs="Times New Roman"/>
        </w:rPr>
        <w:t>Bank</w:t>
      </w:r>
      <w:r w:rsidR="00145A2B" w:rsidRPr="005948DE">
        <w:rPr>
          <w:rFonts w:ascii="Times New Roman" w:hAnsi="Times New Roman" w:cs="Times New Roman"/>
        </w:rPr>
        <w:t xml:space="preserve"> </w:t>
      </w:r>
      <w:r w:rsidR="00364B75" w:rsidRPr="005948DE">
        <w:rPr>
          <w:rFonts w:ascii="Times New Roman" w:hAnsi="Times New Roman" w:cs="Times New Roman"/>
        </w:rPr>
        <w:t xml:space="preserve">Procurement regulations for IPF </w:t>
      </w:r>
      <w:r w:rsidR="00364B75" w:rsidRPr="004B03E6">
        <w:rPr>
          <w:rFonts w:ascii="Times New Roman" w:hAnsi="Times New Roman" w:cs="Times New Roman"/>
        </w:rPr>
        <w:t>Borrower</w:t>
      </w:r>
      <w:r w:rsidR="00364B75" w:rsidRPr="005948DE">
        <w:rPr>
          <w:rFonts w:ascii="Times New Roman" w:hAnsi="Times New Roman" w:cs="Times New Roman"/>
        </w:rPr>
        <w:t xml:space="preserve">s. Procurement under this </w:t>
      </w:r>
      <w:r w:rsidR="0099164E" w:rsidRPr="005948DE">
        <w:rPr>
          <w:rFonts w:ascii="Times New Roman" w:hAnsi="Times New Roman" w:cs="Times New Roman"/>
        </w:rPr>
        <w:t>component</w:t>
      </w:r>
      <w:r w:rsidR="00364B75" w:rsidRPr="005948DE">
        <w:rPr>
          <w:rFonts w:ascii="Times New Roman" w:hAnsi="Times New Roman" w:cs="Times New Roman"/>
        </w:rPr>
        <w:t xml:space="preserve"> will be the </w:t>
      </w:r>
      <w:r w:rsidR="0099164E" w:rsidRPr="005948DE">
        <w:rPr>
          <w:rFonts w:ascii="Times New Roman" w:hAnsi="Times New Roman" w:cs="Times New Roman"/>
        </w:rPr>
        <w:t>responsibility</w:t>
      </w:r>
      <w:r w:rsidR="00364B75" w:rsidRPr="005948DE">
        <w:rPr>
          <w:rFonts w:ascii="Times New Roman" w:hAnsi="Times New Roman" w:cs="Times New Roman"/>
        </w:rPr>
        <w:t xml:space="preserve"> of each LSG with hands-on support from the Procurement Capacity Development Consultant to be recruited by the PIU and </w:t>
      </w:r>
      <w:r w:rsidR="0099164E" w:rsidRPr="005948DE">
        <w:rPr>
          <w:rFonts w:ascii="Times New Roman" w:hAnsi="Times New Roman" w:cs="Times New Roman"/>
        </w:rPr>
        <w:t>advice</w:t>
      </w:r>
      <w:r w:rsidR="00364B75" w:rsidRPr="005948DE">
        <w:rPr>
          <w:rFonts w:ascii="Times New Roman" w:hAnsi="Times New Roman" w:cs="Times New Roman"/>
        </w:rPr>
        <w:t xml:space="preserve"> and guidance</w:t>
      </w:r>
      <w:r w:rsidR="00921B17" w:rsidRPr="005948DE">
        <w:rPr>
          <w:rFonts w:ascii="Times New Roman" w:hAnsi="Times New Roman" w:cs="Times New Roman"/>
        </w:rPr>
        <w:t xml:space="preserve"> </w:t>
      </w:r>
      <w:r w:rsidR="00473083" w:rsidRPr="005948DE">
        <w:rPr>
          <w:rFonts w:ascii="Times New Roman" w:hAnsi="Times New Roman" w:cs="Times New Roman"/>
        </w:rPr>
        <w:t xml:space="preserve">of </w:t>
      </w:r>
      <w:r w:rsidR="00145A2B">
        <w:rPr>
          <w:rFonts w:ascii="Times New Roman" w:hAnsi="Times New Roman" w:cs="Times New Roman"/>
        </w:rPr>
        <w:t xml:space="preserve">the </w:t>
      </w:r>
      <w:r w:rsidR="00364B75" w:rsidRPr="005948DE">
        <w:rPr>
          <w:rFonts w:ascii="Times New Roman" w:hAnsi="Times New Roman" w:cs="Times New Roman"/>
        </w:rPr>
        <w:t xml:space="preserve">CFU. </w:t>
      </w:r>
    </w:p>
    <w:p w14:paraId="3A5E8470" w14:textId="2F7CC632" w:rsidR="0099164E" w:rsidRPr="005948DE" w:rsidRDefault="001D0AD9" w:rsidP="005948DE">
      <w:pPr>
        <w:spacing w:line="276" w:lineRule="auto"/>
        <w:jc w:val="both"/>
        <w:rPr>
          <w:rFonts w:ascii="Times New Roman" w:hAnsi="Times New Roman" w:cs="Times New Roman"/>
        </w:rPr>
      </w:pPr>
      <w:r w:rsidRPr="005948DE">
        <w:rPr>
          <w:rFonts w:ascii="Times New Roman" w:hAnsi="Times New Roman" w:cs="Times New Roman"/>
        </w:rPr>
        <w:t xml:space="preserve">The PIU, with the support of the CFU, is responsible for overall procurement quality assurance and is considered as the </w:t>
      </w:r>
      <w:r w:rsidR="00145A2B">
        <w:rPr>
          <w:rFonts w:ascii="Times New Roman" w:hAnsi="Times New Roman" w:cs="Times New Roman"/>
        </w:rPr>
        <w:t>I</w:t>
      </w:r>
      <w:r w:rsidR="00145A2B" w:rsidRPr="005948DE">
        <w:rPr>
          <w:rFonts w:ascii="Times New Roman" w:hAnsi="Times New Roman" w:cs="Times New Roman"/>
        </w:rPr>
        <w:t xml:space="preserve">mplementing </w:t>
      </w:r>
      <w:r w:rsidR="00145A2B">
        <w:rPr>
          <w:rFonts w:ascii="Times New Roman" w:hAnsi="Times New Roman" w:cs="Times New Roman"/>
        </w:rPr>
        <w:t>A</w:t>
      </w:r>
      <w:r w:rsidR="00145A2B" w:rsidRPr="005948DE">
        <w:rPr>
          <w:rFonts w:ascii="Times New Roman" w:hAnsi="Times New Roman" w:cs="Times New Roman"/>
        </w:rPr>
        <w:t>gency</w:t>
      </w:r>
      <w:r w:rsidRPr="005948DE">
        <w:rPr>
          <w:rFonts w:ascii="Times New Roman" w:hAnsi="Times New Roman" w:cs="Times New Roman"/>
        </w:rPr>
        <w:t xml:space="preserve">. The PIU with the support of the CFU will conduct </w:t>
      </w:r>
      <w:r w:rsidR="007C3319" w:rsidRPr="005948DE">
        <w:rPr>
          <w:rFonts w:ascii="Times New Roman" w:hAnsi="Times New Roman" w:cs="Times New Roman"/>
        </w:rPr>
        <w:t xml:space="preserve">procurement of </w:t>
      </w:r>
      <w:r w:rsidRPr="005948DE">
        <w:rPr>
          <w:rFonts w:ascii="Times New Roman" w:hAnsi="Times New Roman" w:cs="Times New Roman"/>
        </w:rPr>
        <w:t xml:space="preserve">consultancy services and goods for the Project. Works and consultancy services (supervision and design) for </w:t>
      </w:r>
      <w:r w:rsidR="00145A2B">
        <w:rPr>
          <w:rFonts w:ascii="Times New Roman" w:hAnsi="Times New Roman" w:cs="Times New Roman"/>
        </w:rPr>
        <w:t xml:space="preserve">the </w:t>
      </w:r>
      <w:r w:rsidRPr="005948DE">
        <w:rPr>
          <w:rFonts w:ascii="Times New Roman" w:hAnsi="Times New Roman" w:cs="Times New Roman"/>
        </w:rPr>
        <w:t xml:space="preserve">LSGs’ </w:t>
      </w:r>
      <w:r w:rsidR="00145A2B">
        <w:rPr>
          <w:rFonts w:ascii="Times New Roman" w:hAnsi="Times New Roman" w:cs="Times New Roman"/>
        </w:rPr>
        <w:t>sub</w:t>
      </w:r>
      <w:r w:rsidRPr="005948DE">
        <w:rPr>
          <w:rFonts w:ascii="Times New Roman" w:hAnsi="Times New Roman" w:cs="Times New Roman"/>
        </w:rPr>
        <w:t xml:space="preserve">projects procurement will be conducted by respective LSG with necessary review and clearance by the PIU/CFU. The LSGs will be responsible for preparing the </w:t>
      </w:r>
      <w:r w:rsidR="00145A2B">
        <w:rPr>
          <w:rFonts w:ascii="Times New Roman" w:hAnsi="Times New Roman" w:cs="Times New Roman"/>
        </w:rPr>
        <w:t>PP</w:t>
      </w:r>
      <w:r w:rsidRPr="005948DE">
        <w:rPr>
          <w:rFonts w:ascii="Times New Roman" w:hAnsi="Times New Roman" w:cs="Times New Roman"/>
        </w:rPr>
        <w:t>, bidding documents, bid evaluation report, contract award, and contract implementation</w:t>
      </w:r>
      <w:r w:rsidR="00D130F2">
        <w:rPr>
          <w:rFonts w:ascii="Times New Roman" w:hAnsi="Times New Roman" w:cs="Times New Roman"/>
        </w:rPr>
        <w:t xml:space="preserve"> including payment for services and works</w:t>
      </w:r>
      <w:r w:rsidRPr="005948DE">
        <w:rPr>
          <w:rFonts w:ascii="Times New Roman" w:hAnsi="Times New Roman" w:cs="Times New Roman"/>
        </w:rPr>
        <w:t xml:space="preserve"> The PIU, with the support of the CFU, will approve bidding documents, bid evaluation report, and the amendment to the contract submitted by each of the LSGs. After necessary approval from the PIU on a specific procurement document (such as bidding document, bid evaluation, or contract amendment), respective LSG may proceed to the next procurement step or sign the amendment to the contract. The CFU will be strengthened with minimum </w:t>
      </w:r>
      <w:r w:rsidR="00145A2B">
        <w:rPr>
          <w:rFonts w:ascii="Times New Roman" w:hAnsi="Times New Roman" w:cs="Times New Roman"/>
        </w:rPr>
        <w:t>two</w:t>
      </w:r>
      <w:r w:rsidR="00145A2B" w:rsidRPr="005948DE">
        <w:rPr>
          <w:rFonts w:ascii="Times New Roman" w:hAnsi="Times New Roman" w:cs="Times New Roman"/>
        </w:rPr>
        <w:t xml:space="preserve"> </w:t>
      </w:r>
      <w:r w:rsidRPr="005948DE">
        <w:rPr>
          <w:rFonts w:ascii="Times New Roman" w:hAnsi="Times New Roman" w:cs="Times New Roman"/>
        </w:rPr>
        <w:t>full-</w:t>
      </w:r>
      <w:r w:rsidR="00C100B1" w:rsidRPr="005948DE">
        <w:rPr>
          <w:rFonts w:ascii="Times New Roman" w:hAnsi="Times New Roman" w:cs="Times New Roman"/>
        </w:rPr>
        <w:t>time specialists.</w:t>
      </w:r>
    </w:p>
    <w:p w14:paraId="12E2FA22" w14:textId="63DD79B3" w:rsidR="007C3319" w:rsidRPr="005948DE" w:rsidRDefault="00C100B1" w:rsidP="005948DE">
      <w:pPr>
        <w:spacing w:line="276" w:lineRule="auto"/>
        <w:jc w:val="both"/>
        <w:rPr>
          <w:rFonts w:ascii="Times New Roman" w:hAnsi="Times New Roman" w:cs="Times New Roman"/>
        </w:rPr>
      </w:pPr>
      <w:r w:rsidRPr="005948DE">
        <w:rPr>
          <w:rFonts w:ascii="Times New Roman" w:hAnsi="Times New Roman" w:cs="Times New Roman"/>
        </w:rPr>
        <w:t xml:space="preserve">Bidding documents: The main procurement under this </w:t>
      </w:r>
      <w:r w:rsidR="00145A2B">
        <w:rPr>
          <w:rFonts w:ascii="Times New Roman" w:hAnsi="Times New Roman" w:cs="Times New Roman"/>
        </w:rPr>
        <w:t>P</w:t>
      </w:r>
      <w:r w:rsidR="00145A2B" w:rsidRPr="005948DE">
        <w:rPr>
          <w:rFonts w:ascii="Times New Roman" w:hAnsi="Times New Roman" w:cs="Times New Roman"/>
        </w:rPr>
        <w:t xml:space="preserve">roject </w:t>
      </w:r>
      <w:r w:rsidRPr="005948DE">
        <w:rPr>
          <w:rFonts w:ascii="Times New Roman" w:hAnsi="Times New Roman" w:cs="Times New Roman"/>
        </w:rPr>
        <w:t xml:space="preserve">will be moderate value works (below USD 5 million) which will follow national procedure. The LSGs will be responsible for this procurement and will follow the model bidding document approved by the Bank. Model bidding document </w:t>
      </w:r>
      <w:r w:rsidR="00762393">
        <w:rPr>
          <w:rFonts w:ascii="Times New Roman" w:hAnsi="Times New Roman" w:cs="Times New Roman"/>
        </w:rPr>
        <w:t>has been</w:t>
      </w:r>
      <w:r w:rsidR="00762393" w:rsidRPr="005948DE">
        <w:rPr>
          <w:rFonts w:ascii="Times New Roman" w:hAnsi="Times New Roman" w:cs="Times New Roman"/>
        </w:rPr>
        <w:t xml:space="preserve"> </w:t>
      </w:r>
      <w:r w:rsidRPr="005948DE">
        <w:rPr>
          <w:rFonts w:ascii="Times New Roman" w:hAnsi="Times New Roman" w:cs="Times New Roman"/>
        </w:rPr>
        <w:t xml:space="preserve">be prepared based on the Serbian standard works bidding document with necessary customization to make it consistent with the Bank’s Core Procurement Principles and to ensure that the Bank’s Anti-Corruption Guidelines and Sanctions Framework. Model Bidding Document for works </w:t>
      </w:r>
      <w:r w:rsidR="007C3319" w:rsidRPr="005948DE">
        <w:rPr>
          <w:rFonts w:ascii="Times New Roman" w:hAnsi="Times New Roman" w:cs="Times New Roman"/>
        </w:rPr>
        <w:t>has been prepared.</w:t>
      </w:r>
      <w:r w:rsidR="00762393">
        <w:rPr>
          <w:rFonts w:ascii="Times New Roman" w:hAnsi="Times New Roman" w:cs="Times New Roman"/>
        </w:rPr>
        <w:t xml:space="preserve"> The Model Bidding Document is given in Annex 5.</w:t>
      </w:r>
      <w:r w:rsidR="00AF5692">
        <w:rPr>
          <w:rFonts w:ascii="Times New Roman" w:hAnsi="Times New Roman" w:cs="Times New Roman"/>
        </w:rPr>
        <w:t xml:space="preserve"> </w:t>
      </w:r>
      <w:r w:rsidR="00AF5692" w:rsidRPr="00AF5692">
        <w:rPr>
          <w:rFonts w:ascii="Times New Roman" w:hAnsi="Times New Roman" w:cs="Times New Roman"/>
        </w:rPr>
        <w:t>CFU and PIU have only approval/control role</w:t>
      </w:r>
      <w:r w:rsidR="00AF5692">
        <w:rPr>
          <w:rFonts w:ascii="Times New Roman" w:hAnsi="Times New Roman" w:cs="Times New Roman"/>
        </w:rPr>
        <w:t>.</w:t>
      </w:r>
    </w:p>
    <w:p w14:paraId="0AAFE27C" w14:textId="126EE440" w:rsidR="00C100B1" w:rsidRPr="005948DE" w:rsidRDefault="00C100B1" w:rsidP="005948DE">
      <w:pPr>
        <w:spacing w:line="276" w:lineRule="auto"/>
        <w:jc w:val="both"/>
        <w:rPr>
          <w:rFonts w:ascii="Times New Roman" w:hAnsi="Times New Roman" w:cs="Times New Roman"/>
        </w:rPr>
      </w:pPr>
      <w:r w:rsidRPr="005948DE">
        <w:rPr>
          <w:rFonts w:ascii="Times New Roman" w:hAnsi="Times New Roman" w:cs="Times New Roman"/>
        </w:rPr>
        <w:t xml:space="preserve">For goods and consultancy (except design and supervision of works) for the Project components that are not to be procured by the LSGs, the PIU/CFU will be responsible for procurement and will use the Bank’s model bidding documents. </w:t>
      </w:r>
      <w:r w:rsidR="00145A2B">
        <w:rPr>
          <w:rFonts w:ascii="Times New Roman" w:hAnsi="Times New Roman" w:cs="Times New Roman"/>
        </w:rPr>
        <w:t xml:space="preserve">The </w:t>
      </w:r>
      <w:r w:rsidRPr="005948DE">
        <w:rPr>
          <w:rFonts w:ascii="Times New Roman" w:hAnsi="Times New Roman" w:cs="Times New Roman"/>
        </w:rPr>
        <w:t xml:space="preserve">LSGs may use </w:t>
      </w:r>
      <w:r w:rsidR="00145A2B">
        <w:rPr>
          <w:rFonts w:ascii="Times New Roman" w:hAnsi="Times New Roman" w:cs="Times New Roman"/>
        </w:rPr>
        <w:t>P</w:t>
      </w:r>
      <w:r w:rsidR="00145A2B" w:rsidRPr="005948DE">
        <w:rPr>
          <w:rFonts w:ascii="Times New Roman" w:hAnsi="Times New Roman" w:cs="Times New Roman"/>
        </w:rPr>
        <w:t xml:space="preserve">roject </w:t>
      </w:r>
      <w:r w:rsidRPr="005948DE">
        <w:rPr>
          <w:rFonts w:ascii="Times New Roman" w:hAnsi="Times New Roman" w:cs="Times New Roman"/>
        </w:rPr>
        <w:t xml:space="preserve">funds for design and supervision of works. In such a scenario, </w:t>
      </w:r>
      <w:r w:rsidR="00145A2B">
        <w:rPr>
          <w:rFonts w:ascii="Times New Roman" w:hAnsi="Times New Roman" w:cs="Times New Roman"/>
        </w:rPr>
        <w:t xml:space="preserve">the </w:t>
      </w:r>
      <w:r w:rsidRPr="005948DE">
        <w:rPr>
          <w:rFonts w:ascii="Times New Roman" w:hAnsi="Times New Roman" w:cs="Times New Roman"/>
        </w:rPr>
        <w:t>LSGs will follow Bank</w:t>
      </w:r>
      <w:r w:rsidR="00145A2B">
        <w:rPr>
          <w:rFonts w:ascii="Times New Roman" w:hAnsi="Times New Roman" w:cs="Times New Roman"/>
        </w:rPr>
        <w:t>’s</w:t>
      </w:r>
      <w:r w:rsidRPr="005948DE">
        <w:rPr>
          <w:rFonts w:ascii="Times New Roman" w:hAnsi="Times New Roman" w:cs="Times New Roman"/>
        </w:rPr>
        <w:t xml:space="preserve"> Procurement Regulations for consulting services. The PIU will provide technical specifications to the CFU to develop procurement documents. The PIU, with the support of the CFU, will evaluate proposals.</w:t>
      </w:r>
    </w:p>
    <w:p w14:paraId="76FA5FE9" w14:textId="45EC8FD8" w:rsidR="00145A2B" w:rsidRDefault="00C100B1" w:rsidP="005948DE">
      <w:pPr>
        <w:spacing w:line="276" w:lineRule="auto"/>
        <w:jc w:val="both"/>
        <w:rPr>
          <w:rFonts w:ascii="Times New Roman" w:hAnsi="Times New Roman" w:cs="Times New Roman"/>
        </w:rPr>
      </w:pPr>
      <w:r w:rsidRPr="005948DE">
        <w:rPr>
          <w:rFonts w:ascii="Times New Roman" w:hAnsi="Times New Roman" w:cs="Times New Roman"/>
        </w:rPr>
        <w:t xml:space="preserve">Procurement of goods, works, and non-consulting services. Goods may be procured using procedures and methods (Request for Proposals, Request for Bids, Request for Quotations and Direct Selection) in accordance with </w:t>
      </w:r>
      <w:r w:rsidR="00145A2B">
        <w:rPr>
          <w:rFonts w:ascii="Times New Roman" w:hAnsi="Times New Roman" w:cs="Times New Roman"/>
        </w:rPr>
        <w:t xml:space="preserve">the </w:t>
      </w:r>
      <w:r w:rsidRPr="00665F55">
        <w:rPr>
          <w:rFonts w:ascii="Times New Roman" w:hAnsi="Times New Roman" w:cs="Times New Roman"/>
          <w:highlight w:val="yellow"/>
        </w:rPr>
        <w:t>Section VI</w:t>
      </w:r>
      <w:r w:rsidR="008F5AB0">
        <w:rPr>
          <w:rStyle w:val="FootnoteReference"/>
          <w:rFonts w:ascii="Times New Roman" w:hAnsi="Times New Roman" w:cs="Times New Roman"/>
          <w:highlight w:val="yellow"/>
        </w:rPr>
        <w:footnoteReference w:id="14"/>
      </w:r>
      <w:r w:rsidRPr="00665F55">
        <w:rPr>
          <w:rFonts w:ascii="Times New Roman" w:hAnsi="Times New Roman" w:cs="Times New Roman"/>
          <w:highlight w:val="yellow"/>
        </w:rPr>
        <w:t>.</w:t>
      </w:r>
      <w:r w:rsidRPr="005948DE">
        <w:rPr>
          <w:rFonts w:ascii="Times New Roman" w:hAnsi="Times New Roman" w:cs="Times New Roman"/>
        </w:rPr>
        <w:t xml:space="preserve"> </w:t>
      </w:r>
    </w:p>
    <w:p w14:paraId="0966824E" w14:textId="7E3E5C03" w:rsidR="00C100B1" w:rsidRPr="005948DE" w:rsidRDefault="00C100B1" w:rsidP="005948DE">
      <w:pPr>
        <w:spacing w:line="276" w:lineRule="auto"/>
        <w:jc w:val="both"/>
        <w:rPr>
          <w:rFonts w:ascii="Times New Roman" w:hAnsi="Times New Roman" w:cs="Times New Roman"/>
        </w:rPr>
      </w:pPr>
      <w:r w:rsidRPr="005948DE">
        <w:rPr>
          <w:rFonts w:ascii="Times New Roman" w:hAnsi="Times New Roman" w:cs="Times New Roman"/>
        </w:rPr>
        <w:t>Approved Selection Methods: Goods, Works and Non-Consulting Services of the Regulations. The PIU and the LSGs will provide technical support to the CFU to develop procurement documents.</w:t>
      </w:r>
    </w:p>
    <w:p w14:paraId="66F9CD70" w14:textId="77777777" w:rsidR="007E0BE2" w:rsidRPr="005948DE" w:rsidRDefault="007E0BE2" w:rsidP="005948DE">
      <w:pPr>
        <w:pStyle w:val="Heading3"/>
        <w:numPr>
          <w:ilvl w:val="2"/>
          <w:numId w:val="330"/>
        </w:numPr>
        <w:spacing w:before="120" w:after="120" w:line="276" w:lineRule="auto"/>
        <w:jc w:val="both"/>
        <w:rPr>
          <w:rFonts w:ascii="Times New Roman" w:hAnsi="Times New Roman" w:cs="Times New Roman"/>
          <w:color w:val="auto"/>
        </w:rPr>
      </w:pPr>
      <w:bookmarkStart w:id="608" w:name="_Toc93342289"/>
      <w:r w:rsidRPr="005948DE">
        <w:rPr>
          <w:rFonts w:ascii="Times New Roman" w:hAnsi="Times New Roman" w:cs="Times New Roman"/>
          <w:color w:val="auto"/>
        </w:rPr>
        <w:t>General Procurement Notice (GPN).</w:t>
      </w:r>
      <w:bookmarkEnd w:id="608"/>
      <w:r w:rsidRPr="005948DE">
        <w:rPr>
          <w:rFonts w:ascii="Times New Roman" w:hAnsi="Times New Roman" w:cs="Times New Roman"/>
          <w:color w:val="auto"/>
        </w:rPr>
        <w:t xml:space="preserve"> </w:t>
      </w:r>
    </w:p>
    <w:p w14:paraId="6E988085" w14:textId="511AB674" w:rsidR="007E0BE2" w:rsidRPr="005948DE" w:rsidRDefault="00204C57" w:rsidP="005948DE">
      <w:pPr>
        <w:spacing w:after="120" w:line="276" w:lineRule="auto"/>
        <w:jc w:val="both"/>
        <w:rPr>
          <w:rFonts w:ascii="Times New Roman" w:hAnsi="Times New Roman" w:cs="Times New Roman"/>
          <w:bCs/>
        </w:rPr>
      </w:pPr>
      <w:r w:rsidRPr="005948DE">
        <w:rPr>
          <w:rFonts w:ascii="Times New Roman" w:hAnsi="Times New Roman" w:cs="Times New Roman"/>
        </w:rPr>
        <w:t xml:space="preserve">The GPN </w:t>
      </w:r>
      <w:r w:rsidR="007E0BE2" w:rsidRPr="005948DE">
        <w:rPr>
          <w:rFonts w:ascii="Times New Roman" w:hAnsi="Times New Roman" w:cs="Times New Roman"/>
        </w:rPr>
        <w:t xml:space="preserve">will be prepared by the CFU and submitted to the Bank after negotiations. The Bank will arrange for its publication in the </w:t>
      </w:r>
      <w:r w:rsidR="00145A2B">
        <w:rPr>
          <w:rFonts w:ascii="Times New Roman" w:hAnsi="Times New Roman" w:cs="Times New Roman"/>
        </w:rPr>
        <w:t>UNDB</w:t>
      </w:r>
      <w:r w:rsidR="007E0BE2" w:rsidRPr="005948DE">
        <w:rPr>
          <w:rFonts w:ascii="Times New Roman" w:hAnsi="Times New Roman" w:cs="Times New Roman"/>
        </w:rPr>
        <w:t xml:space="preserve"> online and on the Bank’s external website. The GPN will contain information concerning the Borrower</w:t>
      </w:r>
      <w:r w:rsidR="00594951">
        <w:rPr>
          <w:rFonts w:ascii="Times New Roman" w:hAnsi="Times New Roman" w:cs="Times New Roman"/>
        </w:rPr>
        <w:t xml:space="preserve"> (Republic of Serbia)</w:t>
      </w:r>
      <w:r w:rsidR="007E0BE2" w:rsidRPr="005948DE">
        <w:rPr>
          <w:rFonts w:ascii="Times New Roman" w:hAnsi="Times New Roman" w:cs="Times New Roman"/>
        </w:rPr>
        <w:t xml:space="preserve">; amount and purpose of the financing; scope of procurement reflecting the </w:t>
      </w:r>
      <w:r w:rsidR="00145A2B">
        <w:rPr>
          <w:rFonts w:ascii="Times New Roman" w:hAnsi="Times New Roman" w:cs="Times New Roman"/>
        </w:rPr>
        <w:t>PP</w:t>
      </w:r>
      <w:r w:rsidR="007E0BE2" w:rsidRPr="005948DE">
        <w:rPr>
          <w:rFonts w:ascii="Times New Roman" w:hAnsi="Times New Roman" w:cs="Times New Roman"/>
        </w:rPr>
        <w:t xml:space="preserve">; the contact point; if available, the address of a free-access website where the subsequent </w:t>
      </w:r>
      <w:r w:rsidR="00145A2B">
        <w:rPr>
          <w:rFonts w:ascii="Times New Roman" w:hAnsi="Times New Roman" w:cs="Times New Roman"/>
        </w:rPr>
        <w:t>SPNs</w:t>
      </w:r>
      <w:r w:rsidR="007E0BE2" w:rsidRPr="005948DE">
        <w:rPr>
          <w:rFonts w:ascii="Times New Roman" w:hAnsi="Times New Roman" w:cs="Times New Roman"/>
        </w:rPr>
        <w:t xml:space="preserve"> will be posted and; if known, an indication of the scheduled dates for the specific procurement opportunities. </w:t>
      </w:r>
    </w:p>
    <w:p w14:paraId="0E12ACE7" w14:textId="77777777" w:rsidR="007E0BE2" w:rsidRPr="005948DE" w:rsidRDefault="007E0BE2" w:rsidP="005948DE">
      <w:pPr>
        <w:pStyle w:val="Heading3"/>
        <w:numPr>
          <w:ilvl w:val="2"/>
          <w:numId w:val="330"/>
        </w:numPr>
        <w:spacing w:before="120" w:after="120" w:line="276" w:lineRule="auto"/>
        <w:jc w:val="both"/>
        <w:rPr>
          <w:rFonts w:ascii="Times New Roman" w:hAnsi="Times New Roman" w:cs="Times New Roman"/>
          <w:color w:val="auto"/>
        </w:rPr>
      </w:pPr>
      <w:bookmarkStart w:id="609" w:name="_Toc93342290"/>
      <w:r w:rsidRPr="005948DE">
        <w:rPr>
          <w:rFonts w:ascii="Times New Roman" w:hAnsi="Times New Roman" w:cs="Times New Roman"/>
          <w:color w:val="auto"/>
        </w:rPr>
        <w:t>Major procurement categories under the Project.</w:t>
      </w:r>
      <w:bookmarkEnd w:id="609"/>
      <w:r w:rsidRPr="005948DE">
        <w:rPr>
          <w:rFonts w:ascii="Times New Roman" w:hAnsi="Times New Roman" w:cs="Times New Roman"/>
          <w:color w:val="auto"/>
        </w:rPr>
        <w:t xml:space="preserve"> </w:t>
      </w:r>
    </w:p>
    <w:p w14:paraId="4396CDDC" w14:textId="08D6636D" w:rsidR="007E0BE2" w:rsidRPr="005948DE" w:rsidRDefault="007E0BE2" w:rsidP="005948DE">
      <w:pPr>
        <w:spacing w:after="120" w:line="276" w:lineRule="auto"/>
        <w:jc w:val="both"/>
        <w:rPr>
          <w:rFonts w:ascii="Times New Roman" w:hAnsi="Times New Roman" w:cs="Times New Roman"/>
          <w:bCs/>
        </w:rPr>
      </w:pPr>
      <w:r w:rsidRPr="005948DE">
        <w:rPr>
          <w:rFonts w:ascii="Times New Roman" w:hAnsi="Times New Roman" w:cs="Times New Roman"/>
        </w:rPr>
        <w:t xml:space="preserve">The Project’s total value for is US$300 million. Under the </w:t>
      </w:r>
      <w:r w:rsidR="00145A2B">
        <w:rPr>
          <w:rFonts w:ascii="Times New Roman" w:hAnsi="Times New Roman" w:cs="Times New Roman"/>
        </w:rPr>
        <w:t>P</w:t>
      </w:r>
      <w:r w:rsidRPr="005948DE">
        <w:rPr>
          <w:rFonts w:ascii="Times New Roman" w:hAnsi="Times New Roman" w:cs="Times New Roman"/>
        </w:rPr>
        <w:t xml:space="preserve">roject works will total US$277 million, followed by goods and non-consulting services in the amount of US$5 million and consultancy services in the amount of US$18 million. </w:t>
      </w:r>
    </w:p>
    <w:p w14:paraId="253563B7" w14:textId="18504837" w:rsidR="007E0BE2" w:rsidRPr="005948DE" w:rsidRDefault="00145A2B" w:rsidP="005948DE">
      <w:pPr>
        <w:pStyle w:val="Heading3"/>
        <w:numPr>
          <w:ilvl w:val="2"/>
          <w:numId w:val="330"/>
        </w:numPr>
        <w:spacing w:before="120" w:after="120" w:line="276" w:lineRule="auto"/>
        <w:jc w:val="both"/>
        <w:rPr>
          <w:rFonts w:ascii="Times New Roman" w:hAnsi="Times New Roman" w:cs="Times New Roman"/>
          <w:color w:val="auto"/>
        </w:rPr>
      </w:pPr>
      <w:bookmarkStart w:id="610" w:name="_Toc93342291"/>
      <w:r>
        <w:rPr>
          <w:rFonts w:ascii="Times New Roman" w:hAnsi="Times New Roman" w:cs="Times New Roman"/>
          <w:color w:val="auto"/>
        </w:rPr>
        <w:t xml:space="preserve">The </w:t>
      </w:r>
      <w:r w:rsidR="007E0BE2" w:rsidRPr="005948DE">
        <w:rPr>
          <w:rFonts w:ascii="Times New Roman" w:hAnsi="Times New Roman" w:cs="Times New Roman"/>
          <w:color w:val="auto"/>
        </w:rPr>
        <w:t>Client</w:t>
      </w:r>
      <w:r w:rsidR="00833B40" w:rsidRPr="005948DE">
        <w:rPr>
          <w:rFonts w:ascii="Times New Roman" w:hAnsi="Times New Roman" w:cs="Times New Roman"/>
          <w:color w:val="auto"/>
        </w:rPr>
        <w:t xml:space="preserve"> and </w:t>
      </w:r>
      <w:r>
        <w:rPr>
          <w:rFonts w:ascii="Times New Roman" w:hAnsi="Times New Roman" w:cs="Times New Roman"/>
          <w:color w:val="auto"/>
        </w:rPr>
        <w:t xml:space="preserve">the </w:t>
      </w:r>
      <w:r w:rsidR="00833B40" w:rsidRPr="005948DE">
        <w:rPr>
          <w:rFonts w:ascii="Times New Roman" w:hAnsi="Times New Roman" w:cs="Times New Roman"/>
          <w:color w:val="auto"/>
        </w:rPr>
        <w:t xml:space="preserve">PIU Capability </w:t>
      </w:r>
      <w:r w:rsidR="007E0BE2" w:rsidRPr="005948DE">
        <w:rPr>
          <w:rFonts w:ascii="Times New Roman" w:hAnsi="Times New Roman" w:cs="Times New Roman"/>
          <w:color w:val="auto"/>
        </w:rPr>
        <w:t>Assessment.</w:t>
      </w:r>
      <w:bookmarkEnd w:id="610"/>
      <w:r w:rsidR="007E0BE2" w:rsidRPr="005948DE">
        <w:rPr>
          <w:rFonts w:ascii="Times New Roman" w:hAnsi="Times New Roman" w:cs="Times New Roman"/>
          <w:color w:val="auto"/>
        </w:rPr>
        <w:t xml:space="preserve"> </w:t>
      </w:r>
    </w:p>
    <w:p w14:paraId="2BADFEA8" w14:textId="77777777" w:rsidR="00133859" w:rsidRPr="005948DE" w:rsidRDefault="00133859" w:rsidP="005948DE">
      <w:p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rPr>
        <w:t xml:space="preserve">The works procurement is planned to be conducted by the LSGs with necessary fiduciary review and approval by the PIU, supported by the CFU, which will be responsible for all procurements under the Project. </w:t>
      </w:r>
    </w:p>
    <w:p w14:paraId="4D0F4886" w14:textId="7BD08495" w:rsidR="00133859" w:rsidRPr="005948DE" w:rsidRDefault="00133859" w:rsidP="005948DE">
      <w:p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rPr>
        <w:t xml:space="preserve">If </w:t>
      </w:r>
      <w:r w:rsidR="00145A2B">
        <w:rPr>
          <w:rFonts w:ascii="Times New Roman" w:eastAsia="Times New Roman" w:hAnsi="Times New Roman" w:cs="Times New Roman"/>
        </w:rPr>
        <w:t xml:space="preserve">the </w:t>
      </w:r>
      <w:r w:rsidRPr="005948DE">
        <w:rPr>
          <w:rFonts w:ascii="Times New Roman" w:eastAsia="Times New Roman" w:hAnsi="Times New Roman" w:cs="Times New Roman"/>
        </w:rPr>
        <w:t xml:space="preserve">LSGs decide to use </w:t>
      </w:r>
      <w:r w:rsidR="00145A2B">
        <w:rPr>
          <w:rFonts w:ascii="Times New Roman" w:eastAsia="Times New Roman" w:hAnsi="Times New Roman" w:cs="Times New Roman"/>
        </w:rPr>
        <w:t>G</w:t>
      </w:r>
      <w:r w:rsidR="00145A2B" w:rsidRPr="005948DE">
        <w:rPr>
          <w:rFonts w:ascii="Times New Roman" w:eastAsia="Times New Roman" w:hAnsi="Times New Roman" w:cs="Times New Roman"/>
        </w:rPr>
        <w:t xml:space="preserve">rant </w:t>
      </w:r>
      <w:r w:rsidRPr="005948DE">
        <w:rPr>
          <w:rFonts w:ascii="Times New Roman" w:eastAsia="Times New Roman" w:hAnsi="Times New Roman" w:cs="Times New Roman"/>
        </w:rPr>
        <w:t>proceeds for project design and/or supervision, these will have to follow Bank procurement rules. The PIU will conduct goods and consultancy procurement centrally. It is the first time the LSGs</w:t>
      </w:r>
      <w:r w:rsidR="00145A2B">
        <w:rPr>
          <w:rFonts w:ascii="Times New Roman" w:eastAsia="Times New Roman" w:hAnsi="Times New Roman" w:cs="Times New Roman"/>
        </w:rPr>
        <w:t xml:space="preserve"> in Serbia</w:t>
      </w:r>
      <w:r w:rsidRPr="005948DE">
        <w:rPr>
          <w:rFonts w:ascii="Times New Roman" w:eastAsia="Times New Roman" w:hAnsi="Times New Roman" w:cs="Times New Roman"/>
        </w:rPr>
        <w:t xml:space="preserve"> will follow the Bank</w:t>
      </w:r>
      <w:r w:rsidR="00145A2B">
        <w:rPr>
          <w:rFonts w:ascii="Times New Roman" w:eastAsia="Times New Roman" w:hAnsi="Times New Roman" w:cs="Times New Roman"/>
        </w:rPr>
        <w:t>’s</w:t>
      </w:r>
      <w:r w:rsidRPr="005948DE">
        <w:rPr>
          <w:rFonts w:ascii="Times New Roman" w:eastAsia="Times New Roman" w:hAnsi="Times New Roman" w:cs="Times New Roman"/>
        </w:rPr>
        <w:t xml:space="preserve"> Procurement Regulations. Although the model bidding document will be prepared based on Serbian standard bidding documents with necessary customizations, </w:t>
      </w:r>
      <w:r w:rsidR="00145A2B">
        <w:rPr>
          <w:rFonts w:ascii="Times New Roman" w:eastAsia="Times New Roman" w:hAnsi="Times New Roman" w:cs="Times New Roman"/>
        </w:rPr>
        <w:t xml:space="preserve">the </w:t>
      </w:r>
      <w:r w:rsidRPr="005948DE">
        <w:rPr>
          <w:rFonts w:ascii="Times New Roman" w:eastAsia="Times New Roman" w:hAnsi="Times New Roman" w:cs="Times New Roman"/>
        </w:rPr>
        <w:t>LSGs capacity needs to be enhanced to manage the procurement appropriately.</w:t>
      </w:r>
    </w:p>
    <w:p w14:paraId="5C058D4E" w14:textId="15B35A08" w:rsidR="00133859" w:rsidRPr="005948DE" w:rsidRDefault="00133859" w:rsidP="005948DE">
      <w:p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rPr>
        <w:t xml:space="preserve">The LSG will be primarily responsible for </w:t>
      </w:r>
      <w:r w:rsidR="00145A2B">
        <w:rPr>
          <w:rFonts w:ascii="Times New Roman" w:eastAsia="Times New Roman" w:hAnsi="Times New Roman" w:cs="Times New Roman"/>
        </w:rPr>
        <w:t xml:space="preserve">the </w:t>
      </w:r>
      <w:r w:rsidRPr="005948DE">
        <w:rPr>
          <w:rFonts w:ascii="Times New Roman" w:eastAsia="Times New Roman" w:hAnsi="Times New Roman" w:cs="Times New Roman"/>
        </w:rPr>
        <w:t>Project execution, ensuring that the Project development objectives are met and that financial resources are budgeted, disbursed, expended, accounted and audited. In additio</w:t>
      </w:r>
      <w:r w:rsidR="00DB78E0" w:rsidRPr="005948DE">
        <w:rPr>
          <w:rFonts w:ascii="Times New Roman" w:eastAsia="Times New Roman" w:hAnsi="Times New Roman" w:cs="Times New Roman"/>
        </w:rPr>
        <w:t>n, the engagement of full-time E</w:t>
      </w:r>
      <w:r w:rsidRPr="005948DE">
        <w:rPr>
          <w:rFonts w:ascii="Times New Roman" w:eastAsia="Times New Roman" w:hAnsi="Times New Roman" w:cs="Times New Roman"/>
        </w:rPr>
        <w:t>nvironmen</w:t>
      </w:r>
      <w:r w:rsidR="00DB78E0" w:rsidRPr="005948DE">
        <w:rPr>
          <w:rFonts w:ascii="Times New Roman" w:eastAsia="Times New Roman" w:hAnsi="Times New Roman" w:cs="Times New Roman"/>
        </w:rPr>
        <w:t>tal s</w:t>
      </w:r>
      <w:r w:rsidRPr="005948DE">
        <w:rPr>
          <w:rFonts w:ascii="Times New Roman" w:eastAsia="Times New Roman" w:hAnsi="Times New Roman" w:cs="Times New Roman"/>
        </w:rPr>
        <w:t xml:space="preserve">pecialists and </w:t>
      </w:r>
      <w:r w:rsidR="00DB78E0" w:rsidRPr="005948DE">
        <w:rPr>
          <w:rFonts w:ascii="Times New Roman" w:hAnsi="Times New Roman" w:cs="Times New Roman"/>
        </w:rPr>
        <w:t xml:space="preserve">Social </w:t>
      </w:r>
      <w:r w:rsidR="00145A2B">
        <w:rPr>
          <w:rFonts w:ascii="Times New Roman" w:hAnsi="Times New Roman" w:cs="Times New Roman"/>
        </w:rPr>
        <w:t>S</w:t>
      </w:r>
      <w:r w:rsidR="00145A2B" w:rsidRPr="005948DE">
        <w:rPr>
          <w:rFonts w:ascii="Times New Roman" w:hAnsi="Times New Roman" w:cs="Times New Roman"/>
        </w:rPr>
        <w:t xml:space="preserve">afeguard </w:t>
      </w:r>
      <w:r w:rsidR="00DB78E0" w:rsidRPr="005948DE">
        <w:rPr>
          <w:rFonts w:ascii="Times New Roman" w:hAnsi="Times New Roman" w:cs="Times New Roman"/>
        </w:rPr>
        <w:t xml:space="preserve">and </w:t>
      </w:r>
      <w:r w:rsidR="00594951">
        <w:rPr>
          <w:rFonts w:ascii="Times New Roman" w:hAnsi="Times New Roman" w:cs="Times New Roman"/>
        </w:rPr>
        <w:t xml:space="preserve">CE </w:t>
      </w:r>
      <w:r w:rsidR="00DB78E0" w:rsidRPr="005948DE">
        <w:rPr>
          <w:rFonts w:ascii="Times New Roman" w:hAnsi="Times New Roman" w:cs="Times New Roman"/>
        </w:rPr>
        <w:t>specialist</w:t>
      </w:r>
      <w:r w:rsidRPr="005948DE">
        <w:rPr>
          <w:rFonts w:ascii="Times New Roman" w:eastAsia="Times New Roman" w:hAnsi="Times New Roman" w:cs="Times New Roman"/>
        </w:rPr>
        <w:t xml:space="preserve"> are envisaged for the Project. Currently, in the WBTTF Project, the selection process of </w:t>
      </w:r>
      <w:r w:rsidR="00145A2B">
        <w:rPr>
          <w:rFonts w:ascii="Times New Roman" w:eastAsia="Times New Roman" w:hAnsi="Times New Roman" w:cs="Times New Roman"/>
        </w:rPr>
        <w:t xml:space="preserve">the </w:t>
      </w:r>
      <w:r w:rsidRPr="005948DE">
        <w:rPr>
          <w:rFonts w:ascii="Times New Roman" w:eastAsia="Times New Roman" w:hAnsi="Times New Roman" w:cs="Times New Roman"/>
        </w:rPr>
        <w:t>ESCE Expert is ongoing (part-time engagement). In addition, the PIU team of consultants for the Project will ensure support to the planning, coordination, implementation and monitoring of the</w:t>
      </w:r>
      <w:r w:rsidR="00145A2B">
        <w:rPr>
          <w:rFonts w:ascii="Times New Roman" w:eastAsia="Times New Roman" w:hAnsi="Times New Roman" w:cs="Times New Roman"/>
        </w:rPr>
        <w:t xml:space="preserve"> Project</w:t>
      </w:r>
      <w:r w:rsidRPr="005948DE">
        <w:rPr>
          <w:rFonts w:ascii="Times New Roman" w:eastAsia="Times New Roman" w:hAnsi="Times New Roman" w:cs="Times New Roman"/>
        </w:rPr>
        <w:t xml:space="preserve"> performance. </w:t>
      </w:r>
    </w:p>
    <w:p w14:paraId="1EF0618D" w14:textId="1690B887" w:rsidR="00133859" w:rsidRPr="005948DE" w:rsidRDefault="00133859" w:rsidP="005948DE">
      <w:pPr>
        <w:spacing w:after="120" w:line="276" w:lineRule="auto"/>
        <w:jc w:val="both"/>
        <w:rPr>
          <w:rFonts w:ascii="Times New Roman" w:eastAsia="Times New Roman" w:hAnsi="Times New Roman" w:cs="Times New Roman"/>
        </w:rPr>
      </w:pPr>
      <w:r w:rsidRPr="005948DE">
        <w:rPr>
          <w:rFonts w:ascii="Times New Roman" w:eastAsia="Times New Roman" w:hAnsi="Times New Roman" w:cs="Times New Roman"/>
        </w:rPr>
        <w:t>The CFU</w:t>
      </w:r>
      <w:r w:rsidR="00145A2B">
        <w:rPr>
          <w:rFonts w:ascii="Times New Roman" w:eastAsia="Times New Roman" w:hAnsi="Times New Roman" w:cs="Times New Roman"/>
        </w:rPr>
        <w:t xml:space="preserve"> </w:t>
      </w:r>
      <w:r w:rsidRPr="005948DE">
        <w:rPr>
          <w:rFonts w:ascii="Times New Roman" w:eastAsia="Times New Roman" w:hAnsi="Times New Roman" w:cs="Times New Roman"/>
        </w:rPr>
        <w:t>will carry out the overall coordination, management, implementation and oversight of procurement and finance.</w:t>
      </w:r>
      <w:r w:rsidR="00473083" w:rsidRPr="005948DE">
        <w:rPr>
          <w:rFonts w:ascii="Times New Roman" w:hAnsi="Times New Roman" w:cs="Times New Roman"/>
        </w:rPr>
        <w:t xml:space="preserve"> </w:t>
      </w:r>
      <w:r w:rsidR="00145A2B">
        <w:rPr>
          <w:rFonts w:ascii="Times New Roman" w:eastAsia="Times New Roman" w:hAnsi="Times New Roman" w:cs="Times New Roman"/>
        </w:rPr>
        <w:t>It</w:t>
      </w:r>
      <w:r w:rsidR="00473083" w:rsidRPr="005948DE">
        <w:rPr>
          <w:rFonts w:ascii="Times New Roman" w:eastAsia="Times New Roman" w:hAnsi="Times New Roman" w:cs="Times New Roman"/>
        </w:rPr>
        <w:t xml:space="preserve"> will be responsible for financial management; review and approval of procurement documents including bid evaluation reports; and assistance in capacity building support to the LSGs on fiduciary issues</w:t>
      </w:r>
      <w:r w:rsidR="00310A03">
        <w:rPr>
          <w:rFonts w:ascii="Times New Roman" w:eastAsia="Times New Roman" w:hAnsi="Times New Roman" w:cs="Times New Roman"/>
        </w:rPr>
        <w:t>.</w:t>
      </w:r>
      <w:r w:rsidRPr="005948DE">
        <w:rPr>
          <w:rFonts w:ascii="Times New Roman" w:eastAsia="Times New Roman" w:hAnsi="Times New Roman" w:cs="Times New Roman"/>
        </w:rPr>
        <w:t xml:space="preserve"> The CFU was established to provide fiduciary support (procurement and financial management activities) to all Bank-supported projects in Serbia. </w:t>
      </w:r>
      <w:r w:rsidR="00310A03">
        <w:rPr>
          <w:rFonts w:ascii="Times New Roman" w:eastAsia="Times New Roman" w:hAnsi="Times New Roman" w:cs="Times New Roman"/>
        </w:rPr>
        <w:t xml:space="preserve">It is </w:t>
      </w:r>
      <w:r w:rsidRPr="005948DE">
        <w:rPr>
          <w:rFonts w:ascii="Times New Roman" w:eastAsia="Times New Roman" w:hAnsi="Times New Roman" w:cs="Times New Roman"/>
        </w:rPr>
        <w:t xml:space="preserve">currently comprised the following staff: </w:t>
      </w:r>
      <w:r w:rsidR="00310A03">
        <w:rPr>
          <w:rFonts w:ascii="Times New Roman" w:eastAsia="Times New Roman" w:hAnsi="Times New Roman" w:cs="Times New Roman"/>
        </w:rPr>
        <w:t xml:space="preserve">the </w:t>
      </w:r>
      <w:r w:rsidRPr="005948DE">
        <w:rPr>
          <w:rFonts w:ascii="Times New Roman" w:eastAsia="Times New Roman" w:hAnsi="Times New Roman" w:cs="Times New Roman"/>
        </w:rPr>
        <w:t>Director,</w:t>
      </w:r>
      <w:r w:rsidR="00310A03">
        <w:rPr>
          <w:rFonts w:ascii="Times New Roman" w:eastAsia="Times New Roman" w:hAnsi="Times New Roman" w:cs="Times New Roman"/>
        </w:rPr>
        <w:t xml:space="preserve"> the</w:t>
      </w:r>
      <w:r w:rsidRPr="005948DE">
        <w:rPr>
          <w:rFonts w:ascii="Times New Roman" w:eastAsia="Times New Roman" w:hAnsi="Times New Roman" w:cs="Times New Roman"/>
        </w:rPr>
        <w:t xml:space="preserve"> Head of Operations, 23 Procurement Specialists and 23 Financial Management Specialists. In addition, the MoF provides office and equipment for the </w:t>
      </w:r>
      <w:r w:rsidR="00310A03">
        <w:rPr>
          <w:rFonts w:ascii="Times New Roman" w:eastAsia="Times New Roman" w:hAnsi="Times New Roman" w:cs="Times New Roman"/>
        </w:rPr>
        <w:t xml:space="preserve">CFU </w:t>
      </w:r>
      <w:r w:rsidRPr="005948DE">
        <w:rPr>
          <w:rFonts w:ascii="Times New Roman" w:eastAsia="Times New Roman" w:hAnsi="Times New Roman" w:cs="Times New Roman"/>
        </w:rPr>
        <w:t xml:space="preserve">staff, and their salary is paid against operating costs of the </w:t>
      </w:r>
      <w:r w:rsidRPr="0023315D">
        <w:rPr>
          <w:rFonts w:ascii="Times New Roman" w:eastAsia="Times New Roman" w:hAnsi="Times New Roman" w:cs="Times New Roman"/>
        </w:rPr>
        <w:t xml:space="preserve">investment projects it supports based on a rotation model. In addition, the CFU staff will be financed from the Project. </w:t>
      </w:r>
      <w:r w:rsidR="00310A03" w:rsidRPr="0023315D">
        <w:rPr>
          <w:rFonts w:ascii="Times New Roman" w:eastAsia="Times New Roman" w:hAnsi="Times New Roman" w:cs="Times New Roman"/>
        </w:rPr>
        <w:t>T</w:t>
      </w:r>
      <w:r w:rsidRPr="0023315D">
        <w:rPr>
          <w:rFonts w:ascii="Times New Roman" w:eastAsia="Times New Roman" w:hAnsi="Times New Roman" w:cs="Times New Roman"/>
        </w:rPr>
        <w:t>he CFU has an Operation Manual, which was finalized on November 9, 2018.</w:t>
      </w:r>
    </w:p>
    <w:p w14:paraId="0CFD8B60" w14:textId="3E73841A" w:rsidR="007E0BE2" w:rsidRPr="005948DE" w:rsidRDefault="007E0BE2" w:rsidP="005948DE">
      <w:pPr>
        <w:pStyle w:val="Heading3"/>
        <w:numPr>
          <w:ilvl w:val="2"/>
          <w:numId w:val="330"/>
        </w:numPr>
        <w:spacing w:before="120" w:after="120" w:line="276" w:lineRule="auto"/>
        <w:jc w:val="both"/>
        <w:rPr>
          <w:rFonts w:ascii="Times New Roman" w:hAnsi="Times New Roman" w:cs="Times New Roman"/>
          <w:color w:val="auto"/>
        </w:rPr>
      </w:pPr>
      <w:bookmarkStart w:id="611" w:name="_Toc93342292"/>
      <w:r w:rsidRPr="005948DE">
        <w:rPr>
          <w:rFonts w:ascii="Times New Roman" w:hAnsi="Times New Roman" w:cs="Times New Roman"/>
          <w:color w:val="auto"/>
        </w:rPr>
        <w:t>Procurement Risk</w:t>
      </w:r>
      <w:bookmarkEnd w:id="611"/>
      <w:r w:rsidRPr="005948DE">
        <w:rPr>
          <w:rFonts w:ascii="Times New Roman" w:hAnsi="Times New Roman" w:cs="Times New Roman"/>
          <w:color w:val="auto"/>
        </w:rPr>
        <w:t xml:space="preserve"> </w:t>
      </w:r>
    </w:p>
    <w:p w14:paraId="42BA02EC" w14:textId="75D897E5" w:rsidR="007E0BE2" w:rsidRPr="005948DE" w:rsidRDefault="007E0BE2" w:rsidP="005948DE">
      <w:pPr>
        <w:spacing w:after="120" w:line="276" w:lineRule="auto"/>
        <w:jc w:val="both"/>
        <w:rPr>
          <w:rFonts w:ascii="Times New Roman" w:hAnsi="Times New Roman" w:cs="Times New Roman"/>
          <w:bCs/>
        </w:rPr>
      </w:pPr>
      <w:r w:rsidRPr="005948DE">
        <w:rPr>
          <w:rFonts w:ascii="Times New Roman" w:eastAsia="Times New Roman" w:hAnsi="Times New Roman" w:cs="Times New Roman"/>
        </w:rPr>
        <w:t>The Project will be highly decentralized, aiming at a sustainable increase of the LSG capacities in procurement. The procurement risk is assessed as "Substantial," considering decentralized procurement and its associated risks.</w:t>
      </w:r>
    </w:p>
    <w:p w14:paraId="7D8278C7" w14:textId="77777777" w:rsidR="007E0BE2" w:rsidRPr="005948DE" w:rsidRDefault="007E0BE2" w:rsidP="00A900A4">
      <w:pPr>
        <w:rPr>
          <w:bCs/>
        </w:rPr>
      </w:pPr>
      <w:bookmarkStart w:id="612" w:name="_Toc93342293"/>
      <w:r w:rsidRPr="005948DE">
        <w:t>Procurement Risk Mitigation Measures:</w:t>
      </w:r>
      <w:bookmarkEnd w:id="612"/>
      <w:r w:rsidRPr="005948DE">
        <w:t> </w:t>
      </w:r>
    </w:p>
    <w:p w14:paraId="56DE0286" w14:textId="416420AC" w:rsidR="007E0BE2" w:rsidRPr="005948DE" w:rsidRDefault="007E0BE2" w:rsidP="005948DE">
      <w:pPr>
        <w:spacing w:after="120" w:line="276" w:lineRule="auto"/>
        <w:jc w:val="both"/>
        <w:rPr>
          <w:rFonts w:ascii="Times New Roman" w:hAnsi="Times New Roman" w:cs="Times New Roman"/>
          <w:bCs/>
        </w:rPr>
      </w:pPr>
      <w:r w:rsidRPr="005948DE">
        <w:rPr>
          <w:rFonts w:ascii="Times New Roman" w:eastAsia="Times New Roman" w:hAnsi="Times New Roman" w:cs="Times New Roman"/>
        </w:rPr>
        <w:t xml:space="preserve">To mitigate the procurement risk following measures are planned: (i) Use Serbian e-GP in phased approach; (ii) Introduce the Key Procurement Performance Indicator (KPPIs) for decentralized procurement managed by the LSGs; (iii) The CFU will be strengthened with </w:t>
      </w:r>
      <w:r w:rsidR="00310A03">
        <w:rPr>
          <w:rFonts w:ascii="Times New Roman" w:eastAsia="Times New Roman" w:hAnsi="Times New Roman" w:cs="Times New Roman"/>
        </w:rPr>
        <w:t>one</w:t>
      </w:r>
      <w:r w:rsidR="00310A03" w:rsidRPr="005948DE">
        <w:rPr>
          <w:rFonts w:ascii="Times New Roman" w:eastAsia="Times New Roman" w:hAnsi="Times New Roman" w:cs="Times New Roman"/>
        </w:rPr>
        <w:t xml:space="preserve"> </w:t>
      </w:r>
      <w:r w:rsidRPr="005948DE">
        <w:rPr>
          <w:rFonts w:ascii="Times New Roman" w:eastAsia="Times New Roman" w:hAnsi="Times New Roman" w:cs="Times New Roman"/>
        </w:rPr>
        <w:t xml:space="preserve">procurement specialists </w:t>
      </w:r>
      <w:r w:rsidR="00133859" w:rsidRPr="005948DE">
        <w:rPr>
          <w:rFonts w:ascii="Times New Roman" w:eastAsia="Times New Roman" w:hAnsi="Times New Roman" w:cs="Times New Roman"/>
        </w:rPr>
        <w:t xml:space="preserve">and </w:t>
      </w:r>
      <w:r w:rsidR="00310A03">
        <w:rPr>
          <w:rFonts w:ascii="Times New Roman" w:eastAsia="Times New Roman" w:hAnsi="Times New Roman" w:cs="Times New Roman"/>
        </w:rPr>
        <w:t>one</w:t>
      </w:r>
      <w:r w:rsidR="00310A03" w:rsidRPr="005948DE">
        <w:rPr>
          <w:rFonts w:ascii="Times New Roman" w:eastAsia="Times New Roman" w:hAnsi="Times New Roman" w:cs="Times New Roman"/>
        </w:rPr>
        <w:t xml:space="preserve"> </w:t>
      </w:r>
      <w:r w:rsidR="00133859" w:rsidRPr="005948DE">
        <w:rPr>
          <w:rFonts w:ascii="Times New Roman" w:eastAsia="Times New Roman" w:hAnsi="Times New Roman" w:cs="Times New Roman"/>
        </w:rPr>
        <w:t>financial management specialist,</w:t>
      </w:r>
      <w:r w:rsidRPr="005948DE">
        <w:rPr>
          <w:rFonts w:ascii="Times New Roman" w:eastAsia="Times New Roman" w:hAnsi="Times New Roman" w:cs="Times New Roman"/>
        </w:rPr>
        <w:t xml:space="preserve"> (iv) Conduct customized procurement training, including fraud and corruption, to </w:t>
      </w:r>
      <w:r w:rsidR="00310A03">
        <w:rPr>
          <w:rFonts w:ascii="Times New Roman" w:eastAsia="Times New Roman" w:hAnsi="Times New Roman" w:cs="Times New Roman"/>
        </w:rPr>
        <w:t xml:space="preserve">the </w:t>
      </w:r>
      <w:r w:rsidRPr="005948DE">
        <w:rPr>
          <w:rFonts w:ascii="Times New Roman" w:eastAsia="Times New Roman" w:hAnsi="Times New Roman" w:cs="Times New Roman"/>
        </w:rPr>
        <w:t>LSG</w:t>
      </w:r>
      <w:r w:rsidR="00310A03">
        <w:rPr>
          <w:rFonts w:ascii="Times New Roman" w:eastAsia="Times New Roman" w:hAnsi="Times New Roman" w:cs="Times New Roman"/>
        </w:rPr>
        <w:t>s’</w:t>
      </w:r>
      <w:r w:rsidRPr="005948DE">
        <w:rPr>
          <w:rFonts w:ascii="Times New Roman" w:eastAsia="Times New Roman" w:hAnsi="Times New Roman" w:cs="Times New Roman"/>
        </w:rPr>
        <w:t xml:space="preserve"> procurement staff; (v) Introduce remote supervision using electronic tools/devices; (vi) Monthly reporting on contract monitoring following the format agreed with the PIU. </w:t>
      </w:r>
    </w:p>
    <w:p w14:paraId="72C4513F" w14:textId="1B357E53" w:rsidR="007E0BE2" w:rsidRPr="005948DE" w:rsidRDefault="007E0BE2" w:rsidP="005948DE">
      <w:pPr>
        <w:pStyle w:val="Heading3"/>
        <w:numPr>
          <w:ilvl w:val="2"/>
          <w:numId w:val="330"/>
        </w:numPr>
        <w:spacing w:before="120" w:after="120" w:line="276" w:lineRule="auto"/>
        <w:jc w:val="both"/>
        <w:rPr>
          <w:rFonts w:ascii="Times New Roman" w:hAnsi="Times New Roman" w:cs="Times New Roman"/>
          <w:bCs w:val="0"/>
        </w:rPr>
      </w:pPr>
      <w:bookmarkStart w:id="613" w:name="_Toc93342294"/>
      <w:r w:rsidRPr="005948DE">
        <w:rPr>
          <w:rFonts w:ascii="Times New Roman" w:hAnsi="Times New Roman" w:cs="Times New Roman"/>
        </w:rPr>
        <w:t>Use of Serbian electronic Government Procurement</w:t>
      </w:r>
      <w:bookmarkEnd w:id="613"/>
      <w:r w:rsidRPr="005948DE">
        <w:rPr>
          <w:rFonts w:ascii="Times New Roman" w:hAnsi="Times New Roman" w:cs="Times New Roman"/>
        </w:rPr>
        <w:t xml:space="preserve"> </w:t>
      </w:r>
    </w:p>
    <w:p w14:paraId="76C6DEDC" w14:textId="68783533" w:rsidR="007E0BE2" w:rsidRPr="005948DE" w:rsidRDefault="00310A03" w:rsidP="005948DE">
      <w:pPr>
        <w:spacing w:after="120" w:line="276" w:lineRule="auto"/>
        <w:jc w:val="both"/>
        <w:rPr>
          <w:rFonts w:ascii="Times New Roman" w:hAnsi="Times New Roman" w:cs="Times New Roman"/>
          <w:bCs/>
          <w:color w:val="000000" w:themeColor="text1"/>
        </w:rPr>
      </w:pPr>
      <w:r>
        <w:rPr>
          <w:rFonts w:ascii="Times New Roman" w:eastAsia="Times New Roman" w:hAnsi="Times New Roman" w:cs="Times New Roman"/>
          <w:color w:val="000000" w:themeColor="text1"/>
        </w:rPr>
        <w:t xml:space="preserve">The </w:t>
      </w:r>
      <w:r w:rsidR="007E0BE2" w:rsidRPr="005948DE">
        <w:rPr>
          <w:rFonts w:ascii="Times New Roman" w:eastAsia="Times New Roman" w:hAnsi="Times New Roman" w:cs="Times New Roman"/>
          <w:color w:val="000000" w:themeColor="text1"/>
        </w:rPr>
        <w:t>LSG</w:t>
      </w:r>
      <w:r>
        <w:rPr>
          <w:rFonts w:ascii="Times New Roman" w:eastAsia="Times New Roman" w:hAnsi="Times New Roman" w:cs="Times New Roman"/>
          <w:color w:val="000000" w:themeColor="text1"/>
        </w:rPr>
        <w:t>s</w:t>
      </w:r>
      <w:r w:rsidR="007E0BE2" w:rsidRPr="005948DE">
        <w:rPr>
          <w:rFonts w:ascii="Times New Roman" w:eastAsia="Times New Roman" w:hAnsi="Times New Roman" w:cs="Times New Roman"/>
          <w:color w:val="000000" w:themeColor="text1"/>
        </w:rPr>
        <w:t xml:space="preserve"> may use the Serbian e-GP with necessary customization to make it consistent with the Bank's Core Procurement Principles. Customization of the e-GP needs some time; hence once the e-GP portal is ready to use activities under Bank-funded projects, then activities under this Project may use the e-GP system. The Project fund could be used to enhance this module to use for Bank-funded project procurements. </w:t>
      </w:r>
    </w:p>
    <w:p w14:paraId="38C34EA4" w14:textId="57DE1C71" w:rsidR="00FE15DF" w:rsidRPr="005948DE" w:rsidRDefault="007E0BE2" w:rsidP="005948DE">
      <w:pPr>
        <w:pStyle w:val="Heading3"/>
        <w:numPr>
          <w:ilvl w:val="2"/>
          <w:numId w:val="330"/>
        </w:numPr>
        <w:spacing w:before="120" w:after="120" w:line="276" w:lineRule="auto"/>
        <w:jc w:val="both"/>
        <w:rPr>
          <w:rFonts w:ascii="Times New Roman" w:hAnsi="Times New Roman" w:cs="Times New Roman"/>
          <w:bCs w:val="0"/>
        </w:rPr>
      </w:pPr>
      <w:bookmarkStart w:id="614" w:name="_Toc93342295"/>
      <w:r w:rsidRPr="005948DE">
        <w:rPr>
          <w:rFonts w:ascii="Times New Roman" w:hAnsi="Times New Roman" w:cs="Times New Roman"/>
        </w:rPr>
        <w:t xml:space="preserve">Procurement KPIs for </w:t>
      </w:r>
      <w:r w:rsidR="00310A03">
        <w:rPr>
          <w:rFonts w:ascii="Times New Roman" w:hAnsi="Times New Roman" w:cs="Times New Roman"/>
        </w:rPr>
        <w:t xml:space="preserve">the </w:t>
      </w:r>
      <w:r w:rsidRPr="005948DE">
        <w:rPr>
          <w:rFonts w:ascii="Times New Roman" w:hAnsi="Times New Roman" w:cs="Times New Roman"/>
        </w:rPr>
        <w:t>LSG</w:t>
      </w:r>
      <w:r w:rsidR="00310A03">
        <w:rPr>
          <w:rFonts w:ascii="Times New Roman" w:hAnsi="Times New Roman" w:cs="Times New Roman"/>
        </w:rPr>
        <w:t>s</w:t>
      </w:r>
      <w:r w:rsidRPr="005948DE">
        <w:rPr>
          <w:rFonts w:ascii="Times New Roman" w:hAnsi="Times New Roman" w:cs="Times New Roman"/>
        </w:rPr>
        <w:t xml:space="preserve"> Procurement</w:t>
      </w:r>
      <w:bookmarkEnd w:id="614"/>
    </w:p>
    <w:p w14:paraId="02A20EC2" w14:textId="406BD3A0" w:rsidR="007E0BE2" w:rsidRPr="005948DE" w:rsidRDefault="007E0BE2" w:rsidP="005948DE">
      <w:pPr>
        <w:spacing w:after="120" w:line="276" w:lineRule="auto"/>
        <w:jc w:val="both"/>
        <w:rPr>
          <w:rFonts w:ascii="Times New Roman" w:hAnsi="Times New Roman" w:cs="Times New Roman"/>
          <w:bCs/>
          <w:color w:val="000000" w:themeColor="text1"/>
        </w:rPr>
      </w:pPr>
      <w:r w:rsidRPr="005948DE">
        <w:rPr>
          <w:rFonts w:ascii="Times New Roman" w:hAnsi="Times New Roman" w:cs="Times New Roman"/>
          <w:color w:val="000000" w:themeColor="text1"/>
        </w:rPr>
        <w:t>The following procurement KPIs will be monitored for the works procurement implemented by the LSGs.</w:t>
      </w:r>
      <w:r w:rsidRPr="005948DE">
        <w:rPr>
          <w:rFonts w:ascii="Times New Roman" w:hAnsi="Times New Roman" w:cs="Times New Roman"/>
          <w:bCs/>
          <w:color w:val="000000" w:themeColor="text1"/>
        </w:rPr>
        <w:t xml:space="preserve"> </w:t>
      </w:r>
    </w:p>
    <w:tbl>
      <w:tblPr>
        <w:tblW w:w="5000" w:type="pct"/>
        <w:jc w:val="center"/>
        <w:tblLook w:val="01E0" w:firstRow="1" w:lastRow="1" w:firstColumn="1" w:lastColumn="1" w:noHBand="0" w:noVBand="0"/>
      </w:tblPr>
      <w:tblGrid>
        <w:gridCol w:w="639"/>
        <w:gridCol w:w="2564"/>
        <w:gridCol w:w="6140"/>
      </w:tblGrid>
      <w:tr w:rsidR="00133859" w:rsidRPr="005948DE" w14:paraId="38D3573C" w14:textId="77777777" w:rsidTr="00EC6310">
        <w:trPr>
          <w:jc w:val="center"/>
        </w:trPr>
        <w:tc>
          <w:tcPr>
            <w:tcW w:w="34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042A46"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SL</w:t>
            </w:r>
          </w:p>
        </w:tc>
        <w:tc>
          <w:tcPr>
            <w:tcW w:w="137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D6A590"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Procurement Steps / Subjects</w:t>
            </w:r>
          </w:p>
        </w:tc>
        <w:tc>
          <w:tcPr>
            <w:tcW w:w="328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9A2888"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Indicators</w:t>
            </w:r>
          </w:p>
        </w:tc>
      </w:tr>
      <w:tr w:rsidR="00133859" w:rsidRPr="005948DE" w14:paraId="4F2F0576" w14:textId="77777777" w:rsidTr="00EC6310">
        <w:trPr>
          <w:jc w:val="center"/>
        </w:trPr>
        <w:tc>
          <w:tcPr>
            <w:tcW w:w="342" w:type="pct"/>
            <w:tcBorders>
              <w:top w:val="single" w:sz="4" w:space="0" w:color="auto"/>
              <w:left w:val="single" w:sz="4" w:space="0" w:color="auto"/>
              <w:bottom w:val="single" w:sz="4" w:space="0" w:color="auto"/>
              <w:right w:val="single" w:sz="4" w:space="0" w:color="auto"/>
            </w:tcBorders>
          </w:tcPr>
          <w:p w14:paraId="42DE8334"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1</w:t>
            </w:r>
          </w:p>
        </w:tc>
        <w:tc>
          <w:tcPr>
            <w:tcW w:w="1372" w:type="pct"/>
            <w:tcBorders>
              <w:top w:val="single" w:sz="4" w:space="0" w:color="auto"/>
              <w:left w:val="single" w:sz="4" w:space="0" w:color="auto"/>
              <w:bottom w:val="single" w:sz="4" w:space="0" w:color="auto"/>
              <w:right w:val="single" w:sz="4" w:space="0" w:color="auto"/>
            </w:tcBorders>
          </w:tcPr>
          <w:p w14:paraId="6D5C2B8B"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Receipt, evaluation, and contract award</w:t>
            </w:r>
          </w:p>
        </w:tc>
        <w:tc>
          <w:tcPr>
            <w:tcW w:w="3286" w:type="pct"/>
            <w:tcBorders>
              <w:top w:val="single" w:sz="4" w:space="0" w:color="auto"/>
              <w:left w:val="single" w:sz="4" w:space="0" w:color="auto"/>
              <w:bottom w:val="single" w:sz="4" w:space="0" w:color="auto"/>
              <w:right w:val="single" w:sz="4" w:space="0" w:color="auto"/>
            </w:tcBorders>
          </w:tcPr>
          <w:p w14:paraId="03FF628B"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 xml:space="preserve">Percentage of cases where the procurement process has been followed according to the approved procedures </w:t>
            </w:r>
          </w:p>
          <w:p w14:paraId="77742950"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Average number of bids per bidding process</w:t>
            </w:r>
          </w:p>
          <w:p w14:paraId="3E61D275"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 xml:space="preserve">Average number of days from advertisement to contract award </w:t>
            </w:r>
          </w:p>
        </w:tc>
      </w:tr>
      <w:tr w:rsidR="00133859" w:rsidRPr="005948DE" w14:paraId="348F2EA5" w14:textId="77777777" w:rsidTr="00EC6310">
        <w:trPr>
          <w:jc w:val="center"/>
        </w:trPr>
        <w:tc>
          <w:tcPr>
            <w:tcW w:w="342" w:type="pct"/>
            <w:tcBorders>
              <w:top w:val="single" w:sz="4" w:space="0" w:color="auto"/>
              <w:left w:val="single" w:sz="4" w:space="0" w:color="auto"/>
              <w:bottom w:val="single" w:sz="4" w:space="0" w:color="auto"/>
              <w:right w:val="single" w:sz="4" w:space="0" w:color="auto"/>
            </w:tcBorders>
          </w:tcPr>
          <w:p w14:paraId="556E2155"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2</w:t>
            </w:r>
          </w:p>
        </w:tc>
        <w:tc>
          <w:tcPr>
            <w:tcW w:w="1372" w:type="pct"/>
            <w:tcBorders>
              <w:top w:val="single" w:sz="4" w:space="0" w:color="auto"/>
              <w:left w:val="single" w:sz="4" w:space="0" w:color="auto"/>
              <w:bottom w:val="single" w:sz="4" w:space="0" w:color="auto"/>
              <w:right w:val="single" w:sz="4" w:space="0" w:color="auto"/>
            </w:tcBorders>
          </w:tcPr>
          <w:p w14:paraId="7D01AC24"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Delivery within the original schedule</w:t>
            </w:r>
          </w:p>
        </w:tc>
        <w:tc>
          <w:tcPr>
            <w:tcW w:w="3286" w:type="pct"/>
            <w:tcBorders>
              <w:top w:val="single" w:sz="4" w:space="0" w:color="auto"/>
              <w:left w:val="single" w:sz="4" w:space="0" w:color="auto"/>
              <w:bottom w:val="single" w:sz="4" w:space="0" w:color="auto"/>
              <w:right w:val="single" w:sz="4" w:space="0" w:color="auto"/>
            </w:tcBorders>
          </w:tcPr>
          <w:p w14:paraId="4435E15B"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Percentage of works completed within the original deadline as stated in the agreement/work order</w:t>
            </w:r>
          </w:p>
        </w:tc>
      </w:tr>
      <w:tr w:rsidR="00133859" w:rsidRPr="005948DE" w14:paraId="7F0C2A8C" w14:textId="77777777" w:rsidTr="00EC6310">
        <w:trPr>
          <w:jc w:val="center"/>
        </w:trPr>
        <w:tc>
          <w:tcPr>
            <w:tcW w:w="342" w:type="pct"/>
            <w:tcBorders>
              <w:top w:val="single" w:sz="4" w:space="0" w:color="auto"/>
              <w:left w:val="single" w:sz="4" w:space="0" w:color="auto"/>
              <w:bottom w:val="single" w:sz="4" w:space="0" w:color="auto"/>
              <w:right w:val="single" w:sz="4" w:space="0" w:color="auto"/>
            </w:tcBorders>
          </w:tcPr>
          <w:p w14:paraId="1673004C"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3</w:t>
            </w:r>
          </w:p>
        </w:tc>
        <w:tc>
          <w:tcPr>
            <w:tcW w:w="1372" w:type="pct"/>
            <w:tcBorders>
              <w:top w:val="single" w:sz="4" w:space="0" w:color="auto"/>
              <w:left w:val="single" w:sz="4" w:space="0" w:color="auto"/>
              <w:bottom w:val="single" w:sz="4" w:space="0" w:color="auto"/>
              <w:right w:val="single" w:sz="4" w:space="0" w:color="auto"/>
            </w:tcBorders>
          </w:tcPr>
          <w:p w14:paraId="54DF3235"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Payments</w:t>
            </w:r>
          </w:p>
        </w:tc>
        <w:tc>
          <w:tcPr>
            <w:tcW w:w="3286" w:type="pct"/>
            <w:tcBorders>
              <w:top w:val="single" w:sz="4" w:space="0" w:color="auto"/>
              <w:left w:val="single" w:sz="4" w:space="0" w:color="auto"/>
              <w:bottom w:val="single" w:sz="4" w:space="0" w:color="auto"/>
              <w:right w:val="single" w:sz="4" w:space="0" w:color="auto"/>
            </w:tcBorders>
          </w:tcPr>
          <w:p w14:paraId="119609DA"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Average number of days taken to release payment</w:t>
            </w:r>
          </w:p>
        </w:tc>
      </w:tr>
      <w:tr w:rsidR="00133859" w:rsidRPr="005948DE" w14:paraId="70B51FDC" w14:textId="77777777" w:rsidTr="00D01979">
        <w:trPr>
          <w:jc w:val="center"/>
        </w:trPr>
        <w:tc>
          <w:tcPr>
            <w:tcW w:w="342" w:type="pct"/>
            <w:tcBorders>
              <w:top w:val="single" w:sz="4" w:space="0" w:color="auto"/>
              <w:left w:val="single" w:sz="4" w:space="0" w:color="auto"/>
              <w:bottom w:val="single" w:sz="4" w:space="0" w:color="auto"/>
              <w:right w:val="single" w:sz="4" w:space="0" w:color="auto"/>
            </w:tcBorders>
          </w:tcPr>
          <w:p w14:paraId="019D486F"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4</w:t>
            </w:r>
          </w:p>
        </w:tc>
        <w:tc>
          <w:tcPr>
            <w:tcW w:w="1372" w:type="pct"/>
            <w:tcBorders>
              <w:top w:val="single" w:sz="4" w:space="0" w:color="auto"/>
              <w:left w:val="single" w:sz="4" w:space="0" w:color="auto"/>
              <w:bottom w:val="single" w:sz="4" w:space="0" w:color="auto"/>
              <w:right w:val="single" w:sz="4" w:space="0" w:color="auto"/>
            </w:tcBorders>
          </w:tcPr>
          <w:p w14:paraId="09F08D3D"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 xml:space="preserve">Green Procurement </w:t>
            </w:r>
          </w:p>
        </w:tc>
        <w:tc>
          <w:tcPr>
            <w:tcW w:w="3286" w:type="pct"/>
            <w:tcBorders>
              <w:top w:val="single" w:sz="4" w:space="0" w:color="auto"/>
              <w:left w:val="single" w:sz="4" w:space="0" w:color="auto"/>
              <w:bottom w:val="single" w:sz="4" w:space="0" w:color="auto"/>
              <w:right w:val="single" w:sz="4" w:space="0" w:color="auto"/>
            </w:tcBorders>
          </w:tcPr>
          <w:p w14:paraId="6C671881" w14:textId="4E69D7CF" w:rsidR="007E0BE2" w:rsidRPr="005948DE" w:rsidRDefault="007E0BE2" w:rsidP="005948DE">
            <w:pPr>
              <w:widowControl w:val="0"/>
              <w:autoSpaceDE w:val="0"/>
              <w:autoSpaceDN w:val="0"/>
              <w:adjustRightInd w:val="0"/>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 xml:space="preserve">Percentage of cases </w:t>
            </w:r>
            <w:r w:rsidR="00310A03">
              <w:rPr>
                <w:rFonts w:ascii="Times New Roman" w:hAnsi="Times New Roman" w:cs="Times New Roman"/>
                <w:color w:val="000000" w:themeColor="text1"/>
                <w:lang w:eastAsia="ko-KR"/>
              </w:rPr>
              <w:t>G</w:t>
            </w:r>
            <w:r w:rsidR="00310A03" w:rsidRPr="005948DE">
              <w:rPr>
                <w:rFonts w:ascii="Times New Roman" w:hAnsi="Times New Roman" w:cs="Times New Roman"/>
                <w:color w:val="000000" w:themeColor="text1"/>
                <w:lang w:eastAsia="ko-KR"/>
              </w:rPr>
              <w:t xml:space="preserve">reen </w:t>
            </w:r>
            <w:r w:rsidR="00310A03">
              <w:rPr>
                <w:rFonts w:ascii="Times New Roman" w:hAnsi="Times New Roman" w:cs="Times New Roman"/>
                <w:color w:val="000000" w:themeColor="text1"/>
                <w:lang w:eastAsia="ko-KR"/>
              </w:rPr>
              <w:t>P</w:t>
            </w:r>
            <w:r w:rsidR="00310A03" w:rsidRPr="005948DE">
              <w:rPr>
                <w:rFonts w:ascii="Times New Roman" w:hAnsi="Times New Roman" w:cs="Times New Roman"/>
                <w:color w:val="000000" w:themeColor="text1"/>
                <w:lang w:eastAsia="ko-KR"/>
              </w:rPr>
              <w:t xml:space="preserve">rocurement </w:t>
            </w:r>
            <w:r w:rsidRPr="005948DE">
              <w:rPr>
                <w:rFonts w:ascii="Times New Roman" w:hAnsi="Times New Roman" w:cs="Times New Roman"/>
                <w:color w:val="000000" w:themeColor="text1"/>
                <w:lang w:eastAsia="ko-KR"/>
              </w:rPr>
              <w:t xml:space="preserve">aspect was considered in bidding document and </w:t>
            </w:r>
            <w:r w:rsidR="00C3640F" w:rsidRPr="005948DE">
              <w:rPr>
                <w:rFonts w:ascii="Times New Roman" w:hAnsi="Times New Roman" w:cs="Times New Roman"/>
                <w:color w:val="000000" w:themeColor="text1"/>
                <w:lang w:eastAsia="ko-KR"/>
              </w:rPr>
              <w:t>contract agreement</w:t>
            </w:r>
          </w:p>
        </w:tc>
      </w:tr>
      <w:tr w:rsidR="00133859" w:rsidRPr="005948DE" w14:paraId="4EF1177F" w14:textId="77777777" w:rsidTr="00EC6310">
        <w:trPr>
          <w:jc w:val="center"/>
        </w:trPr>
        <w:tc>
          <w:tcPr>
            <w:tcW w:w="342" w:type="pct"/>
            <w:tcBorders>
              <w:top w:val="single" w:sz="4" w:space="0" w:color="auto"/>
              <w:left w:val="single" w:sz="4" w:space="0" w:color="auto"/>
              <w:bottom w:val="single" w:sz="4" w:space="0" w:color="auto"/>
              <w:right w:val="single" w:sz="4" w:space="0" w:color="auto"/>
            </w:tcBorders>
          </w:tcPr>
          <w:p w14:paraId="5F409E7C"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5</w:t>
            </w:r>
          </w:p>
        </w:tc>
        <w:tc>
          <w:tcPr>
            <w:tcW w:w="1372" w:type="pct"/>
            <w:tcBorders>
              <w:top w:val="single" w:sz="4" w:space="0" w:color="auto"/>
              <w:left w:val="single" w:sz="4" w:space="0" w:color="auto"/>
              <w:bottom w:val="single" w:sz="4" w:space="0" w:color="auto"/>
              <w:right w:val="single" w:sz="4" w:space="0" w:color="auto"/>
            </w:tcBorders>
          </w:tcPr>
          <w:p w14:paraId="4D0CDA5B"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 xml:space="preserve">Asset Tracking </w:t>
            </w:r>
          </w:p>
        </w:tc>
        <w:tc>
          <w:tcPr>
            <w:tcW w:w="3286" w:type="pct"/>
            <w:tcBorders>
              <w:top w:val="single" w:sz="4" w:space="0" w:color="auto"/>
              <w:left w:val="single" w:sz="4" w:space="0" w:color="auto"/>
              <w:bottom w:val="single" w:sz="4" w:space="0" w:color="auto"/>
              <w:right w:val="single" w:sz="4" w:space="0" w:color="auto"/>
            </w:tcBorders>
          </w:tcPr>
          <w:p w14:paraId="0121B0B3" w14:textId="77777777" w:rsidR="007E0BE2" w:rsidRPr="005948DE" w:rsidRDefault="007E0BE2" w:rsidP="005948DE">
            <w:pPr>
              <w:spacing w:after="120" w:line="276" w:lineRule="auto"/>
              <w:jc w:val="both"/>
              <w:rPr>
                <w:rFonts w:ascii="Times New Roman" w:hAnsi="Times New Roman" w:cs="Times New Roman"/>
                <w:color w:val="000000" w:themeColor="text1"/>
                <w:lang w:eastAsia="ko-KR"/>
              </w:rPr>
            </w:pPr>
            <w:r w:rsidRPr="005948DE">
              <w:rPr>
                <w:rFonts w:ascii="Times New Roman" w:hAnsi="Times New Roman" w:cs="Times New Roman"/>
                <w:color w:val="000000" w:themeColor="text1"/>
                <w:lang w:eastAsia="ko-KR"/>
              </w:rPr>
              <w:t xml:space="preserve">Percentage of cases where assets are purchased/developed as per requirement and are in appropriate place </w:t>
            </w:r>
          </w:p>
        </w:tc>
      </w:tr>
    </w:tbl>
    <w:p w14:paraId="699A9AD6" w14:textId="77777777" w:rsidR="007E0BE2" w:rsidRPr="005948DE" w:rsidRDefault="007E0BE2" w:rsidP="005948DE">
      <w:pPr>
        <w:spacing w:after="120" w:line="276" w:lineRule="auto"/>
        <w:jc w:val="both"/>
        <w:rPr>
          <w:rFonts w:ascii="Times New Roman" w:hAnsi="Times New Roman" w:cs="Times New Roman"/>
          <w:color w:val="FF9900"/>
        </w:rPr>
      </w:pPr>
    </w:p>
    <w:p w14:paraId="0A554654" w14:textId="77777777" w:rsidR="00FE15DF" w:rsidRPr="005948DE" w:rsidRDefault="007E0BE2" w:rsidP="005948DE">
      <w:pPr>
        <w:pStyle w:val="Heading3"/>
        <w:numPr>
          <w:ilvl w:val="2"/>
          <w:numId w:val="330"/>
        </w:numPr>
        <w:spacing w:before="120" w:after="120" w:line="276" w:lineRule="auto"/>
        <w:jc w:val="both"/>
        <w:rPr>
          <w:rFonts w:ascii="Times New Roman" w:hAnsi="Times New Roman" w:cs="Times New Roman"/>
          <w:color w:val="auto"/>
        </w:rPr>
      </w:pPr>
      <w:bookmarkStart w:id="615" w:name="_Toc93342296"/>
      <w:r w:rsidRPr="005948DE">
        <w:rPr>
          <w:rFonts w:ascii="Times New Roman" w:hAnsi="Times New Roman" w:cs="Times New Roman"/>
          <w:color w:val="auto"/>
        </w:rPr>
        <w:t>Procurement thresholds and prior review thresholds.</w:t>
      </w:r>
      <w:bookmarkEnd w:id="615"/>
      <w:r w:rsidRPr="005948DE">
        <w:rPr>
          <w:rFonts w:ascii="Times New Roman" w:hAnsi="Times New Roman" w:cs="Times New Roman"/>
          <w:color w:val="auto"/>
        </w:rPr>
        <w:t xml:space="preserve"> </w:t>
      </w:r>
    </w:p>
    <w:p w14:paraId="6B32E675" w14:textId="388B9247" w:rsidR="007E0BE2" w:rsidRPr="005948DE" w:rsidRDefault="007E0BE2" w:rsidP="005948DE">
      <w:pPr>
        <w:keepLines/>
        <w:widowControl w:val="0"/>
        <w:autoSpaceDE w:val="0"/>
        <w:autoSpaceDN w:val="0"/>
        <w:adjustRightInd w:val="0"/>
        <w:spacing w:after="120" w:line="276" w:lineRule="auto"/>
        <w:ind w:left="-142"/>
        <w:jc w:val="both"/>
        <w:rPr>
          <w:rFonts w:ascii="Times New Roman" w:hAnsi="Times New Roman" w:cs="Times New Roman"/>
          <w:color w:val="000000" w:themeColor="text1"/>
        </w:rPr>
      </w:pPr>
      <w:r w:rsidRPr="005948DE">
        <w:rPr>
          <w:rFonts w:ascii="Times New Roman" w:hAnsi="Times New Roman" w:cs="Times New Roman"/>
          <w:color w:val="000000" w:themeColor="text1"/>
        </w:rPr>
        <w:t xml:space="preserve">The </w:t>
      </w:r>
      <w:r w:rsidR="00310A03">
        <w:rPr>
          <w:rFonts w:ascii="Times New Roman" w:eastAsia="Times New Roman" w:hAnsi="Times New Roman" w:cs="Times New Roman"/>
          <w:color w:val="000000" w:themeColor="text1"/>
        </w:rPr>
        <w:t>PP</w:t>
      </w:r>
      <w:r w:rsidRPr="005948DE">
        <w:rPr>
          <w:rFonts w:ascii="Times New Roman" w:hAnsi="Times New Roman" w:cs="Times New Roman"/>
          <w:color w:val="000000" w:themeColor="text1"/>
        </w:rPr>
        <w:t xml:space="preserve"> sets forth those contracts which shall be subject to the Bank’s prior review. All other contracts shall be subject to post review. </w:t>
      </w:r>
      <w:r w:rsidR="00FE15DF" w:rsidRPr="005948DE">
        <w:rPr>
          <w:rFonts w:ascii="Times New Roman" w:hAnsi="Times New Roman" w:cs="Times New Roman"/>
          <w:color w:val="000000" w:themeColor="text1"/>
        </w:rPr>
        <w:t xml:space="preserve">Draft </w:t>
      </w:r>
      <w:r w:rsidR="00310A03">
        <w:rPr>
          <w:rFonts w:ascii="Times New Roman" w:hAnsi="Times New Roman" w:cs="Times New Roman"/>
          <w:color w:val="000000" w:themeColor="text1"/>
        </w:rPr>
        <w:t>PP</w:t>
      </w:r>
      <w:r w:rsidR="00FE15DF" w:rsidRPr="005948DE">
        <w:rPr>
          <w:rFonts w:ascii="Times New Roman" w:hAnsi="Times New Roman" w:cs="Times New Roman"/>
          <w:color w:val="000000" w:themeColor="text1"/>
        </w:rPr>
        <w:t xml:space="preserve"> is enclosed as Annex </w:t>
      </w:r>
      <w:r w:rsidR="00E2669C" w:rsidRPr="005948DE">
        <w:rPr>
          <w:rFonts w:ascii="Times New Roman" w:hAnsi="Times New Roman" w:cs="Times New Roman"/>
          <w:color w:val="000000" w:themeColor="text1"/>
        </w:rPr>
        <w:t>6</w:t>
      </w:r>
      <w:r w:rsidR="00FE15DF" w:rsidRPr="005948DE">
        <w:rPr>
          <w:rFonts w:ascii="Times New Roman" w:hAnsi="Times New Roman" w:cs="Times New Roman"/>
          <w:color w:val="000000" w:themeColor="text1"/>
        </w:rPr>
        <w:t xml:space="preserve"> of this </w:t>
      </w:r>
      <w:r w:rsidR="002830E8" w:rsidRPr="005948DE">
        <w:rPr>
          <w:rFonts w:ascii="Times New Roman" w:hAnsi="Times New Roman" w:cs="Times New Roman"/>
          <w:color w:val="000000" w:themeColor="text1"/>
        </w:rPr>
        <w:t>Manual</w:t>
      </w:r>
      <w:r w:rsidR="00FE15DF" w:rsidRPr="005948DE">
        <w:rPr>
          <w:rFonts w:ascii="Times New Roman" w:hAnsi="Times New Roman" w:cs="Times New Roman"/>
          <w:color w:val="000000" w:themeColor="text1"/>
        </w:rPr>
        <w:t>.</w:t>
      </w:r>
    </w:p>
    <w:p w14:paraId="2F67646A" w14:textId="77777777" w:rsidR="00C3640F" w:rsidRPr="005948DE" w:rsidRDefault="00C3640F" w:rsidP="005948DE">
      <w:pPr>
        <w:pStyle w:val="ListParagraph"/>
        <w:keepLines/>
        <w:spacing w:after="120" w:line="276" w:lineRule="auto"/>
        <w:ind w:left="-180"/>
        <w:jc w:val="both"/>
        <w:rPr>
          <w:rFonts w:ascii="Times New Roman" w:hAnsi="Times New Roman" w:cs="Times New Roman"/>
        </w:rPr>
      </w:pPr>
      <w:r w:rsidRPr="005948DE">
        <w:rPr>
          <w:rFonts w:ascii="Times New Roman" w:hAnsi="Times New Roman" w:cs="Times New Roman"/>
        </w:rPr>
        <w:t xml:space="preserve">For the most part, the risks for selection of consulting services are low, since there is a robust market for the services required and they are not high value contracts. However, there are several high value contracts (&gt; US$1 million) related to the selection of a firm. The firms will be selected using QCBS subject to prior review. </w:t>
      </w:r>
    </w:p>
    <w:p w14:paraId="2C8406AF" w14:textId="77777777" w:rsidR="00C3640F" w:rsidRPr="005948DE" w:rsidRDefault="00C3640F" w:rsidP="005948DE">
      <w:pPr>
        <w:pStyle w:val="ListParagraph"/>
        <w:keepLines/>
        <w:spacing w:after="120" w:line="276" w:lineRule="auto"/>
        <w:ind w:left="-180"/>
        <w:jc w:val="both"/>
        <w:rPr>
          <w:rFonts w:ascii="Times New Roman" w:hAnsi="Times New Roman" w:cs="Times New Roman"/>
        </w:rPr>
      </w:pPr>
    </w:p>
    <w:p w14:paraId="47D6851B" w14:textId="4CDFBA0B" w:rsidR="00C3640F" w:rsidRPr="005948DE" w:rsidRDefault="00C3640F" w:rsidP="005948DE">
      <w:pPr>
        <w:pStyle w:val="ListParagraph"/>
        <w:keepLines/>
        <w:spacing w:after="120" w:line="276" w:lineRule="auto"/>
        <w:ind w:left="-180"/>
        <w:jc w:val="both"/>
        <w:rPr>
          <w:rFonts w:ascii="Times New Roman" w:hAnsi="Times New Roman" w:cs="Times New Roman"/>
        </w:rPr>
      </w:pPr>
      <w:r w:rsidRPr="005948DE">
        <w:rPr>
          <w:rFonts w:ascii="Times New Roman" w:hAnsi="Times New Roman" w:cs="Times New Roman"/>
        </w:rPr>
        <w:t xml:space="preserve">A significant consultancy (US$3.9 million) will involve contracting of </w:t>
      </w:r>
      <w:r w:rsidR="00310A03">
        <w:rPr>
          <w:rFonts w:ascii="Times New Roman" w:hAnsi="Times New Roman" w:cs="Times New Roman"/>
        </w:rPr>
        <w:t>TA</w:t>
      </w:r>
      <w:r w:rsidRPr="005948DE">
        <w:rPr>
          <w:rFonts w:ascii="Times New Roman" w:hAnsi="Times New Roman" w:cs="Times New Roman"/>
        </w:rPr>
        <w:t xml:space="preserve"> for pilot development of missing SUMPS across Serbia by taking into consideration women, vulnerable groups, active mobility, and public transport and</w:t>
      </w:r>
      <w:r w:rsidR="009C3B24" w:rsidRPr="005948DE">
        <w:rPr>
          <w:rFonts w:ascii="Times New Roman" w:hAnsi="Times New Roman" w:cs="Times New Roman"/>
        </w:rPr>
        <w:t xml:space="preserve"> establishment of </w:t>
      </w:r>
      <w:r w:rsidRPr="005948DE">
        <w:rPr>
          <w:rFonts w:ascii="Times New Roman" w:hAnsi="Times New Roman" w:cs="Times New Roman"/>
        </w:rPr>
        <w:t>CoP and interactive guidelines. An assessment needs to be undertaken to decide whether the T</w:t>
      </w:r>
      <w:r w:rsidR="00756577">
        <w:rPr>
          <w:rFonts w:ascii="Times New Roman" w:hAnsi="Times New Roman" w:cs="Times New Roman"/>
        </w:rPr>
        <w:t>o</w:t>
      </w:r>
      <w:r w:rsidRPr="005948DE">
        <w:rPr>
          <w:rFonts w:ascii="Times New Roman" w:hAnsi="Times New Roman" w:cs="Times New Roman"/>
        </w:rPr>
        <w:t xml:space="preserve">R will be prepared for one or more contracts in which case the risk may be reduced. </w:t>
      </w:r>
    </w:p>
    <w:p w14:paraId="41F781AA" w14:textId="77777777" w:rsidR="00C3640F" w:rsidRPr="005948DE" w:rsidRDefault="00C3640F" w:rsidP="005948DE">
      <w:pPr>
        <w:pStyle w:val="ListParagraph"/>
        <w:keepLines/>
        <w:spacing w:after="120" w:line="276" w:lineRule="auto"/>
        <w:ind w:left="-180"/>
        <w:jc w:val="both"/>
        <w:rPr>
          <w:rFonts w:ascii="Times New Roman" w:hAnsi="Times New Roman" w:cs="Times New Roman"/>
        </w:rPr>
      </w:pPr>
    </w:p>
    <w:p w14:paraId="1F24D42E" w14:textId="0945313F" w:rsidR="00BC151E" w:rsidRPr="005948DE" w:rsidRDefault="00C3640F" w:rsidP="00665F55">
      <w:pPr>
        <w:pStyle w:val="ListParagraph"/>
        <w:keepLines/>
        <w:spacing w:after="120" w:line="276" w:lineRule="auto"/>
        <w:ind w:left="-180"/>
        <w:jc w:val="both"/>
      </w:pPr>
      <w:r w:rsidRPr="005948DE">
        <w:rPr>
          <w:rFonts w:ascii="Times New Roman" w:hAnsi="Times New Roman" w:cs="Times New Roman"/>
        </w:rPr>
        <w:t xml:space="preserve">Individual consultants whose selection is currently underway under the Serbia Railway Sector Modernization (SRSM) Project are to continue their engagement under the LIID Project through Direct Selection (DS) as they will be selected on a competitive basis. These individual consultants include the following: </w:t>
      </w:r>
      <w:r w:rsidR="00310A03">
        <w:rPr>
          <w:rFonts w:ascii="Times New Roman" w:hAnsi="Times New Roman" w:cs="Times New Roman"/>
        </w:rPr>
        <w:t>the H</w:t>
      </w:r>
      <w:r w:rsidRPr="005948DE">
        <w:rPr>
          <w:rFonts w:ascii="Times New Roman" w:hAnsi="Times New Roman" w:cs="Times New Roman"/>
        </w:rPr>
        <w:t xml:space="preserve">ead of PIU and </w:t>
      </w:r>
      <w:r w:rsidR="00310A03">
        <w:rPr>
          <w:rFonts w:ascii="Times New Roman" w:hAnsi="Times New Roman" w:cs="Times New Roman"/>
        </w:rPr>
        <w:t>the D</w:t>
      </w:r>
      <w:r w:rsidRPr="005948DE">
        <w:rPr>
          <w:rFonts w:ascii="Times New Roman" w:hAnsi="Times New Roman" w:cs="Times New Roman"/>
        </w:rPr>
        <w:t xml:space="preserve">eputy </w:t>
      </w:r>
      <w:r w:rsidR="00310A03">
        <w:rPr>
          <w:rFonts w:ascii="Times New Roman" w:hAnsi="Times New Roman" w:cs="Times New Roman"/>
        </w:rPr>
        <w:t>H</w:t>
      </w:r>
      <w:r w:rsidRPr="005948DE">
        <w:rPr>
          <w:rFonts w:ascii="Times New Roman" w:hAnsi="Times New Roman" w:cs="Times New Roman"/>
        </w:rPr>
        <w:t>ead of</w:t>
      </w:r>
      <w:r w:rsidR="00310A03">
        <w:rPr>
          <w:rFonts w:ascii="Times New Roman" w:hAnsi="Times New Roman" w:cs="Times New Roman"/>
        </w:rPr>
        <w:t xml:space="preserve"> the</w:t>
      </w:r>
      <w:r w:rsidRPr="005948DE">
        <w:rPr>
          <w:rFonts w:ascii="Times New Roman" w:hAnsi="Times New Roman" w:cs="Times New Roman"/>
        </w:rPr>
        <w:t xml:space="preserve"> PIU. Moreover, M&amp;E specialist to be competitively selected under SRSM as a part time consultant may be additionally hired for </w:t>
      </w:r>
      <w:r w:rsidR="00756577">
        <w:rPr>
          <w:rFonts w:ascii="Times New Roman" w:hAnsi="Times New Roman" w:cs="Times New Roman"/>
        </w:rPr>
        <w:t>the</w:t>
      </w:r>
      <w:r w:rsidR="00756577" w:rsidRPr="005948DE">
        <w:rPr>
          <w:rFonts w:ascii="Times New Roman" w:hAnsi="Times New Roman" w:cs="Times New Roman"/>
        </w:rPr>
        <w:t xml:space="preserve"> </w:t>
      </w:r>
      <w:r w:rsidRPr="005948DE">
        <w:rPr>
          <w:rFonts w:ascii="Times New Roman" w:hAnsi="Times New Roman" w:cs="Times New Roman"/>
        </w:rPr>
        <w:t>LIID Project through DS.</w:t>
      </w:r>
    </w:p>
    <w:p w14:paraId="678C0106" w14:textId="64B1678A" w:rsidR="00BC151E" w:rsidRPr="005948DE" w:rsidRDefault="00BC151E" w:rsidP="00310A03">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616" w:name="_Toc93342297"/>
      <w:r w:rsidRPr="005948DE">
        <w:rPr>
          <w:rFonts w:ascii="Times New Roman" w:hAnsi="Times New Roman" w:cs="Times New Roman"/>
          <w:smallCaps w:val="0"/>
          <w:color w:val="auto"/>
          <w:sz w:val="24"/>
        </w:rPr>
        <w:t>Procurement Planning</w:t>
      </w:r>
      <w:bookmarkEnd w:id="616"/>
      <w:r w:rsidRPr="005948DE">
        <w:rPr>
          <w:rFonts w:ascii="Times New Roman" w:hAnsi="Times New Roman" w:cs="Times New Roman"/>
          <w:smallCaps w:val="0"/>
          <w:color w:val="auto"/>
          <w:sz w:val="24"/>
        </w:rPr>
        <w:t xml:space="preserve"> </w:t>
      </w:r>
    </w:p>
    <w:p w14:paraId="66B3E6C2" w14:textId="52BBBF88" w:rsidR="00BC151E" w:rsidRPr="005948DE" w:rsidRDefault="00BC151E" w:rsidP="00310A03">
      <w:pPr>
        <w:pStyle w:val="Heading3"/>
        <w:numPr>
          <w:ilvl w:val="2"/>
          <w:numId w:val="330"/>
        </w:numPr>
        <w:spacing w:before="120" w:after="120" w:line="276" w:lineRule="auto"/>
        <w:jc w:val="both"/>
        <w:rPr>
          <w:rFonts w:ascii="Times New Roman" w:hAnsi="Times New Roman" w:cs="Times New Roman"/>
          <w:b w:val="0"/>
          <w:color w:val="auto"/>
        </w:rPr>
      </w:pPr>
      <w:bookmarkStart w:id="617" w:name="_Toc93342298"/>
      <w:r w:rsidRPr="005948DE">
        <w:rPr>
          <w:rFonts w:ascii="Times New Roman" w:hAnsi="Times New Roman" w:cs="Times New Roman"/>
          <w:color w:val="auto"/>
        </w:rPr>
        <w:t>Project Procurement Strategy for Development</w:t>
      </w:r>
      <w:bookmarkEnd w:id="617"/>
    </w:p>
    <w:p w14:paraId="40861145" w14:textId="6C18BB79" w:rsidR="00BC151E" w:rsidRPr="005948DE" w:rsidRDefault="00310A03" w:rsidP="00310A03">
      <w:pPr>
        <w:tabs>
          <w:tab w:val="left" w:pos="0"/>
          <w:tab w:val="left" w:pos="720"/>
        </w:tabs>
        <w:spacing w:after="120" w:line="276" w:lineRule="auto"/>
        <w:jc w:val="both"/>
        <w:rPr>
          <w:rFonts w:ascii="Times New Roman" w:hAnsi="Times New Roman" w:cs="Times New Roman"/>
        </w:rPr>
      </w:pPr>
      <w:r>
        <w:rPr>
          <w:rFonts w:ascii="Times New Roman" w:hAnsi="Times New Roman" w:cs="Times New Roman"/>
        </w:rPr>
        <w:t xml:space="preserve">The </w:t>
      </w:r>
      <w:r w:rsidR="00BC151E" w:rsidRPr="005948DE">
        <w:rPr>
          <w:rFonts w:ascii="Times New Roman" w:hAnsi="Times New Roman" w:cs="Times New Roman"/>
        </w:rPr>
        <w:t xml:space="preserve">Project Procurement Strategy for Development (PPSD) and </w:t>
      </w:r>
      <w:r>
        <w:rPr>
          <w:rFonts w:ascii="Times New Roman" w:hAnsi="Times New Roman" w:cs="Times New Roman"/>
        </w:rPr>
        <w:t>the PP</w:t>
      </w:r>
      <w:r w:rsidR="001C7F3C">
        <w:rPr>
          <w:rFonts w:ascii="Times New Roman" w:hAnsi="Times New Roman" w:cs="Times New Roman"/>
        </w:rPr>
        <w:t xml:space="preserve"> (Annex 6)</w:t>
      </w:r>
      <w:r w:rsidR="00BC151E" w:rsidRPr="005948DE">
        <w:rPr>
          <w:rFonts w:ascii="Times New Roman" w:hAnsi="Times New Roman" w:cs="Times New Roman"/>
        </w:rPr>
        <w:t xml:space="preserve"> is developed by the </w:t>
      </w:r>
      <w:r w:rsidR="00D23E88" w:rsidRPr="005948DE">
        <w:rPr>
          <w:rFonts w:ascii="Times New Roman" w:hAnsi="Times New Roman" w:cs="Times New Roman"/>
        </w:rPr>
        <w:t>M</w:t>
      </w:r>
      <w:r w:rsidR="00D23E88">
        <w:rPr>
          <w:rFonts w:ascii="Times New Roman" w:hAnsi="Times New Roman" w:cs="Times New Roman"/>
        </w:rPr>
        <w:t>CTI.</w:t>
      </w:r>
      <w:r w:rsidR="00BC151E" w:rsidRPr="005948DE">
        <w:rPr>
          <w:rFonts w:ascii="Times New Roman" w:hAnsi="Times New Roman" w:cs="Times New Roman"/>
        </w:rPr>
        <w:t xml:space="preserve"> The PPSD is an ongoing appropriate procurement strategy for the procurement and could be updated as needed, at least after </w:t>
      </w:r>
      <w:r>
        <w:rPr>
          <w:rFonts w:ascii="Times New Roman" w:hAnsi="Times New Roman" w:cs="Times New Roman"/>
        </w:rPr>
        <w:t xml:space="preserve">the </w:t>
      </w:r>
      <w:r w:rsidR="00895272" w:rsidRPr="005948DE">
        <w:rPr>
          <w:rFonts w:ascii="Times New Roman" w:hAnsi="Times New Roman" w:cs="Times New Roman"/>
        </w:rPr>
        <w:t xml:space="preserve">Loan </w:t>
      </w:r>
      <w:r w:rsidR="00BC151E" w:rsidRPr="005948DE">
        <w:rPr>
          <w:rFonts w:ascii="Times New Roman" w:hAnsi="Times New Roman" w:cs="Times New Roman"/>
        </w:rPr>
        <w:t xml:space="preserve">effectiveness. As a result of the PPSD, initial procurement plan for the </w:t>
      </w:r>
      <w:r w:rsidR="00706FFE" w:rsidRPr="005948DE">
        <w:rPr>
          <w:rFonts w:ascii="Times New Roman" w:hAnsi="Times New Roman" w:cs="Times New Roman"/>
        </w:rPr>
        <w:t>M</w:t>
      </w:r>
      <w:r w:rsidR="00706FFE">
        <w:rPr>
          <w:rFonts w:ascii="Times New Roman" w:hAnsi="Times New Roman" w:cs="Times New Roman"/>
        </w:rPr>
        <w:t>CTI</w:t>
      </w:r>
      <w:r w:rsidR="00706FFE" w:rsidRPr="005948DE" w:rsidDel="00706FFE">
        <w:rPr>
          <w:rFonts w:ascii="Times New Roman" w:hAnsi="Times New Roman" w:cs="Times New Roman"/>
        </w:rPr>
        <w:t xml:space="preserve"> </w:t>
      </w:r>
      <w:r w:rsidR="00BC151E" w:rsidRPr="005948DE">
        <w:rPr>
          <w:rFonts w:ascii="Times New Roman" w:hAnsi="Times New Roman" w:cs="Times New Roman"/>
        </w:rPr>
        <w:t xml:space="preserve">is prepared. Then for each contract to be financed under the </w:t>
      </w:r>
      <w:r w:rsidR="00706FFE">
        <w:rPr>
          <w:rFonts w:ascii="Times New Roman" w:hAnsi="Times New Roman" w:cs="Times New Roman"/>
        </w:rPr>
        <w:t>P</w:t>
      </w:r>
      <w:r w:rsidR="00706FFE" w:rsidRPr="005948DE">
        <w:rPr>
          <w:rFonts w:ascii="Times New Roman" w:hAnsi="Times New Roman" w:cs="Times New Roman"/>
        </w:rPr>
        <w:t>roject</w:t>
      </w:r>
      <w:r w:rsidR="00BC151E" w:rsidRPr="005948DE">
        <w:rPr>
          <w:rFonts w:ascii="Times New Roman" w:hAnsi="Times New Roman" w:cs="Times New Roman"/>
        </w:rPr>
        <w:t xml:space="preserve">, the different selection methods for procurement, market approach, the need for pre-qualification, contracting arrangement, estimated costs, prior/post review requirements and time frame will be agreed by the Bank and listed in the </w:t>
      </w:r>
      <w:r w:rsidR="00706FFE">
        <w:rPr>
          <w:rFonts w:ascii="Times New Roman" w:hAnsi="Times New Roman" w:cs="Times New Roman"/>
        </w:rPr>
        <w:t>PP</w:t>
      </w:r>
      <w:r w:rsidR="00BC151E" w:rsidRPr="005948DE">
        <w:rPr>
          <w:rFonts w:ascii="Times New Roman" w:hAnsi="Times New Roman" w:cs="Times New Roman"/>
        </w:rPr>
        <w:t xml:space="preserve">. </w:t>
      </w:r>
      <w:r w:rsidR="00706FFE">
        <w:rPr>
          <w:rFonts w:ascii="Times New Roman" w:hAnsi="Times New Roman" w:cs="Times New Roman"/>
        </w:rPr>
        <w:t>The PP</w:t>
      </w:r>
      <w:r w:rsidR="00BC151E" w:rsidRPr="005948DE">
        <w:rPr>
          <w:rFonts w:ascii="Times New Roman" w:hAnsi="Times New Roman" w:cs="Times New Roman"/>
        </w:rPr>
        <w:t xml:space="preserve"> was approved by the Bank taking into consideration the items needed, prevailing market conditions, activity level risk etc.</w:t>
      </w:r>
    </w:p>
    <w:p w14:paraId="72515297" w14:textId="77777777" w:rsidR="00BC151E" w:rsidRPr="005948DE" w:rsidRDefault="00BC151E" w:rsidP="005948DE">
      <w:pPr>
        <w:pStyle w:val="Heading3"/>
        <w:numPr>
          <w:ilvl w:val="2"/>
          <w:numId w:val="330"/>
        </w:numPr>
        <w:spacing w:before="120" w:after="120" w:line="276" w:lineRule="auto"/>
        <w:jc w:val="both"/>
        <w:rPr>
          <w:rFonts w:ascii="Times New Roman" w:hAnsi="Times New Roman" w:cs="Times New Roman"/>
          <w:color w:val="auto"/>
        </w:rPr>
      </w:pPr>
      <w:bookmarkStart w:id="618" w:name="_Toc93342299"/>
      <w:r w:rsidRPr="005948DE">
        <w:rPr>
          <w:rFonts w:ascii="Times New Roman" w:hAnsi="Times New Roman" w:cs="Times New Roman"/>
          <w:color w:val="auto"/>
        </w:rPr>
        <w:t>STEP</w:t>
      </w:r>
      <w:bookmarkEnd w:id="618"/>
      <w:r w:rsidRPr="005948DE">
        <w:rPr>
          <w:rFonts w:ascii="Times New Roman" w:hAnsi="Times New Roman" w:cs="Times New Roman"/>
          <w:color w:val="auto"/>
        </w:rPr>
        <w:t xml:space="preserve"> </w:t>
      </w:r>
    </w:p>
    <w:p w14:paraId="369B1A9E" w14:textId="006D9E08" w:rsidR="00BC151E" w:rsidRPr="005948DE" w:rsidRDefault="00706FFE" w:rsidP="005948DE">
      <w:pPr>
        <w:widowControl w:val="0"/>
        <w:autoSpaceDE w:val="0"/>
        <w:autoSpaceDN w:val="0"/>
        <w:adjustRightInd w:val="0"/>
        <w:spacing w:after="120" w:line="276" w:lineRule="auto"/>
        <w:jc w:val="both"/>
        <w:rPr>
          <w:rFonts w:ascii="Times New Roman" w:hAnsi="Times New Roman" w:cs="Times New Roman"/>
        </w:rPr>
      </w:pPr>
      <w:r>
        <w:rPr>
          <w:rFonts w:ascii="Times New Roman" w:hAnsi="Times New Roman" w:cs="Times New Roman"/>
        </w:rPr>
        <w:t xml:space="preserve">The </w:t>
      </w:r>
      <w:r w:rsidR="00BC151E" w:rsidRPr="005948DE">
        <w:rPr>
          <w:rFonts w:ascii="Times New Roman" w:hAnsi="Times New Roman" w:cs="Times New Roman"/>
        </w:rPr>
        <w:t xml:space="preserve">Systematic Tracking of Exchanges in Procurement system (STEP) is introduced to prepare and manage </w:t>
      </w:r>
      <w:r>
        <w:rPr>
          <w:rFonts w:ascii="Times New Roman" w:hAnsi="Times New Roman" w:cs="Times New Roman"/>
        </w:rPr>
        <w:t>PP</w:t>
      </w:r>
      <w:r w:rsidR="00BC151E" w:rsidRPr="005948DE">
        <w:rPr>
          <w:rFonts w:ascii="Times New Roman" w:hAnsi="Times New Roman" w:cs="Times New Roman"/>
        </w:rPr>
        <w:t xml:space="preserve"> and procurement transactions under the </w:t>
      </w:r>
      <w:r>
        <w:rPr>
          <w:rFonts w:ascii="Times New Roman" w:hAnsi="Times New Roman" w:cs="Times New Roman"/>
        </w:rPr>
        <w:t>P</w:t>
      </w:r>
      <w:r w:rsidRPr="005948DE">
        <w:rPr>
          <w:rFonts w:ascii="Times New Roman" w:hAnsi="Times New Roman" w:cs="Times New Roman"/>
        </w:rPr>
        <w:t>roject</w:t>
      </w:r>
      <w:r w:rsidR="00BC151E" w:rsidRPr="005948DE">
        <w:rPr>
          <w:rFonts w:ascii="Times New Roman" w:hAnsi="Times New Roman" w:cs="Times New Roman"/>
        </w:rPr>
        <w:t xml:space="preserve">, including preparing, updating and clearing its </w:t>
      </w:r>
      <w:r>
        <w:rPr>
          <w:rFonts w:ascii="Times New Roman" w:hAnsi="Times New Roman" w:cs="Times New Roman"/>
        </w:rPr>
        <w:t>PP</w:t>
      </w:r>
      <w:r w:rsidR="00BC151E" w:rsidRPr="005948DE">
        <w:rPr>
          <w:rFonts w:ascii="Times New Roman" w:hAnsi="Times New Roman" w:cs="Times New Roman"/>
        </w:rPr>
        <w:t xml:space="preserve">, and seeking and receiving the Bank’s review and No-objection to procurement actions as required. </w:t>
      </w:r>
    </w:p>
    <w:p w14:paraId="7758E262" w14:textId="1C40D33B" w:rsidR="00BC151E" w:rsidRPr="005948DE" w:rsidRDefault="00BC151E" w:rsidP="005948DE">
      <w:pPr>
        <w:tabs>
          <w:tab w:val="left" w:pos="0"/>
          <w:tab w:val="left" w:pos="720"/>
        </w:tabs>
        <w:spacing w:after="120" w:line="276" w:lineRule="auto"/>
        <w:jc w:val="both"/>
        <w:rPr>
          <w:rFonts w:ascii="Times New Roman" w:hAnsi="Times New Roman" w:cs="Times New Roman"/>
        </w:rPr>
      </w:pPr>
      <w:r w:rsidRPr="005948DE">
        <w:rPr>
          <w:rFonts w:ascii="Times New Roman" w:hAnsi="Times New Roman" w:cs="Times New Roman"/>
        </w:rPr>
        <w:t xml:space="preserve">Detailed </w:t>
      </w:r>
      <w:r w:rsidR="00706FFE">
        <w:rPr>
          <w:rFonts w:ascii="Times New Roman" w:hAnsi="Times New Roman" w:cs="Times New Roman"/>
        </w:rPr>
        <w:t>PP</w:t>
      </w:r>
      <w:r w:rsidRPr="005948DE">
        <w:rPr>
          <w:rFonts w:ascii="Times New Roman" w:hAnsi="Times New Roman" w:cs="Times New Roman"/>
        </w:rPr>
        <w:t xml:space="preserve"> for the Project has been prepared and uploaded in the STEP and is given in the Annex </w:t>
      </w:r>
      <w:r w:rsidR="00E2669C" w:rsidRPr="005948DE">
        <w:rPr>
          <w:rFonts w:ascii="Times New Roman" w:hAnsi="Times New Roman" w:cs="Times New Roman"/>
        </w:rPr>
        <w:t>6</w:t>
      </w:r>
      <w:r w:rsidRPr="005948DE">
        <w:rPr>
          <w:rFonts w:ascii="Times New Roman" w:hAnsi="Times New Roman" w:cs="Times New Roman"/>
        </w:rPr>
        <w:t xml:space="preserve">. The </w:t>
      </w:r>
      <w:r w:rsidR="00706FFE" w:rsidRPr="005948DE">
        <w:rPr>
          <w:rFonts w:ascii="Times New Roman" w:hAnsi="Times New Roman" w:cs="Times New Roman"/>
        </w:rPr>
        <w:t>M</w:t>
      </w:r>
      <w:r w:rsidR="00706FFE">
        <w:rPr>
          <w:rFonts w:ascii="Times New Roman" w:hAnsi="Times New Roman" w:cs="Times New Roman"/>
        </w:rPr>
        <w:t>CTI</w:t>
      </w:r>
      <w:r w:rsidR="00706FFE" w:rsidRPr="005948DE" w:rsidDel="00706FFE">
        <w:rPr>
          <w:rFonts w:ascii="Times New Roman" w:hAnsi="Times New Roman" w:cs="Times New Roman"/>
        </w:rPr>
        <w:t xml:space="preserve"> </w:t>
      </w:r>
      <w:r w:rsidRPr="005948DE">
        <w:rPr>
          <w:rFonts w:ascii="Times New Roman" w:hAnsi="Times New Roman" w:cs="Times New Roman"/>
        </w:rPr>
        <w:t xml:space="preserve">will use </w:t>
      </w:r>
      <w:r w:rsidR="00706FFE">
        <w:rPr>
          <w:rFonts w:ascii="Times New Roman" w:hAnsi="Times New Roman" w:cs="Times New Roman"/>
        </w:rPr>
        <w:t xml:space="preserve">the </w:t>
      </w:r>
      <w:r w:rsidRPr="005948DE">
        <w:rPr>
          <w:rFonts w:ascii="Times New Roman" w:hAnsi="Times New Roman" w:cs="Times New Roman"/>
        </w:rPr>
        <w:t>STEP to create and publish all procurement notices under the Project, including the General and Specific Procurement Notices, Requests for Expression of Interest and Contract Award Notices, where required</w:t>
      </w:r>
      <w:r w:rsidR="00706FFE">
        <w:rPr>
          <w:rFonts w:ascii="Times New Roman" w:hAnsi="Times New Roman" w:cs="Times New Roman"/>
        </w:rPr>
        <w:t>.</w:t>
      </w:r>
      <w:r w:rsidRPr="005948DE">
        <w:rPr>
          <w:rFonts w:ascii="Times New Roman" w:hAnsi="Times New Roman" w:cs="Times New Roman"/>
        </w:rPr>
        <w:t xml:space="preserve"> </w:t>
      </w:r>
      <w:r w:rsidR="00706FFE">
        <w:rPr>
          <w:rFonts w:ascii="Times New Roman" w:hAnsi="Times New Roman" w:cs="Times New Roman"/>
        </w:rPr>
        <w:t>T</w:t>
      </w:r>
      <w:r w:rsidRPr="005948DE">
        <w:rPr>
          <w:rFonts w:ascii="Times New Roman" w:hAnsi="Times New Roman" w:cs="Times New Roman"/>
        </w:rPr>
        <w:t xml:space="preserve">he </w:t>
      </w:r>
      <w:r w:rsidR="00706FFE">
        <w:rPr>
          <w:rFonts w:ascii="Times New Roman" w:hAnsi="Times New Roman" w:cs="Times New Roman"/>
        </w:rPr>
        <w:t>PP</w:t>
      </w:r>
      <w:r w:rsidRPr="005948DE">
        <w:rPr>
          <w:rFonts w:ascii="Times New Roman" w:hAnsi="Times New Roman" w:cs="Times New Roman"/>
        </w:rPr>
        <w:t xml:space="preserve"> in agreement with the Bank </w:t>
      </w:r>
      <w:r w:rsidR="00706FFE">
        <w:rPr>
          <w:rFonts w:ascii="Times New Roman" w:hAnsi="Times New Roman" w:cs="Times New Roman"/>
        </w:rPr>
        <w:t>P</w:t>
      </w:r>
      <w:r w:rsidR="00706FFE" w:rsidRPr="005948DE">
        <w:rPr>
          <w:rFonts w:ascii="Times New Roman" w:hAnsi="Times New Roman" w:cs="Times New Roman"/>
        </w:rPr>
        <w:t xml:space="preserve">roject </w:t>
      </w:r>
      <w:r w:rsidRPr="005948DE">
        <w:rPr>
          <w:rFonts w:ascii="Times New Roman" w:hAnsi="Times New Roman" w:cs="Times New Roman"/>
        </w:rPr>
        <w:t xml:space="preserve">team will be updated by the PIU at least annually to reflect the actual project implementation needs. The update of the </w:t>
      </w:r>
      <w:r w:rsidR="00706FFE">
        <w:rPr>
          <w:rFonts w:ascii="Times New Roman" w:hAnsi="Times New Roman" w:cs="Times New Roman"/>
        </w:rPr>
        <w:t>PP</w:t>
      </w:r>
      <w:r w:rsidRPr="005948DE">
        <w:rPr>
          <w:rFonts w:ascii="Times New Roman" w:hAnsi="Times New Roman" w:cs="Times New Roman"/>
        </w:rPr>
        <w:t xml:space="preserve"> should be based on the readiness of the selected </w:t>
      </w:r>
      <w:r w:rsidR="00706FFE">
        <w:rPr>
          <w:rFonts w:ascii="Times New Roman" w:hAnsi="Times New Roman" w:cs="Times New Roman"/>
        </w:rPr>
        <w:t>LSGs</w:t>
      </w:r>
      <w:r w:rsidR="00706FFE" w:rsidRPr="005948DE">
        <w:rPr>
          <w:rFonts w:ascii="Times New Roman" w:hAnsi="Times New Roman" w:cs="Times New Roman"/>
        </w:rPr>
        <w:t xml:space="preserve"> </w:t>
      </w:r>
      <w:r w:rsidR="00420737" w:rsidRPr="005948DE">
        <w:rPr>
          <w:rFonts w:ascii="Times New Roman" w:hAnsi="Times New Roman" w:cs="Times New Roman"/>
        </w:rPr>
        <w:t>infrastructure investment</w:t>
      </w:r>
      <w:r w:rsidRPr="005948DE">
        <w:rPr>
          <w:rFonts w:ascii="Times New Roman" w:hAnsi="Times New Roman" w:cs="Times New Roman"/>
        </w:rPr>
        <w:t xml:space="preserve">s for implementation upon assessment of the quality and readiness by the PIU. The Bank shall approve such updated </w:t>
      </w:r>
      <w:r w:rsidR="00706FFE">
        <w:rPr>
          <w:rFonts w:ascii="Times New Roman" w:hAnsi="Times New Roman" w:cs="Times New Roman"/>
        </w:rPr>
        <w:t>PP</w:t>
      </w:r>
      <w:r w:rsidRPr="005948DE">
        <w:rPr>
          <w:rFonts w:ascii="Times New Roman" w:hAnsi="Times New Roman" w:cs="Times New Roman"/>
        </w:rPr>
        <w:t xml:space="preserve">, and any bidding to select contractors, consultants or suppliers shall be implemented in accordance with the agreed </w:t>
      </w:r>
      <w:r w:rsidR="00706FFE">
        <w:rPr>
          <w:rFonts w:ascii="Times New Roman" w:hAnsi="Times New Roman" w:cs="Times New Roman"/>
        </w:rPr>
        <w:t>PP</w:t>
      </w:r>
      <w:r w:rsidRPr="005948DE">
        <w:rPr>
          <w:rFonts w:ascii="Times New Roman" w:hAnsi="Times New Roman" w:cs="Times New Roman"/>
        </w:rPr>
        <w:t xml:space="preserve"> or which has been agreed in writing with the Bank prior to the formal update of the </w:t>
      </w:r>
      <w:r w:rsidR="00706FFE">
        <w:rPr>
          <w:rFonts w:ascii="Times New Roman" w:hAnsi="Times New Roman" w:cs="Times New Roman"/>
        </w:rPr>
        <w:t>PP</w:t>
      </w:r>
      <w:r w:rsidR="009C6DC5" w:rsidRPr="005948DE">
        <w:rPr>
          <w:rFonts w:ascii="Times New Roman" w:hAnsi="Times New Roman" w:cs="Times New Roman"/>
        </w:rPr>
        <w:t xml:space="preserve"> in which this item/activity should be reflected. Only activities included in the </w:t>
      </w:r>
      <w:r w:rsidR="00706FFE">
        <w:rPr>
          <w:rFonts w:ascii="Times New Roman" w:hAnsi="Times New Roman" w:cs="Times New Roman"/>
        </w:rPr>
        <w:t>PP</w:t>
      </w:r>
      <w:r w:rsidR="009C6DC5" w:rsidRPr="005948DE">
        <w:rPr>
          <w:rFonts w:ascii="Times New Roman" w:hAnsi="Times New Roman" w:cs="Times New Roman"/>
        </w:rPr>
        <w:t xml:space="preserve"> agreed with the Bank may be procured and financed from the Loan proceeds</w:t>
      </w:r>
      <w:r w:rsidR="00706FFE">
        <w:rPr>
          <w:rFonts w:ascii="Times New Roman" w:hAnsi="Times New Roman" w:cs="Times New Roman"/>
        </w:rPr>
        <w:t>.</w:t>
      </w:r>
    </w:p>
    <w:p w14:paraId="2CACB2F3" w14:textId="0DA388B6" w:rsidR="00BC151E" w:rsidRPr="005948DE" w:rsidRDefault="00BC151E" w:rsidP="005948DE">
      <w:pPr>
        <w:pStyle w:val="Heading3"/>
        <w:numPr>
          <w:ilvl w:val="2"/>
          <w:numId w:val="330"/>
        </w:numPr>
        <w:spacing w:before="120" w:after="120" w:line="276" w:lineRule="auto"/>
        <w:jc w:val="both"/>
        <w:rPr>
          <w:rFonts w:ascii="Times New Roman" w:hAnsi="Times New Roman" w:cs="Times New Roman"/>
          <w:color w:val="auto"/>
        </w:rPr>
      </w:pPr>
      <w:bookmarkStart w:id="619" w:name="_Toc93342300"/>
      <w:r w:rsidRPr="005948DE">
        <w:rPr>
          <w:rFonts w:ascii="Times New Roman" w:hAnsi="Times New Roman" w:cs="Times New Roman"/>
          <w:color w:val="auto"/>
        </w:rPr>
        <w:t xml:space="preserve">Procurement Arrangements </w:t>
      </w:r>
      <w:r w:rsidR="006F58A2" w:rsidRPr="005948DE">
        <w:rPr>
          <w:rFonts w:ascii="Times New Roman" w:hAnsi="Times New Roman" w:cs="Times New Roman"/>
          <w:color w:val="auto"/>
        </w:rPr>
        <w:t>and Management</w:t>
      </w:r>
      <w:bookmarkEnd w:id="619"/>
    </w:p>
    <w:p w14:paraId="460DBB0E" w14:textId="4914A271" w:rsidR="00C3640F" w:rsidRPr="005948DE" w:rsidRDefault="00C3640F" w:rsidP="005948DE">
      <w:pPr>
        <w:spacing w:line="276" w:lineRule="auto"/>
        <w:jc w:val="both"/>
        <w:rPr>
          <w:rFonts w:ascii="Times New Roman" w:hAnsi="Times New Roman" w:cs="Times New Roman"/>
        </w:rPr>
      </w:pPr>
      <w:r w:rsidRPr="005948DE">
        <w:rPr>
          <w:rFonts w:ascii="Times New Roman" w:hAnsi="Times New Roman" w:cs="Times New Roman"/>
        </w:rPr>
        <w:t xml:space="preserve">The PIU, with the support of the CFU, is responsible for overall procurement quality assurance and is considered the </w:t>
      </w:r>
      <w:r w:rsidR="00706FFE">
        <w:rPr>
          <w:rFonts w:ascii="Times New Roman" w:hAnsi="Times New Roman" w:cs="Times New Roman"/>
        </w:rPr>
        <w:t>I</w:t>
      </w:r>
      <w:r w:rsidR="00706FFE" w:rsidRPr="005948DE">
        <w:rPr>
          <w:rFonts w:ascii="Times New Roman" w:hAnsi="Times New Roman" w:cs="Times New Roman"/>
        </w:rPr>
        <w:t xml:space="preserve">mplementing </w:t>
      </w:r>
      <w:r w:rsidR="00706FFE">
        <w:rPr>
          <w:rFonts w:ascii="Times New Roman" w:hAnsi="Times New Roman" w:cs="Times New Roman"/>
        </w:rPr>
        <w:t>A</w:t>
      </w:r>
      <w:r w:rsidR="00706FFE" w:rsidRPr="005948DE">
        <w:rPr>
          <w:rFonts w:ascii="Times New Roman" w:hAnsi="Times New Roman" w:cs="Times New Roman"/>
        </w:rPr>
        <w:t>gency</w:t>
      </w:r>
      <w:r w:rsidRPr="005948DE">
        <w:rPr>
          <w:rFonts w:ascii="Times New Roman" w:hAnsi="Times New Roman" w:cs="Times New Roman"/>
        </w:rPr>
        <w:t xml:space="preserve">. The PIU with the support of the CFU will conduct consultancy services and procurement of goods for the Project. Works and consultancy services (supervision and design) for LSGs’ projects procurement will be conducted by respective LSG with critical review and clearance by the PIU/CFU. The LSGs will prepare the </w:t>
      </w:r>
      <w:r w:rsidR="00706FFE">
        <w:rPr>
          <w:rFonts w:ascii="Times New Roman" w:hAnsi="Times New Roman" w:cs="Times New Roman"/>
        </w:rPr>
        <w:t>PP</w:t>
      </w:r>
      <w:r w:rsidRPr="005948DE">
        <w:rPr>
          <w:rFonts w:ascii="Times New Roman" w:hAnsi="Times New Roman" w:cs="Times New Roman"/>
        </w:rPr>
        <w:t>, bidding documents, bid evaluation report, contract award, and contract implementation. The PIU, with the support of the CFU, will approve bidding documents, bid evaluation reports, and the amendment to the contract submitted by each of the participating LSGs. After necessary approval from the PIU on a specific procurement document (such as bidding document, bid evaluation, or contract amendment), the respective LSG may proceed to the next procurement step or sign the amendment to the contract. In addition, the CFU will be strengthened with minimum 2 full-time specialists.</w:t>
      </w:r>
    </w:p>
    <w:p w14:paraId="52217E98" w14:textId="266AF6D9" w:rsidR="00C3640F" w:rsidRPr="005948DE" w:rsidRDefault="00C3640F" w:rsidP="005948DE">
      <w:pPr>
        <w:spacing w:line="276" w:lineRule="auto"/>
        <w:jc w:val="both"/>
        <w:rPr>
          <w:rFonts w:ascii="Times New Roman" w:hAnsi="Times New Roman" w:cs="Times New Roman"/>
        </w:rPr>
      </w:pPr>
      <w:r w:rsidRPr="005948DE">
        <w:rPr>
          <w:rFonts w:ascii="Times New Roman" w:hAnsi="Times New Roman" w:cs="Times New Roman"/>
        </w:rPr>
        <w:t xml:space="preserve">Bidding documents: The main procurement under this Project will be moderate value works (below USD 5 million), following national procedure. The LSGs will be responsible for this procurement and will follow the model bidding document approved by the Bank. Model bidding </w:t>
      </w:r>
      <w:r w:rsidR="00AF5692" w:rsidRPr="005948DE">
        <w:rPr>
          <w:rFonts w:ascii="Times New Roman" w:hAnsi="Times New Roman" w:cs="Times New Roman"/>
        </w:rPr>
        <w:t xml:space="preserve">document </w:t>
      </w:r>
      <w:r w:rsidR="00AF5692">
        <w:rPr>
          <w:rFonts w:ascii="Times New Roman" w:hAnsi="Times New Roman" w:cs="Times New Roman"/>
        </w:rPr>
        <w:t>has</w:t>
      </w:r>
      <w:r w:rsidR="00762393">
        <w:rPr>
          <w:rFonts w:ascii="Times New Roman" w:hAnsi="Times New Roman" w:cs="Times New Roman"/>
        </w:rPr>
        <w:t xml:space="preserve"> been</w:t>
      </w:r>
      <w:r w:rsidRPr="005948DE">
        <w:rPr>
          <w:rFonts w:ascii="Times New Roman" w:hAnsi="Times New Roman" w:cs="Times New Roman"/>
        </w:rPr>
        <w:t xml:space="preserve">  prepared based on the Serbian standard works bidding document with necessary customization to make it consistent with the Bank’s Core Procurement Principles and ensure that the Bank’s Anti-Corruption Guidelines and Sanctions Framework. Model Bidding Document for works will be prepared by the Appraisal and shared with the </w:t>
      </w:r>
      <w:r w:rsidR="00756577">
        <w:rPr>
          <w:rFonts w:ascii="Times New Roman" w:hAnsi="Times New Roman" w:cs="Times New Roman"/>
        </w:rPr>
        <w:t>MCTI</w:t>
      </w:r>
      <w:r w:rsidRPr="005948DE">
        <w:rPr>
          <w:rFonts w:ascii="Times New Roman" w:hAnsi="Times New Roman" w:cs="Times New Roman"/>
        </w:rPr>
        <w:t xml:space="preserve">. For goods and consultancy (except design and supervision of works) for the Project components that are not to be procured by the LSGs, the PIU/CFU will be responsible for procurement and use the Bank’s model bidding documents. In addition, LSGs may use </w:t>
      </w:r>
      <w:r w:rsidR="00706FFE">
        <w:rPr>
          <w:rFonts w:ascii="Times New Roman" w:hAnsi="Times New Roman" w:cs="Times New Roman"/>
        </w:rPr>
        <w:t>P</w:t>
      </w:r>
      <w:r w:rsidR="00706FFE" w:rsidRPr="005948DE">
        <w:rPr>
          <w:rFonts w:ascii="Times New Roman" w:hAnsi="Times New Roman" w:cs="Times New Roman"/>
        </w:rPr>
        <w:t xml:space="preserve">roject </w:t>
      </w:r>
      <w:r w:rsidRPr="005948DE">
        <w:rPr>
          <w:rFonts w:ascii="Times New Roman" w:hAnsi="Times New Roman" w:cs="Times New Roman"/>
        </w:rPr>
        <w:t xml:space="preserve">funds for the design and supervision of works. In such a scenario, </w:t>
      </w:r>
      <w:r w:rsidR="00706FFE">
        <w:rPr>
          <w:rFonts w:ascii="Times New Roman" w:hAnsi="Times New Roman" w:cs="Times New Roman"/>
        </w:rPr>
        <w:t xml:space="preserve">the </w:t>
      </w:r>
      <w:r w:rsidRPr="005948DE">
        <w:rPr>
          <w:rFonts w:ascii="Times New Roman" w:hAnsi="Times New Roman" w:cs="Times New Roman"/>
        </w:rPr>
        <w:t>LSGs will follow Bank Procurement Regulations for consulting services</w:t>
      </w:r>
      <w:r w:rsidR="008B002C" w:rsidRPr="005948DE">
        <w:rPr>
          <w:rFonts w:ascii="Times New Roman" w:hAnsi="Times New Roman" w:cs="Times New Roman"/>
        </w:rPr>
        <w:t xml:space="preserve"> (supervision and design)</w:t>
      </w:r>
      <w:r w:rsidRPr="005948DE">
        <w:rPr>
          <w:rFonts w:ascii="Times New Roman" w:hAnsi="Times New Roman" w:cs="Times New Roman"/>
        </w:rPr>
        <w:t>. In addition, the PIU will provide technical specifications to the CFU to develop procurement documents. The PIU, with the support of the CFU, will evaluate proposals.</w:t>
      </w:r>
    </w:p>
    <w:p w14:paraId="1BAC4C00" w14:textId="77777777" w:rsidR="00C100B1" w:rsidRPr="005948DE" w:rsidRDefault="00BC151E" w:rsidP="005948DE">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620" w:name="_Toc93342301"/>
      <w:r w:rsidRPr="005948DE">
        <w:rPr>
          <w:rFonts w:ascii="Times New Roman" w:hAnsi="Times New Roman" w:cs="Times New Roman"/>
          <w:smallCaps w:val="0"/>
          <w:color w:val="auto"/>
          <w:sz w:val="24"/>
        </w:rPr>
        <w:t>Procurement Methods</w:t>
      </w:r>
      <w:bookmarkEnd w:id="620"/>
    </w:p>
    <w:p w14:paraId="0C45F5B6" w14:textId="44A68571" w:rsidR="002370A1" w:rsidRPr="005948DE" w:rsidRDefault="00BF3E38" w:rsidP="005948DE">
      <w:pPr>
        <w:pStyle w:val="Heading3"/>
        <w:numPr>
          <w:ilvl w:val="2"/>
          <w:numId w:val="330"/>
        </w:numPr>
        <w:spacing w:before="120" w:after="120" w:line="276" w:lineRule="auto"/>
        <w:jc w:val="both"/>
        <w:rPr>
          <w:rFonts w:ascii="Times New Roman" w:hAnsi="Times New Roman" w:cs="Times New Roman"/>
          <w:color w:val="auto"/>
        </w:rPr>
      </w:pPr>
      <w:bookmarkStart w:id="621" w:name="_Toc90070689"/>
      <w:bookmarkStart w:id="622" w:name="_Toc90070839"/>
      <w:bookmarkStart w:id="623" w:name="_Toc90070690"/>
      <w:bookmarkStart w:id="624" w:name="_Toc90070840"/>
      <w:bookmarkStart w:id="625" w:name="_Toc90070691"/>
      <w:bookmarkStart w:id="626" w:name="_Toc90070841"/>
      <w:bookmarkStart w:id="627" w:name="_Toc90070692"/>
      <w:bookmarkStart w:id="628" w:name="_Toc90070842"/>
      <w:bookmarkStart w:id="629" w:name="_Toc90070693"/>
      <w:bookmarkStart w:id="630" w:name="_Toc90070843"/>
      <w:bookmarkStart w:id="631" w:name="_Toc90070694"/>
      <w:bookmarkStart w:id="632" w:name="_Toc90070844"/>
      <w:bookmarkStart w:id="633" w:name="_Toc90070695"/>
      <w:bookmarkStart w:id="634" w:name="_Toc90070845"/>
      <w:bookmarkStart w:id="635" w:name="_Toc90070696"/>
      <w:bookmarkStart w:id="636" w:name="_Toc90070846"/>
      <w:bookmarkStart w:id="637" w:name="_Toc90070697"/>
      <w:bookmarkStart w:id="638" w:name="_Toc90070847"/>
      <w:bookmarkStart w:id="639" w:name="_Toc90070698"/>
      <w:bookmarkStart w:id="640" w:name="_Toc90070848"/>
      <w:bookmarkStart w:id="641" w:name="_Toc90070699"/>
      <w:bookmarkStart w:id="642" w:name="_Toc90070849"/>
      <w:bookmarkStart w:id="643" w:name="_Toc90070700"/>
      <w:bookmarkStart w:id="644" w:name="_Toc90070850"/>
      <w:bookmarkStart w:id="645" w:name="_Toc90070701"/>
      <w:bookmarkStart w:id="646" w:name="_Toc90070851"/>
      <w:bookmarkStart w:id="647" w:name="_Toc93342302"/>
      <w:bookmarkStart w:id="648" w:name="_Toc88732694"/>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Pr="005948DE">
        <w:rPr>
          <w:rFonts w:ascii="Times New Roman" w:hAnsi="Times New Roman" w:cs="Times New Roman"/>
          <w:color w:val="auto"/>
        </w:rPr>
        <w:t>Approved Selection Methods: Goods, Works and Non-consulting Services</w:t>
      </w:r>
      <w:bookmarkEnd w:id="647"/>
    </w:p>
    <w:p w14:paraId="3EFEA4FE" w14:textId="0DB78FBA" w:rsidR="00CA17E6" w:rsidRPr="005948DE" w:rsidRDefault="00CA17E6" w:rsidP="005948DE">
      <w:pPr>
        <w:pStyle w:val="Heading4"/>
        <w:spacing w:line="276" w:lineRule="auto"/>
        <w:jc w:val="both"/>
        <w:rPr>
          <w:rFonts w:ascii="Times New Roman" w:hAnsi="Times New Roman" w:cs="Times New Roman"/>
          <w:color w:val="auto"/>
          <w:lang w:val="en-US"/>
        </w:rPr>
      </w:pPr>
      <w:r w:rsidRPr="005948DE">
        <w:rPr>
          <w:rFonts w:ascii="Times New Roman" w:hAnsi="Times New Roman" w:cs="Times New Roman"/>
          <w:color w:val="auto"/>
          <w:lang w:val="en-US"/>
        </w:rPr>
        <w:t xml:space="preserve">Approved Selection Methods </w:t>
      </w:r>
    </w:p>
    <w:p w14:paraId="435A2BCC" w14:textId="25818E83" w:rsidR="00BF3E38" w:rsidRPr="005948DE" w:rsidRDefault="00CA17E6" w:rsidP="005948DE">
      <w:pPr>
        <w:spacing w:after="120" w:line="276" w:lineRule="auto"/>
        <w:jc w:val="both"/>
        <w:rPr>
          <w:rFonts w:ascii="Times New Roman" w:hAnsi="Times New Roman" w:cs="Times New Roman"/>
        </w:rPr>
      </w:pPr>
      <w:r w:rsidRPr="005948DE">
        <w:rPr>
          <w:rFonts w:ascii="Times New Roman" w:hAnsi="Times New Roman" w:cs="Times New Roman"/>
        </w:rPr>
        <w:t xml:space="preserve">Goods may be procured using procedures and methods (Request for Proposals, Request for Bids, Request for Quotations and Direct Selection) following </w:t>
      </w:r>
      <w:r w:rsidR="00706FFE">
        <w:rPr>
          <w:rFonts w:ascii="Times New Roman" w:hAnsi="Times New Roman" w:cs="Times New Roman"/>
        </w:rPr>
        <w:t xml:space="preserve">the </w:t>
      </w:r>
      <w:r w:rsidRPr="005948DE">
        <w:rPr>
          <w:rFonts w:ascii="Times New Roman" w:hAnsi="Times New Roman" w:cs="Times New Roman"/>
        </w:rPr>
        <w:t>Section VI. Approved Selection Methods: Goods, Works and Non-Consulting Services of the Regulations. The PIU and the LSGs will provide technical support to the CFU to develop procurement documents.</w:t>
      </w:r>
    </w:p>
    <w:p w14:paraId="42A76D53" w14:textId="6895D2D4"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The Bank defines the following as approved selection methods for </w:t>
      </w:r>
      <w:r w:rsidR="00706FFE">
        <w:rPr>
          <w:rFonts w:ascii="Times New Roman" w:hAnsi="Times New Roman" w:cs="Times New Roman"/>
          <w:lang w:val="en-US"/>
        </w:rPr>
        <w:t>g</w:t>
      </w:r>
      <w:r w:rsidR="00706FFE" w:rsidRPr="005948DE">
        <w:rPr>
          <w:rFonts w:ascii="Times New Roman" w:hAnsi="Times New Roman" w:cs="Times New Roman"/>
          <w:lang w:val="en-US"/>
        </w:rPr>
        <w:t>oods</w:t>
      </w:r>
      <w:r w:rsidRPr="005948DE">
        <w:rPr>
          <w:rFonts w:ascii="Times New Roman" w:hAnsi="Times New Roman" w:cs="Times New Roman"/>
          <w:lang w:val="en-US"/>
        </w:rPr>
        <w:t xml:space="preserve">,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w:t>
      </w:r>
      <w:r w:rsidRPr="005948DE">
        <w:rPr>
          <w:rFonts w:ascii="Times New Roman" w:hAnsi="Times New Roman" w:cs="Times New Roman"/>
          <w:lang w:val="en-US"/>
        </w:rPr>
        <w:t xml:space="preserve">and </w:t>
      </w:r>
      <w:r w:rsidR="00706FFE">
        <w:rPr>
          <w:rFonts w:ascii="Times New Roman" w:hAnsi="Times New Roman" w:cs="Times New Roman"/>
          <w:lang w:val="en-US"/>
        </w:rPr>
        <w:t>n</w:t>
      </w:r>
      <w:r w:rsidR="00706FFE" w:rsidRPr="005948DE">
        <w:rPr>
          <w:rFonts w:ascii="Times New Roman" w:hAnsi="Times New Roman" w:cs="Times New Roman"/>
          <w:lang w:val="en-US"/>
        </w:rPr>
        <w:t>on</w:t>
      </w:r>
      <w:r w:rsidRPr="005948DE">
        <w:rPr>
          <w:rFonts w:ascii="Times New Roman" w:hAnsi="Times New Roman" w:cs="Times New Roman"/>
          <w:lang w:val="en-US"/>
        </w:rPr>
        <w:t xml:space="preserve">-consulting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Pr="005948DE">
        <w:rPr>
          <w:rFonts w:ascii="Times New Roman" w:hAnsi="Times New Roman" w:cs="Times New Roman"/>
          <w:lang w:val="en-US"/>
        </w:rPr>
        <w:t>:</w:t>
      </w:r>
    </w:p>
    <w:p w14:paraId="2C19D5E1" w14:textId="77777777" w:rsidR="00CA17E6" w:rsidRPr="005948DE" w:rsidRDefault="00CA17E6" w:rsidP="005948DE">
      <w:pPr>
        <w:numPr>
          <w:ilvl w:val="2"/>
          <w:numId w:val="57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Request for Proposals (RFP);</w:t>
      </w:r>
    </w:p>
    <w:p w14:paraId="762EF293" w14:textId="77777777" w:rsidR="00CA17E6" w:rsidRPr="005948DE" w:rsidRDefault="00CA17E6" w:rsidP="005948DE">
      <w:pPr>
        <w:numPr>
          <w:ilvl w:val="2"/>
          <w:numId w:val="57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Request for Bids (RFB);</w:t>
      </w:r>
    </w:p>
    <w:p w14:paraId="021CE971" w14:textId="77777777" w:rsidR="00CA17E6" w:rsidRPr="005948DE" w:rsidRDefault="00CA17E6" w:rsidP="005948DE">
      <w:pPr>
        <w:numPr>
          <w:ilvl w:val="2"/>
          <w:numId w:val="57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Request for Quotations (RFQ); and</w:t>
      </w:r>
    </w:p>
    <w:p w14:paraId="2A34473A" w14:textId="77777777" w:rsidR="00CA17E6" w:rsidRPr="005948DE" w:rsidRDefault="00CA17E6" w:rsidP="005948DE">
      <w:pPr>
        <w:numPr>
          <w:ilvl w:val="2"/>
          <w:numId w:val="57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Direct Selection.</w:t>
      </w:r>
    </w:p>
    <w:p w14:paraId="594ED04F"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Request for Proposals</w:t>
      </w:r>
    </w:p>
    <w:p w14:paraId="3F9A50B9" w14:textId="56C6064D"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A RFP is a competitive method for the solicitation of Proposals. It should be used when, because of the nature and complexity of the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and </w:t>
      </w:r>
      <w:r w:rsidR="00706FFE">
        <w:rPr>
          <w:rFonts w:ascii="Times New Roman" w:hAnsi="Times New Roman" w:cs="Times New Roman"/>
          <w:lang w:val="en-US"/>
        </w:rPr>
        <w:t>n</w:t>
      </w:r>
      <w:r w:rsidR="00706FFE" w:rsidRPr="005948DE">
        <w:rPr>
          <w:rFonts w:ascii="Times New Roman" w:hAnsi="Times New Roman" w:cs="Times New Roman"/>
          <w:lang w:val="en-US"/>
        </w:rPr>
        <w:t xml:space="preserve">on-consulting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00706FFE">
        <w:rPr>
          <w:rFonts w:ascii="Times New Roman" w:hAnsi="Times New Roman" w:cs="Times New Roman"/>
          <w:lang w:val="en-US"/>
        </w:rPr>
        <w:t xml:space="preserve"> </w:t>
      </w:r>
      <w:r w:rsidRPr="005948DE">
        <w:rPr>
          <w:rFonts w:ascii="Times New Roman" w:hAnsi="Times New Roman" w:cs="Times New Roman"/>
          <w:lang w:val="en-US"/>
        </w:rPr>
        <w:t xml:space="preserve">to be procured, the </w:t>
      </w:r>
      <w:r w:rsidRPr="004B03E6">
        <w:rPr>
          <w:rFonts w:ascii="Times New Roman" w:hAnsi="Times New Roman" w:cs="Times New Roman"/>
          <w:lang w:val="en-US"/>
        </w:rPr>
        <w:t>Borrower’s business needs</w:t>
      </w:r>
      <w:r w:rsidRPr="005948DE">
        <w:rPr>
          <w:rFonts w:ascii="Times New Roman" w:hAnsi="Times New Roman" w:cs="Times New Roman"/>
          <w:lang w:val="en-US"/>
        </w:rPr>
        <w:t xml:space="preserve"> are better met by allowing Proposers to offer customized solutions or Proposals that may vary in the manner in which they meet or exceed the requirement of the request for proposals document.</w:t>
      </w:r>
    </w:p>
    <w:p w14:paraId="0BF6739D" w14:textId="7C8D8C90"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An RFP is normally conducted in a multi-stage process. To allow an evaluation of the degree to which Proposals meet the requirements of the request for proposals document the evaluation normally includes rated type criteria and an evaluation methodology.</w:t>
      </w:r>
    </w:p>
    <w:p w14:paraId="08BDFA19"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Request for Bids</w:t>
      </w:r>
    </w:p>
    <w:p w14:paraId="7B303D10" w14:textId="05EC9869"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A RFB is a competitive method for the solicitation of Bids. It should be used when, because of the nature of the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and </w:t>
      </w:r>
      <w:r w:rsidR="00706FFE">
        <w:rPr>
          <w:rFonts w:ascii="Times New Roman" w:hAnsi="Times New Roman" w:cs="Times New Roman"/>
          <w:lang w:val="en-US"/>
        </w:rPr>
        <w:t>n</w:t>
      </w:r>
      <w:r w:rsidR="00706FFE" w:rsidRPr="005948DE">
        <w:rPr>
          <w:rFonts w:ascii="Times New Roman" w:hAnsi="Times New Roman" w:cs="Times New Roman"/>
          <w:lang w:val="en-US"/>
        </w:rPr>
        <w:t xml:space="preserve">on-consulting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00706FFE">
        <w:rPr>
          <w:rFonts w:ascii="Times New Roman" w:hAnsi="Times New Roman" w:cs="Times New Roman"/>
          <w:lang w:val="en-US"/>
        </w:rPr>
        <w:t xml:space="preserve"> </w:t>
      </w:r>
      <w:r w:rsidRPr="005948DE">
        <w:rPr>
          <w:rFonts w:ascii="Times New Roman" w:hAnsi="Times New Roman" w:cs="Times New Roman"/>
          <w:lang w:val="en-US"/>
        </w:rPr>
        <w:t xml:space="preserve">to be provided, the </w:t>
      </w:r>
      <w:r w:rsidRPr="004D35AA">
        <w:rPr>
          <w:rFonts w:ascii="Times New Roman" w:hAnsi="Times New Roman" w:cs="Times New Roman"/>
          <w:lang w:val="en-US"/>
        </w:rPr>
        <w:t>Borrower</w:t>
      </w:r>
      <w:r w:rsidRPr="005948DE">
        <w:rPr>
          <w:rFonts w:ascii="Times New Roman" w:hAnsi="Times New Roman" w:cs="Times New Roman"/>
          <w:lang w:val="en-US"/>
        </w:rPr>
        <w:t xml:space="preserve"> is able to specify detailed requirements to which Bidders respond in offering Bids.</w:t>
      </w:r>
    </w:p>
    <w:p w14:paraId="04A3808F" w14:textId="259A59D3"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Procurement under this method is conducted in a single-stage process. Qualifying criteria (minimum requirements normally evaluated on a pass/fail basis) are normally used with RFB. Rated-type evaluation criteria </w:t>
      </w:r>
      <w:r w:rsidR="00FA3650" w:rsidRPr="005948DE">
        <w:rPr>
          <w:rFonts w:ascii="Times New Roman" w:hAnsi="Times New Roman" w:cs="Times New Roman"/>
          <w:lang w:val="en-US"/>
        </w:rPr>
        <w:t>are normally not used with RFB.</w:t>
      </w:r>
    </w:p>
    <w:p w14:paraId="5FC1B5DB"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Request for Quotations</w:t>
      </w:r>
    </w:p>
    <w:p w14:paraId="256A8354" w14:textId="0E6C11FC"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A RFQ is a competitive method that is based on comparing price quotations from firms. This method may be more efficient than the more complex methods for procuring limited quantities of readily available off-the-shelf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Pr="005948DE">
        <w:rPr>
          <w:rFonts w:ascii="Times New Roman" w:hAnsi="Times New Roman" w:cs="Times New Roman"/>
          <w:lang w:val="en-US"/>
        </w:rPr>
        <w:t xml:space="preserve">or </w:t>
      </w:r>
      <w:r w:rsidR="00706FFE">
        <w:rPr>
          <w:rFonts w:ascii="Times New Roman" w:hAnsi="Times New Roman" w:cs="Times New Roman"/>
          <w:lang w:val="en-US"/>
        </w:rPr>
        <w:t>n</w:t>
      </w:r>
      <w:r w:rsidR="00706FFE" w:rsidRPr="005948DE">
        <w:rPr>
          <w:rFonts w:ascii="Times New Roman" w:hAnsi="Times New Roman" w:cs="Times New Roman"/>
          <w:lang w:val="en-US"/>
        </w:rPr>
        <w:t>on</w:t>
      </w:r>
      <w:r w:rsidRPr="005948DE">
        <w:rPr>
          <w:rFonts w:ascii="Times New Roman" w:hAnsi="Times New Roman" w:cs="Times New Roman"/>
          <w:lang w:val="en-US"/>
        </w:rPr>
        <w:t xml:space="preserve">-consulting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Pr="005948DE">
        <w:rPr>
          <w:rFonts w:ascii="Times New Roman" w:hAnsi="Times New Roman" w:cs="Times New Roman"/>
          <w:lang w:val="en-US"/>
        </w:rPr>
        <w:t>, standard specification commodities, or sim</w:t>
      </w:r>
      <w:r w:rsidR="00FA3650" w:rsidRPr="005948DE">
        <w:rPr>
          <w:rFonts w:ascii="Times New Roman" w:hAnsi="Times New Roman" w:cs="Times New Roman"/>
          <w:lang w:val="en-US"/>
        </w:rPr>
        <w:t xml:space="preserve">ple civil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w:t>
      </w:r>
      <w:r w:rsidR="00FA3650" w:rsidRPr="005948DE">
        <w:rPr>
          <w:rFonts w:ascii="Times New Roman" w:hAnsi="Times New Roman" w:cs="Times New Roman"/>
          <w:lang w:val="en-US"/>
        </w:rPr>
        <w:t>of small value.</w:t>
      </w:r>
    </w:p>
    <w:p w14:paraId="76AF8980"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Direct Selection</w:t>
      </w:r>
    </w:p>
    <w:p w14:paraId="473AE7A4" w14:textId="62FAB255"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Proportional, fit-for-purpose, and </w:t>
      </w:r>
      <w:r w:rsidR="00706FFE" w:rsidRPr="005948DE">
        <w:rPr>
          <w:rFonts w:ascii="Times New Roman" w:hAnsi="Times New Roman" w:cs="Times New Roman"/>
          <w:lang w:val="en-US"/>
        </w:rPr>
        <w:t>V</w:t>
      </w:r>
      <w:r w:rsidR="00706FFE">
        <w:rPr>
          <w:rFonts w:ascii="Times New Roman" w:hAnsi="Times New Roman" w:cs="Times New Roman"/>
          <w:lang w:val="en-US"/>
        </w:rPr>
        <w:t>alue for Money</w:t>
      </w:r>
      <w:r w:rsidR="00706FFE" w:rsidRPr="005948DE">
        <w:rPr>
          <w:rFonts w:ascii="Times New Roman" w:hAnsi="Times New Roman" w:cs="Times New Roman"/>
          <w:lang w:val="en-US"/>
        </w:rPr>
        <w:t xml:space="preserve"> </w:t>
      </w:r>
      <w:r w:rsidR="005A5126">
        <w:rPr>
          <w:rFonts w:ascii="Times New Roman" w:hAnsi="Times New Roman" w:cs="Times New Roman"/>
          <w:lang w:val="en-US"/>
        </w:rPr>
        <w:t>(</w:t>
      </w:r>
      <w:r w:rsidR="005A5126" w:rsidRPr="005948DE">
        <w:rPr>
          <w:rFonts w:ascii="Times New Roman" w:hAnsi="Times New Roman" w:cs="Times New Roman"/>
          <w:lang w:val="en-US"/>
        </w:rPr>
        <w:t>VfM</w:t>
      </w:r>
      <w:r w:rsidR="005A5126">
        <w:rPr>
          <w:rFonts w:ascii="Times New Roman" w:hAnsi="Times New Roman" w:cs="Times New Roman"/>
          <w:lang w:val="en-US"/>
        </w:rPr>
        <w:t xml:space="preserve">) </w:t>
      </w:r>
      <w:r w:rsidRPr="005948DE">
        <w:rPr>
          <w:rFonts w:ascii="Times New Roman" w:hAnsi="Times New Roman" w:cs="Times New Roman"/>
          <w:lang w:val="en-US"/>
        </w:rPr>
        <w:t>considerations may require a direct selection approach: that is, approaching and negotiating with only one firm. This selection method may be appropriate when there is only one suitable firm or there is justification to use a preferred firm.</w:t>
      </w:r>
    </w:p>
    <w:p w14:paraId="39D55DF6"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Direct selection may be appropriate under the following circumstances:</w:t>
      </w:r>
    </w:p>
    <w:p w14:paraId="102B650A" w14:textId="163A21B1"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an existing contract, including a contract not originally financed by the Bank, for </w:t>
      </w:r>
      <w:r w:rsidR="00706FFE">
        <w:rPr>
          <w:rFonts w:ascii="Times New Roman" w:hAnsi="Times New Roman" w:cs="Times New Roman"/>
          <w:lang w:val="en-US"/>
        </w:rPr>
        <w:t>g</w:t>
      </w:r>
      <w:r w:rsidR="00706FFE" w:rsidRPr="005948DE">
        <w:rPr>
          <w:rFonts w:ascii="Times New Roman" w:hAnsi="Times New Roman" w:cs="Times New Roman"/>
          <w:lang w:val="en-US"/>
        </w:rPr>
        <w:t>oods</w:t>
      </w:r>
      <w:r w:rsidRPr="005948DE">
        <w:rPr>
          <w:rFonts w:ascii="Times New Roman" w:hAnsi="Times New Roman" w:cs="Times New Roman"/>
          <w:lang w:val="en-US"/>
        </w:rPr>
        <w:t xml:space="preserve">, </w:t>
      </w:r>
      <w:r w:rsidR="00706FFE">
        <w:rPr>
          <w:rFonts w:ascii="Times New Roman" w:hAnsi="Times New Roman" w:cs="Times New Roman"/>
          <w:lang w:val="en-US"/>
        </w:rPr>
        <w:t>w</w:t>
      </w:r>
      <w:r w:rsidR="00706FFE" w:rsidRPr="005948DE">
        <w:rPr>
          <w:rFonts w:ascii="Times New Roman" w:hAnsi="Times New Roman" w:cs="Times New Roman"/>
          <w:lang w:val="en-US"/>
        </w:rPr>
        <w:t>orks</w:t>
      </w:r>
      <w:r w:rsidRPr="005948DE">
        <w:rPr>
          <w:rFonts w:ascii="Times New Roman" w:hAnsi="Times New Roman" w:cs="Times New Roman"/>
          <w:lang w:val="en-US"/>
        </w:rPr>
        <w:t xml:space="preserve">, or </w:t>
      </w:r>
      <w:r w:rsidR="00706FFE">
        <w:rPr>
          <w:rFonts w:ascii="Times New Roman" w:hAnsi="Times New Roman" w:cs="Times New Roman"/>
          <w:lang w:val="en-US"/>
        </w:rPr>
        <w:t>n</w:t>
      </w:r>
      <w:r w:rsidR="00706FFE" w:rsidRPr="005948DE">
        <w:rPr>
          <w:rFonts w:ascii="Times New Roman" w:hAnsi="Times New Roman" w:cs="Times New Roman"/>
          <w:lang w:val="en-US"/>
        </w:rPr>
        <w:t>on</w:t>
      </w:r>
      <w:r w:rsidRPr="005948DE">
        <w:rPr>
          <w:rFonts w:ascii="Times New Roman" w:hAnsi="Times New Roman" w:cs="Times New Roman"/>
          <w:lang w:val="en-US"/>
        </w:rPr>
        <w:t xml:space="preserve">-consulting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Pr="005948DE">
        <w:rPr>
          <w:rFonts w:ascii="Times New Roman" w:hAnsi="Times New Roman" w:cs="Times New Roman"/>
          <w:lang w:val="en-US"/>
        </w:rPr>
        <w:t xml:space="preserve">, awarded in accordance with procedures acceptable to the Bank, may be extended for additional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or </w:t>
      </w:r>
      <w:r w:rsidR="00706FFE">
        <w:rPr>
          <w:rFonts w:ascii="Times New Roman" w:hAnsi="Times New Roman" w:cs="Times New Roman"/>
          <w:lang w:val="en-US"/>
        </w:rPr>
        <w:t>n</w:t>
      </w:r>
      <w:r w:rsidR="00706FFE" w:rsidRPr="005948DE">
        <w:rPr>
          <w:rFonts w:ascii="Times New Roman" w:hAnsi="Times New Roman" w:cs="Times New Roman"/>
          <w:lang w:val="en-US"/>
        </w:rPr>
        <w:t xml:space="preserve">on-consulting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00706FFE">
        <w:rPr>
          <w:rFonts w:ascii="Times New Roman" w:hAnsi="Times New Roman" w:cs="Times New Roman"/>
          <w:lang w:val="en-US"/>
        </w:rPr>
        <w:t xml:space="preserve"> </w:t>
      </w:r>
      <w:r w:rsidRPr="005948DE">
        <w:rPr>
          <w:rFonts w:ascii="Times New Roman" w:hAnsi="Times New Roman" w:cs="Times New Roman"/>
          <w:lang w:val="en-US"/>
        </w:rPr>
        <w:t>of a similar nature, if:</w:t>
      </w:r>
    </w:p>
    <w:p w14:paraId="6BCFDB57" w14:textId="77777777" w:rsidR="00CA17E6" w:rsidRPr="005948DE" w:rsidRDefault="00CA17E6" w:rsidP="005948DE">
      <w:pPr>
        <w:numPr>
          <w:ilvl w:val="3"/>
          <w:numId w:val="675"/>
        </w:numPr>
        <w:spacing w:after="0" w:line="276" w:lineRule="auto"/>
        <w:ind w:left="1134" w:hanging="198"/>
        <w:jc w:val="both"/>
        <w:rPr>
          <w:rFonts w:ascii="Times New Roman" w:hAnsi="Times New Roman" w:cs="Times New Roman"/>
          <w:lang w:val="en-US"/>
        </w:rPr>
      </w:pPr>
      <w:r w:rsidRPr="005948DE">
        <w:rPr>
          <w:rFonts w:ascii="Times New Roman" w:hAnsi="Times New Roman" w:cs="Times New Roman"/>
          <w:lang w:val="en-US"/>
        </w:rPr>
        <w:t>it is properly justified;</w:t>
      </w:r>
    </w:p>
    <w:p w14:paraId="201E86FA" w14:textId="77777777" w:rsidR="00CA17E6" w:rsidRPr="005948DE" w:rsidRDefault="00CA17E6" w:rsidP="005948DE">
      <w:pPr>
        <w:numPr>
          <w:ilvl w:val="3"/>
          <w:numId w:val="675"/>
        </w:numPr>
        <w:spacing w:after="0" w:line="276" w:lineRule="auto"/>
        <w:ind w:left="1134" w:hanging="198"/>
        <w:jc w:val="both"/>
        <w:rPr>
          <w:rFonts w:ascii="Times New Roman" w:hAnsi="Times New Roman" w:cs="Times New Roman"/>
          <w:lang w:val="en-US"/>
        </w:rPr>
      </w:pPr>
      <w:r w:rsidRPr="005948DE">
        <w:rPr>
          <w:rFonts w:ascii="Times New Roman" w:hAnsi="Times New Roman" w:cs="Times New Roman"/>
          <w:lang w:val="en-US"/>
        </w:rPr>
        <w:t>no advantage could be obtained through competition; and</w:t>
      </w:r>
    </w:p>
    <w:p w14:paraId="4E2CEDBA" w14:textId="77777777" w:rsidR="00CA17E6" w:rsidRPr="005948DE" w:rsidRDefault="00CA17E6" w:rsidP="005948DE">
      <w:pPr>
        <w:numPr>
          <w:ilvl w:val="3"/>
          <w:numId w:val="675"/>
        </w:numPr>
        <w:spacing w:after="120" w:line="276" w:lineRule="auto"/>
        <w:ind w:left="1134"/>
        <w:jc w:val="both"/>
        <w:rPr>
          <w:rFonts w:ascii="Times New Roman" w:hAnsi="Times New Roman" w:cs="Times New Roman"/>
          <w:lang w:val="en-US"/>
        </w:rPr>
      </w:pPr>
      <w:r w:rsidRPr="005948DE">
        <w:rPr>
          <w:rFonts w:ascii="Times New Roman" w:hAnsi="Times New Roman" w:cs="Times New Roman"/>
          <w:lang w:val="en-US"/>
        </w:rPr>
        <w:t>the prices on the extended contract are reasonable;</w:t>
      </w:r>
    </w:p>
    <w:p w14:paraId="2CA8C84C" w14:textId="25B3A834"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there is a justifiable requirement to re-engage a firm that has previously completed a contract, within the last 12</w:t>
      </w:r>
      <w:r w:rsidR="00706FFE">
        <w:rPr>
          <w:rFonts w:ascii="Times New Roman" w:hAnsi="Times New Roman" w:cs="Times New Roman"/>
          <w:lang w:val="en-US"/>
        </w:rPr>
        <w:t xml:space="preserve"> (twelve)</w:t>
      </w:r>
      <w:r w:rsidRPr="005948DE">
        <w:rPr>
          <w:rFonts w:ascii="Times New Roman" w:hAnsi="Times New Roman" w:cs="Times New Roman"/>
          <w:lang w:val="en-US"/>
        </w:rPr>
        <w:t xml:space="preserve"> months, with the </w:t>
      </w:r>
      <w:r w:rsidRPr="004D35AA">
        <w:rPr>
          <w:rFonts w:ascii="Times New Roman" w:hAnsi="Times New Roman" w:cs="Times New Roman"/>
          <w:lang w:val="en-US"/>
        </w:rPr>
        <w:t>Borrower</w:t>
      </w:r>
      <w:r w:rsidRPr="005948DE">
        <w:rPr>
          <w:rFonts w:ascii="Times New Roman" w:hAnsi="Times New Roman" w:cs="Times New Roman"/>
          <w:lang w:val="en-US"/>
        </w:rPr>
        <w:t xml:space="preserve"> to perform a similar type of contract. The justification shall show that:</w:t>
      </w:r>
    </w:p>
    <w:p w14:paraId="6218C946" w14:textId="77777777" w:rsidR="00CA17E6" w:rsidRPr="005948DE" w:rsidRDefault="00CA17E6" w:rsidP="005948DE">
      <w:pPr>
        <w:numPr>
          <w:ilvl w:val="3"/>
          <w:numId w:val="680"/>
        </w:numPr>
        <w:spacing w:after="0" w:line="276" w:lineRule="auto"/>
        <w:ind w:left="1134" w:hanging="198"/>
        <w:jc w:val="both"/>
        <w:rPr>
          <w:rFonts w:ascii="Times New Roman" w:hAnsi="Times New Roman" w:cs="Times New Roman"/>
          <w:lang w:val="en-US"/>
        </w:rPr>
      </w:pPr>
      <w:r w:rsidRPr="005948DE">
        <w:rPr>
          <w:rFonts w:ascii="Times New Roman" w:hAnsi="Times New Roman" w:cs="Times New Roman"/>
          <w:lang w:val="en-US"/>
        </w:rPr>
        <w:t>the firm performed satisfactorily in the previous contract;</w:t>
      </w:r>
    </w:p>
    <w:p w14:paraId="6BEE6F13" w14:textId="77777777" w:rsidR="00CA17E6" w:rsidRPr="005948DE" w:rsidRDefault="00CA17E6" w:rsidP="005948DE">
      <w:pPr>
        <w:numPr>
          <w:ilvl w:val="3"/>
          <w:numId w:val="680"/>
        </w:numPr>
        <w:spacing w:after="0" w:line="276" w:lineRule="auto"/>
        <w:ind w:left="1134" w:hanging="198"/>
        <w:jc w:val="both"/>
        <w:rPr>
          <w:rFonts w:ascii="Times New Roman" w:hAnsi="Times New Roman" w:cs="Times New Roman"/>
          <w:lang w:val="en-US"/>
        </w:rPr>
      </w:pPr>
      <w:r w:rsidRPr="005948DE">
        <w:rPr>
          <w:rFonts w:ascii="Times New Roman" w:hAnsi="Times New Roman" w:cs="Times New Roman"/>
          <w:lang w:val="en-US"/>
        </w:rPr>
        <w:t>no advantage may be obtained by competition; and</w:t>
      </w:r>
    </w:p>
    <w:p w14:paraId="35281447" w14:textId="77777777" w:rsidR="00CA17E6" w:rsidRPr="005948DE" w:rsidRDefault="00CA17E6" w:rsidP="005948DE">
      <w:pPr>
        <w:numPr>
          <w:ilvl w:val="3"/>
          <w:numId w:val="680"/>
        </w:numPr>
        <w:spacing w:after="120" w:line="276" w:lineRule="auto"/>
        <w:ind w:left="1134"/>
        <w:jc w:val="both"/>
        <w:rPr>
          <w:rFonts w:ascii="Times New Roman" w:hAnsi="Times New Roman" w:cs="Times New Roman"/>
          <w:lang w:val="en-US"/>
        </w:rPr>
      </w:pPr>
      <w:r w:rsidRPr="005948DE">
        <w:rPr>
          <w:rFonts w:ascii="Times New Roman" w:hAnsi="Times New Roman" w:cs="Times New Roman"/>
          <w:lang w:val="en-US"/>
        </w:rPr>
        <w:t>the prices for the direct contracting are reasonable;</w:t>
      </w:r>
    </w:p>
    <w:p w14:paraId="5D9EC2AE" w14:textId="4F2B4A55"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procurement is of both very low value and low risk, as agreed in the </w:t>
      </w:r>
      <w:r w:rsidR="00706FFE">
        <w:rPr>
          <w:rFonts w:ascii="Times New Roman" w:hAnsi="Times New Roman" w:cs="Times New Roman"/>
          <w:lang w:val="en-US"/>
        </w:rPr>
        <w:t>PP</w:t>
      </w:r>
      <w:r w:rsidRPr="005948DE">
        <w:rPr>
          <w:rFonts w:ascii="Times New Roman" w:hAnsi="Times New Roman" w:cs="Times New Roman"/>
          <w:lang w:val="en-US"/>
        </w:rPr>
        <w:t>;</w:t>
      </w:r>
    </w:p>
    <w:p w14:paraId="2E9F73B7" w14:textId="77777777"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case is exceptional, for example, in response to Emergency Situations;</w:t>
      </w:r>
    </w:p>
    <w:p w14:paraId="3626F98A" w14:textId="15766F96"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standardization of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Pr="005948DE">
        <w:rPr>
          <w:rFonts w:ascii="Times New Roman" w:hAnsi="Times New Roman" w:cs="Times New Roman"/>
          <w:lang w:val="en-US"/>
        </w:rPr>
        <w:t xml:space="preserve">that need to be compatible with existing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Pr="005948DE">
        <w:rPr>
          <w:rFonts w:ascii="Times New Roman" w:hAnsi="Times New Roman" w:cs="Times New Roman"/>
          <w:lang w:val="en-US"/>
        </w:rPr>
        <w:t>may justify additional purchases from the original firm, if the advantages and disadvantages of another brand or source of equipment have been considered on grounds acceptable to the Bank;</w:t>
      </w:r>
    </w:p>
    <w:p w14:paraId="103FF69B" w14:textId="77777777"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required equipment is proprietary and obtainable from only one source;</w:t>
      </w:r>
    </w:p>
    <w:p w14:paraId="00E45920" w14:textId="4C01AB78"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procurement of certain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Pr="005948DE">
        <w:rPr>
          <w:rFonts w:ascii="Times New Roman" w:hAnsi="Times New Roman" w:cs="Times New Roman"/>
          <w:lang w:val="en-US"/>
        </w:rPr>
        <w:t xml:space="preserve">from a particular firm is essential to achieve the required performance or functional guarantee of an equipment, </w:t>
      </w:r>
      <w:r w:rsidR="00706FFE">
        <w:rPr>
          <w:rFonts w:ascii="Times New Roman" w:hAnsi="Times New Roman" w:cs="Times New Roman"/>
          <w:lang w:val="en-US"/>
        </w:rPr>
        <w:t>p</w:t>
      </w:r>
      <w:r w:rsidR="00706FFE" w:rsidRPr="005948DE">
        <w:rPr>
          <w:rFonts w:ascii="Times New Roman" w:hAnsi="Times New Roman" w:cs="Times New Roman"/>
          <w:lang w:val="en-US"/>
        </w:rPr>
        <w:t>lant</w:t>
      </w:r>
      <w:r w:rsidRPr="005948DE">
        <w:rPr>
          <w:rFonts w:ascii="Times New Roman" w:hAnsi="Times New Roman" w:cs="Times New Roman"/>
          <w:lang w:val="en-US"/>
        </w:rPr>
        <w:t>, or facility;</w:t>
      </w:r>
    </w:p>
    <w:p w14:paraId="533BD8AC" w14:textId="1F7BC636" w:rsidR="00CA17E6"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or </w:t>
      </w:r>
      <w:r w:rsidR="00706FFE">
        <w:rPr>
          <w:rFonts w:ascii="Times New Roman" w:hAnsi="Times New Roman" w:cs="Times New Roman"/>
          <w:lang w:val="en-US"/>
        </w:rPr>
        <w:t>n</w:t>
      </w:r>
      <w:r w:rsidR="00706FFE" w:rsidRPr="005948DE">
        <w:rPr>
          <w:rFonts w:ascii="Times New Roman" w:hAnsi="Times New Roman" w:cs="Times New Roman"/>
          <w:lang w:val="en-US"/>
        </w:rPr>
        <w:t xml:space="preserve">on-consulting </w:t>
      </w:r>
      <w:r w:rsidR="00706FFE">
        <w:rPr>
          <w:rFonts w:ascii="Times New Roman" w:hAnsi="Times New Roman" w:cs="Times New Roman"/>
          <w:lang w:val="en-US"/>
        </w:rPr>
        <w:t>s</w:t>
      </w:r>
      <w:r w:rsidR="00706FFE" w:rsidRPr="005948DE">
        <w:rPr>
          <w:rFonts w:ascii="Times New Roman" w:hAnsi="Times New Roman" w:cs="Times New Roman"/>
          <w:lang w:val="en-US"/>
        </w:rPr>
        <w:t>ervices</w:t>
      </w:r>
      <w:r w:rsidR="00706FFE">
        <w:rPr>
          <w:rFonts w:ascii="Times New Roman" w:hAnsi="Times New Roman" w:cs="Times New Roman"/>
          <w:lang w:val="en-US"/>
        </w:rPr>
        <w:t xml:space="preserve"> </w:t>
      </w:r>
      <w:r w:rsidRPr="005948DE">
        <w:rPr>
          <w:rFonts w:ascii="Times New Roman" w:hAnsi="Times New Roman" w:cs="Times New Roman"/>
          <w:lang w:val="en-US"/>
        </w:rPr>
        <w:t xml:space="preserve">provided in </w:t>
      </w:r>
      <w:r w:rsidR="00756577">
        <w:rPr>
          <w:rFonts w:ascii="Times New Roman" w:hAnsi="Times New Roman" w:cs="Times New Roman"/>
          <w:lang w:val="en-US"/>
        </w:rPr>
        <w:t>Serbia</w:t>
      </w:r>
      <w:r w:rsidRPr="005948DE">
        <w:rPr>
          <w:rFonts w:ascii="Times New Roman" w:hAnsi="Times New Roman" w:cs="Times New Roman"/>
          <w:lang w:val="en-US"/>
        </w:rPr>
        <w:t xml:space="preserve"> by an </w:t>
      </w:r>
      <w:r w:rsidR="00F73A15">
        <w:rPr>
          <w:rFonts w:ascii="Times New Roman" w:hAnsi="Times New Roman" w:cs="Times New Roman"/>
          <w:lang w:val="en-US"/>
        </w:rPr>
        <w:t>s</w:t>
      </w:r>
      <w:r w:rsidR="008F5AB0">
        <w:rPr>
          <w:rFonts w:ascii="Times New Roman" w:hAnsi="Times New Roman" w:cs="Times New Roman"/>
          <w:lang w:val="en-US"/>
        </w:rPr>
        <w:t xml:space="preserve">tate </w:t>
      </w:r>
      <w:r w:rsidR="00F73A15">
        <w:rPr>
          <w:rFonts w:ascii="Times New Roman" w:hAnsi="Times New Roman" w:cs="Times New Roman"/>
          <w:lang w:val="en-US"/>
        </w:rPr>
        <w:t>o</w:t>
      </w:r>
      <w:r w:rsidR="008F5AB0">
        <w:rPr>
          <w:rFonts w:ascii="Times New Roman" w:hAnsi="Times New Roman" w:cs="Times New Roman"/>
          <w:lang w:val="en-US"/>
        </w:rPr>
        <w:t xml:space="preserve">wned </w:t>
      </w:r>
      <w:r w:rsidR="00F73A15">
        <w:rPr>
          <w:rFonts w:ascii="Times New Roman" w:hAnsi="Times New Roman" w:cs="Times New Roman"/>
          <w:lang w:val="en-US"/>
        </w:rPr>
        <w:t>e</w:t>
      </w:r>
      <w:r w:rsidR="008F5AB0">
        <w:rPr>
          <w:rFonts w:ascii="Times New Roman" w:hAnsi="Times New Roman" w:cs="Times New Roman"/>
          <w:lang w:val="en-US"/>
        </w:rPr>
        <w:t>nterprise</w:t>
      </w:r>
      <w:r w:rsidRPr="005948DE">
        <w:rPr>
          <w:rFonts w:ascii="Times New Roman" w:hAnsi="Times New Roman" w:cs="Times New Roman"/>
          <w:lang w:val="en-US"/>
        </w:rPr>
        <w:t xml:space="preserve">, university, research center or institution of the </w:t>
      </w:r>
      <w:r w:rsidR="00756577">
        <w:rPr>
          <w:rFonts w:ascii="Times New Roman" w:hAnsi="Times New Roman" w:cs="Times New Roman"/>
          <w:lang w:val="en-US"/>
        </w:rPr>
        <w:t>Republic of Serbia</w:t>
      </w:r>
      <w:r w:rsidRPr="005948DE">
        <w:rPr>
          <w:rFonts w:ascii="Times New Roman" w:hAnsi="Times New Roman" w:cs="Times New Roman"/>
          <w:lang w:val="en-US"/>
        </w:rPr>
        <w:t xml:space="preserve"> are of a unique and exceptional nature; or</w:t>
      </w:r>
    </w:p>
    <w:p w14:paraId="07620D46" w14:textId="6A6FBD70" w:rsidR="00040A4E" w:rsidRPr="005948DE" w:rsidRDefault="00CA17E6" w:rsidP="005948DE">
      <w:pPr>
        <w:numPr>
          <w:ilvl w:val="2"/>
          <w:numId w:val="68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direct selection of </w:t>
      </w:r>
      <w:r w:rsidR="00706FFE">
        <w:rPr>
          <w:rFonts w:ascii="Times New Roman" w:hAnsi="Times New Roman" w:cs="Times New Roman"/>
          <w:lang w:val="en-US"/>
        </w:rPr>
        <w:t xml:space="preserve">the </w:t>
      </w:r>
      <w:r w:rsidRPr="005948DE">
        <w:rPr>
          <w:rFonts w:ascii="Times New Roman" w:hAnsi="Times New Roman" w:cs="Times New Roman"/>
          <w:lang w:val="en-US"/>
        </w:rPr>
        <w:t>U</w:t>
      </w:r>
      <w:r w:rsidR="00706FFE">
        <w:rPr>
          <w:rFonts w:ascii="Times New Roman" w:hAnsi="Times New Roman" w:cs="Times New Roman"/>
          <w:lang w:val="en-US"/>
        </w:rPr>
        <w:t xml:space="preserve">nited </w:t>
      </w:r>
      <w:r w:rsidRPr="005948DE">
        <w:rPr>
          <w:rFonts w:ascii="Times New Roman" w:hAnsi="Times New Roman" w:cs="Times New Roman"/>
          <w:lang w:val="en-US"/>
        </w:rPr>
        <w:t>N</w:t>
      </w:r>
      <w:r w:rsidR="00706FFE">
        <w:rPr>
          <w:rFonts w:ascii="Times New Roman" w:hAnsi="Times New Roman" w:cs="Times New Roman"/>
          <w:lang w:val="en-US"/>
        </w:rPr>
        <w:t xml:space="preserve">ations </w:t>
      </w:r>
      <w:r w:rsidRPr="005948DE">
        <w:rPr>
          <w:rFonts w:ascii="Times New Roman" w:hAnsi="Times New Roman" w:cs="Times New Roman"/>
          <w:lang w:val="en-US"/>
        </w:rPr>
        <w:t>Agencies.</w:t>
      </w:r>
    </w:p>
    <w:p w14:paraId="57A3F73E" w14:textId="77777777" w:rsidR="00040A4E" w:rsidRPr="005948DE" w:rsidRDefault="00040A4E" w:rsidP="005948DE">
      <w:pPr>
        <w:spacing w:after="0" w:line="276" w:lineRule="auto"/>
        <w:jc w:val="both"/>
        <w:rPr>
          <w:rFonts w:ascii="Times New Roman" w:hAnsi="Times New Roman" w:cs="Times New Roman"/>
          <w:color w:val="0070C0"/>
          <w:lang w:val="en-US"/>
        </w:rPr>
      </w:pPr>
    </w:p>
    <w:p w14:paraId="63928E15" w14:textId="5BC357E3"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In all instances of direct selection, the </w:t>
      </w:r>
      <w:r w:rsidR="00756577">
        <w:rPr>
          <w:rFonts w:ascii="Times New Roman" w:hAnsi="Times New Roman" w:cs="Times New Roman"/>
          <w:lang w:val="en-US"/>
        </w:rPr>
        <w:t>Republic of Serbia, as the Borrower,</w:t>
      </w:r>
      <w:r w:rsidR="00756577" w:rsidRPr="005948DE">
        <w:rPr>
          <w:rFonts w:ascii="Times New Roman" w:hAnsi="Times New Roman" w:cs="Times New Roman"/>
          <w:lang w:val="en-US"/>
        </w:rPr>
        <w:t xml:space="preserve"> </w:t>
      </w:r>
      <w:r w:rsidRPr="005948DE">
        <w:rPr>
          <w:rFonts w:ascii="Times New Roman" w:hAnsi="Times New Roman" w:cs="Times New Roman"/>
          <w:lang w:val="en-US"/>
        </w:rPr>
        <w:t>shall ensure that:</w:t>
      </w:r>
    </w:p>
    <w:p w14:paraId="086198B2" w14:textId="77777777" w:rsidR="00CA17E6" w:rsidRPr="005948DE" w:rsidRDefault="00CA17E6" w:rsidP="005948DE">
      <w:pPr>
        <w:numPr>
          <w:ilvl w:val="2"/>
          <w:numId w:val="68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prices are reasonable and consistent with the market rates for items of a similar nature; and</w:t>
      </w:r>
    </w:p>
    <w:p w14:paraId="36B39AF1" w14:textId="4038D88A" w:rsidR="00CA17E6" w:rsidRPr="00667DE5" w:rsidRDefault="00CA17E6" w:rsidP="00665F55">
      <w:pPr>
        <w:numPr>
          <w:ilvl w:val="2"/>
          <w:numId w:val="68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required </w:t>
      </w:r>
      <w:r w:rsidR="00706FFE">
        <w:rPr>
          <w:rFonts w:ascii="Times New Roman" w:hAnsi="Times New Roman" w:cs="Times New Roman"/>
          <w:lang w:val="en-US"/>
        </w:rPr>
        <w:t>g</w:t>
      </w:r>
      <w:r w:rsidR="00706FFE" w:rsidRPr="005948DE">
        <w:rPr>
          <w:rFonts w:ascii="Times New Roman" w:hAnsi="Times New Roman" w:cs="Times New Roman"/>
          <w:lang w:val="en-US"/>
        </w:rPr>
        <w:t xml:space="preserve">oods, </w:t>
      </w:r>
      <w:r w:rsidR="00706FFE">
        <w:rPr>
          <w:rFonts w:ascii="Times New Roman" w:hAnsi="Times New Roman" w:cs="Times New Roman"/>
          <w:lang w:val="en-US"/>
        </w:rPr>
        <w:t>w</w:t>
      </w:r>
      <w:r w:rsidR="00706FFE" w:rsidRPr="005948DE">
        <w:rPr>
          <w:rFonts w:ascii="Times New Roman" w:hAnsi="Times New Roman" w:cs="Times New Roman"/>
          <w:lang w:val="en-US"/>
        </w:rPr>
        <w:t xml:space="preserve">orks, or </w:t>
      </w:r>
      <w:r w:rsidR="00706FFE">
        <w:rPr>
          <w:rFonts w:ascii="Times New Roman" w:hAnsi="Times New Roman" w:cs="Times New Roman"/>
          <w:lang w:val="en-US"/>
        </w:rPr>
        <w:t>n</w:t>
      </w:r>
      <w:r w:rsidR="00706FFE" w:rsidRPr="005948DE">
        <w:rPr>
          <w:rFonts w:ascii="Times New Roman" w:hAnsi="Times New Roman" w:cs="Times New Roman"/>
          <w:lang w:val="en-US"/>
        </w:rPr>
        <w:t xml:space="preserve">on-consulting </w:t>
      </w:r>
      <w:r w:rsidR="00F73A15">
        <w:rPr>
          <w:rFonts w:ascii="Times New Roman" w:hAnsi="Times New Roman" w:cs="Times New Roman"/>
          <w:lang w:val="en-US"/>
        </w:rPr>
        <w:t>s</w:t>
      </w:r>
      <w:r w:rsidR="00F73A15" w:rsidRPr="005948DE">
        <w:rPr>
          <w:rFonts w:ascii="Times New Roman" w:hAnsi="Times New Roman" w:cs="Times New Roman"/>
          <w:lang w:val="en-US"/>
        </w:rPr>
        <w:t>ervices are</w:t>
      </w:r>
      <w:r w:rsidRPr="005948DE">
        <w:rPr>
          <w:rFonts w:ascii="Times New Roman" w:hAnsi="Times New Roman" w:cs="Times New Roman"/>
          <w:lang w:val="en-US"/>
        </w:rPr>
        <w:t xml:space="preserve"> not split into smaller-sized procurement to avoid competitive processes.</w:t>
      </w:r>
    </w:p>
    <w:p w14:paraId="234BE87E" w14:textId="77777777" w:rsidR="00CA17E6" w:rsidRPr="005948DE" w:rsidRDefault="00CA17E6" w:rsidP="005948DE">
      <w:pPr>
        <w:pStyle w:val="Heading4"/>
        <w:spacing w:line="276" w:lineRule="auto"/>
        <w:jc w:val="both"/>
        <w:rPr>
          <w:rFonts w:ascii="Times New Roman" w:hAnsi="Times New Roman" w:cs="Times New Roman"/>
          <w:color w:val="auto"/>
          <w:lang w:val="en-US"/>
        </w:rPr>
      </w:pPr>
      <w:r w:rsidRPr="005948DE">
        <w:rPr>
          <w:rFonts w:ascii="Times New Roman" w:hAnsi="Times New Roman" w:cs="Times New Roman"/>
          <w:color w:val="auto"/>
          <w:lang w:val="en-US"/>
        </w:rPr>
        <w:t>Market Approach Options</w:t>
      </w:r>
    </w:p>
    <w:p w14:paraId="3222F48E"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Open Competition</w:t>
      </w:r>
    </w:p>
    <w:p w14:paraId="020CA9B5" w14:textId="7B5E9251"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An open competitive approach to market is the Bank’s preferred approach as it provides all eligible prospective Bidders/Proposers with timely and adequate advertisement of a </w:t>
      </w:r>
      <w:r w:rsidRPr="00F94C4F">
        <w:rPr>
          <w:rFonts w:ascii="Times New Roman" w:hAnsi="Times New Roman" w:cs="Times New Roman"/>
          <w:lang w:val="en-US"/>
        </w:rPr>
        <w:t>Borrower’s</w:t>
      </w:r>
      <w:r w:rsidRPr="005948DE">
        <w:rPr>
          <w:rFonts w:ascii="Times New Roman" w:hAnsi="Times New Roman" w:cs="Times New Roman"/>
          <w:lang w:val="en-US"/>
        </w:rPr>
        <w:t xml:space="preserve"> requirements and an equal opportunity to bid/propose for the required </w:t>
      </w:r>
      <w:r w:rsidR="005A5126">
        <w:rPr>
          <w:rFonts w:ascii="Times New Roman" w:hAnsi="Times New Roman" w:cs="Times New Roman"/>
          <w:lang w:val="en-US"/>
        </w:rPr>
        <w:t>g</w:t>
      </w:r>
      <w:r w:rsidR="005A5126" w:rsidRPr="005948DE">
        <w:rPr>
          <w:rFonts w:ascii="Times New Roman" w:hAnsi="Times New Roman" w:cs="Times New Roman"/>
          <w:lang w:val="en-US"/>
        </w:rPr>
        <w:t xml:space="preserve">oods, </w:t>
      </w:r>
      <w:r w:rsidR="005A5126">
        <w:rPr>
          <w:rFonts w:ascii="Times New Roman" w:hAnsi="Times New Roman" w:cs="Times New Roman"/>
          <w:lang w:val="en-US"/>
        </w:rPr>
        <w:t>w</w:t>
      </w:r>
      <w:r w:rsidR="005A5126" w:rsidRPr="005948DE">
        <w:rPr>
          <w:rFonts w:ascii="Times New Roman" w:hAnsi="Times New Roman" w:cs="Times New Roman"/>
          <w:lang w:val="en-US"/>
        </w:rPr>
        <w:t xml:space="preserve">orks, or </w:t>
      </w:r>
      <w:r w:rsidR="005A5126">
        <w:rPr>
          <w:rFonts w:ascii="Times New Roman" w:hAnsi="Times New Roman" w:cs="Times New Roman"/>
          <w:lang w:val="en-US"/>
        </w:rPr>
        <w:t>n</w:t>
      </w:r>
      <w:r w:rsidR="005A5126" w:rsidRPr="005948DE">
        <w:rPr>
          <w:rFonts w:ascii="Times New Roman" w:hAnsi="Times New Roman" w:cs="Times New Roman"/>
          <w:lang w:val="en-US"/>
        </w:rPr>
        <w:t xml:space="preserve">on-consulting </w:t>
      </w:r>
      <w:r w:rsidR="005A5126">
        <w:rPr>
          <w:rFonts w:ascii="Times New Roman" w:hAnsi="Times New Roman" w:cs="Times New Roman"/>
          <w:lang w:val="en-US"/>
        </w:rPr>
        <w:t>s</w:t>
      </w:r>
      <w:r w:rsidR="005A5126" w:rsidRPr="005948DE">
        <w:rPr>
          <w:rFonts w:ascii="Times New Roman" w:hAnsi="Times New Roman" w:cs="Times New Roman"/>
          <w:lang w:val="en-US"/>
        </w:rPr>
        <w:t>ervices</w:t>
      </w:r>
      <w:r w:rsidRPr="005948DE">
        <w:rPr>
          <w:rFonts w:ascii="Times New Roman" w:hAnsi="Times New Roman" w:cs="Times New Roman"/>
          <w:lang w:val="en-US"/>
        </w:rPr>
        <w:t xml:space="preserve">. Any approach, other than open competition, shall be justified by the </w:t>
      </w:r>
      <w:r w:rsidRPr="00F94C4F">
        <w:rPr>
          <w:rFonts w:ascii="Times New Roman" w:hAnsi="Times New Roman" w:cs="Times New Roman"/>
          <w:lang w:val="en-US"/>
        </w:rPr>
        <w:t>Borrower</w:t>
      </w:r>
      <w:r w:rsidRPr="005948DE">
        <w:rPr>
          <w:rFonts w:ascii="Times New Roman" w:hAnsi="Times New Roman" w:cs="Times New Roman"/>
          <w:lang w:val="en-US"/>
        </w:rPr>
        <w:t xml:space="preserve">. Any such approach shall be stated in the </w:t>
      </w:r>
      <w:r w:rsidR="005A5126">
        <w:rPr>
          <w:rFonts w:ascii="Times New Roman" w:hAnsi="Times New Roman" w:cs="Times New Roman"/>
          <w:lang w:val="en-US"/>
        </w:rPr>
        <w:t>PP</w:t>
      </w:r>
      <w:r w:rsidRPr="005948DE">
        <w:rPr>
          <w:rFonts w:ascii="Times New Roman" w:hAnsi="Times New Roman" w:cs="Times New Roman"/>
          <w:lang w:val="en-US"/>
        </w:rPr>
        <w:t>.</w:t>
      </w:r>
    </w:p>
    <w:p w14:paraId="6B2AFCE9"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Limited Competition</w:t>
      </w:r>
    </w:p>
    <w:p w14:paraId="6B356AB5"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A limited competitive approach to market is by invitation only, without advertisement. It may be an appropriate method of selection where there are only a limited number of firms or there are other exceptional reasons that justify departure from open competitive procurement approaches.</w:t>
      </w:r>
    </w:p>
    <w:p w14:paraId="1BE7EFEA"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Approaching the International Market</w:t>
      </w:r>
    </w:p>
    <w:p w14:paraId="2BEB9ED4"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Approaching the international market (international competitive procurement), is appropriate when the participation of foreign firms will increase competition and may assure the achievement of best VfM and fit-for-purpose results.</w:t>
      </w:r>
    </w:p>
    <w:p w14:paraId="0938F50C" w14:textId="6B44779D"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Open international competitive procurement, for which international advertisement is required in accordance with these Procurement Regulations, is the preferred approach for complex, high-risk, and/or high-value contracts. The Bank has set specific thresholds for this purpose. (see Guidance on Country Thresholds</w:t>
      </w:r>
      <w:r w:rsidR="00F73A15">
        <w:rPr>
          <w:rStyle w:val="FootnoteReference"/>
          <w:rFonts w:ascii="Times New Roman" w:hAnsi="Times New Roman" w:cs="Times New Roman"/>
          <w:lang w:val="en-US"/>
        </w:rPr>
        <w:footnoteReference w:id="15"/>
      </w:r>
      <w:r w:rsidRPr="005948DE">
        <w:rPr>
          <w:rFonts w:ascii="Times New Roman" w:hAnsi="Times New Roman" w:cs="Times New Roman"/>
          <w:lang w:val="en-US"/>
        </w:rPr>
        <w:t>)</w:t>
      </w:r>
    </w:p>
    <w:p w14:paraId="2E8AC4E5"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Approaching the National Market</w:t>
      </w:r>
    </w:p>
    <w:p w14:paraId="1CB05119" w14:textId="76202B8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As agreed in the </w:t>
      </w:r>
      <w:r w:rsidR="005A5126">
        <w:rPr>
          <w:rFonts w:ascii="Times New Roman" w:hAnsi="Times New Roman" w:cs="Times New Roman"/>
          <w:lang w:val="en-US"/>
        </w:rPr>
        <w:t>PP</w:t>
      </w:r>
      <w:r w:rsidRPr="005948DE">
        <w:rPr>
          <w:rFonts w:ascii="Times New Roman" w:hAnsi="Times New Roman" w:cs="Times New Roman"/>
          <w:lang w:val="en-US"/>
        </w:rPr>
        <w:t>, approaching the national market may be appropriate when the procurement is unlikely to attract foreign competition because of:</w:t>
      </w:r>
    </w:p>
    <w:p w14:paraId="3323DFA2" w14:textId="77777777" w:rsidR="00CA17E6" w:rsidRPr="005948DE" w:rsidRDefault="00CA17E6" w:rsidP="005948DE">
      <w:pPr>
        <w:numPr>
          <w:ilvl w:val="2"/>
          <w:numId w:val="68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size and conditions of the market;</w:t>
      </w:r>
    </w:p>
    <w:p w14:paraId="0247227F" w14:textId="77777777" w:rsidR="00CA17E6" w:rsidRPr="005948DE" w:rsidRDefault="00CA17E6" w:rsidP="005948DE">
      <w:pPr>
        <w:numPr>
          <w:ilvl w:val="2"/>
          <w:numId w:val="68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value of the contract;</w:t>
      </w:r>
    </w:p>
    <w:p w14:paraId="7E03110A" w14:textId="77777777" w:rsidR="00CA17E6" w:rsidRPr="005948DE" w:rsidRDefault="00CA17E6" w:rsidP="005948DE">
      <w:pPr>
        <w:numPr>
          <w:ilvl w:val="2"/>
          <w:numId w:val="68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activities that are scattered geographically, spread over time, or are labor- intensive; or</w:t>
      </w:r>
    </w:p>
    <w:p w14:paraId="56B1A199" w14:textId="5790820D" w:rsidR="00CA17E6" w:rsidRPr="005948DE" w:rsidRDefault="00CA17E6" w:rsidP="005948DE">
      <w:pPr>
        <w:numPr>
          <w:ilvl w:val="2"/>
          <w:numId w:val="68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w:t>
      </w:r>
      <w:r w:rsidR="005A5126">
        <w:rPr>
          <w:rFonts w:ascii="Times New Roman" w:hAnsi="Times New Roman" w:cs="Times New Roman"/>
          <w:lang w:val="en-US"/>
        </w:rPr>
        <w:t>g</w:t>
      </w:r>
      <w:r w:rsidR="005A5126" w:rsidRPr="005948DE">
        <w:rPr>
          <w:rFonts w:ascii="Times New Roman" w:hAnsi="Times New Roman" w:cs="Times New Roman"/>
          <w:lang w:val="en-US"/>
        </w:rPr>
        <w:t>oods</w:t>
      </w:r>
      <w:r w:rsidRPr="005948DE">
        <w:rPr>
          <w:rFonts w:ascii="Times New Roman" w:hAnsi="Times New Roman" w:cs="Times New Roman"/>
          <w:lang w:val="en-US"/>
        </w:rPr>
        <w:t xml:space="preserve">, </w:t>
      </w:r>
      <w:r w:rsidR="005A5126">
        <w:rPr>
          <w:rFonts w:ascii="Times New Roman" w:hAnsi="Times New Roman" w:cs="Times New Roman"/>
          <w:lang w:val="en-US"/>
        </w:rPr>
        <w:t>w</w:t>
      </w:r>
      <w:r w:rsidR="005A5126" w:rsidRPr="005948DE">
        <w:rPr>
          <w:rFonts w:ascii="Times New Roman" w:hAnsi="Times New Roman" w:cs="Times New Roman"/>
          <w:lang w:val="en-US"/>
        </w:rPr>
        <w:t>orks</w:t>
      </w:r>
      <w:r w:rsidRPr="005948DE">
        <w:rPr>
          <w:rFonts w:ascii="Times New Roman" w:hAnsi="Times New Roman" w:cs="Times New Roman"/>
          <w:lang w:val="en-US"/>
        </w:rPr>
        <w:t xml:space="preserve">, or </w:t>
      </w:r>
      <w:r w:rsidR="005A5126">
        <w:rPr>
          <w:rFonts w:ascii="Times New Roman" w:hAnsi="Times New Roman" w:cs="Times New Roman"/>
          <w:lang w:val="en-US"/>
        </w:rPr>
        <w:t>n</w:t>
      </w:r>
      <w:r w:rsidR="005A5126" w:rsidRPr="005948DE">
        <w:rPr>
          <w:rFonts w:ascii="Times New Roman" w:hAnsi="Times New Roman" w:cs="Times New Roman"/>
          <w:lang w:val="en-US"/>
        </w:rPr>
        <w:t>on</w:t>
      </w:r>
      <w:r w:rsidRPr="005948DE">
        <w:rPr>
          <w:rFonts w:ascii="Times New Roman" w:hAnsi="Times New Roman" w:cs="Times New Roman"/>
          <w:lang w:val="en-US"/>
        </w:rPr>
        <w:t xml:space="preserve">-consulting </w:t>
      </w:r>
      <w:r w:rsidR="005A5126">
        <w:rPr>
          <w:rFonts w:ascii="Times New Roman" w:hAnsi="Times New Roman" w:cs="Times New Roman"/>
          <w:lang w:val="en-US"/>
        </w:rPr>
        <w:t>s</w:t>
      </w:r>
      <w:r w:rsidR="005A5126" w:rsidRPr="005948DE">
        <w:rPr>
          <w:rFonts w:ascii="Times New Roman" w:hAnsi="Times New Roman" w:cs="Times New Roman"/>
          <w:lang w:val="en-US"/>
        </w:rPr>
        <w:t xml:space="preserve">ervices </w:t>
      </w:r>
      <w:r w:rsidRPr="005948DE">
        <w:rPr>
          <w:rFonts w:ascii="Times New Roman" w:hAnsi="Times New Roman" w:cs="Times New Roman"/>
          <w:lang w:val="en-US"/>
        </w:rPr>
        <w:t>are available locally at prices below the international market.</w:t>
      </w:r>
    </w:p>
    <w:p w14:paraId="779149D0"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Approaching the national market may also be appropriate when the advantages of approaching the international market are clearly outweighed by the administrative or financial burden involved.</w:t>
      </w:r>
    </w:p>
    <w:p w14:paraId="1BC9AB99"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If foreign firms wish to participate in open national competitive procurement, they are allowed to do so on the terms and conditions that apply to national firms.</w:t>
      </w:r>
    </w:p>
    <w:p w14:paraId="0BF8400E" w14:textId="385F0C00"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When approaching the national market, the country’s own procurement procedures may be used.</w:t>
      </w:r>
    </w:p>
    <w:p w14:paraId="5675B32C" w14:textId="1DD25962"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Prequalification and Initial Selection</w:t>
      </w:r>
    </w:p>
    <w:p w14:paraId="4BA4E8C1" w14:textId="77777777" w:rsidR="005C73F2" w:rsidRPr="005948DE" w:rsidRDefault="005C73F2" w:rsidP="005948DE">
      <w:pPr>
        <w:spacing w:after="0" w:line="276" w:lineRule="auto"/>
        <w:jc w:val="both"/>
        <w:rPr>
          <w:rFonts w:ascii="Times New Roman" w:hAnsi="Times New Roman" w:cs="Times New Roman"/>
          <w:color w:val="0070C0"/>
          <w:sz w:val="12"/>
          <w:lang w:val="en-US"/>
        </w:rPr>
      </w:pPr>
    </w:p>
    <w:p w14:paraId="108211B4" w14:textId="0BDCFA76" w:rsidR="005C73F2" w:rsidRPr="005948DE" w:rsidRDefault="005C73F2"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Goods, and Non-consulting Services</w:t>
      </w:r>
    </w:p>
    <w:p w14:paraId="476BB079" w14:textId="7151F631"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Prequalification and Initial Selection are processes used to shortlist </w:t>
      </w:r>
      <w:r w:rsidR="00061C89">
        <w:rPr>
          <w:rFonts w:ascii="Times New Roman" w:hAnsi="Times New Roman" w:cs="Times New Roman"/>
          <w:lang w:val="en-US"/>
        </w:rPr>
        <w:t>a</w:t>
      </w:r>
      <w:r w:rsidR="00061C89" w:rsidRPr="005948DE">
        <w:rPr>
          <w:rFonts w:ascii="Times New Roman" w:hAnsi="Times New Roman" w:cs="Times New Roman"/>
          <w:lang w:val="en-US"/>
        </w:rPr>
        <w:t xml:space="preserve">pplicants </w:t>
      </w:r>
      <w:r w:rsidRPr="005948DE">
        <w:rPr>
          <w:rFonts w:ascii="Times New Roman" w:hAnsi="Times New Roman" w:cs="Times New Roman"/>
          <w:lang w:val="en-US"/>
        </w:rPr>
        <w:t xml:space="preserve">in the procurement of </w:t>
      </w:r>
      <w:r w:rsidR="005A5126">
        <w:rPr>
          <w:rFonts w:ascii="Times New Roman" w:hAnsi="Times New Roman" w:cs="Times New Roman"/>
          <w:lang w:val="en-US"/>
        </w:rPr>
        <w:t>g</w:t>
      </w:r>
      <w:r w:rsidR="005A5126" w:rsidRPr="005948DE">
        <w:rPr>
          <w:rFonts w:ascii="Times New Roman" w:hAnsi="Times New Roman" w:cs="Times New Roman"/>
          <w:lang w:val="en-US"/>
        </w:rPr>
        <w:t>oods</w:t>
      </w:r>
      <w:r w:rsidRPr="005948DE">
        <w:rPr>
          <w:rFonts w:ascii="Times New Roman" w:hAnsi="Times New Roman" w:cs="Times New Roman"/>
          <w:lang w:val="en-US"/>
        </w:rPr>
        <w:t xml:space="preserve">, and </w:t>
      </w:r>
      <w:r w:rsidR="005A5126">
        <w:rPr>
          <w:rFonts w:ascii="Times New Roman" w:hAnsi="Times New Roman" w:cs="Times New Roman"/>
          <w:lang w:val="en-US"/>
        </w:rPr>
        <w:t>n</w:t>
      </w:r>
      <w:r w:rsidR="005A5126" w:rsidRPr="005948DE">
        <w:rPr>
          <w:rFonts w:ascii="Times New Roman" w:hAnsi="Times New Roman" w:cs="Times New Roman"/>
          <w:lang w:val="en-US"/>
        </w:rPr>
        <w:t>on</w:t>
      </w:r>
      <w:r w:rsidRPr="005948DE">
        <w:rPr>
          <w:rFonts w:ascii="Times New Roman" w:hAnsi="Times New Roman" w:cs="Times New Roman"/>
          <w:lang w:val="en-US"/>
        </w:rPr>
        <w:t xml:space="preserve">-consulting </w:t>
      </w:r>
      <w:r w:rsidR="005A5126">
        <w:rPr>
          <w:rFonts w:ascii="Times New Roman" w:hAnsi="Times New Roman" w:cs="Times New Roman"/>
          <w:lang w:val="en-US"/>
        </w:rPr>
        <w:t>s</w:t>
      </w:r>
      <w:r w:rsidR="005A5126" w:rsidRPr="005948DE">
        <w:rPr>
          <w:rFonts w:ascii="Times New Roman" w:hAnsi="Times New Roman" w:cs="Times New Roman"/>
          <w:lang w:val="en-US"/>
        </w:rPr>
        <w:t>ervices</w:t>
      </w:r>
      <w:r w:rsidRPr="005948DE">
        <w:rPr>
          <w:rFonts w:ascii="Times New Roman" w:hAnsi="Times New Roman" w:cs="Times New Roman"/>
          <w:lang w:val="en-US"/>
        </w:rPr>
        <w:t xml:space="preserve">. These processes ensure that only those with appropriate and adequate capacity, capability and resources are invited to submit Bids/Proposals. In undertaking a Prequalification or Initial Selection the </w:t>
      </w:r>
      <w:r w:rsidRPr="000B3886">
        <w:rPr>
          <w:rFonts w:ascii="Times New Roman" w:hAnsi="Times New Roman" w:cs="Times New Roman"/>
          <w:lang w:val="en-US"/>
        </w:rPr>
        <w:t>Borrower</w:t>
      </w:r>
      <w:r w:rsidRPr="005948DE">
        <w:rPr>
          <w:rFonts w:ascii="Times New Roman" w:hAnsi="Times New Roman" w:cs="Times New Roman"/>
          <w:lang w:val="en-US"/>
        </w:rPr>
        <w:t xml:space="preserve"> shall use the Bank’s Standard Prequalification document/Initial Selection document.</w:t>
      </w:r>
    </w:p>
    <w:p w14:paraId="095DEF2C" w14:textId="65649190"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Prequalification or Initial Selection is appropriate for large or complex contracts, or in other circumstances, such as: the need for custom-designed equipment, </w:t>
      </w:r>
      <w:r w:rsidR="005A5126">
        <w:rPr>
          <w:rFonts w:ascii="Times New Roman" w:hAnsi="Times New Roman" w:cs="Times New Roman"/>
          <w:lang w:val="en-US"/>
        </w:rPr>
        <w:t>p</w:t>
      </w:r>
      <w:r w:rsidR="005A5126" w:rsidRPr="005948DE">
        <w:rPr>
          <w:rFonts w:ascii="Times New Roman" w:hAnsi="Times New Roman" w:cs="Times New Roman"/>
          <w:lang w:val="en-US"/>
        </w:rPr>
        <w:t>lant</w:t>
      </w:r>
      <w:r w:rsidRPr="005948DE">
        <w:rPr>
          <w:rFonts w:ascii="Times New Roman" w:hAnsi="Times New Roman" w:cs="Times New Roman"/>
          <w:lang w:val="en-US"/>
        </w:rPr>
        <w:t>, specialized services, some complex information and technology, procurement under turnkey, design and build, or management contracting in which the high costs of preparing detailed Bids/Proposals could discourage competition.</w:t>
      </w:r>
    </w:p>
    <w:p w14:paraId="73AD1CF5" w14:textId="7C4323B3"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The assessment of an Applicant’s qualifications shall not take into consideration the qualifications of other firms </w:t>
      </w:r>
      <w:r w:rsidR="001530DE" w:rsidRPr="005948DE">
        <w:rPr>
          <w:rFonts w:ascii="Times New Roman" w:hAnsi="Times New Roman" w:cs="Times New Roman"/>
          <w:lang w:val="en-US"/>
        </w:rPr>
        <w:t>such as</w:t>
      </w:r>
      <w:r w:rsidRPr="005948DE">
        <w:rPr>
          <w:rFonts w:ascii="Times New Roman" w:hAnsi="Times New Roman" w:cs="Times New Roman"/>
          <w:lang w:val="en-US"/>
        </w:rPr>
        <w:t xml:space="preserve"> its</w:t>
      </w:r>
      <w:r w:rsidR="00C60C14">
        <w:rPr>
          <w:rFonts w:ascii="Times New Roman" w:hAnsi="Times New Roman" w:cs="Times New Roman"/>
          <w:lang w:val="en-US"/>
        </w:rPr>
        <w:t xml:space="preserve"> subsidiaries, parent entities,</w:t>
      </w:r>
      <w:r w:rsidRPr="005948DE">
        <w:rPr>
          <w:rFonts w:ascii="Times New Roman" w:hAnsi="Times New Roman" w:cs="Times New Roman"/>
          <w:lang w:val="en-US"/>
        </w:rPr>
        <w:t xml:space="preserve"> affiliates, su</w:t>
      </w:r>
      <w:r w:rsidR="00C60C14">
        <w:rPr>
          <w:rFonts w:ascii="Times New Roman" w:hAnsi="Times New Roman" w:cs="Times New Roman"/>
          <w:lang w:val="en-US"/>
        </w:rPr>
        <w:t>bcontractors (other</w:t>
      </w:r>
      <w:r w:rsidRPr="005948DE">
        <w:rPr>
          <w:rFonts w:ascii="Times New Roman" w:hAnsi="Times New Roman" w:cs="Times New Roman"/>
          <w:lang w:val="en-US"/>
        </w:rPr>
        <w:t xml:space="preserve"> than specialized subcontractors if permitted in the Prequalification/Initial Selection document), or any other firm different from the firm that submitted the Prequalification/Initial Selection Application.</w:t>
      </w:r>
    </w:p>
    <w:p w14:paraId="533CE920"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When the time elapsed between the </w:t>
      </w:r>
      <w:r w:rsidRPr="00F94C4F">
        <w:rPr>
          <w:rFonts w:ascii="Times New Roman" w:hAnsi="Times New Roman" w:cs="Times New Roman"/>
          <w:lang w:val="en-US"/>
        </w:rPr>
        <w:t>Borrower’s</w:t>
      </w:r>
      <w:r w:rsidRPr="005948DE">
        <w:rPr>
          <w:rFonts w:ascii="Times New Roman" w:hAnsi="Times New Roman" w:cs="Times New Roman"/>
          <w:lang w:val="en-US"/>
        </w:rPr>
        <w:t xml:space="preserve"> decision on the list of prequalified/ initially selected Applicants and the issuance of request for bids/request for proposals documents is longer than twelve (12) months, the Bank may require that a new Prequalification/Initial Selection process is conducted through re-advertisement.</w:t>
      </w:r>
    </w:p>
    <w:p w14:paraId="62C84FDB"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Prequalification</w:t>
      </w:r>
    </w:p>
    <w:p w14:paraId="39AC7F97" w14:textId="7AF7E770" w:rsidR="00CA17E6"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 xml:space="preserve">Prequalification is normally used with Requests for Bids and is optional depending on the nature and complexity of the </w:t>
      </w:r>
      <w:r w:rsidR="005A5126">
        <w:rPr>
          <w:rFonts w:ascii="Times New Roman" w:hAnsi="Times New Roman" w:cs="Times New Roman"/>
        </w:rPr>
        <w:t>g</w:t>
      </w:r>
      <w:r w:rsidR="005A5126" w:rsidRPr="005948DE">
        <w:rPr>
          <w:rFonts w:ascii="Times New Roman" w:hAnsi="Times New Roman" w:cs="Times New Roman"/>
        </w:rPr>
        <w:t>oods</w:t>
      </w:r>
      <w:r w:rsidRPr="005948DE">
        <w:rPr>
          <w:rFonts w:ascii="Times New Roman" w:hAnsi="Times New Roman" w:cs="Times New Roman"/>
        </w:rPr>
        <w:t xml:space="preserve">, or </w:t>
      </w:r>
      <w:r w:rsidR="005A5126">
        <w:rPr>
          <w:rFonts w:ascii="Times New Roman" w:hAnsi="Times New Roman" w:cs="Times New Roman"/>
        </w:rPr>
        <w:t>n</w:t>
      </w:r>
      <w:r w:rsidR="005A5126" w:rsidRPr="005948DE">
        <w:rPr>
          <w:rFonts w:ascii="Times New Roman" w:hAnsi="Times New Roman" w:cs="Times New Roman"/>
        </w:rPr>
        <w:t>on</w:t>
      </w:r>
      <w:r w:rsidRPr="005948DE">
        <w:rPr>
          <w:rFonts w:ascii="Times New Roman" w:hAnsi="Times New Roman" w:cs="Times New Roman"/>
        </w:rPr>
        <w:t xml:space="preserve">-consulting </w:t>
      </w:r>
      <w:r w:rsidR="005A5126">
        <w:rPr>
          <w:rFonts w:ascii="Times New Roman" w:hAnsi="Times New Roman" w:cs="Times New Roman"/>
        </w:rPr>
        <w:t>s</w:t>
      </w:r>
      <w:r w:rsidR="005A5126" w:rsidRPr="005948DE">
        <w:rPr>
          <w:rFonts w:ascii="Times New Roman" w:hAnsi="Times New Roman" w:cs="Times New Roman"/>
        </w:rPr>
        <w:t>ervices</w:t>
      </w:r>
      <w:r w:rsidRPr="005948DE">
        <w:rPr>
          <w:rFonts w:ascii="Times New Roman" w:hAnsi="Times New Roman" w:cs="Times New Roman"/>
        </w:rPr>
        <w:t>. In Prequalification, minimum requirements are normally assessed on a pass/fail basis against such criteria as: eligibility, experience, technical capability and financial resources. These take into account objective and measurable factors such as: experience, satisfactory past performance, successful completion of similar contracts over a given period, capability of construction and/or manufacturing facilities, financial situation, and eligibility. All Applicants that substantially meet the minimum qualification requirements are invited to submit a Bid.</w:t>
      </w:r>
    </w:p>
    <w:p w14:paraId="1FCF3687" w14:textId="12A95E5B" w:rsidR="00CA17E6"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 xml:space="preserve">At the end of the Prequalification process, the </w:t>
      </w:r>
      <w:r w:rsidRPr="00F94C4F">
        <w:rPr>
          <w:rFonts w:ascii="Times New Roman" w:hAnsi="Times New Roman" w:cs="Times New Roman"/>
        </w:rPr>
        <w:t>Borrower</w:t>
      </w:r>
      <w:r w:rsidRPr="005948DE">
        <w:rPr>
          <w:rFonts w:ascii="Times New Roman" w:hAnsi="Times New Roman" w:cs="Times New Roman"/>
        </w:rPr>
        <w:t xml:space="preserve"> shall inform all Applicants of the results of the Prequalification. The invitation to submit a Bid to a prequalified Applicant shall include the names of all prequalified Applicants.</w:t>
      </w:r>
    </w:p>
    <w:p w14:paraId="6B6B8D6A"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Initial Selection</w:t>
      </w:r>
    </w:p>
    <w:p w14:paraId="30C8DA94" w14:textId="256270CB" w:rsidR="002071DC"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 xml:space="preserve">Initial Selection shall normally be used with Request for Proposals and shall be used for all Competitive Dialogue processes. It enables the </w:t>
      </w:r>
      <w:r w:rsidRPr="00F94C4F">
        <w:rPr>
          <w:rFonts w:ascii="Times New Roman" w:hAnsi="Times New Roman" w:cs="Times New Roman"/>
        </w:rPr>
        <w:t>Borrower</w:t>
      </w:r>
      <w:r w:rsidRPr="005948DE">
        <w:rPr>
          <w:rFonts w:ascii="Times New Roman" w:hAnsi="Times New Roman" w:cs="Times New Roman"/>
        </w:rPr>
        <w:t xml:space="preserve"> to invite only the highest ranked Applicants to submit Proposals. Initial selection involves a two-step process. The first step is similar to the Prequalification process described above. This establishes the long-list of Applicants. Long-listed Applicants are then evaluated against rated criteria. After ranking the combined rated criteria scores the </w:t>
      </w:r>
      <w:r w:rsidRPr="00F94C4F">
        <w:rPr>
          <w:rFonts w:ascii="Times New Roman" w:hAnsi="Times New Roman" w:cs="Times New Roman"/>
        </w:rPr>
        <w:t>Borrower</w:t>
      </w:r>
      <w:r w:rsidRPr="005948DE">
        <w:rPr>
          <w:rFonts w:ascii="Times New Roman" w:hAnsi="Times New Roman" w:cs="Times New Roman"/>
        </w:rPr>
        <w:t xml:space="preserve"> selects the highest ranked Applicants to submit Proposals. The </w:t>
      </w:r>
      <w:r w:rsidRPr="00F94C4F">
        <w:rPr>
          <w:rFonts w:ascii="Times New Roman" w:hAnsi="Times New Roman" w:cs="Times New Roman"/>
        </w:rPr>
        <w:t>Borrower</w:t>
      </w:r>
      <w:r w:rsidRPr="005948DE">
        <w:rPr>
          <w:rFonts w:ascii="Times New Roman" w:hAnsi="Times New Roman" w:cs="Times New Roman"/>
        </w:rPr>
        <w:t xml:space="preserve"> shall state in the initial selection document, the range of Applicants that may be Initially Selected.</w:t>
      </w:r>
    </w:p>
    <w:p w14:paraId="3A3B4336" w14:textId="4C8DD71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At the end of the Initial Selection process, the </w:t>
      </w:r>
      <w:r w:rsidRPr="00F94C4F">
        <w:rPr>
          <w:rFonts w:ascii="Times New Roman" w:hAnsi="Times New Roman" w:cs="Times New Roman"/>
          <w:lang w:val="en-US"/>
        </w:rPr>
        <w:t>Borrower</w:t>
      </w:r>
      <w:r w:rsidRPr="005948DE">
        <w:rPr>
          <w:rFonts w:ascii="Times New Roman" w:hAnsi="Times New Roman" w:cs="Times New Roman"/>
          <w:lang w:val="en-US"/>
        </w:rPr>
        <w:t xml:space="preserve"> shall inform all Applicants of the results of the Initial Selection. The invitation to submit a Proposal to an Initially Selected Applicant shall include the names of all Initially Selected Applicants.</w:t>
      </w:r>
    </w:p>
    <w:p w14:paraId="0E8E3401"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Post-Qualification</w:t>
      </w:r>
    </w:p>
    <w:p w14:paraId="0E3DE597" w14:textId="1ACBCFEB"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If Bidders/Proposers have not been prequalified/ initially selected, the </w:t>
      </w:r>
      <w:r w:rsidRPr="00F94C4F">
        <w:rPr>
          <w:rFonts w:ascii="Times New Roman" w:hAnsi="Times New Roman" w:cs="Times New Roman"/>
          <w:lang w:val="en-US"/>
        </w:rPr>
        <w:t>Borrower</w:t>
      </w:r>
      <w:r w:rsidRPr="005948DE">
        <w:rPr>
          <w:rFonts w:ascii="Times New Roman" w:hAnsi="Times New Roman" w:cs="Times New Roman"/>
          <w:lang w:val="en-US"/>
        </w:rPr>
        <w:t xml:space="preserve"> shall specify appropriate qualification requirements in the request for bids/request for proposals document to verify that a Bidder/Proposer that would be recommended for contract award has the capability and resources to effe</w:t>
      </w:r>
      <w:r w:rsidR="00C60C14">
        <w:rPr>
          <w:rFonts w:ascii="Times New Roman" w:hAnsi="Times New Roman" w:cs="Times New Roman"/>
          <w:lang w:val="en-US"/>
        </w:rPr>
        <w:t>ctively carry out the contract.</w:t>
      </w:r>
      <w:r w:rsidRPr="005948DE">
        <w:rPr>
          <w:rFonts w:ascii="Times New Roman" w:hAnsi="Times New Roman" w:cs="Times New Roman"/>
          <w:lang w:val="en-US"/>
        </w:rPr>
        <w:t xml:space="preserve"> The assessment of a firm’s qualifications shall not take into consideration the qualifications of other firms such as its subsidiaries, parent entities, affiliates, subcontractors (other than specialized subcontractors if permitted in the request for bids/request for proposals document), or any other firm different from the firm that submitted the Bid/Proposal.</w:t>
      </w:r>
    </w:p>
    <w:p w14:paraId="779D8687"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Single Stage One-Envelope</w:t>
      </w:r>
    </w:p>
    <w:p w14:paraId="157CD80D" w14:textId="29B12FA0"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Single-stage procurement is most appropriate when the specifications and requirements are sufficient to enable submissions of complete Bids/Proposals. Single stage-one envelope procurement requires submission of both technical and financial Bids/Proposals in one envelope.</w:t>
      </w:r>
    </w:p>
    <w:p w14:paraId="71792FBB"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Single Stage Two-Envelope</w:t>
      </w:r>
    </w:p>
    <w:p w14:paraId="2CA2B455" w14:textId="022814FF"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If appropriate, a two-envelope process may be used in single-stage procurement. The first envelope contains the qualifications and technical part and the second envelope the financial (price) part; the two-envelope are opened and evaluated sequentially.</w:t>
      </w:r>
    </w:p>
    <w:p w14:paraId="7B4750E1" w14:textId="77777777" w:rsidR="00CA17E6" w:rsidRPr="005948DE" w:rsidRDefault="00CA17E6" w:rsidP="00A900A4">
      <w:pPr>
        <w:spacing w:after="120" w:line="276" w:lineRule="auto"/>
        <w:jc w:val="both"/>
        <w:rPr>
          <w:rFonts w:ascii="Times New Roman" w:hAnsi="Times New Roman" w:cs="Times New Roman"/>
          <w:u w:val="single"/>
          <w:lang w:val="en-US"/>
        </w:rPr>
      </w:pPr>
      <w:r w:rsidRPr="005948DE">
        <w:rPr>
          <w:rFonts w:ascii="Times New Roman" w:hAnsi="Times New Roman" w:cs="Times New Roman"/>
          <w:u w:val="single"/>
          <w:lang w:val="en-US"/>
        </w:rPr>
        <w:t>Use of Rated-type Evaluation Criteria</w:t>
      </w:r>
    </w:p>
    <w:p w14:paraId="5E07313C" w14:textId="5677AA68" w:rsidR="005C73F2"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Rated-type criteria are criteria that are evaluated on merit points as they cannot be fully assessed in monetary terms. The merit points assigned are normally based on the degree to which the Proposal meets or exceeds the requirements detailed in the request for bids/</w:t>
      </w:r>
      <w:r w:rsidR="00FA3650" w:rsidRPr="005948DE">
        <w:rPr>
          <w:rFonts w:ascii="Times New Roman" w:hAnsi="Times New Roman" w:cs="Times New Roman"/>
          <w:lang w:val="en-US"/>
        </w:rPr>
        <w:t>request for proposals document.</w:t>
      </w:r>
    </w:p>
    <w:p w14:paraId="47D135E4" w14:textId="77777777" w:rsidR="00AC395A" w:rsidRPr="005948DE" w:rsidRDefault="00AC395A" w:rsidP="005948DE">
      <w:pPr>
        <w:spacing w:after="0" w:line="276" w:lineRule="auto"/>
        <w:jc w:val="both"/>
        <w:rPr>
          <w:rFonts w:ascii="Times New Roman" w:hAnsi="Times New Roman" w:cs="Times New Roman"/>
          <w:lang w:val="en-US"/>
        </w:rPr>
      </w:pPr>
    </w:p>
    <w:p w14:paraId="5627BC1F" w14:textId="77777777" w:rsidR="00CA17E6" w:rsidRPr="005948DE" w:rsidRDefault="00CA17E6" w:rsidP="005948DE">
      <w:pPr>
        <w:pStyle w:val="Heading4"/>
        <w:spacing w:line="276" w:lineRule="auto"/>
        <w:jc w:val="both"/>
        <w:rPr>
          <w:rFonts w:ascii="Times New Roman" w:hAnsi="Times New Roman" w:cs="Times New Roman"/>
          <w:color w:val="auto"/>
          <w:lang w:val="en-US"/>
        </w:rPr>
      </w:pPr>
      <w:r w:rsidRPr="005948DE">
        <w:rPr>
          <w:rFonts w:ascii="Times New Roman" w:hAnsi="Times New Roman" w:cs="Times New Roman"/>
          <w:color w:val="auto"/>
          <w:lang w:val="en-US"/>
        </w:rPr>
        <w:t>Particular Types of Contractual Arrangements</w:t>
      </w:r>
    </w:p>
    <w:p w14:paraId="0E58FBDC" w14:textId="77777777" w:rsidR="005C73F2" w:rsidRPr="005948DE" w:rsidRDefault="005C73F2" w:rsidP="005948DE">
      <w:pPr>
        <w:spacing w:after="120" w:line="276" w:lineRule="auto"/>
        <w:ind w:left="1406"/>
        <w:jc w:val="both"/>
        <w:rPr>
          <w:rFonts w:ascii="Times New Roman" w:hAnsi="Times New Roman" w:cs="Times New Roman"/>
        </w:rPr>
      </w:pPr>
    </w:p>
    <w:p w14:paraId="31CFC66F" w14:textId="751F8C16" w:rsidR="00CA17E6" w:rsidRPr="005948DE" w:rsidRDefault="00CA17E6" w:rsidP="005948DE">
      <w:pPr>
        <w:pStyle w:val="Heading3"/>
        <w:numPr>
          <w:ilvl w:val="2"/>
          <w:numId w:val="330"/>
        </w:numPr>
        <w:spacing w:before="120" w:after="120" w:line="276" w:lineRule="auto"/>
        <w:jc w:val="both"/>
        <w:rPr>
          <w:rFonts w:ascii="Times New Roman" w:hAnsi="Times New Roman" w:cs="Times New Roman"/>
          <w:color w:val="auto"/>
        </w:rPr>
      </w:pPr>
      <w:bookmarkStart w:id="649" w:name="_Toc93342303"/>
      <w:bookmarkEnd w:id="648"/>
      <w:r w:rsidRPr="005948DE">
        <w:rPr>
          <w:rFonts w:ascii="Times New Roman" w:hAnsi="Times New Roman" w:cs="Times New Roman"/>
          <w:color w:val="auto"/>
        </w:rPr>
        <w:t>Approved Selection Methods: Consulting Services</w:t>
      </w:r>
      <w:bookmarkEnd w:id="649"/>
    </w:p>
    <w:p w14:paraId="432076E4" w14:textId="1B16A1AE" w:rsidR="00AC395A" w:rsidRPr="005948DE" w:rsidRDefault="00CA17E6" w:rsidP="00665F55">
      <w:pPr>
        <w:spacing w:after="120" w:line="276" w:lineRule="auto"/>
        <w:jc w:val="both"/>
        <w:rPr>
          <w:rFonts w:ascii="Times New Roman" w:hAnsi="Times New Roman" w:cs="Times New Roman"/>
        </w:rPr>
      </w:pPr>
      <w:r w:rsidRPr="005948DE">
        <w:rPr>
          <w:rFonts w:ascii="Times New Roman" w:hAnsi="Times New Roman" w:cs="Times New Roman"/>
        </w:rPr>
        <w:t>Procurement of consulting services will use the Bank standard procurement documents. Selection methods are: Quality Cost Based Selection (QCBS), Fixed Budget Selection, Least Cost Selection (LCS), or Quality Based Selection (QBS) following provisions of Regulations for Borrowers, Section VII. Approved Selection Methods: Consulting Services. Individual consultants are selected from those that expressed interest in response to a REOI or through limited competitive selection. For direct selection of individual consultants, due justifications under the circumstances, as specified in para. 7.39 of Section VII of the Regulations, apply</w:t>
      </w:r>
      <w:r w:rsidR="005A5126">
        <w:rPr>
          <w:rFonts w:ascii="Times New Roman" w:hAnsi="Times New Roman" w:cs="Times New Roman"/>
        </w:rPr>
        <w:t xml:space="preserve">. </w:t>
      </w:r>
      <w:r w:rsidR="005A5126">
        <w:rPr>
          <w:rFonts w:ascii="Times New Roman" w:hAnsi="Times New Roman" w:cs="Times New Roman"/>
          <w:lang w:val="sr-Latn-CS"/>
        </w:rPr>
        <w:t>S</w:t>
      </w:r>
      <w:r w:rsidR="00625580" w:rsidRPr="005948DE">
        <w:rPr>
          <w:rFonts w:ascii="Times New Roman" w:hAnsi="Times New Roman" w:cs="Times New Roman"/>
          <w:lang w:val="sr-Latn-CS"/>
        </w:rPr>
        <w:t>ubject to prior approval of the Bank, s</w:t>
      </w:r>
      <w:r w:rsidR="00625580" w:rsidRPr="005948DE">
        <w:rPr>
          <w:rFonts w:ascii="Times New Roman" w:hAnsi="Times New Roman" w:cs="Times New Roman"/>
        </w:rPr>
        <w:t xml:space="preserve">election of all individual consultants, pursuant </w:t>
      </w:r>
      <w:r w:rsidR="005A5126">
        <w:rPr>
          <w:rFonts w:ascii="Times New Roman" w:hAnsi="Times New Roman" w:cs="Times New Roman"/>
        </w:rPr>
        <w:t>PP</w:t>
      </w:r>
      <w:r w:rsidR="00625580" w:rsidRPr="005948DE">
        <w:rPr>
          <w:rFonts w:ascii="Times New Roman" w:hAnsi="Times New Roman" w:cs="Times New Roman"/>
        </w:rPr>
        <w:t xml:space="preserve"> is envisaged to be conducted through open competitive selection.</w:t>
      </w:r>
    </w:p>
    <w:p w14:paraId="1DCA3E00" w14:textId="67B230F1" w:rsidR="00CA17E6" w:rsidRPr="005948DE" w:rsidRDefault="00CA17E6" w:rsidP="005948DE">
      <w:pPr>
        <w:pStyle w:val="Heading4"/>
        <w:spacing w:line="276" w:lineRule="auto"/>
        <w:jc w:val="both"/>
        <w:rPr>
          <w:rFonts w:ascii="Times New Roman" w:hAnsi="Times New Roman" w:cs="Times New Roman"/>
          <w:color w:val="auto"/>
          <w:lang w:val="en-US"/>
        </w:rPr>
      </w:pPr>
      <w:r w:rsidRPr="005948DE">
        <w:rPr>
          <w:rFonts w:ascii="Times New Roman" w:hAnsi="Times New Roman" w:cs="Times New Roman"/>
          <w:color w:val="auto"/>
          <w:lang w:val="en-US"/>
        </w:rPr>
        <w:t xml:space="preserve">Approved Selection Methods </w:t>
      </w:r>
    </w:p>
    <w:p w14:paraId="781FF7A2" w14:textId="77777777" w:rsidR="00CA17E6" w:rsidRPr="005948DE" w:rsidRDefault="00CA17E6" w:rsidP="005948DE">
      <w:pPr>
        <w:widowControl w:val="0"/>
        <w:tabs>
          <w:tab w:val="left" w:pos="786"/>
        </w:tabs>
        <w:spacing w:after="120" w:line="276" w:lineRule="auto"/>
        <w:jc w:val="both"/>
        <w:rPr>
          <w:rFonts w:ascii="Times New Roman" w:eastAsia="Calibri" w:hAnsi="Times New Roman" w:cs="Times New Roman"/>
          <w:lang w:val="en-US"/>
        </w:rPr>
      </w:pPr>
      <w:r w:rsidRPr="005948DE">
        <w:rPr>
          <w:rFonts w:ascii="Times New Roman" w:eastAsia="Calibri" w:hAnsi="Times New Roman" w:cs="Times New Roman"/>
          <w:spacing w:val="-1"/>
          <w:lang w:val="en-US"/>
        </w:rPr>
        <w:t>The</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spacing w:val="-1"/>
          <w:lang w:val="en-US"/>
        </w:rPr>
        <w:t>following</w:t>
      </w:r>
      <w:r w:rsidRPr="005948DE">
        <w:rPr>
          <w:rFonts w:ascii="Times New Roman" w:eastAsia="Calibri" w:hAnsi="Times New Roman" w:cs="Times New Roman"/>
          <w:spacing w:val="-2"/>
          <w:lang w:val="en-US"/>
        </w:rPr>
        <w:t xml:space="preserve"> </w:t>
      </w:r>
      <w:r w:rsidRPr="005948DE">
        <w:rPr>
          <w:rFonts w:ascii="Times New Roman" w:eastAsia="Calibri" w:hAnsi="Times New Roman" w:cs="Times New Roman"/>
          <w:spacing w:val="-1"/>
          <w:lang w:val="en-US"/>
        </w:rPr>
        <w:t>are</w:t>
      </w:r>
      <w:r w:rsidRPr="005948DE">
        <w:rPr>
          <w:rFonts w:ascii="Times New Roman" w:eastAsia="Calibri" w:hAnsi="Times New Roman" w:cs="Times New Roman"/>
          <w:spacing w:val="-2"/>
          <w:lang w:val="en-US"/>
        </w:rPr>
        <w:t xml:space="preserve"> </w:t>
      </w:r>
      <w:r w:rsidRPr="005948DE">
        <w:rPr>
          <w:rFonts w:ascii="Times New Roman" w:eastAsia="Calibri" w:hAnsi="Times New Roman" w:cs="Times New Roman"/>
          <w:spacing w:val="-1"/>
          <w:lang w:val="en-US"/>
        </w:rPr>
        <w:t>approved</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spacing w:val="-1"/>
          <w:lang w:val="en-US"/>
        </w:rPr>
        <w:t>selection</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spacing w:val="-1"/>
          <w:lang w:val="en-US"/>
        </w:rPr>
        <w:t>methods</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spacing w:val="-1"/>
          <w:lang w:val="en-US"/>
        </w:rPr>
        <w:t>for</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spacing w:val="-1"/>
          <w:lang w:val="en-US"/>
        </w:rPr>
        <w:t>Consulting</w:t>
      </w:r>
      <w:r w:rsidRPr="005948DE">
        <w:rPr>
          <w:rFonts w:ascii="Times New Roman" w:eastAsia="Calibri" w:hAnsi="Times New Roman" w:cs="Times New Roman"/>
          <w:spacing w:val="-2"/>
          <w:lang w:val="en-US"/>
        </w:rPr>
        <w:t xml:space="preserve"> </w:t>
      </w:r>
      <w:r w:rsidRPr="005948DE">
        <w:rPr>
          <w:rFonts w:ascii="Times New Roman" w:eastAsia="Calibri" w:hAnsi="Times New Roman" w:cs="Times New Roman"/>
          <w:spacing w:val="-1"/>
          <w:lang w:val="en-US"/>
        </w:rPr>
        <w:t>firm:</w:t>
      </w:r>
    </w:p>
    <w:p w14:paraId="7D6BF5C3" w14:textId="77777777" w:rsidR="00CA17E6" w:rsidRPr="005948DE" w:rsidRDefault="00CA17E6" w:rsidP="005948DE">
      <w:pPr>
        <w:numPr>
          <w:ilvl w:val="2"/>
          <w:numId w:val="690"/>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Quality Cost Based Selection (QCBS);</w:t>
      </w:r>
    </w:p>
    <w:p w14:paraId="31C03A0B" w14:textId="77777777" w:rsidR="00CA17E6" w:rsidRPr="005948DE" w:rsidRDefault="00CA17E6" w:rsidP="005948DE">
      <w:pPr>
        <w:numPr>
          <w:ilvl w:val="2"/>
          <w:numId w:val="690"/>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Fixed Budget Based Selection (FBS);</w:t>
      </w:r>
    </w:p>
    <w:p w14:paraId="367F89BE" w14:textId="77777777" w:rsidR="00CA17E6" w:rsidRPr="005948DE" w:rsidRDefault="00CA17E6" w:rsidP="005948DE">
      <w:pPr>
        <w:numPr>
          <w:ilvl w:val="2"/>
          <w:numId w:val="690"/>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Least Cost Based Selection (LCS);</w:t>
      </w:r>
    </w:p>
    <w:p w14:paraId="55D41E61" w14:textId="77777777" w:rsidR="00CA17E6" w:rsidRPr="005948DE" w:rsidRDefault="00CA17E6" w:rsidP="005948DE">
      <w:pPr>
        <w:numPr>
          <w:ilvl w:val="2"/>
          <w:numId w:val="690"/>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Quality Based Selection (QBS);</w:t>
      </w:r>
    </w:p>
    <w:p w14:paraId="459E5FB5" w14:textId="77777777" w:rsidR="00CA17E6" w:rsidRPr="005948DE" w:rsidRDefault="00CA17E6" w:rsidP="005948DE">
      <w:pPr>
        <w:numPr>
          <w:ilvl w:val="2"/>
          <w:numId w:val="690"/>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Consultant’s Qualifications Based Selection (CQS); and,</w:t>
      </w:r>
    </w:p>
    <w:p w14:paraId="5C0C9C8E" w14:textId="64B95F4B" w:rsidR="00CA17E6" w:rsidRPr="005948DE" w:rsidRDefault="00CA17E6" w:rsidP="005948DE">
      <w:pPr>
        <w:numPr>
          <w:ilvl w:val="2"/>
          <w:numId w:val="690"/>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Direct Selection.</w:t>
      </w:r>
    </w:p>
    <w:p w14:paraId="6ADEE639"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Quality and Cost-based Selection</w:t>
      </w:r>
    </w:p>
    <w:p w14:paraId="36CB3A57" w14:textId="647DEC0A" w:rsidR="00CA17E6" w:rsidRPr="005948DE" w:rsidRDefault="00CA17E6" w:rsidP="005948DE">
      <w:pPr>
        <w:pStyle w:val="Normal0"/>
        <w:spacing w:after="120" w:line="276" w:lineRule="auto"/>
        <w:jc w:val="both"/>
        <w:rPr>
          <w:rFonts w:ascii="Times New Roman" w:eastAsia="Calibri" w:hAnsi="Times New Roman" w:cs="Times New Roman"/>
          <w:sz w:val="19"/>
          <w:szCs w:val="19"/>
        </w:rPr>
      </w:pPr>
      <w:r w:rsidRPr="005948DE">
        <w:rPr>
          <w:rFonts w:ascii="Times New Roman" w:hAnsi="Times New Roman" w:cs="Times New Roman"/>
        </w:rPr>
        <w:t>QCBS</w:t>
      </w:r>
      <w:r w:rsidRPr="005948DE">
        <w:rPr>
          <w:rFonts w:ascii="Times New Roman" w:hAnsi="Times New Roman" w:cs="Times New Roman"/>
          <w:spacing w:val="-5"/>
        </w:rPr>
        <w:t xml:space="preserve"> </w:t>
      </w:r>
      <w:r w:rsidRPr="005948DE">
        <w:rPr>
          <w:rFonts w:ascii="Times New Roman" w:hAnsi="Times New Roman" w:cs="Times New Roman"/>
        </w:rPr>
        <w:t>is</w:t>
      </w:r>
      <w:r w:rsidRPr="005948DE">
        <w:rPr>
          <w:rFonts w:ascii="Times New Roman" w:hAnsi="Times New Roman" w:cs="Times New Roman"/>
          <w:spacing w:val="-4"/>
        </w:rPr>
        <w:t xml:space="preserve"> </w:t>
      </w:r>
      <w:r w:rsidRPr="005948DE">
        <w:rPr>
          <w:rFonts w:ascii="Times New Roman" w:hAnsi="Times New Roman" w:cs="Times New Roman"/>
        </w:rPr>
        <w:t>a</w:t>
      </w:r>
      <w:r w:rsidRPr="005948DE">
        <w:rPr>
          <w:rFonts w:ascii="Times New Roman" w:hAnsi="Times New Roman" w:cs="Times New Roman"/>
          <w:spacing w:val="-3"/>
        </w:rPr>
        <w:t xml:space="preserve"> </w:t>
      </w:r>
      <w:r w:rsidRPr="005948DE">
        <w:rPr>
          <w:rFonts w:ascii="Times New Roman" w:hAnsi="Times New Roman" w:cs="Times New Roman"/>
        </w:rPr>
        <w:t>competitive</w:t>
      </w:r>
      <w:r w:rsidRPr="005948DE">
        <w:rPr>
          <w:rFonts w:ascii="Times New Roman" w:hAnsi="Times New Roman" w:cs="Times New Roman"/>
          <w:spacing w:val="-4"/>
        </w:rPr>
        <w:t xml:space="preserve"> </w:t>
      </w:r>
      <w:r w:rsidRPr="005948DE">
        <w:rPr>
          <w:rFonts w:ascii="Times New Roman" w:hAnsi="Times New Roman" w:cs="Times New Roman"/>
        </w:rPr>
        <w:t>process</w:t>
      </w:r>
      <w:r w:rsidRPr="005948DE">
        <w:rPr>
          <w:rFonts w:ascii="Times New Roman" w:hAnsi="Times New Roman" w:cs="Times New Roman"/>
          <w:spacing w:val="-3"/>
        </w:rPr>
        <w:t xml:space="preserve"> </w:t>
      </w:r>
      <w:r w:rsidRPr="005948DE">
        <w:rPr>
          <w:rFonts w:ascii="Times New Roman" w:hAnsi="Times New Roman" w:cs="Times New Roman"/>
        </w:rPr>
        <w:t>among</w:t>
      </w:r>
      <w:r w:rsidRPr="005948DE">
        <w:rPr>
          <w:rFonts w:ascii="Times New Roman" w:hAnsi="Times New Roman" w:cs="Times New Roman"/>
          <w:spacing w:val="-4"/>
        </w:rPr>
        <w:t xml:space="preserve"> </w:t>
      </w:r>
      <w:r w:rsidR="005A5126">
        <w:rPr>
          <w:rFonts w:ascii="Times New Roman" w:hAnsi="Times New Roman" w:cs="Times New Roman"/>
        </w:rPr>
        <w:t>s</w:t>
      </w:r>
      <w:r w:rsidR="005A5126" w:rsidRPr="005948DE">
        <w:rPr>
          <w:rFonts w:ascii="Times New Roman" w:hAnsi="Times New Roman" w:cs="Times New Roman"/>
        </w:rPr>
        <w:t>hortlisted</w:t>
      </w:r>
      <w:r w:rsidR="005A5126" w:rsidRPr="005948DE">
        <w:rPr>
          <w:rFonts w:ascii="Times New Roman" w:hAnsi="Times New Roman" w:cs="Times New Roman"/>
          <w:spacing w:val="-4"/>
        </w:rPr>
        <w:t xml:space="preserve"> </w:t>
      </w:r>
      <w:r w:rsidRPr="005948DE">
        <w:rPr>
          <w:rFonts w:ascii="Times New Roman" w:hAnsi="Times New Roman" w:cs="Times New Roman"/>
        </w:rPr>
        <w:t>consulting</w:t>
      </w:r>
      <w:r w:rsidRPr="005948DE">
        <w:rPr>
          <w:rFonts w:ascii="Times New Roman" w:hAnsi="Times New Roman" w:cs="Times New Roman"/>
          <w:spacing w:val="-5"/>
        </w:rPr>
        <w:t xml:space="preserve"> </w:t>
      </w:r>
      <w:r w:rsidRPr="005948DE">
        <w:rPr>
          <w:rFonts w:ascii="Times New Roman" w:hAnsi="Times New Roman" w:cs="Times New Roman"/>
        </w:rPr>
        <w:t>firms</w:t>
      </w:r>
      <w:r w:rsidRPr="005948DE">
        <w:rPr>
          <w:rFonts w:ascii="Times New Roman" w:hAnsi="Times New Roman" w:cs="Times New Roman"/>
          <w:spacing w:val="-3"/>
        </w:rPr>
        <w:t xml:space="preserve"> </w:t>
      </w:r>
      <w:r w:rsidRPr="005948DE">
        <w:rPr>
          <w:rFonts w:ascii="Times New Roman" w:hAnsi="Times New Roman" w:cs="Times New Roman"/>
        </w:rPr>
        <w:t>under</w:t>
      </w:r>
      <w:r w:rsidRPr="005948DE">
        <w:rPr>
          <w:rFonts w:ascii="Times New Roman" w:hAnsi="Times New Roman" w:cs="Times New Roman"/>
          <w:spacing w:val="-3"/>
        </w:rPr>
        <w:t xml:space="preserve"> </w:t>
      </w:r>
      <w:r w:rsidRPr="005948DE">
        <w:rPr>
          <w:rFonts w:ascii="Times New Roman" w:hAnsi="Times New Roman" w:cs="Times New Roman"/>
        </w:rPr>
        <w:t>which</w:t>
      </w:r>
      <w:r w:rsidRPr="005948DE">
        <w:rPr>
          <w:rFonts w:ascii="Times New Roman" w:hAnsi="Times New Roman" w:cs="Times New Roman"/>
          <w:spacing w:val="-3"/>
        </w:rPr>
        <w:t xml:space="preserve"> </w:t>
      </w:r>
      <w:r w:rsidRPr="005948DE">
        <w:rPr>
          <w:rFonts w:ascii="Times New Roman" w:hAnsi="Times New Roman" w:cs="Times New Roman"/>
        </w:rPr>
        <w:t>the</w:t>
      </w:r>
      <w:r w:rsidRPr="005948DE">
        <w:rPr>
          <w:rFonts w:ascii="Times New Roman" w:hAnsi="Times New Roman" w:cs="Times New Roman"/>
          <w:spacing w:val="-4"/>
        </w:rPr>
        <w:t xml:space="preserve"> </w:t>
      </w:r>
      <w:r w:rsidRPr="005948DE">
        <w:rPr>
          <w:rFonts w:ascii="Times New Roman" w:hAnsi="Times New Roman" w:cs="Times New Roman"/>
        </w:rPr>
        <w:t>selection</w:t>
      </w:r>
      <w:r w:rsidRPr="005948DE">
        <w:rPr>
          <w:rFonts w:ascii="Times New Roman" w:hAnsi="Times New Roman" w:cs="Times New Roman"/>
          <w:spacing w:val="-3"/>
        </w:rPr>
        <w:t xml:space="preserve"> </w:t>
      </w:r>
      <w:r w:rsidRPr="005948DE">
        <w:rPr>
          <w:rFonts w:ascii="Times New Roman" w:hAnsi="Times New Roman" w:cs="Times New Roman"/>
        </w:rPr>
        <w:t>of</w:t>
      </w:r>
      <w:r w:rsidRPr="005948DE">
        <w:rPr>
          <w:rFonts w:ascii="Times New Roman" w:hAnsi="Times New Roman" w:cs="Times New Roman"/>
          <w:spacing w:val="-3"/>
        </w:rPr>
        <w:t xml:space="preserve"> </w:t>
      </w:r>
      <w:r w:rsidRPr="005948DE">
        <w:rPr>
          <w:rFonts w:ascii="Times New Roman" w:hAnsi="Times New Roman" w:cs="Times New Roman"/>
        </w:rPr>
        <w:t>the</w:t>
      </w:r>
      <w:r w:rsidRPr="005948DE">
        <w:rPr>
          <w:rFonts w:ascii="Times New Roman" w:hAnsi="Times New Roman" w:cs="Times New Roman"/>
          <w:spacing w:val="71"/>
          <w:w w:val="99"/>
        </w:rPr>
        <w:t xml:space="preserve"> </w:t>
      </w:r>
      <w:r w:rsidRPr="005948DE">
        <w:rPr>
          <w:rFonts w:ascii="Times New Roman" w:hAnsi="Times New Roman" w:cs="Times New Roman"/>
        </w:rPr>
        <w:t>successful</w:t>
      </w:r>
      <w:r w:rsidRPr="005948DE">
        <w:rPr>
          <w:rFonts w:ascii="Times New Roman" w:hAnsi="Times New Roman" w:cs="Times New Roman"/>
          <w:spacing w:val="17"/>
        </w:rPr>
        <w:t xml:space="preserve"> </w:t>
      </w:r>
      <w:r w:rsidRPr="005948DE">
        <w:rPr>
          <w:rFonts w:ascii="Times New Roman" w:hAnsi="Times New Roman" w:cs="Times New Roman"/>
        </w:rPr>
        <w:t>firm</w:t>
      </w:r>
      <w:r w:rsidRPr="005948DE">
        <w:rPr>
          <w:rFonts w:ascii="Times New Roman" w:hAnsi="Times New Roman" w:cs="Times New Roman"/>
          <w:spacing w:val="18"/>
        </w:rPr>
        <w:t xml:space="preserve"> </w:t>
      </w:r>
      <w:r w:rsidRPr="005948DE">
        <w:rPr>
          <w:rFonts w:ascii="Times New Roman" w:hAnsi="Times New Roman" w:cs="Times New Roman"/>
        </w:rPr>
        <w:t>takes</w:t>
      </w:r>
      <w:r w:rsidRPr="005948DE">
        <w:rPr>
          <w:rFonts w:ascii="Times New Roman" w:hAnsi="Times New Roman" w:cs="Times New Roman"/>
          <w:spacing w:val="18"/>
        </w:rPr>
        <w:t xml:space="preserve"> </w:t>
      </w:r>
      <w:r w:rsidRPr="005948DE">
        <w:rPr>
          <w:rFonts w:ascii="Times New Roman" w:hAnsi="Times New Roman" w:cs="Times New Roman"/>
        </w:rPr>
        <w:t>into</w:t>
      </w:r>
      <w:r w:rsidRPr="005948DE">
        <w:rPr>
          <w:rFonts w:ascii="Times New Roman" w:hAnsi="Times New Roman" w:cs="Times New Roman"/>
          <w:spacing w:val="18"/>
        </w:rPr>
        <w:t xml:space="preserve"> </w:t>
      </w:r>
      <w:r w:rsidRPr="005948DE">
        <w:rPr>
          <w:rFonts w:ascii="Times New Roman" w:hAnsi="Times New Roman" w:cs="Times New Roman"/>
        </w:rPr>
        <w:t>account</w:t>
      </w:r>
      <w:r w:rsidRPr="005948DE">
        <w:rPr>
          <w:rFonts w:ascii="Times New Roman" w:hAnsi="Times New Roman" w:cs="Times New Roman"/>
          <w:spacing w:val="17"/>
        </w:rPr>
        <w:t xml:space="preserve"> </w:t>
      </w:r>
      <w:r w:rsidRPr="005948DE">
        <w:rPr>
          <w:rFonts w:ascii="Times New Roman" w:hAnsi="Times New Roman" w:cs="Times New Roman"/>
        </w:rPr>
        <w:t>the</w:t>
      </w:r>
      <w:r w:rsidRPr="005948DE">
        <w:rPr>
          <w:rFonts w:ascii="Times New Roman" w:hAnsi="Times New Roman" w:cs="Times New Roman"/>
          <w:spacing w:val="18"/>
        </w:rPr>
        <w:t xml:space="preserve"> </w:t>
      </w:r>
      <w:r w:rsidRPr="005948DE">
        <w:rPr>
          <w:rFonts w:ascii="Times New Roman" w:hAnsi="Times New Roman" w:cs="Times New Roman"/>
        </w:rPr>
        <w:t>quality</w:t>
      </w:r>
      <w:r w:rsidRPr="005948DE">
        <w:rPr>
          <w:rFonts w:ascii="Times New Roman" w:hAnsi="Times New Roman" w:cs="Times New Roman"/>
          <w:spacing w:val="19"/>
        </w:rPr>
        <w:t xml:space="preserve"> </w:t>
      </w:r>
      <w:r w:rsidRPr="005948DE">
        <w:rPr>
          <w:rFonts w:ascii="Times New Roman" w:hAnsi="Times New Roman" w:cs="Times New Roman"/>
        </w:rPr>
        <w:t>of</w:t>
      </w:r>
      <w:r w:rsidRPr="005948DE">
        <w:rPr>
          <w:rFonts w:ascii="Times New Roman" w:hAnsi="Times New Roman" w:cs="Times New Roman"/>
          <w:spacing w:val="18"/>
        </w:rPr>
        <w:t xml:space="preserve"> </w:t>
      </w:r>
      <w:r w:rsidRPr="005948DE">
        <w:rPr>
          <w:rFonts w:ascii="Times New Roman" w:hAnsi="Times New Roman" w:cs="Times New Roman"/>
        </w:rPr>
        <w:t>the</w:t>
      </w:r>
      <w:r w:rsidRPr="005948DE">
        <w:rPr>
          <w:rFonts w:ascii="Times New Roman" w:hAnsi="Times New Roman" w:cs="Times New Roman"/>
          <w:spacing w:val="17"/>
        </w:rPr>
        <w:t xml:space="preserve"> </w:t>
      </w:r>
      <w:r w:rsidRPr="005948DE">
        <w:rPr>
          <w:rFonts w:ascii="Times New Roman" w:hAnsi="Times New Roman" w:cs="Times New Roman"/>
        </w:rPr>
        <w:t>Proposal</w:t>
      </w:r>
      <w:r w:rsidRPr="005948DE">
        <w:rPr>
          <w:rFonts w:ascii="Times New Roman" w:hAnsi="Times New Roman" w:cs="Times New Roman"/>
          <w:spacing w:val="19"/>
        </w:rPr>
        <w:t xml:space="preserve"> </w:t>
      </w:r>
      <w:r w:rsidRPr="005948DE">
        <w:rPr>
          <w:rFonts w:ascii="Times New Roman" w:hAnsi="Times New Roman" w:cs="Times New Roman"/>
        </w:rPr>
        <w:t>and</w:t>
      </w:r>
      <w:r w:rsidRPr="005948DE">
        <w:rPr>
          <w:rFonts w:ascii="Times New Roman" w:hAnsi="Times New Roman" w:cs="Times New Roman"/>
          <w:spacing w:val="17"/>
        </w:rPr>
        <w:t xml:space="preserve"> </w:t>
      </w:r>
      <w:r w:rsidRPr="005948DE">
        <w:rPr>
          <w:rFonts w:ascii="Times New Roman" w:hAnsi="Times New Roman" w:cs="Times New Roman"/>
        </w:rPr>
        <w:t>the</w:t>
      </w:r>
      <w:r w:rsidRPr="005948DE">
        <w:rPr>
          <w:rFonts w:ascii="Times New Roman" w:hAnsi="Times New Roman" w:cs="Times New Roman"/>
          <w:spacing w:val="17"/>
        </w:rPr>
        <w:t xml:space="preserve"> </w:t>
      </w:r>
      <w:r w:rsidRPr="005948DE">
        <w:rPr>
          <w:rFonts w:ascii="Times New Roman" w:hAnsi="Times New Roman" w:cs="Times New Roman"/>
        </w:rPr>
        <w:t>cost</w:t>
      </w:r>
      <w:r w:rsidRPr="005948DE">
        <w:rPr>
          <w:rFonts w:ascii="Times New Roman" w:hAnsi="Times New Roman" w:cs="Times New Roman"/>
          <w:spacing w:val="18"/>
        </w:rPr>
        <w:t xml:space="preserve"> </w:t>
      </w:r>
      <w:r w:rsidRPr="005948DE">
        <w:rPr>
          <w:rFonts w:ascii="Times New Roman" w:hAnsi="Times New Roman" w:cs="Times New Roman"/>
        </w:rPr>
        <w:t>of</w:t>
      </w:r>
      <w:r w:rsidRPr="005948DE">
        <w:rPr>
          <w:rFonts w:ascii="Times New Roman" w:hAnsi="Times New Roman" w:cs="Times New Roman"/>
          <w:spacing w:val="18"/>
        </w:rPr>
        <w:t xml:space="preserve"> </w:t>
      </w:r>
      <w:r w:rsidRPr="005948DE">
        <w:rPr>
          <w:rFonts w:ascii="Times New Roman" w:hAnsi="Times New Roman" w:cs="Times New Roman"/>
        </w:rPr>
        <w:t>the</w:t>
      </w:r>
      <w:r w:rsidRPr="005948DE">
        <w:rPr>
          <w:rFonts w:ascii="Times New Roman" w:hAnsi="Times New Roman" w:cs="Times New Roman"/>
          <w:spacing w:val="17"/>
        </w:rPr>
        <w:t xml:space="preserve"> </w:t>
      </w:r>
      <w:r w:rsidRPr="005948DE">
        <w:rPr>
          <w:rFonts w:ascii="Times New Roman" w:hAnsi="Times New Roman" w:cs="Times New Roman"/>
        </w:rPr>
        <w:t>services.</w:t>
      </w:r>
      <w:r w:rsidRPr="005948DE">
        <w:rPr>
          <w:rFonts w:ascii="Times New Roman" w:hAnsi="Times New Roman" w:cs="Times New Roman"/>
          <w:spacing w:val="36"/>
        </w:rPr>
        <w:t xml:space="preserve"> </w:t>
      </w:r>
      <w:r w:rsidRPr="005948DE">
        <w:rPr>
          <w:rFonts w:ascii="Times New Roman" w:hAnsi="Times New Roman" w:cs="Times New Roman"/>
        </w:rPr>
        <w:t>The</w:t>
      </w:r>
      <w:r w:rsidRPr="005948DE">
        <w:rPr>
          <w:rFonts w:ascii="Times New Roman" w:hAnsi="Times New Roman" w:cs="Times New Roman"/>
          <w:spacing w:val="70"/>
          <w:w w:val="99"/>
        </w:rPr>
        <w:t xml:space="preserve"> </w:t>
      </w:r>
      <w:r w:rsidRPr="005948DE">
        <w:rPr>
          <w:rFonts w:ascii="Times New Roman" w:hAnsi="Times New Roman" w:cs="Times New Roman"/>
        </w:rPr>
        <w:t>request</w:t>
      </w:r>
      <w:r w:rsidRPr="005948DE">
        <w:rPr>
          <w:rFonts w:ascii="Times New Roman" w:hAnsi="Times New Roman" w:cs="Times New Roman"/>
          <w:spacing w:val="1"/>
        </w:rPr>
        <w:t xml:space="preserve"> </w:t>
      </w:r>
      <w:r w:rsidRPr="005948DE">
        <w:rPr>
          <w:rFonts w:ascii="Times New Roman" w:hAnsi="Times New Roman" w:cs="Times New Roman"/>
        </w:rPr>
        <w:t>for</w:t>
      </w:r>
      <w:r w:rsidRPr="005948DE">
        <w:rPr>
          <w:rFonts w:ascii="Times New Roman" w:hAnsi="Times New Roman" w:cs="Times New Roman"/>
          <w:spacing w:val="1"/>
        </w:rPr>
        <w:t xml:space="preserve"> </w:t>
      </w:r>
      <w:r w:rsidRPr="005948DE">
        <w:rPr>
          <w:rFonts w:ascii="Times New Roman" w:hAnsi="Times New Roman" w:cs="Times New Roman"/>
        </w:rPr>
        <w:t>proposals</w:t>
      </w:r>
      <w:r w:rsidRPr="005948DE">
        <w:rPr>
          <w:rFonts w:ascii="Times New Roman" w:hAnsi="Times New Roman" w:cs="Times New Roman"/>
          <w:spacing w:val="1"/>
        </w:rPr>
        <w:t xml:space="preserve"> </w:t>
      </w:r>
      <w:r w:rsidRPr="005948DE">
        <w:rPr>
          <w:rFonts w:ascii="Times New Roman" w:hAnsi="Times New Roman" w:cs="Times New Roman"/>
        </w:rPr>
        <w:t>document</w:t>
      </w:r>
      <w:r w:rsidRPr="005948DE">
        <w:rPr>
          <w:rFonts w:ascii="Times New Roman" w:hAnsi="Times New Roman" w:cs="Times New Roman"/>
          <w:spacing w:val="1"/>
        </w:rPr>
        <w:t xml:space="preserve"> </w:t>
      </w:r>
      <w:r w:rsidRPr="005948DE">
        <w:rPr>
          <w:rFonts w:ascii="Times New Roman" w:hAnsi="Times New Roman" w:cs="Times New Roman"/>
        </w:rPr>
        <w:t>shall specify</w:t>
      </w:r>
      <w:r w:rsidRPr="005948DE">
        <w:rPr>
          <w:rFonts w:ascii="Times New Roman" w:hAnsi="Times New Roman" w:cs="Times New Roman"/>
          <w:spacing w:val="1"/>
        </w:rPr>
        <w:t xml:space="preserve"> </w:t>
      </w:r>
      <w:r w:rsidRPr="005948DE">
        <w:rPr>
          <w:rFonts w:ascii="Times New Roman" w:hAnsi="Times New Roman" w:cs="Times New Roman"/>
        </w:rPr>
        <w:t>the minimum</w:t>
      </w:r>
      <w:r w:rsidRPr="005948DE">
        <w:rPr>
          <w:rFonts w:ascii="Times New Roman" w:hAnsi="Times New Roman" w:cs="Times New Roman"/>
          <w:spacing w:val="1"/>
        </w:rPr>
        <w:t xml:space="preserve"> </w:t>
      </w:r>
      <w:r w:rsidRPr="005948DE">
        <w:rPr>
          <w:rFonts w:ascii="Times New Roman" w:hAnsi="Times New Roman" w:cs="Times New Roman"/>
        </w:rPr>
        <w:t>score for</w:t>
      </w:r>
      <w:r w:rsidRPr="005948DE">
        <w:rPr>
          <w:rFonts w:ascii="Times New Roman" w:hAnsi="Times New Roman" w:cs="Times New Roman"/>
          <w:spacing w:val="2"/>
        </w:rPr>
        <w:t xml:space="preserve"> </w:t>
      </w:r>
      <w:r w:rsidRPr="005948DE">
        <w:rPr>
          <w:rFonts w:ascii="Times New Roman" w:hAnsi="Times New Roman" w:cs="Times New Roman"/>
        </w:rPr>
        <w:t>the technical</w:t>
      </w:r>
      <w:r w:rsidRPr="005948DE">
        <w:rPr>
          <w:rFonts w:ascii="Times New Roman" w:hAnsi="Times New Roman" w:cs="Times New Roman"/>
          <w:spacing w:val="2"/>
        </w:rPr>
        <w:t xml:space="preserve"> </w:t>
      </w:r>
      <w:r w:rsidR="005A5126">
        <w:rPr>
          <w:rFonts w:ascii="Times New Roman" w:hAnsi="Times New Roman" w:cs="Times New Roman"/>
        </w:rPr>
        <w:t>p</w:t>
      </w:r>
      <w:r w:rsidR="005A5126" w:rsidRPr="005948DE">
        <w:rPr>
          <w:rFonts w:ascii="Times New Roman" w:hAnsi="Times New Roman" w:cs="Times New Roman"/>
        </w:rPr>
        <w:t>roposals</w:t>
      </w:r>
      <w:r w:rsidRPr="005948DE">
        <w:rPr>
          <w:rFonts w:ascii="Times New Roman" w:hAnsi="Times New Roman" w:cs="Times New Roman"/>
        </w:rPr>
        <w:t>.</w:t>
      </w:r>
      <w:r w:rsidRPr="005948DE">
        <w:rPr>
          <w:rFonts w:ascii="Times New Roman" w:hAnsi="Times New Roman" w:cs="Times New Roman"/>
          <w:spacing w:val="3"/>
        </w:rPr>
        <w:t xml:space="preserve"> </w:t>
      </w:r>
      <w:r w:rsidRPr="005948DE">
        <w:rPr>
          <w:rFonts w:ascii="Times New Roman" w:hAnsi="Times New Roman" w:cs="Times New Roman"/>
        </w:rPr>
        <w:t>The</w:t>
      </w:r>
      <w:r w:rsidRPr="005948DE">
        <w:rPr>
          <w:rFonts w:ascii="Times New Roman" w:hAnsi="Times New Roman" w:cs="Times New Roman"/>
          <w:spacing w:val="79"/>
          <w:w w:val="99"/>
        </w:rPr>
        <w:t xml:space="preserve"> </w:t>
      </w:r>
      <w:r w:rsidRPr="005948DE">
        <w:rPr>
          <w:rFonts w:ascii="Times New Roman" w:hAnsi="Times New Roman" w:cs="Times New Roman"/>
        </w:rPr>
        <w:t>relative</w:t>
      </w:r>
      <w:r w:rsidRPr="005948DE">
        <w:rPr>
          <w:rFonts w:ascii="Times New Roman" w:hAnsi="Times New Roman" w:cs="Times New Roman"/>
          <w:spacing w:val="-15"/>
        </w:rPr>
        <w:t xml:space="preserve"> </w:t>
      </w:r>
      <w:r w:rsidRPr="005948DE">
        <w:rPr>
          <w:rFonts w:ascii="Times New Roman" w:hAnsi="Times New Roman" w:cs="Times New Roman"/>
        </w:rPr>
        <w:t>weight</w:t>
      </w:r>
      <w:r w:rsidRPr="005948DE">
        <w:rPr>
          <w:rFonts w:ascii="Times New Roman" w:hAnsi="Times New Roman" w:cs="Times New Roman"/>
          <w:spacing w:val="-15"/>
        </w:rPr>
        <w:t xml:space="preserve"> </w:t>
      </w:r>
      <w:r w:rsidRPr="005948DE">
        <w:rPr>
          <w:rFonts w:ascii="Times New Roman" w:hAnsi="Times New Roman" w:cs="Times New Roman"/>
        </w:rPr>
        <w:t>to</w:t>
      </w:r>
      <w:r w:rsidRPr="005948DE">
        <w:rPr>
          <w:rFonts w:ascii="Times New Roman" w:hAnsi="Times New Roman" w:cs="Times New Roman"/>
          <w:spacing w:val="-14"/>
        </w:rPr>
        <w:t xml:space="preserve"> </w:t>
      </w:r>
      <w:r w:rsidRPr="005948DE">
        <w:rPr>
          <w:rFonts w:ascii="Times New Roman" w:hAnsi="Times New Roman" w:cs="Times New Roman"/>
        </w:rPr>
        <w:t>be</w:t>
      </w:r>
      <w:r w:rsidRPr="005948DE">
        <w:rPr>
          <w:rFonts w:ascii="Times New Roman" w:hAnsi="Times New Roman" w:cs="Times New Roman"/>
          <w:spacing w:val="-13"/>
        </w:rPr>
        <w:t xml:space="preserve"> </w:t>
      </w:r>
      <w:r w:rsidRPr="005948DE">
        <w:rPr>
          <w:rFonts w:ascii="Times New Roman" w:hAnsi="Times New Roman" w:cs="Times New Roman"/>
        </w:rPr>
        <w:t>given</w:t>
      </w:r>
      <w:r w:rsidRPr="005948DE">
        <w:rPr>
          <w:rFonts w:ascii="Times New Roman" w:hAnsi="Times New Roman" w:cs="Times New Roman"/>
          <w:spacing w:val="-15"/>
        </w:rPr>
        <w:t xml:space="preserve"> </w:t>
      </w:r>
      <w:r w:rsidRPr="005948DE">
        <w:rPr>
          <w:rFonts w:ascii="Times New Roman" w:hAnsi="Times New Roman" w:cs="Times New Roman"/>
        </w:rPr>
        <w:t>to</w:t>
      </w:r>
      <w:r w:rsidRPr="005948DE">
        <w:rPr>
          <w:rFonts w:ascii="Times New Roman" w:hAnsi="Times New Roman" w:cs="Times New Roman"/>
          <w:spacing w:val="-14"/>
        </w:rPr>
        <w:t xml:space="preserve"> </w:t>
      </w:r>
      <w:r w:rsidRPr="005948DE">
        <w:rPr>
          <w:rFonts w:ascii="Times New Roman" w:hAnsi="Times New Roman" w:cs="Times New Roman"/>
        </w:rPr>
        <w:t>the</w:t>
      </w:r>
      <w:r w:rsidRPr="005948DE">
        <w:rPr>
          <w:rFonts w:ascii="Times New Roman" w:hAnsi="Times New Roman" w:cs="Times New Roman"/>
          <w:spacing w:val="-14"/>
        </w:rPr>
        <w:t xml:space="preserve"> </w:t>
      </w:r>
      <w:r w:rsidRPr="005948DE">
        <w:rPr>
          <w:rFonts w:ascii="Times New Roman" w:hAnsi="Times New Roman" w:cs="Times New Roman"/>
        </w:rPr>
        <w:t>quality</w:t>
      </w:r>
      <w:r w:rsidRPr="005948DE">
        <w:rPr>
          <w:rFonts w:ascii="Times New Roman" w:hAnsi="Times New Roman" w:cs="Times New Roman"/>
          <w:spacing w:val="-14"/>
        </w:rPr>
        <w:t xml:space="preserve"> </w:t>
      </w:r>
      <w:r w:rsidRPr="005948DE">
        <w:rPr>
          <w:rFonts w:ascii="Times New Roman" w:hAnsi="Times New Roman" w:cs="Times New Roman"/>
        </w:rPr>
        <w:t>and</w:t>
      </w:r>
      <w:r w:rsidRPr="005948DE">
        <w:rPr>
          <w:rFonts w:ascii="Times New Roman" w:hAnsi="Times New Roman" w:cs="Times New Roman"/>
          <w:spacing w:val="-14"/>
        </w:rPr>
        <w:t xml:space="preserve"> </w:t>
      </w:r>
      <w:r w:rsidRPr="005948DE">
        <w:rPr>
          <w:rFonts w:ascii="Times New Roman" w:hAnsi="Times New Roman" w:cs="Times New Roman"/>
        </w:rPr>
        <w:t>cost</w:t>
      </w:r>
      <w:r w:rsidRPr="005948DE">
        <w:rPr>
          <w:rFonts w:ascii="Times New Roman" w:hAnsi="Times New Roman" w:cs="Times New Roman"/>
          <w:spacing w:val="-13"/>
        </w:rPr>
        <w:t xml:space="preserve"> </w:t>
      </w:r>
      <w:r w:rsidRPr="005948DE">
        <w:rPr>
          <w:rFonts w:ascii="Times New Roman" w:hAnsi="Times New Roman" w:cs="Times New Roman"/>
        </w:rPr>
        <w:t>depends</w:t>
      </w:r>
      <w:r w:rsidRPr="005948DE">
        <w:rPr>
          <w:rFonts w:ascii="Times New Roman" w:hAnsi="Times New Roman" w:cs="Times New Roman"/>
          <w:spacing w:val="-14"/>
        </w:rPr>
        <w:t xml:space="preserve"> </w:t>
      </w:r>
      <w:r w:rsidRPr="005948DE">
        <w:rPr>
          <w:rFonts w:ascii="Times New Roman" w:hAnsi="Times New Roman" w:cs="Times New Roman"/>
        </w:rPr>
        <w:t>on</w:t>
      </w:r>
      <w:r w:rsidRPr="005948DE">
        <w:rPr>
          <w:rFonts w:ascii="Times New Roman" w:hAnsi="Times New Roman" w:cs="Times New Roman"/>
          <w:spacing w:val="-14"/>
        </w:rPr>
        <w:t xml:space="preserve"> </w:t>
      </w:r>
      <w:r w:rsidRPr="005948DE">
        <w:rPr>
          <w:rFonts w:ascii="Times New Roman" w:hAnsi="Times New Roman" w:cs="Times New Roman"/>
        </w:rPr>
        <w:t>the</w:t>
      </w:r>
      <w:r w:rsidRPr="005948DE">
        <w:rPr>
          <w:rFonts w:ascii="Times New Roman" w:hAnsi="Times New Roman" w:cs="Times New Roman"/>
          <w:spacing w:val="-13"/>
        </w:rPr>
        <w:t xml:space="preserve"> </w:t>
      </w:r>
      <w:r w:rsidRPr="005948DE">
        <w:rPr>
          <w:rFonts w:ascii="Times New Roman" w:hAnsi="Times New Roman" w:cs="Times New Roman"/>
        </w:rPr>
        <w:t>nature</w:t>
      </w:r>
      <w:r w:rsidRPr="005948DE">
        <w:rPr>
          <w:rFonts w:ascii="Times New Roman" w:hAnsi="Times New Roman" w:cs="Times New Roman"/>
          <w:spacing w:val="-14"/>
        </w:rPr>
        <w:t xml:space="preserve"> </w:t>
      </w:r>
      <w:r w:rsidRPr="005948DE">
        <w:rPr>
          <w:rFonts w:ascii="Times New Roman" w:hAnsi="Times New Roman" w:cs="Times New Roman"/>
        </w:rPr>
        <w:t>of</w:t>
      </w:r>
      <w:r w:rsidRPr="005948DE">
        <w:rPr>
          <w:rFonts w:ascii="Times New Roman" w:hAnsi="Times New Roman" w:cs="Times New Roman"/>
          <w:spacing w:val="-14"/>
        </w:rPr>
        <w:t xml:space="preserve"> </w:t>
      </w:r>
      <w:r w:rsidRPr="005948DE">
        <w:rPr>
          <w:rFonts w:ascii="Times New Roman" w:hAnsi="Times New Roman" w:cs="Times New Roman"/>
        </w:rPr>
        <w:t>the</w:t>
      </w:r>
      <w:r w:rsidRPr="005948DE">
        <w:rPr>
          <w:rFonts w:ascii="Times New Roman" w:hAnsi="Times New Roman" w:cs="Times New Roman"/>
          <w:spacing w:val="-14"/>
        </w:rPr>
        <w:t xml:space="preserve"> </w:t>
      </w:r>
      <w:r w:rsidRPr="005948DE">
        <w:rPr>
          <w:rFonts w:ascii="Times New Roman" w:hAnsi="Times New Roman" w:cs="Times New Roman"/>
        </w:rPr>
        <w:t>assignment.</w:t>
      </w:r>
      <w:r w:rsidRPr="005948DE">
        <w:rPr>
          <w:rFonts w:ascii="Times New Roman" w:hAnsi="Times New Roman" w:cs="Times New Roman"/>
          <w:spacing w:val="23"/>
        </w:rPr>
        <w:t xml:space="preserve"> </w:t>
      </w:r>
      <w:r w:rsidRPr="005948DE">
        <w:rPr>
          <w:rFonts w:ascii="Times New Roman" w:hAnsi="Times New Roman" w:cs="Times New Roman"/>
        </w:rPr>
        <w:t>Among</w:t>
      </w:r>
      <w:r w:rsidRPr="005948DE">
        <w:rPr>
          <w:rFonts w:ascii="Times New Roman" w:hAnsi="Times New Roman" w:cs="Times New Roman"/>
          <w:spacing w:val="69"/>
          <w:w w:val="99"/>
        </w:rPr>
        <w:t xml:space="preserve"> </w:t>
      </w:r>
      <w:r w:rsidRPr="005948DE">
        <w:rPr>
          <w:rFonts w:ascii="Times New Roman" w:hAnsi="Times New Roman" w:cs="Times New Roman"/>
        </w:rPr>
        <w:t>the</w:t>
      </w:r>
      <w:r w:rsidRPr="005948DE">
        <w:rPr>
          <w:rFonts w:ascii="Times New Roman" w:hAnsi="Times New Roman" w:cs="Times New Roman"/>
          <w:spacing w:val="-2"/>
        </w:rPr>
        <w:t xml:space="preserve"> </w:t>
      </w:r>
      <w:r w:rsidR="005A5126">
        <w:rPr>
          <w:rFonts w:ascii="Times New Roman" w:hAnsi="Times New Roman" w:cs="Times New Roman"/>
        </w:rPr>
        <w:t>p</w:t>
      </w:r>
      <w:r w:rsidR="005A5126" w:rsidRPr="005948DE">
        <w:rPr>
          <w:rFonts w:ascii="Times New Roman" w:hAnsi="Times New Roman" w:cs="Times New Roman"/>
        </w:rPr>
        <w:t xml:space="preserve">roposals </w:t>
      </w:r>
      <w:r w:rsidRPr="005948DE">
        <w:rPr>
          <w:rFonts w:ascii="Times New Roman" w:hAnsi="Times New Roman" w:cs="Times New Roman"/>
        </w:rPr>
        <w:t>that are</w:t>
      </w:r>
      <w:r w:rsidRPr="005948DE">
        <w:rPr>
          <w:rFonts w:ascii="Times New Roman" w:hAnsi="Times New Roman" w:cs="Times New Roman"/>
          <w:spacing w:val="-2"/>
        </w:rPr>
        <w:t xml:space="preserve"> </w:t>
      </w:r>
      <w:r w:rsidRPr="005948DE">
        <w:rPr>
          <w:rFonts w:ascii="Times New Roman" w:hAnsi="Times New Roman" w:cs="Times New Roman"/>
        </w:rPr>
        <w:t>responsive to the requirements</w:t>
      </w:r>
      <w:r w:rsidRPr="005948DE">
        <w:rPr>
          <w:rFonts w:ascii="Times New Roman" w:hAnsi="Times New Roman" w:cs="Times New Roman"/>
          <w:spacing w:val="-2"/>
        </w:rPr>
        <w:t xml:space="preserve"> </w:t>
      </w:r>
      <w:r w:rsidRPr="005948DE">
        <w:rPr>
          <w:rFonts w:ascii="Times New Roman" w:hAnsi="Times New Roman" w:cs="Times New Roman"/>
        </w:rPr>
        <w:t>of the request for</w:t>
      </w:r>
      <w:r w:rsidRPr="005948DE">
        <w:rPr>
          <w:rFonts w:ascii="Times New Roman" w:hAnsi="Times New Roman" w:cs="Times New Roman"/>
          <w:spacing w:val="-2"/>
        </w:rPr>
        <w:t xml:space="preserve"> </w:t>
      </w:r>
      <w:r w:rsidRPr="005948DE">
        <w:rPr>
          <w:rFonts w:ascii="Times New Roman" w:hAnsi="Times New Roman" w:cs="Times New Roman"/>
        </w:rPr>
        <w:t>proposals document and</w:t>
      </w:r>
      <w:r w:rsidRPr="005948DE">
        <w:rPr>
          <w:rFonts w:ascii="Times New Roman" w:hAnsi="Times New Roman" w:cs="Times New Roman"/>
          <w:spacing w:val="67"/>
        </w:rPr>
        <w:t xml:space="preserve"> </w:t>
      </w:r>
      <w:r w:rsidRPr="005948DE">
        <w:rPr>
          <w:rFonts w:ascii="Times New Roman" w:hAnsi="Times New Roman" w:cs="Times New Roman"/>
        </w:rPr>
        <w:t>are</w:t>
      </w:r>
      <w:r w:rsidRPr="005948DE">
        <w:rPr>
          <w:rFonts w:ascii="Times New Roman" w:hAnsi="Times New Roman" w:cs="Times New Roman"/>
          <w:spacing w:val="46"/>
        </w:rPr>
        <w:t xml:space="preserve"> </w:t>
      </w:r>
      <w:r w:rsidRPr="005948DE">
        <w:rPr>
          <w:rFonts w:ascii="Times New Roman" w:hAnsi="Times New Roman" w:cs="Times New Roman"/>
        </w:rPr>
        <w:t>technically</w:t>
      </w:r>
      <w:r w:rsidRPr="005948DE">
        <w:rPr>
          <w:rFonts w:ascii="Times New Roman" w:hAnsi="Times New Roman" w:cs="Times New Roman"/>
          <w:spacing w:val="47"/>
        </w:rPr>
        <w:t xml:space="preserve"> </w:t>
      </w:r>
      <w:r w:rsidRPr="005948DE">
        <w:rPr>
          <w:rFonts w:ascii="Times New Roman" w:hAnsi="Times New Roman" w:cs="Times New Roman"/>
        </w:rPr>
        <w:t>qualified,</w:t>
      </w:r>
      <w:r w:rsidRPr="005948DE">
        <w:rPr>
          <w:rFonts w:ascii="Times New Roman" w:hAnsi="Times New Roman" w:cs="Times New Roman"/>
          <w:spacing w:val="47"/>
        </w:rPr>
        <w:t xml:space="preserve"> </w:t>
      </w:r>
      <w:r w:rsidRPr="005948DE">
        <w:rPr>
          <w:rFonts w:ascii="Times New Roman" w:hAnsi="Times New Roman" w:cs="Times New Roman"/>
        </w:rPr>
        <w:t>the</w:t>
      </w:r>
      <w:r w:rsidRPr="005948DE">
        <w:rPr>
          <w:rFonts w:ascii="Times New Roman" w:hAnsi="Times New Roman" w:cs="Times New Roman"/>
          <w:spacing w:val="47"/>
        </w:rPr>
        <w:t xml:space="preserve"> </w:t>
      </w:r>
      <w:r w:rsidR="005A5126">
        <w:rPr>
          <w:rFonts w:ascii="Times New Roman" w:hAnsi="Times New Roman" w:cs="Times New Roman"/>
        </w:rPr>
        <w:t>p</w:t>
      </w:r>
      <w:r w:rsidR="005A5126" w:rsidRPr="005948DE">
        <w:rPr>
          <w:rFonts w:ascii="Times New Roman" w:hAnsi="Times New Roman" w:cs="Times New Roman"/>
        </w:rPr>
        <w:t>roposal</w:t>
      </w:r>
      <w:r w:rsidR="005A5126" w:rsidRPr="005948DE">
        <w:rPr>
          <w:rFonts w:ascii="Times New Roman" w:hAnsi="Times New Roman" w:cs="Times New Roman"/>
          <w:spacing w:val="47"/>
        </w:rPr>
        <w:t xml:space="preserve"> </w:t>
      </w:r>
      <w:r w:rsidRPr="005948DE">
        <w:rPr>
          <w:rFonts w:ascii="Times New Roman" w:hAnsi="Times New Roman" w:cs="Times New Roman"/>
        </w:rPr>
        <w:t>with</w:t>
      </w:r>
      <w:r w:rsidRPr="005948DE">
        <w:rPr>
          <w:rFonts w:ascii="Times New Roman" w:hAnsi="Times New Roman" w:cs="Times New Roman"/>
          <w:spacing w:val="46"/>
        </w:rPr>
        <w:t xml:space="preserve"> </w:t>
      </w:r>
      <w:r w:rsidRPr="005948DE">
        <w:rPr>
          <w:rFonts w:ascii="Times New Roman" w:hAnsi="Times New Roman" w:cs="Times New Roman"/>
        </w:rPr>
        <w:t>the</w:t>
      </w:r>
      <w:r w:rsidRPr="005948DE">
        <w:rPr>
          <w:rFonts w:ascii="Times New Roman" w:hAnsi="Times New Roman" w:cs="Times New Roman"/>
          <w:spacing w:val="47"/>
        </w:rPr>
        <w:t xml:space="preserve"> </w:t>
      </w:r>
      <w:r w:rsidRPr="005948DE">
        <w:rPr>
          <w:rFonts w:ascii="Times New Roman" w:hAnsi="Times New Roman" w:cs="Times New Roman"/>
        </w:rPr>
        <w:t>highest</w:t>
      </w:r>
      <w:r w:rsidRPr="005948DE">
        <w:rPr>
          <w:rFonts w:ascii="Times New Roman" w:hAnsi="Times New Roman" w:cs="Times New Roman"/>
          <w:spacing w:val="46"/>
        </w:rPr>
        <w:t xml:space="preserve"> </w:t>
      </w:r>
      <w:r w:rsidRPr="005948DE">
        <w:rPr>
          <w:rFonts w:ascii="Times New Roman" w:hAnsi="Times New Roman" w:cs="Times New Roman"/>
        </w:rPr>
        <w:t>combined</w:t>
      </w:r>
      <w:r w:rsidRPr="005948DE">
        <w:rPr>
          <w:rFonts w:ascii="Times New Roman" w:hAnsi="Times New Roman" w:cs="Times New Roman"/>
          <w:spacing w:val="47"/>
        </w:rPr>
        <w:t xml:space="preserve"> </w:t>
      </w:r>
      <w:r w:rsidRPr="005948DE">
        <w:rPr>
          <w:rFonts w:ascii="Times New Roman" w:hAnsi="Times New Roman" w:cs="Times New Roman"/>
        </w:rPr>
        <w:t>(quality</w:t>
      </w:r>
      <w:r w:rsidRPr="005948DE">
        <w:rPr>
          <w:rFonts w:ascii="Times New Roman" w:hAnsi="Times New Roman" w:cs="Times New Roman"/>
          <w:spacing w:val="47"/>
        </w:rPr>
        <w:t xml:space="preserve"> </w:t>
      </w:r>
      <w:r w:rsidRPr="005948DE">
        <w:rPr>
          <w:rFonts w:ascii="Times New Roman" w:hAnsi="Times New Roman" w:cs="Times New Roman"/>
        </w:rPr>
        <w:t>and</w:t>
      </w:r>
      <w:r w:rsidRPr="005948DE">
        <w:rPr>
          <w:rFonts w:ascii="Times New Roman" w:hAnsi="Times New Roman" w:cs="Times New Roman"/>
          <w:spacing w:val="46"/>
        </w:rPr>
        <w:t xml:space="preserve"> </w:t>
      </w:r>
      <w:r w:rsidRPr="005948DE">
        <w:rPr>
          <w:rFonts w:ascii="Times New Roman" w:hAnsi="Times New Roman" w:cs="Times New Roman"/>
        </w:rPr>
        <w:t>cost)</w:t>
      </w:r>
      <w:r w:rsidRPr="005948DE">
        <w:rPr>
          <w:rFonts w:ascii="Times New Roman" w:hAnsi="Times New Roman" w:cs="Times New Roman"/>
          <w:spacing w:val="46"/>
        </w:rPr>
        <w:t xml:space="preserve"> </w:t>
      </w:r>
      <w:r w:rsidRPr="005948DE">
        <w:rPr>
          <w:rFonts w:ascii="Times New Roman" w:hAnsi="Times New Roman" w:cs="Times New Roman"/>
        </w:rPr>
        <w:t>score</w:t>
      </w:r>
      <w:r w:rsidRPr="005948DE">
        <w:rPr>
          <w:rFonts w:ascii="Times New Roman" w:hAnsi="Times New Roman" w:cs="Times New Roman"/>
          <w:spacing w:val="47"/>
        </w:rPr>
        <w:t xml:space="preserve"> </w:t>
      </w:r>
      <w:r w:rsidRPr="005948DE">
        <w:rPr>
          <w:rFonts w:ascii="Times New Roman" w:hAnsi="Times New Roman" w:cs="Times New Roman"/>
        </w:rPr>
        <w:t>is</w:t>
      </w:r>
      <w:r w:rsidRPr="005948DE">
        <w:rPr>
          <w:rFonts w:ascii="Times New Roman" w:hAnsi="Times New Roman" w:cs="Times New Roman"/>
          <w:spacing w:val="78"/>
        </w:rPr>
        <w:t xml:space="preserve"> </w:t>
      </w:r>
      <w:r w:rsidRPr="005948DE">
        <w:rPr>
          <w:rFonts w:ascii="Times New Roman" w:hAnsi="Times New Roman" w:cs="Times New Roman"/>
        </w:rPr>
        <w:t>considered</w:t>
      </w:r>
      <w:r w:rsidRPr="005948DE">
        <w:rPr>
          <w:rFonts w:ascii="Times New Roman" w:hAnsi="Times New Roman" w:cs="Times New Roman"/>
          <w:spacing w:val="-2"/>
        </w:rPr>
        <w:t xml:space="preserve"> </w:t>
      </w:r>
      <w:r w:rsidRPr="005948DE">
        <w:rPr>
          <w:rFonts w:ascii="Times New Roman" w:hAnsi="Times New Roman" w:cs="Times New Roman"/>
        </w:rPr>
        <w:t>the</w:t>
      </w:r>
      <w:r w:rsidRPr="005948DE">
        <w:rPr>
          <w:rFonts w:ascii="Times New Roman" w:hAnsi="Times New Roman" w:cs="Times New Roman"/>
          <w:spacing w:val="-2"/>
        </w:rPr>
        <w:t xml:space="preserve"> </w:t>
      </w:r>
      <w:r w:rsidRPr="005948DE">
        <w:rPr>
          <w:rFonts w:ascii="Times New Roman" w:hAnsi="Times New Roman" w:cs="Times New Roman"/>
        </w:rPr>
        <w:t>Most</w:t>
      </w:r>
      <w:r w:rsidRPr="005948DE">
        <w:rPr>
          <w:rFonts w:ascii="Times New Roman" w:hAnsi="Times New Roman" w:cs="Times New Roman"/>
          <w:spacing w:val="-2"/>
        </w:rPr>
        <w:t xml:space="preserve"> </w:t>
      </w:r>
      <w:r w:rsidRPr="005948DE">
        <w:rPr>
          <w:rFonts w:ascii="Times New Roman" w:hAnsi="Times New Roman" w:cs="Times New Roman"/>
        </w:rPr>
        <w:t>Advantageous</w:t>
      </w:r>
      <w:r w:rsidRPr="005948DE">
        <w:rPr>
          <w:rFonts w:ascii="Times New Roman" w:hAnsi="Times New Roman" w:cs="Times New Roman"/>
          <w:spacing w:val="-4"/>
        </w:rPr>
        <w:t xml:space="preserve"> </w:t>
      </w:r>
      <w:r w:rsidRPr="005948DE">
        <w:rPr>
          <w:rFonts w:ascii="Times New Roman" w:hAnsi="Times New Roman" w:cs="Times New Roman"/>
        </w:rPr>
        <w:t>Proposal.</w:t>
      </w:r>
    </w:p>
    <w:p w14:paraId="2D89F9B8" w14:textId="77777777" w:rsidR="00CA17E6" w:rsidRPr="005948DE" w:rsidRDefault="00CA17E6" w:rsidP="005948DE">
      <w:pPr>
        <w:pStyle w:val="Heading5"/>
        <w:spacing w:before="0" w:after="120"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Fixed Budget-based Selection</w:t>
      </w:r>
    </w:p>
    <w:p w14:paraId="213DC0B7" w14:textId="05F86E5A" w:rsidR="00CA17E6" w:rsidRPr="005948DE" w:rsidRDefault="00CA17E6" w:rsidP="005948DE">
      <w:pPr>
        <w:widowControl w:val="0"/>
        <w:tabs>
          <w:tab w:val="left" w:pos="786"/>
        </w:tabs>
        <w:spacing w:after="120" w:line="276" w:lineRule="auto"/>
        <w:ind w:right="137"/>
        <w:jc w:val="both"/>
        <w:rPr>
          <w:rFonts w:ascii="Times New Roman" w:eastAsia="Calibri" w:hAnsi="Times New Roman" w:cs="Times New Roman"/>
          <w:spacing w:val="-1"/>
          <w:lang w:val="en-US"/>
        </w:rPr>
      </w:pPr>
      <w:r w:rsidRPr="005948DE">
        <w:rPr>
          <w:rFonts w:ascii="Times New Roman" w:eastAsia="Calibri" w:hAnsi="Times New Roman" w:cs="Times New Roman"/>
          <w:spacing w:val="-1"/>
          <w:lang w:val="en-US"/>
        </w:rPr>
        <w:t xml:space="preserve">Like QCBS, </w:t>
      </w:r>
      <w:r w:rsidR="005A5126">
        <w:rPr>
          <w:rFonts w:ascii="Times New Roman" w:eastAsia="Calibri" w:hAnsi="Times New Roman" w:cs="Times New Roman"/>
          <w:spacing w:val="-1"/>
          <w:lang w:val="en-US"/>
        </w:rPr>
        <w:t xml:space="preserve">the </w:t>
      </w:r>
      <w:r w:rsidRPr="005948DE">
        <w:rPr>
          <w:rFonts w:ascii="Times New Roman" w:eastAsia="Calibri" w:hAnsi="Times New Roman" w:cs="Times New Roman"/>
          <w:spacing w:val="-1"/>
          <w:lang w:val="en-US"/>
        </w:rPr>
        <w:t xml:space="preserve">FBS is a competitive process among </w:t>
      </w:r>
      <w:r w:rsidR="005A5126">
        <w:rPr>
          <w:rFonts w:ascii="Times New Roman" w:eastAsia="Calibri" w:hAnsi="Times New Roman" w:cs="Times New Roman"/>
          <w:spacing w:val="-1"/>
          <w:lang w:val="en-US"/>
        </w:rPr>
        <w:t>s</w:t>
      </w:r>
      <w:r w:rsidR="005A5126" w:rsidRPr="005948DE">
        <w:rPr>
          <w:rFonts w:ascii="Times New Roman" w:eastAsia="Calibri" w:hAnsi="Times New Roman" w:cs="Times New Roman"/>
          <w:spacing w:val="-1"/>
          <w:lang w:val="en-US"/>
        </w:rPr>
        <w:t xml:space="preserve">hortlisted </w:t>
      </w:r>
      <w:r w:rsidRPr="005948DE">
        <w:rPr>
          <w:rFonts w:ascii="Times New Roman" w:eastAsia="Calibri" w:hAnsi="Times New Roman" w:cs="Times New Roman"/>
          <w:spacing w:val="-1"/>
          <w:lang w:val="en-US"/>
        </w:rPr>
        <w:t xml:space="preserve">consulting firms under which the selection of the successful firm takes into account the quality of the </w:t>
      </w:r>
      <w:r w:rsidR="005A5126">
        <w:rPr>
          <w:rFonts w:ascii="Times New Roman" w:eastAsia="Calibri" w:hAnsi="Times New Roman" w:cs="Times New Roman"/>
          <w:spacing w:val="-1"/>
          <w:lang w:val="en-US"/>
        </w:rPr>
        <w:t>p</w:t>
      </w:r>
      <w:r w:rsidR="005A5126" w:rsidRPr="005948DE">
        <w:rPr>
          <w:rFonts w:ascii="Times New Roman" w:eastAsia="Calibri" w:hAnsi="Times New Roman" w:cs="Times New Roman"/>
          <w:spacing w:val="-1"/>
          <w:lang w:val="en-US"/>
        </w:rPr>
        <w:t xml:space="preserve">roposal </w:t>
      </w:r>
      <w:r w:rsidRPr="005948DE">
        <w:rPr>
          <w:rFonts w:ascii="Times New Roman" w:eastAsia="Calibri" w:hAnsi="Times New Roman" w:cs="Times New Roman"/>
          <w:spacing w:val="-1"/>
          <w:lang w:val="en-US"/>
        </w:rPr>
        <w:t>and the cost of the services. In the request for proposals document, the cost of services is specified as a fixed budget that shall not be exceeded. FBS is appropriate when:</w:t>
      </w:r>
    </w:p>
    <w:p w14:paraId="59170126" w14:textId="77777777" w:rsidR="00CA17E6" w:rsidRPr="005948DE" w:rsidRDefault="00CA17E6" w:rsidP="005948DE">
      <w:pPr>
        <w:numPr>
          <w:ilvl w:val="2"/>
          <w:numId w:val="691"/>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type of Consulting Service required is simple and can be precisely defined;</w:t>
      </w:r>
    </w:p>
    <w:p w14:paraId="6293F262" w14:textId="77777777" w:rsidR="00CA17E6" w:rsidRPr="005948DE" w:rsidRDefault="00CA17E6" w:rsidP="005948DE">
      <w:pPr>
        <w:numPr>
          <w:ilvl w:val="2"/>
          <w:numId w:val="691"/>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budget is reasonably estimated and set; and</w:t>
      </w:r>
    </w:p>
    <w:p w14:paraId="60C682CD" w14:textId="77777777" w:rsidR="00CA17E6" w:rsidRPr="005948DE" w:rsidRDefault="00CA17E6" w:rsidP="005948DE">
      <w:pPr>
        <w:numPr>
          <w:ilvl w:val="2"/>
          <w:numId w:val="691"/>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budget is sufficient for the firm to perform the assignment.</w:t>
      </w:r>
    </w:p>
    <w:p w14:paraId="7991692E" w14:textId="54878AB4" w:rsidR="00CA17E6" w:rsidRPr="005948DE" w:rsidRDefault="00CA17E6" w:rsidP="005948DE">
      <w:pPr>
        <w:widowControl w:val="0"/>
        <w:tabs>
          <w:tab w:val="left" w:pos="786"/>
        </w:tabs>
        <w:spacing w:after="120" w:line="276" w:lineRule="auto"/>
        <w:ind w:right="137"/>
        <w:jc w:val="both"/>
        <w:rPr>
          <w:rFonts w:ascii="Times New Roman" w:eastAsia="Calibri" w:hAnsi="Times New Roman" w:cs="Times New Roman"/>
          <w:sz w:val="19"/>
          <w:szCs w:val="19"/>
          <w:lang w:val="en-US"/>
        </w:rPr>
      </w:pPr>
      <w:r w:rsidRPr="005948DE">
        <w:rPr>
          <w:rFonts w:ascii="Times New Roman" w:eastAsia="Calibri" w:hAnsi="Times New Roman" w:cs="Times New Roman"/>
          <w:spacing w:val="-1"/>
          <w:lang w:val="en-US"/>
        </w:rPr>
        <w:t>The</w:t>
      </w:r>
      <w:r w:rsidRPr="005948DE">
        <w:rPr>
          <w:rFonts w:ascii="Times New Roman" w:eastAsia="Calibri" w:hAnsi="Times New Roman" w:cs="Times New Roman"/>
          <w:spacing w:val="-6"/>
          <w:lang w:val="en-US"/>
        </w:rPr>
        <w:t xml:space="preserve"> </w:t>
      </w:r>
      <w:r w:rsidRPr="005948DE">
        <w:rPr>
          <w:rFonts w:ascii="Times New Roman" w:eastAsia="Calibri" w:hAnsi="Times New Roman" w:cs="Times New Roman"/>
          <w:spacing w:val="-1"/>
          <w:lang w:val="en-US"/>
        </w:rPr>
        <w:t>request</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spacing w:val="-1"/>
          <w:lang w:val="en-US"/>
        </w:rPr>
        <w:t>for</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spacing w:val="-1"/>
          <w:lang w:val="en-US"/>
        </w:rPr>
        <w:t>proposals</w:t>
      </w:r>
      <w:r w:rsidRPr="005948DE">
        <w:rPr>
          <w:rFonts w:ascii="Times New Roman" w:eastAsia="Calibri" w:hAnsi="Times New Roman" w:cs="Times New Roman"/>
          <w:spacing w:val="-6"/>
          <w:lang w:val="en-US"/>
        </w:rPr>
        <w:t xml:space="preserve"> </w:t>
      </w:r>
      <w:r w:rsidRPr="005948DE">
        <w:rPr>
          <w:rFonts w:ascii="Times New Roman" w:eastAsia="Calibri" w:hAnsi="Times New Roman" w:cs="Times New Roman"/>
          <w:spacing w:val="-1"/>
          <w:lang w:val="en-US"/>
        </w:rPr>
        <w:t>document</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spacing w:val="-1"/>
          <w:lang w:val="en-US"/>
        </w:rPr>
        <w:t>specifies</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lang w:val="en-US"/>
        </w:rPr>
        <w:t>the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budget</w:t>
      </w:r>
      <w:r w:rsidRPr="005948DE">
        <w:rPr>
          <w:rFonts w:ascii="Times New Roman" w:eastAsia="Calibri" w:hAnsi="Times New Roman" w:cs="Times New Roman"/>
          <w:spacing w:val="-6"/>
          <w:lang w:val="en-US"/>
        </w:rPr>
        <w:t xml:space="preserve"> </w:t>
      </w:r>
      <w:r w:rsidRPr="005948DE">
        <w:rPr>
          <w:rFonts w:ascii="Times New Roman" w:eastAsia="Calibri" w:hAnsi="Times New Roman" w:cs="Times New Roman"/>
          <w:lang w:val="en-US"/>
        </w:rPr>
        <w:t>and</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lang w:val="en-US"/>
        </w:rPr>
        <w:t>the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minimum</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score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for</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lang w:val="en-US"/>
        </w:rPr>
        <w:t>the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technical</w:t>
      </w:r>
      <w:r w:rsidRPr="005948DE">
        <w:rPr>
          <w:rFonts w:ascii="Times New Roman" w:eastAsia="Calibri" w:hAnsi="Times New Roman" w:cs="Times New Roman"/>
          <w:spacing w:val="60"/>
          <w:lang w:val="en-US"/>
        </w:rPr>
        <w:t xml:space="preserve"> </w:t>
      </w:r>
      <w:r w:rsidR="005A5126">
        <w:rPr>
          <w:rFonts w:ascii="Times New Roman" w:eastAsia="Calibri" w:hAnsi="Times New Roman" w:cs="Times New Roman"/>
          <w:spacing w:val="-1"/>
          <w:lang w:val="en-US"/>
        </w:rPr>
        <w:t>p</w:t>
      </w:r>
      <w:r w:rsidR="005A5126" w:rsidRPr="005948DE">
        <w:rPr>
          <w:rFonts w:ascii="Times New Roman" w:eastAsia="Calibri" w:hAnsi="Times New Roman" w:cs="Times New Roman"/>
          <w:spacing w:val="-1"/>
          <w:lang w:val="en-US"/>
        </w:rPr>
        <w:t>roposals</w:t>
      </w:r>
      <w:r w:rsidRPr="005948DE">
        <w:rPr>
          <w:rFonts w:ascii="Times New Roman" w:eastAsia="Calibri" w:hAnsi="Times New Roman" w:cs="Times New Roman"/>
          <w:spacing w:val="-1"/>
          <w:lang w:val="en-US"/>
        </w:rPr>
        <w:t>.</w:t>
      </w:r>
      <w:r w:rsidRPr="005948DE">
        <w:rPr>
          <w:rFonts w:ascii="Times New Roman" w:eastAsia="Calibri" w:hAnsi="Times New Roman" w:cs="Times New Roman"/>
          <w:spacing w:val="41"/>
          <w:lang w:val="en-US"/>
        </w:rPr>
        <w:t xml:space="preserve"> </w:t>
      </w:r>
      <w:r w:rsidRPr="005948DE">
        <w:rPr>
          <w:rFonts w:ascii="Times New Roman" w:eastAsia="Calibri" w:hAnsi="Times New Roman" w:cs="Times New Roman"/>
          <w:spacing w:val="-1"/>
          <w:lang w:val="en-US"/>
        </w:rPr>
        <w:t>The</w:t>
      </w:r>
      <w:r w:rsidRPr="005948DE">
        <w:rPr>
          <w:rFonts w:ascii="Times New Roman" w:eastAsia="Calibri" w:hAnsi="Times New Roman" w:cs="Times New Roman"/>
          <w:spacing w:val="-5"/>
          <w:lang w:val="en-US"/>
        </w:rPr>
        <w:t xml:space="preserve"> </w:t>
      </w:r>
      <w:r w:rsidR="005A5126">
        <w:rPr>
          <w:rFonts w:ascii="Times New Roman" w:eastAsia="Calibri" w:hAnsi="Times New Roman" w:cs="Times New Roman"/>
          <w:spacing w:val="-1"/>
          <w:lang w:val="en-US"/>
        </w:rPr>
        <w:t>p</w:t>
      </w:r>
      <w:r w:rsidR="005A5126" w:rsidRPr="005948DE">
        <w:rPr>
          <w:rFonts w:ascii="Times New Roman" w:eastAsia="Calibri" w:hAnsi="Times New Roman" w:cs="Times New Roman"/>
          <w:spacing w:val="-1"/>
          <w:lang w:val="en-US"/>
        </w:rPr>
        <w:t>roposal</w:t>
      </w:r>
      <w:r w:rsidR="005A5126"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lang w:val="en-US"/>
        </w:rPr>
        <w:t>with</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lang w:val="en-US"/>
        </w:rPr>
        <w:t>the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highest</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lang w:val="en-US"/>
        </w:rPr>
        <w:t>technical</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score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lang w:val="en-US"/>
        </w:rPr>
        <w:t>that</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meets</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lang w:val="en-US"/>
        </w:rPr>
        <w:t>the</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fixed</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spacing w:val="-1"/>
          <w:lang w:val="en-US"/>
        </w:rPr>
        <w:t>budget</w:t>
      </w:r>
      <w:r w:rsidRPr="005948DE">
        <w:rPr>
          <w:rFonts w:ascii="Times New Roman" w:eastAsia="Calibri" w:hAnsi="Times New Roman" w:cs="Times New Roman"/>
          <w:spacing w:val="-5"/>
          <w:lang w:val="en-US"/>
        </w:rPr>
        <w:t xml:space="preserve"> </w:t>
      </w:r>
      <w:r w:rsidRPr="005948DE">
        <w:rPr>
          <w:rFonts w:ascii="Times New Roman" w:eastAsia="Calibri" w:hAnsi="Times New Roman" w:cs="Times New Roman"/>
          <w:spacing w:val="-1"/>
          <w:lang w:val="en-US"/>
        </w:rPr>
        <w:t>requirement</w:t>
      </w:r>
      <w:r w:rsidRPr="005948DE">
        <w:rPr>
          <w:rFonts w:ascii="Times New Roman" w:eastAsia="Calibri" w:hAnsi="Times New Roman" w:cs="Times New Roman"/>
          <w:spacing w:val="65"/>
          <w:w w:val="99"/>
          <w:lang w:val="en-US"/>
        </w:rPr>
        <w:t xml:space="preserve"> </w:t>
      </w:r>
      <w:r w:rsidRPr="005948DE">
        <w:rPr>
          <w:rFonts w:ascii="Times New Roman" w:eastAsia="Calibri" w:hAnsi="Times New Roman" w:cs="Times New Roman"/>
          <w:spacing w:val="-1"/>
          <w:lang w:val="en-US"/>
        </w:rPr>
        <w:t>is</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spacing w:val="-1"/>
          <w:lang w:val="en-US"/>
        </w:rPr>
        <w:t>considered</w:t>
      </w:r>
      <w:r w:rsidRPr="005948DE">
        <w:rPr>
          <w:rFonts w:ascii="Times New Roman" w:eastAsia="Calibri" w:hAnsi="Times New Roman" w:cs="Times New Roman"/>
          <w:spacing w:val="-3"/>
          <w:lang w:val="en-US"/>
        </w:rPr>
        <w:t xml:space="preserve"> </w:t>
      </w:r>
      <w:r w:rsidRPr="005948DE">
        <w:rPr>
          <w:rFonts w:ascii="Times New Roman" w:eastAsia="Calibri" w:hAnsi="Times New Roman" w:cs="Times New Roman"/>
          <w:lang w:val="en-US"/>
        </w:rPr>
        <w:t>the</w:t>
      </w:r>
      <w:r w:rsidRPr="005948DE">
        <w:rPr>
          <w:rFonts w:ascii="Times New Roman" w:eastAsia="Calibri" w:hAnsi="Times New Roman" w:cs="Times New Roman"/>
          <w:spacing w:val="-2"/>
          <w:lang w:val="en-US"/>
        </w:rPr>
        <w:t xml:space="preserve"> </w:t>
      </w:r>
      <w:r w:rsidRPr="005948DE">
        <w:rPr>
          <w:rFonts w:ascii="Times New Roman" w:eastAsia="Calibri" w:hAnsi="Times New Roman" w:cs="Times New Roman"/>
          <w:lang w:val="en-US"/>
        </w:rPr>
        <w:t>Most</w:t>
      </w:r>
      <w:r w:rsidRPr="005948DE">
        <w:rPr>
          <w:rFonts w:ascii="Times New Roman" w:eastAsia="Calibri" w:hAnsi="Times New Roman" w:cs="Times New Roman"/>
          <w:spacing w:val="-4"/>
          <w:lang w:val="en-US"/>
        </w:rPr>
        <w:t xml:space="preserve"> </w:t>
      </w:r>
      <w:r w:rsidRPr="005948DE">
        <w:rPr>
          <w:rFonts w:ascii="Times New Roman" w:eastAsia="Calibri" w:hAnsi="Times New Roman" w:cs="Times New Roman"/>
          <w:spacing w:val="-1"/>
          <w:lang w:val="en-US"/>
        </w:rPr>
        <w:t>Advantageous</w:t>
      </w:r>
      <w:r w:rsidRPr="005948DE">
        <w:rPr>
          <w:rFonts w:ascii="Times New Roman" w:eastAsia="Calibri" w:hAnsi="Times New Roman" w:cs="Times New Roman"/>
          <w:spacing w:val="-2"/>
          <w:lang w:val="en-US"/>
        </w:rPr>
        <w:t xml:space="preserve"> </w:t>
      </w:r>
      <w:r w:rsidRPr="005948DE">
        <w:rPr>
          <w:rFonts w:ascii="Times New Roman" w:eastAsia="Calibri" w:hAnsi="Times New Roman" w:cs="Times New Roman"/>
          <w:spacing w:val="-1"/>
          <w:lang w:val="en-US"/>
        </w:rPr>
        <w:t>Proposal.</w:t>
      </w:r>
    </w:p>
    <w:p w14:paraId="5A7CFE5F"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Least Cost-based Selection</w:t>
      </w:r>
    </w:p>
    <w:p w14:paraId="08377BAD" w14:textId="168543BB" w:rsidR="00CA17E6"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Similar</w:t>
      </w:r>
      <w:r w:rsidRPr="005948DE">
        <w:rPr>
          <w:rFonts w:ascii="Times New Roman" w:hAnsi="Times New Roman" w:cs="Times New Roman"/>
          <w:spacing w:val="4"/>
        </w:rPr>
        <w:t xml:space="preserve"> </w:t>
      </w:r>
      <w:r w:rsidRPr="005948DE">
        <w:rPr>
          <w:rFonts w:ascii="Times New Roman" w:hAnsi="Times New Roman" w:cs="Times New Roman"/>
        </w:rPr>
        <w:t>to</w:t>
      </w:r>
      <w:r w:rsidRPr="005948DE">
        <w:rPr>
          <w:rFonts w:ascii="Times New Roman" w:hAnsi="Times New Roman" w:cs="Times New Roman"/>
          <w:spacing w:val="5"/>
        </w:rPr>
        <w:t xml:space="preserve"> </w:t>
      </w:r>
      <w:r w:rsidRPr="005948DE">
        <w:rPr>
          <w:rFonts w:ascii="Times New Roman" w:hAnsi="Times New Roman" w:cs="Times New Roman"/>
        </w:rPr>
        <w:t>QCBS,</w:t>
      </w:r>
      <w:r w:rsidRPr="005948DE">
        <w:rPr>
          <w:rFonts w:ascii="Times New Roman" w:hAnsi="Times New Roman" w:cs="Times New Roman"/>
          <w:spacing w:val="5"/>
        </w:rPr>
        <w:t xml:space="preserve"> </w:t>
      </w:r>
      <w:r w:rsidR="005A5126">
        <w:rPr>
          <w:rFonts w:ascii="Times New Roman" w:hAnsi="Times New Roman" w:cs="Times New Roman"/>
          <w:spacing w:val="5"/>
        </w:rPr>
        <w:t xml:space="preserve">the </w:t>
      </w:r>
      <w:r w:rsidRPr="005948DE">
        <w:rPr>
          <w:rFonts w:ascii="Times New Roman" w:hAnsi="Times New Roman" w:cs="Times New Roman"/>
        </w:rPr>
        <w:t>LCS</w:t>
      </w:r>
      <w:r w:rsidRPr="005948DE">
        <w:rPr>
          <w:rFonts w:ascii="Times New Roman" w:hAnsi="Times New Roman" w:cs="Times New Roman"/>
          <w:spacing w:val="5"/>
        </w:rPr>
        <w:t xml:space="preserve"> </w:t>
      </w:r>
      <w:r w:rsidRPr="005948DE">
        <w:rPr>
          <w:rFonts w:ascii="Times New Roman" w:hAnsi="Times New Roman" w:cs="Times New Roman"/>
        </w:rPr>
        <w:t>is</w:t>
      </w:r>
      <w:r w:rsidRPr="005948DE">
        <w:rPr>
          <w:rFonts w:ascii="Times New Roman" w:hAnsi="Times New Roman" w:cs="Times New Roman"/>
          <w:spacing w:val="5"/>
        </w:rPr>
        <w:t xml:space="preserve"> </w:t>
      </w:r>
      <w:r w:rsidRPr="005948DE">
        <w:rPr>
          <w:rFonts w:ascii="Times New Roman" w:hAnsi="Times New Roman" w:cs="Times New Roman"/>
        </w:rPr>
        <w:t>a</w:t>
      </w:r>
      <w:r w:rsidRPr="005948DE">
        <w:rPr>
          <w:rFonts w:ascii="Times New Roman" w:hAnsi="Times New Roman" w:cs="Times New Roman"/>
          <w:spacing w:val="4"/>
        </w:rPr>
        <w:t xml:space="preserve"> </w:t>
      </w:r>
      <w:r w:rsidRPr="005948DE">
        <w:rPr>
          <w:rFonts w:ascii="Times New Roman" w:hAnsi="Times New Roman" w:cs="Times New Roman"/>
        </w:rPr>
        <w:t>competitive</w:t>
      </w:r>
      <w:r w:rsidRPr="005948DE">
        <w:rPr>
          <w:rFonts w:ascii="Times New Roman" w:hAnsi="Times New Roman" w:cs="Times New Roman"/>
          <w:spacing w:val="5"/>
        </w:rPr>
        <w:t xml:space="preserve"> </w:t>
      </w:r>
      <w:r w:rsidRPr="005948DE">
        <w:rPr>
          <w:rFonts w:ascii="Times New Roman" w:hAnsi="Times New Roman" w:cs="Times New Roman"/>
        </w:rPr>
        <w:t>process</w:t>
      </w:r>
      <w:r w:rsidRPr="005948DE">
        <w:rPr>
          <w:rFonts w:ascii="Times New Roman" w:hAnsi="Times New Roman" w:cs="Times New Roman"/>
          <w:spacing w:val="5"/>
        </w:rPr>
        <w:t xml:space="preserve"> </w:t>
      </w:r>
      <w:r w:rsidRPr="005948DE">
        <w:rPr>
          <w:rFonts w:ascii="Times New Roman" w:hAnsi="Times New Roman" w:cs="Times New Roman"/>
        </w:rPr>
        <w:t>among</w:t>
      </w:r>
      <w:r w:rsidRPr="005948DE">
        <w:rPr>
          <w:rFonts w:ascii="Times New Roman" w:hAnsi="Times New Roman" w:cs="Times New Roman"/>
          <w:spacing w:val="5"/>
        </w:rPr>
        <w:t xml:space="preserve"> </w:t>
      </w:r>
      <w:r w:rsidR="005A5126">
        <w:rPr>
          <w:rFonts w:ascii="Times New Roman" w:hAnsi="Times New Roman" w:cs="Times New Roman"/>
        </w:rPr>
        <w:t>s</w:t>
      </w:r>
      <w:r w:rsidR="005A5126" w:rsidRPr="005948DE">
        <w:rPr>
          <w:rFonts w:ascii="Times New Roman" w:hAnsi="Times New Roman" w:cs="Times New Roman"/>
        </w:rPr>
        <w:t>hortlisted</w:t>
      </w:r>
      <w:r w:rsidR="005A5126" w:rsidRPr="005948DE">
        <w:rPr>
          <w:rFonts w:ascii="Times New Roman" w:hAnsi="Times New Roman" w:cs="Times New Roman"/>
          <w:spacing w:val="5"/>
        </w:rPr>
        <w:t xml:space="preserve"> </w:t>
      </w:r>
      <w:r w:rsidRPr="005948DE">
        <w:rPr>
          <w:rFonts w:ascii="Times New Roman" w:hAnsi="Times New Roman" w:cs="Times New Roman"/>
        </w:rPr>
        <w:t>consulting</w:t>
      </w:r>
      <w:r w:rsidRPr="005948DE">
        <w:rPr>
          <w:rFonts w:ascii="Times New Roman" w:hAnsi="Times New Roman" w:cs="Times New Roman"/>
          <w:spacing w:val="4"/>
        </w:rPr>
        <w:t xml:space="preserve"> </w:t>
      </w:r>
      <w:r w:rsidRPr="005948DE">
        <w:rPr>
          <w:rFonts w:ascii="Times New Roman" w:hAnsi="Times New Roman" w:cs="Times New Roman"/>
        </w:rPr>
        <w:t>firms</w:t>
      </w:r>
      <w:r w:rsidRPr="005948DE">
        <w:rPr>
          <w:rFonts w:ascii="Times New Roman" w:hAnsi="Times New Roman" w:cs="Times New Roman"/>
          <w:spacing w:val="5"/>
        </w:rPr>
        <w:t xml:space="preserve"> </w:t>
      </w:r>
      <w:r w:rsidRPr="005948DE">
        <w:rPr>
          <w:rFonts w:ascii="Times New Roman" w:hAnsi="Times New Roman" w:cs="Times New Roman"/>
        </w:rPr>
        <w:t>under</w:t>
      </w:r>
      <w:r w:rsidRPr="005948DE">
        <w:rPr>
          <w:rFonts w:ascii="Times New Roman" w:hAnsi="Times New Roman" w:cs="Times New Roman"/>
          <w:spacing w:val="5"/>
        </w:rPr>
        <w:t xml:space="preserve"> </w:t>
      </w:r>
      <w:r w:rsidRPr="005948DE">
        <w:rPr>
          <w:rFonts w:ascii="Times New Roman" w:hAnsi="Times New Roman" w:cs="Times New Roman"/>
        </w:rPr>
        <w:t>which</w:t>
      </w:r>
      <w:r w:rsidRPr="005948DE">
        <w:rPr>
          <w:rFonts w:ascii="Times New Roman" w:hAnsi="Times New Roman" w:cs="Times New Roman"/>
          <w:spacing w:val="5"/>
        </w:rPr>
        <w:t xml:space="preserve"> </w:t>
      </w:r>
      <w:r w:rsidRPr="005948DE">
        <w:rPr>
          <w:rFonts w:ascii="Times New Roman" w:hAnsi="Times New Roman" w:cs="Times New Roman"/>
        </w:rPr>
        <w:t>the</w:t>
      </w:r>
      <w:r w:rsidRPr="005948DE">
        <w:rPr>
          <w:rFonts w:ascii="Times New Roman" w:hAnsi="Times New Roman" w:cs="Times New Roman"/>
          <w:spacing w:val="79"/>
          <w:w w:val="99"/>
        </w:rPr>
        <w:t xml:space="preserve"> </w:t>
      </w:r>
      <w:r w:rsidRPr="005948DE">
        <w:rPr>
          <w:rFonts w:ascii="Times New Roman" w:hAnsi="Times New Roman" w:cs="Times New Roman"/>
        </w:rPr>
        <w:t>selection</w:t>
      </w:r>
      <w:r w:rsidRPr="005948DE">
        <w:rPr>
          <w:rFonts w:ascii="Times New Roman" w:hAnsi="Times New Roman" w:cs="Times New Roman"/>
          <w:spacing w:val="7"/>
        </w:rPr>
        <w:t xml:space="preserve"> </w:t>
      </w:r>
      <w:r w:rsidRPr="005948DE">
        <w:rPr>
          <w:rFonts w:ascii="Times New Roman" w:hAnsi="Times New Roman" w:cs="Times New Roman"/>
        </w:rPr>
        <w:t>of</w:t>
      </w:r>
      <w:r w:rsidRPr="005948DE">
        <w:rPr>
          <w:rFonts w:ascii="Times New Roman" w:hAnsi="Times New Roman" w:cs="Times New Roman"/>
          <w:spacing w:val="8"/>
        </w:rPr>
        <w:t xml:space="preserve"> </w:t>
      </w:r>
      <w:r w:rsidRPr="005948DE">
        <w:rPr>
          <w:rFonts w:ascii="Times New Roman" w:hAnsi="Times New Roman" w:cs="Times New Roman"/>
        </w:rPr>
        <w:t>the</w:t>
      </w:r>
      <w:r w:rsidRPr="005948DE">
        <w:rPr>
          <w:rFonts w:ascii="Times New Roman" w:hAnsi="Times New Roman" w:cs="Times New Roman"/>
          <w:spacing w:val="7"/>
        </w:rPr>
        <w:t xml:space="preserve"> </w:t>
      </w:r>
      <w:r w:rsidRPr="005948DE">
        <w:rPr>
          <w:rFonts w:ascii="Times New Roman" w:hAnsi="Times New Roman" w:cs="Times New Roman"/>
        </w:rPr>
        <w:t>successful</w:t>
      </w:r>
      <w:r w:rsidRPr="005948DE">
        <w:rPr>
          <w:rFonts w:ascii="Times New Roman" w:hAnsi="Times New Roman" w:cs="Times New Roman"/>
          <w:spacing w:val="7"/>
        </w:rPr>
        <w:t xml:space="preserve"> </w:t>
      </w:r>
      <w:r w:rsidRPr="005948DE">
        <w:rPr>
          <w:rFonts w:ascii="Times New Roman" w:hAnsi="Times New Roman" w:cs="Times New Roman"/>
        </w:rPr>
        <w:t>firm</w:t>
      </w:r>
      <w:r w:rsidRPr="005948DE">
        <w:rPr>
          <w:rFonts w:ascii="Times New Roman" w:hAnsi="Times New Roman" w:cs="Times New Roman"/>
          <w:spacing w:val="8"/>
        </w:rPr>
        <w:t xml:space="preserve"> </w:t>
      </w:r>
      <w:r w:rsidRPr="005948DE">
        <w:rPr>
          <w:rFonts w:ascii="Times New Roman" w:hAnsi="Times New Roman" w:cs="Times New Roman"/>
        </w:rPr>
        <w:t>takes</w:t>
      </w:r>
      <w:r w:rsidRPr="005948DE">
        <w:rPr>
          <w:rFonts w:ascii="Times New Roman" w:hAnsi="Times New Roman" w:cs="Times New Roman"/>
          <w:spacing w:val="8"/>
        </w:rPr>
        <w:t xml:space="preserve"> </w:t>
      </w:r>
      <w:r w:rsidRPr="005948DE">
        <w:rPr>
          <w:rFonts w:ascii="Times New Roman" w:hAnsi="Times New Roman" w:cs="Times New Roman"/>
        </w:rPr>
        <w:t>into</w:t>
      </w:r>
      <w:r w:rsidRPr="005948DE">
        <w:rPr>
          <w:rFonts w:ascii="Times New Roman" w:hAnsi="Times New Roman" w:cs="Times New Roman"/>
          <w:spacing w:val="7"/>
        </w:rPr>
        <w:t xml:space="preserve"> </w:t>
      </w:r>
      <w:r w:rsidRPr="005948DE">
        <w:rPr>
          <w:rFonts w:ascii="Times New Roman" w:hAnsi="Times New Roman" w:cs="Times New Roman"/>
        </w:rPr>
        <w:t>account</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7"/>
        </w:rPr>
        <w:t xml:space="preserve"> </w:t>
      </w:r>
      <w:r w:rsidRPr="005948DE">
        <w:rPr>
          <w:rFonts w:ascii="Times New Roman" w:hAnsi="Times New Roman" w:cs="Times New Roman"/>
        </w:rPr>
        <w:t>quality</w:t>
      </w:r>
      <w:r w:rsidRPr="005948DE">
        <w:rPr>
          <w:rFonts w:ascii="Times New Roman" w:hAnsi="Times New Roman" w:cs="Times New Roman"/>
          <w:spacing w:val="7"/>
        </w:rPr>
        <w:t xml:space="preserve"> </w:t>
      </w:r>
      <w:r w:rsidRPr="005948DE">
        <w:rPr>
          <w:rFonts w:ascii="Times New Roman" w:hAnsi="Times New Roman" w:cs="Times New Roman"/>
        </w:rPr>
        <w:t>of</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7"/>
        </w:rPr>
        <w:t xml:space="preserve"> </w:t>
      </w:r>
      <w:r w:rsidR="005A5126">
        <w:rPr>
          <w:rFonts w:ascii="Times New Roman" w:hAnsi="Times New Roman" w:cs="Times New Roman"/>
        </w:rPr>
        <w:t>p</w:t>
      </w:r>
      <w:r w:rsidR="005A5126" w:rsidRPr="005948DE">
        <w:rPr>
          <w:rFonts w:ascii="Times New Roman" w:hAnsi="Times New Roman" w:cs="Times New Roman"/>
        </w:rPr>
        <w:t>roposal</w:t>
      </w:r>
      <w:r w:rsidR="005A5126" w:rsidRPr="005948DE">
        <w:rPr>
          <w:rFonts w:ascii="Times New Roman" w:hAnsi="Times New Roman" w:cs="Times New Roman"/>
          <w:spacing w:val="8"/>
        </w:rPr>
        <w:t xml:space="preserve"> </w:t>
      </w:r>
      <w:r w:rsidRPr="005948DE">
        <w:rPr>
          <w:rFonts w:ascii="Times New Roman" w:hAnsi="Times New Roman" w:cs="Times New Roman"/>
        </w:rPr>
        <w:t>and</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7"/>
        </w:rPr>
        <w:t xml:space="preserve"> </w:t>
      </w:r>
      <w:r w:rsidRPr="005948DE">
        <w:rPr>
          <w:rFonts w:ascii="Times New Roman" w:hAnsi="Times New Roman" w:cs="Times New Roman"/>
        </w:rPr>
        <w:t>cost</w:t>
      </w:r>
      <w:r w:rsidRPr="005948DE">
        <w:rPr>
          <w:rFonts w:ascii="Times New Roman" w:hAnsi="Times New Roman" w:cs="Times New Roman"/>
          <w:spacing w:val="7"/>
        </w:rPr>
        <w:t xml:space="preserve"> </w:t>
      </w:r>
      <w:r w:rsidRPr="005948DE">
        <w:rPr>
          <w:rFonts w:ascii="Times New Roman" w:hAnsi="Times New Roman" w:cs="Times New Roman"/>
        </w:rPr>
        <w:t>of</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71"/>
          <w:w w:val="99"/>
        </w:rPr>
        <w:t xml:space="preserve"> </w:t>
      </w:r>
      <w:r w:rsidRPr="005948DE">
        <w:rPr>
          <w:rFonts w:ascii="Times New Roman" w:hAnsi="Times New Roman" w:cs="Times New Roman"/>
        </w:rPr>
        <w:t>services.</w:t>
      </w:r>
      <w:r w:rsidRPr="005948DE">
        <w:rPr>
          <w:rFonts w:ascii="Times New Roman" w:hAnsi="Times New Roman" w:cs="Times New Roman"/>
          <w:spacing w:val="42"/>
        </w:rPr>
        <w:t xml:space="preserve"> </w:t>
      </w:r>
      <w:r w:rsidRPr="005948DE">
        <w:rPr>
          <w:rFonts w:ascii="Times New Roman" w:hAnsi="Times New Roman" w:cs="Times New Roman"/>
        </w:rPr>
        <w:t>LCS</w:t>
      </w:r>
      <w:r w:rsidRPr="005948DE">
        <w:rPr>
          <w:rFonts w:ascii="Times New Roman" w:hAnsi="Times New Roman" w:cs="Times New Roman"/>
          <w:spacing w:val="22"/>
        </w:rPr>
        <w:t xml:space="preserve"> </w:t>
      </w:r>
      <w:r w:rsidRPr="005948DE">
        <w:rPr>
          <w:rFonts w:ascii="Times New Roman" w:hAnsi="Times New Roman" w:cs="Times New Roman"/>
        </w:rPr>
        <w:t>is</w:t>
      </w:r>
      <w:r w:rsidRPr="005948DE">
        <w:rPr>
          <w:rFonts w:ascii="Times New Roman" w:hAnsi="Times New Roman" w:cs="Times New Roman"/>
          <w:spacing w:val="22"/>
        </w:rPr>
        <w:t xml:space="preserve"> </w:t>
      </w:r>
      <w:r w:rsidRPr="005948DE">
        <w:rPr>
          <w:rFonts w:ascii="Times New Roman" w:hAnsi="Times New Roman" w:cs="Times New Roman"/>
        </w:rPr>
        <w:t>generally</w:t>
      </w:r>
      <w:r w:rsidRPr="005948DE">
        <w:rPr>
          <w:rFonts w:ascii="Times New Roman" w:hAnsi="Times New Roman" w:cs="Times New Roman"/>
          <w:spacing w:val="21"/>
        </w:rPr>
        <w:t xml:space="preserve"> </w:t>
      </w:r>
      <w:r w:rsidRPr="005948DE">
        <w:rPr>
          <w:rFonts w:ascii="Times New Roman" w:hAnsi="Times New Roman" w:cs="Times New Roman"/>
        </w:rPr>
        <w:t>appropriate</w:t>
      </w:r>
      <w:r w:rsidRPr="005948DE">
        <w:rPr>
          <w:rFonts w:ascii="Times New Roman" w:hAnsi="Times New Roman" w:cs="Times New Roman"/>
          <w:spacing w:val="21"/>
        </w:rPr>
        <w:t xml:space="preserve"> </w:t>
      </w:r>
      <w:r w:rsidRPr="005948DE">
        <w:rPr>
          <w:rFonts w:ascii="Times New Roman" w:hAnsi="Times New Roman" w:cs="Times New Roman"/>
        </w:rPr>
        <w:t>for</w:t>
      </w:r>
      <w:r w:rsidRPr="005948DE">
        <w:rPr>
          <w:rFonts w:ascii="Times New Roman" w:hAnsi="Times New Roman" w:cs="Times New Roman"/>
          <w:spacing w:val="21"/>
        </w:rPr>
        <w:t xml:space="preserve"> </w:t>
      </w:r>
      <w:r w:rsidRPr="005948DE">
        <w:rPr>
          <w:rFonts w:ascii="Times New Roman" w:hAnsi="Times New Roman" w:cs="Times New Roman"/>
        </w:rPr>
        <w:t>assignments</w:t>
      </w:r>
      <w:r w:rsidRPr="005948DE">
        <w:rPr>
          <w:rFonts w:ascii="Times New Roman" w:hAnsi="Times New Roman" w:cs="Times New Roman"/>
          <w:spacing w:val="23"/>
        </w:rPr>
        <w:t xml:space="preserve"> </w:t>
      </w:r>
      <w:r w:rsidRPr="005948DE">
        <w:rPr>
          <w:rFonts w:ascii="Times New Roman" w:hAnsi="Times New Roman" w:cs="Times New Roman"/>
        </w:rPr>
        <w:t>of</w:t>
      </w:r>
      <w:r w:rsidRPr="005948DE">
        <w:rPr>
          <w:rFonts w:ascii="Times New Roman" w:hAnsi="Times New Roman" w:cs="Times New Roman"/>
          <w:spacing w:val="22"/>
        </w:rPr>
        <w:t xml:space="preserve"> </w:t>
      </w:r>
      <w:r w:rsidRPr="005948DE">
        <w:rPr>
          <w:rFonts w:ascii="Times New Roman" w:hAnsi="Times New Roman" w:cs="Times New Roman"/>
        </w:rPr>
        <w:t>a</w:t>
      </w:r>
      <w:r w:rsidRPr="005948DE">
        <w:rPr>
          <w:rFonts w:ascii="Times New Roman" w:hAnsi="Times New Roman" w:cs="Times New Roman"/>
          <w:spacing w:val="21"/>
        </w:rPr>
        <w:t xml:space="preserve"> </w:t>
      </w:r>
      <w:r w:rsidRPr="005948DE">
        <w:rPr>
          <w:rFonts w:ascii="Times New Roman" w:hAnsi="Times New Roman" w:cs="Times New Roman"/>
        </w:rPr>
        <w:t>standard</w:t>
      </w:r>
      <w:r w:rsidRPr="005948DE">
        <w:rPr>
          <w:rFonts w:ascii="Times New Roman" w:hAnsi="Times New Roman" w:cs="Times New Roman"/>
          <w:spacing w:val="22"/>
        </w:rPr>
        <w:t xml:space="preserve"> </w:t>
      </w:r>
      <w:r w:rsidRPr="005948DE">
        <w:rPr>
          <w:rFonts w:ascii="Times New Roman" w:hAnsi="Times New Roman" w:cs="Times New Roman"/>
        </w:rPr>
        <w:t>or</w:t>
      </w:r>
      <w:r w:rsidRPr="005948DE">
        <w:rPr>
          <w:rFonts w:ascii="Times New Roman" w:hAnsi="Times New Roman" w:cs="Times New Roman"/>
          <w:spacing w:val="21"/>
        </w:rPr>
        <w:t xml:space="preserve"> </w:t>
      </w:r>
      <w:r w:rsidRPr="005948DE">
        <w:rPr>
          <w:rFonts w:ascii="Times New Roman" w:hAnsi="Times New Roman" w:cs="Times New Roman"/>
        </w:rPr>
        <w:t>routine</w:t>
      </w:r>
      <w:r w:rsidRPr="005948DE">
        <w:rPr>
          <w:rFonts w:ascii="Times New Roman" w:hAnsi="Times New Roman" w:cs="Times New Roman"/>
          <w:spacing w:val="22"/>
        </w:rPr>
        <w:t xml:space="preserve"> </w:t>
      </w:r>
      <w:r w:rsidRPr="005948DE">
        <w:rPr>
          <w:rFonts w:ascii="Times New Roman" w:hAnsi="Times New Roman" w:cs="Times New Roman"/>
        </w:rPr>
        <w:t>nature</w:t>
      </w:r>
      <w:r w:rsidRPr="005948DE">
        <w:rPr>
          <w:rFonts w:ascii="Times New Roman" w:hAnsi="Times New Roman" w:cs="Times New Roman"/>
          <w:spacing w:val="22"/>
        </w:rPr>
        <w:t xml:space="preserve"> </w:t>
      </w:r>
      <w:r w:rsidRPr="005948DE">
        <w:rPr>
          <w:rFonts w:ascii="Times New Roman" w:hAnsi="Times New Roman" w:cs="Times New Roman"/>
        </w:rPr>
        <w:t>(such</w:t>
      </w:r>
      <w:r w:rsidRPr="005948DE">
        <w:rPr>
          <w:rFonts w:ascii="Times New Roman" w:hAnsi="Times New Roman" w:cs="Times New Roman"/>
          <w:spacing w:val="21"/>
        </w:rPr>
        <w:t xml:space="preserve"> </w:t>
      </w:r>
      <w:r w:rsidRPr="005948DE">
        <w:rPr>
          <w:rFonts w:ascii="Times New Roman" w:hAnsi="Times New Roman" w:cs="Times New Roman"/>
        </w:rPr>
        <w:t>as</w:t>
      </w:r>
      <w:r w:rsidRPr="005948DE">
        <w:rPr>
          <w:rFonts w:ascii="Times New Roman" w:hAnsi="Times New Roman" w:cs="Times New Roman"/>
          <w:spacing w:val="95"/>
        </w:rPr>
        <w:t xml:space="preserve"> </w:t>
      </w:r>
      <w:r w:rsidRPr="005948DE">
        <w:rPr>
          <w:rFonts w:ascii="Times New Roman" w:hAnsi="Times New Roman" w:cs="Times New Roman"/>
        </w:rPr>
        <w:t>engineering</w:t>
      </w:r>
      <w:r w:rsidRPr="005948DE">
        <w:rPr>
          <w:rFonts w:ascii="Times New Roman" w:hAnsi="Times New Roman" w:cs="Times New Roman"/>
          <w:spacing w:val="19"/>
        </w:rPr>
        <w:t xml:space="preserve"> </w:t>
      </w:r>
      <w:r w:rsidRPr="005948DE">
        <w:rPr>
          <w:rFonts w:ascii="Times New Roman" w:hAnsi="Times New Roman" w:cs="Times New Roman"/>
        </w:rPr>
        <w:t>designs</w:t>
      </w:r>
      <w:r w:rsidRPr="005948DE">
        <w:rPr>
          <w:rFonts w:ascii="Times New Roman" w:hAnsi="Times New Roman" w:cs="Times New Roman"/>
          <w:spacing w:val="20"/>
        </w:rPr>
        <w:t xml:space="preserve"> </w:t>
      </w:r>
      <w:r w:rsidRPr="005948DE">
        <w:rPr>
          <w:rFonts w:ascii="Times New Roman" w:hAnsi="Times New Roman" w:cs="Times New Roman"/>
        </w:rPr>
        <w:t>of</w:t>
      </w:r>
      <w:r w:rsidRPr="005948DE">
        <w:rPr>
          <w:rFonts w:ascii="Times New Roman" w:hAnsi="Times New Roman" w:cs="Times New Roman"/>
          <w:spacing w:val="19"/>
        </w:rPr>
        <w:t xml:space="preserve"> </w:t>
      </w:r>
      <w:r w:rsidRPr="005948DE">
        <w:rPr>
          <w:rFonts w:ascii="Times New Roman" w:hAnsi="Times New Roman" w:cs="Times New Roman"/>
        </w:rPr>
        <w:t>non-complex</w:t>
      </w:r>
      <w:r w:rsidRPr="005948DE">
        <w:rPr>
          <w:rFonts w:ascii="Times New Roman" w:hAnsi="Times New Roman" w:cs="Times New Roman"/>
          <w:spacing w:val="20"/>
        </w:rPr>
        <w:t xml:space="preserve"> </w:t>
      </w:r>
      <w:r w:rsidR="005A5126">
        <w:rPr>
          <w:rFonts w:ascii="Times New Roman" w:hAnsi="Times New Roman" w:cs="Times New Roman"/>
        </w:rPr>
        <w:t>w</w:t>
      </w:r>
      <w:r w:rsidR="005A5126" w:rsidRPr="005948DE">
        <w:rPr>
          <w:rFonts w:ascii="Times New Roman" w:hAnsi="Times New Roman" w:cs="Times New Roman"/>
        </w:rPr>
        <w:t>orks</w:t>
      </w:r>
      <w:r w:rsidRPr="005948DE">
        <w:rPr>
          <w:rFonts w:ascii="Times New Roman" w:hAnsi="Times New Roman" w:cs="Times New Roman"/>
        </w:rPr>
        <w:t>),</w:t>
      </w:r>
      <w:r w:rsidRPr="005948DE">
        <w:rPr>
          <w:rFonts w:ascii="Times New Roman" w:hAnsi="Times New Roman" w:cs="Times New Roman"/>
          <w:spacing w:val="20"/>
        </w:rPr>
        <w:t xml:space="preserve"> </w:t>
      </w:r>
      <w:r w:rsidRPr="005948DE">
        <w:rPr>
          <w:rFonts w:ascii="Times New Roman" w:hAnsi="Times New Roman" w:cs="Times New Roman"/>
        </w:rPr>
        <w:t>for</w:t>
      </w:r>
      <w:r w:rsidRPr="005948DE">
        <w:rPr>
          <w:rFonts w:ascii="Times New Roman" w:hAnsi="Times New Roman" w:cs="Times New Roman"/>
          <w:spacing w:val="19"/>
        </w:rPr>
        <w:t xml:space="preserve"> </w:t>
      </w:r>
      <w:r w:rsidRPr="005948DE">
        <w:rPr>
          <w:rFonts w:ascii="Times New Roman" w:hAnsi="Times New Roman" w:cs="Times New Roman"/>
        </w:rPr>
        <w:t>which</w:t>
      </w:r>
      <w:r w:rsidRPr="005948DE">
        <w:rPr>
          <w:rFonts w:ascii="Times New Roman" w:hAnsi="Times New Roman" w:cs="Times New Roman"/>
          <w:spacing w:val="19"/>
        </w:rPr>
        <w:t xml:space="preserve"> </w:t>
      </w:r>
      <w:r w:rsidRPr="005948DE">
        <w:rPr>
          <w:rFonts w:ascii="Times New Roman" w:hAnsi="Times New Roman" w:cs="Times New Roman"/>
        </w:rPr>
        <w:t>well-established</w:t>
      </w:r>
      <w:r w:rsidRPr="005948DE">
        <w:rPr>
          <w:rFonts w:ascii="Times New Roman" w:hAnsi="Times New Roman" w:cs="Times New Roman"/>
          <w:spacing w:val="19"/>
        </w:rPr>
        <w:t xml:space="preserve"> </w:t>
      </w:r>
      <w:r w:rsidRPr="005948DE">
        <w:rPr>
          <w:rFonts w:ascii="Times New Roman" w:hAnsi="Times New Roman" w:cs="Times New Roman"/>
        </w:rPr>
        <w:t>practices</w:t>
      </w:r>
      <w:r w:rsidRPr="005948DE">
        <w:rPr>
          <w:rFonts w:ascii="Times New Roman" w:hAnsi="Times New Roman" w:cs="Times New Roman"/>
          <w:spacing w:val="20"/>
        </w:rPr>
        <w:t xml:space="preserve"> </w:t>
      </w:r>
      <w:r w:rsidRPr="005948DE">
        <w:rPr>
          <w:rFonts w:ascii="Times New Roman" w:hAnsi="Times New Roman" w:cs="Times New Roman"/>
        </w:rPr>
        <w:t>and</w:t>
      </w:r>
      <w:r w:rsidRPr="005948DE">
        <w:rPr>
          <w:rFonts w:ascii="Times New Roman" w:hAnsi="Times New Roman" w:cs="Times New Roman"/>
          <w:spacing w:val="19"/>
        </w:rPr>
        <w:t xml:space="preserve"> </w:t>
      </w:r>
      <w:r w:rsidRPr="005948DE">
        <w:rPr>
          <w:rFonts w:ascii="Times New Roman" w:hAnsi="Times New Roman" w:cs="Times New Roman"/>
        </w:rPr>
        <w:t>standards</w:t>
      </w:r>
      <w:r w:rsidRPr="005948DE">
        <w:rPr>
          <w:rFonts w:ascii="Times New Roman" w:hAnsi="Times New Roman" w:cs="Times New Roman"/>
          <w:spacing w:val="68"/>
        </w:rPr>
        <w:t xml:space="preserve"> </w:t>
      </w:r>
      <w:r w:rsidRPr="005948DE">
        <w:rPr>
          <w:rFonts w:ascii="Times New Roman" w:hAnsi="Times New Roman" w:cs="Times New Roman"/>
        </w:rPr>
        <w:t>exist.</w:t>
      </w:r>
    </w:p>
    <w:p w14:paraId="0F134B5D" w14:textId="206241AF" w:rsidR="00C725CC"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The</w:t>
      </w:r>
      <w:r w:rsidRPr="005948DE">
        <w:rPr>
          <w:rFonts w:ascii="Times New Roman" w:hAnsi="Times New Roman" w:cs="Times New Roman"/>
          <w:spacing w:val="30"/>
        </w:rPr>
        <w:t xml:space="preserve"> </w:t>
      </w:r>
      <w:r w:rsidRPr="005948DE">
        <w:rPr>
          <w:rFonts w:ascii="Times New Roman" w:hAnsi="Times New Roman" w:cs="Times New Roman"/>
        </w:rPr>
        <w:t>request</w:t>
      </w:r>
      <w:r w:rsidRPr="005948DE">
        <w:rPr>
          <w:rFonts w:ascii="Times New Roman" w:hAnsi="Times New Roman" w:cs="Times New Roman"/>
          <w:spacing w:val="31"/>
        </w:rPr>
        <w:t xml:space="preserve"> </w:t>
      </w:r>
      <w:r w:rsidRPr="005948DE">
        <w:rPr>
          <w:rFonts w:ascii="Times New Roman" w:hAnsi="Times New Roman" w:cs="Times New Roman"/>
        </w:rPr>
        <w:t>for</w:t>
      </w:r>
      <w:r w:rsidRPr="005948DE">
        <w:rPr>
          <w:rFonts w:ascii="Times New Roman" w:hAnsi="Times New Roman" w:cs="Times New Roman"/>
          <w:spacing w:val="31"/>
        </w:rPr>
        <w:t xml:space="preserve"> </w:t>
      </w:r>
      <w:r w:rsidRPr="005948DE">
        <w:rPr>
          <w:rFonts w:ascii="Times New Roman" w:hAnsi="Times New Roman" w:cs="Times New Roman"/>
        </w:rPr>
        <w:t>proposals</w:t>
      </w:r>
      <w:r w:rsidRPr="005948DE">
        <w:rPr>
          <w:rFonts w:ascii="Times New Roman" w:hAnsi="Times New Roman" w:cs="Times New Roman"/>
          <w:spacing w:val="31"/>
        </w:rPr>
        <w:t xml:space="preserve"> </w:t>
      </w:r>
      <w:r w:rsidRPr="005948DE">
        <w:rPr>
          <w:rFonts w:ascii="Times New Roman" w:hAnsi="Times New Roman" w:cs="Times New Roman"/>
        </w:rPr>
        <w:t>document</w:t>
      </w:r>
      <w:r w:rsidRPr="005948DE">
        <w:rPr>
          <w:rFonts w:ascii="Times New Roman" w:hAnsi="Times New Roman" w:cs="Times New Roman"/>
          <w:spacing w:val="30"/>
        </w:rPr>
        <w:t xml:space="preserve"> </w:t>
      </w:r>
      <w:r w:rsidRPr="005948DE">
        <w:rPr>
          <w:rFonts w:ascii="Times New Roman" w:hAnsi="Times New Roman" w:cs="Times New Roman"/>
        </w:rPr>
        <w:t>specifies</w:t>
      </w:r>
      <w:r w:rsidRPr="005948DE">
        <w:rPr>
          <w:rFonts w:ascii="Times New Roman" w:hAnsi="Times New Roman" w:cs="Times New Roman"/>
          <w:spacing w:val="32"/>
        </w:rPr>
        <w:t xml:space="preserve"> </w:t>
      </w:r>
      <w:r w:rsidRPr="005948DE">
        <w:rPr>
          <w:rFonts w:ascii="Times New Roman" w:hAnsi="Times New Roman" w:cs="Times New Roman"/>
        </w:rPr>
        <w:t>the</w:t>
      </w:r>
      <w:r w:rsidRPr="005948DE">
        <w:rPr>
          <w:rFonts w:ascii="Times New Roman" w:hAnsi="Times New Roman" w:cs="Times New Roman"/>
          <w:spacing w:val="31"/>
        </w:rPr>
        <w:t xml:space="preserve"> </w:t>
      </w:r>
      <w:r w:rsidRPr="005948DE">
        <w:rPr>
          <w:rFonts w:ascii="Times New Roman" w:hAnsi="Times New Roman" w:cs="Times New Roman"/>
        </w:rPr>
        <w:t>minimum</w:t>
      </w:r>
      <w:r w:rsidRPr="005948DE">
        <w:rPr>
          <w:rFonts w:ascii="Times New Roman" w:hAnsi="Times New Roman" w:cs="Times New Roman"/>
          <w:spacing w:val="31"/>
        </w:rPr>
        <w:t xml:space="preserve"> </w:t>
      </w:r>
      <w:r w:rsidRPr="005948DE">
        <w:rPr>
          <w:rFonts w:ascii="Times New Roman" w:hAnsi="Times New Roman" w:cs="Times New Roman"/>
        </w:rPr>
        <w:t>score</w:t>
      </w:r>
      <w:r w:rsidRPr="005948DE">
        <w:rPr>
          <w:rFonts w:ascii="Times New Roman" w:hAnsi="Times New Roman" w:cs="Times New Roman"/>
          <w:spacing w:val="31"/>
        </w:rPr>
        <w:t xml:space="preserve"> </w:t>
      </w:r>
      <w:r w:rsidRPr="005948DE">
        <w:rPr>
          <w:rFonts w:ascii="Times New Roman" w:hAnsi="Times New Roman" w:cs="Times New Roman"/>
        </w:rPr>
        <w:t>for</w:t>
      </w:r>
      <w:r w:rsidRPr="005948DE">
        <w:rPr>
          <w:rFonts w:ascii="Times New Roman" w:hAnsi="Times New Roman" w:cs="Times New Roman"/>
          <w:spacing w:val="31"/>
        </w:rPr>
        <w:t xml:space="preserve"> </w:t>
      </w:r>
      <w:r w:rsidRPr="005948DE">
        <w:rPr>
          <w:rFonts w:ascii="Times New Roman" w:hAnsi="Times New Roman" w:cs="Times New Roman"/>
        </w:rPr>
        <w:t>the</w:t>
      </w:r>
      <w:r w:rsidRPr="005948DE">
        <w:rPr>
          <w:rFonts w:ascii="Times New Roman" w:hAnsi="Times New Roman" w:cs="Times New Roman"/>
          <w:spacing w:val="31"/>
        </w:rPr>
        <w:t xml:space="preserve"> </w:t>
      </w:r>
      <w:r w:rsidRPr="005948DE">
        <w:rPr>
          <w:rFonts w:ascii="Times New Roman" w:hAnsi="Times New Roman" w:cs="Times New Roman"/>
        </w:rPr>
        <w:t>technical</w:t>
      </w:r>
      <w:r w:rsidRPr="005948DE">
        <w:rPr>
          <w:rFonts w:ascii="Times New Roman" w:hAnsi="Times New Roman" w:cs="Times New Roman"/>
          <w:spacing w:val="32"/>
        </w:rPr>
        <w:t xml:space="preserve"> </w:t>
      </w:r>
      <w:r w:rsidR="005A5126">
        <w:rPr>
          <w:rFonts w:ascii="Times New Roman" w:hAnsi="Times New Roman" w:cs="Times New Roman"/>
        </w:rPr>
        <w:t>p</w:t>
      </w:r>
      <w:r w:rsidR="005A5126" w:rsidRPr="005948DE">
        <w:rPr>
          <w:rFonts w:ascii="Times New Roman" w:hAnsi="Times New Roman" w:cs="Times New Roman"/>
        </w:rPr>
        <w:t>roposals</w:t>
      </w:r>
      <w:r w:rsidRPr="005948DE">
        <w:rPr>
          <w:rFonts w:ascii="Times New Roman" w:hAnsi="Times New Roman" w:cs="Times New Roman"/>
        </w:rPr>
        <w:t>.</w:t>
      </w:r>
      <w:r w:rsidRPr="005948DE">
        <w:rPr>
          <w:rFonts w:ascii="Times New Roman" w:hAnsi="Times New Roman" w:cs="Times New Roman"/>
          <w:spacing w:val="68"/>
        </w:rPr>
        <w:t xml:space="preserve"> </w:t>
      </w:r>
      <w:r w:rsidRPr="005948DE">
        <w:rPr>
          <w:rFonts w:ascii="Times New Roman" w:hAnsi="Times New Roman" w:cs="Times New Roman"/>
        </w:rPr>
        <w:t>Among</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8"/>
        </w:rPr>
        <w:t xml:space="preserve"> </w:t>
      </w:r>
      <w:r w:rsidR="005A5126">
        <w:rPr>
          <w:rFonts w:ascii="Times New Roman" w:hAnsi="Times New Roman" w:cs="Times New Roman"/>
        </w:rPr>
        <w:t>p</w:t>
      </w:r>
      <w:r w:rsidR="005A5126" w:rsidRPr="005948DE">
        <w:rPr>
          <w:rFonts w:ascii="Times New Roman" w:hAnsi="Times New Roman" w:cs="Times New Roman"/>
        </w:rPr>
        <w:t>roposals</w:t>
      </w:r>
      <w:r w:rsidR="005A5126" w:rsidRPr="005948DE">
        <w:rPr>
          <w:rFonts w:ascii="Times New Roman" w:hAnsi="Times New Roman" w:cs="Times New Roman"/>
          <w:spacing w:val="8"/>
        </w:rPr>
        <w:t xml:space="preserve"> </w:t>
      </w:r>
      <w:r w:rsidRPr="005948DE">
        <w:rPr>
          <w:rFonts w:ascii="Times New Roman" w:hAnsi="Times New Roman" w:cs="Times New Roman"/>
        </w:rPr>
        <w:t>that</w:t>
      </w:r>
      <w:r w:rsidRPr="005948DE">
        <w:rPr>
          <w:rFonts w:ascii="Times New Roman" w:hAnsi="Times New Roman" w:cs="Times New Roman"/>
          <w:spacing w:val="8"/>
        </w:rPr>
        <w:t xml:space="preserve"> </w:t>
      </w:r>
      <w:r w:rsidRPr="005948DE">
        <w:rPr>
          <w:rFonts w:ascii="Times New Roman" w:hAnsi="Times New Roman" w:cs="Times New Roman"/>
        </w:rPr>
        <w:t>score</w:t>
      </w:r>
      <w:r w:rsidRPr="005948DE">
        <w:rPr>
          <w:rFonts w:ascii="Times New Roman" w:hAnsi="Times New Roman" w:cs="Times New Roman"/>
          <w:spacing w:val="8"/>
        </w:rPr>
        <w:t xml:space="preserve"> </w:t>
      </w:r>
      <w:r w:rsidRPr="005948DE">
        <w:rPr>
          <w:rFonts w:ascii="Times New Roman" w:hAnsi="Times New Roman" w:cs="Times New Roman"/>
        </w:rPr>
        <w:t>higher</w:t>
      </w:r>
      <w:r w:rsidRPr="005948DE">
        <w:rPr>
          <w:rFonts w:ascii="Times New Roman" w:hAnsi="Times New Roman" w:cs="Times New Roman"/>
          <w:spacing w:val="8"/>
        </w:rPr>
        <w:t xml:space="preserve"> </w:t>
      </w:r>
      <w:r w:rsidRPr="005948DE">
        <w:rPr>
          <w:rFonts w:ascii="Times New Roman" w:hAnsi="Times New Roman" w:cs="Times New Roman"/>
        </w:rPr>
        <w:t>than</w:t>
      </w:r>
      <w:r w:rsidRPr="005948DE">
        <w:rPr>
          <w:rFonts w:ascii="Times New Roman" w:hAnsi="Times New Roman" w:cs="Times New Roman"/>
          <w:spacing w:val="8"/>
        </w:rPr>
        <w:t xml:space="preserve"> </w:t>
      </w:r>
      <w:r w:rsidRPr="005948DE">
        <w:rPr>
          <w:rFonts w:ascii="Times New Roman" w:hAnsi="Times New Roman" w:cs="Times New Roman"/>
        </w:rPr>
        <w:t>the</w:t>
      </w:r>
      <w:r w:rsidRPr="005948DE">
        <w:rPr>
          <w:rFonts w:ascii="Times New Roman" w:hAnsi="Times New Roman" w:cs="Times New Roman"/>
          <w:spacing w:val="8"/>
        </w:rPr>
        <w:t xml:space="preserve"> </w:t>
      </w:r>
      <w:r w:rsidRPr="005948DE">
        <w:rPr>
          <w:rFonts w:ascii="Times New Roman" w:hAnsi="Times New Roman" w:cs="Times New Roman"/>
        </w:rPr>
        <w:t>minimum</w:t>
      </w:r>
      <w:r w:rsidRPr="005948DE">
        <w:rPr>
          <w:rFonts w:ascii="Times New Roman" w:hAnsi="Times New Roman" w:cs="Times New Roman"/>
          <w:spacing w:val="9"/>
        </w:rPr>
        <w:t xml:space="preserve"> </w:t>
      </w:r>
      <w:r w:rsidRPr="005948DE">
        <w:rPr>
          <w:rFonts w:ascii="Times New Roman" w:hAnsi="Times New Roman" w:cs="Times New Roman"/>
        </w:rPr>
        <w:t>technical</w:t>
      </w:r>
      <w:r w:rsidRPr="005948DE">
        <w:rPr>
          <w:rFonts w:ascii="Times New Roman" w:hAnsi="Times New Roman" w:cs="Times New Roman"/>
          <w:spacing w:val="7"/>
        </w:rPr>
        <w:t xml:space="preserve"> </w:t>
      </w:r>
      <w:r w:rsidRPr="005948DE">
        <w:rPr>
          <w:rFonts w:ascii="Times New Roman" w:hAnsi="Times New Roman" w:cs="Times New Roman"/>
        </w:rPr>
        <w:t>score,</w:t>
      </w:r>
      <w:r w:rsidRPr="005948DE">
        <w:rPr>
          <w:rFonts w:ascii="Times New Roman" w:hAnsi="Times New Roman" w:cs="Times New Roman"/>
          <w:spacing w:val="8"/>
        </w:rPr>
        <w:t xml:space="preserve"> </w:t>
      </w:r>
      <w:r w:rsidRPr="005948DE">
        <w:rPr>
          <w:rFonts w:ascii="Times New Roman" w:hAnsi="Times New Roman" w:cs="Times New Roman"/>
        </w:rPr>
        <w:t>the</w:t>
      </w:r>
      <w:r w:rsidRPr="005948DE">
        <w:rPr>
          <w:rFonts w:ascii="Times New Roman" w:hAnsi="Times New Roman" w:cs="Times New Roman"/>
          <w:spacing w:val="8"/>
        </w:rPr>
        <w:t xml:space="preserve"> </w:t>
      </w:r>
      <w:r w:rsidR="005A5126">
        <w:rPr>
          <w:rFonts w:ascii="Times New Roman" w:hAnsi="Times New Roman" w:cs="Times New Roman"/>
        </w:rPr>
        <w:t>p</w:t>
      </w:r>
      <w:r w:rsidR="005A5126" w:rsidRPr="005948DE">
        <w:rPr>
          <w:rFonts w:ascii="Times New Roman" w:hAnsi="Times New Roman" w:cs="Times New Roman"/>
        </w:rPr>
        <w:t>roposal</w:t>
      </w:r>
      <w:r w:rsidR="005A5126" w:rsidRPr="005948DE">
        <w:rPr>
          <w:rFonts w:ascii="Times New Roman" w:hAnsi="Times New Roman" w:cs="Times New Roman"/>
          <w:spacing w:val="8"/>
        </w:rPr>
        <w:t xml:space="preserve"> </w:t>
      </w:r>
      <w:r w:rsidRPr="005948DE">
        <w:rPr>
          <w:rFonts w:ascii="Times New Roman" w:hAnsi="Times New Roman" w:cs="Times New Roman"/>
        </w:rPr>
        <w:t>with</w:t>
      </w:r>
      <w:r w:rsidRPr="005948DE">
        <w:rPr>
          <w:rFonts w:ascii="Times New Roman" w:hAnsi="Times New Roman" w:cs="Times New Roman"/>
          <w:spacing w:val="8"/>
        </w:rPr>
        <w:t xml:space="preserve"> </w:t>
      </w:r>
      <w:r w:rsidRPr="005948DE">
        <w:rPr>
          <w:rFonts w:ascii="Times New Roman" w:hAnsi="Times New Roman" w:cs="Times New Roman"/>
        </w:rPr>
        <w:t>the</w:t>
      </w:r>
      <w:r w:rsidRPr="005948DE">
        <w:rPr>
          <w:rFonts w:ascii="Times New Roman" w:hAnsi="Times New Roman" w:cs="Times New Roman"/>
          <w:spacing w:val="49"/>
          <w:w w:val="99"/>
        </w:rPr>
        <w:t xml:space="preserve"> </w:t>
      </w:r>
      <w:r w:rsidRPr="005948DE">
        <w:rPr>
          <w:rFonts w:ascii="Times New Roman" w:hAnsi="Times New Roman" w:cs="Times New Roman"/>
        </w:rPr>
        <w:t>lowest</w:t>
      </w:r>
      <w:r w:rsidRPr="005948DE">
        <w:rPr>
          <w:rFonts w:ascii="Times New Roman" w:hAnsi="Times New Roman" w:cs="Times New Roman"/>
          <w:spacing w:val="11"/>
        </w:rPr>
        <w:t xml:space="preserve"> </w:t>
      </w:r>
      <w:r w:rsidRPr="005948DE">
        <w:rPr>
          <w:rFonts w:ascii="Times New Roman" w:hAnsi="Times New Roman" w:cs="Times New Roman"/>
        </w:rPr>
        <w:t>evaluated</w:t>
      </w:r>
      <w:r w:rsidRPr="005948DE">
        <w:rPr>
          <w:rFonts w:ascii="Times New Roman" w:hAnsi="Times New Roman" w:cs="Times New Roman"/>
          <w:spacing w:val="11"/>
        </w:rPr>
        <w:t xml:space="preserve"> </w:t>
      </w:r>
      <w:r w:rsidRPr="005948DE">
        <w:rPr>
          <w:rFonts w:ascii="Times New Roman" w:hAnsi="Times New Roman" w:cs="Times New Roman"/>
        </w:rPr>
        <w:t>cost</w:t>
      </w:r>
      <w:r w:rsidRPr="005948DE">
        <w:rPr>
          <w:rFonts w:ascii="Times New Roman" w:hAnsi="Times New Roman" w:cs="Times New Roman"/>
          <w:spacing w:val="10"/>
        </w:rPr>
        <w:t xml:space="preserve"> </w:t>
      </w:r>
      <w:r w:rsidRPr="005948DE">
        <w:rPr>
          <w:rFonts w:ascii="Times New Roman" w:hAnsi="Times New Roman" w:cs="Times New Roman"/>
        </w:rPr>
        <w:t>is</w:t>
      </w:r>
      <w:r w:rsidRPr="005948DE">
        <w:rPr>
          <w:rFonts w:ascii="Times New Roman" w:hAnsi="Times New Roman" w:cs="Times New Roman"/>
          <w:spacing w:val="11"/>
        </w:rPr>
        <w:t xml:space="preserve"> </w:t>
      </w:r>
      <w:r w:rsidRPr="005948DE">
        <w:rPr>
          <w:rFonts w:ascii="Times New Roman" w:hAnsi="Times New Roman" w:cs="Times New Roman"/>
        </w:rPr>
        <w:t>considered</w:t>
      </w:r>
      <w:r w:rsidRPr="005948DE">
        <w:rPr>
          <w:rFonts w:ascii="Times New Roman" w:hAnsi="Times New Roman" w:cs="Times New Roman"/>
          <w:spacing w:val="11"/>
        </w:rPr>
        <w:t xml:space="preserve"> </w:t>
      </w:r>
      <w:r w:rsidRPr="005948DE">
        <w:rPr>
          <w:rFonts w:ascii="Times New Roman" w:hAnsi="Times New Roman" w:cs="Times New Roman"/>
        </w:rPr>
        <w:t>the</w:t>
      </w:r>
      <w:r w:rsidRPr="005948DE">
        <w:rPr>
          <w:rFonts w:ascii="Times New Roman" w:hAnsi="Times New Roman" w:cs="Times New Roman"/>
          <w:spacing w:val="11"/>
        </w:rPr>
        <w:t xml:space="preserve"> </w:t>
      </w:r>
      <w:r w:rsidRPr="005948DE">
        <w:rPr>
          <w:rFonts w:ascii="Times New Roman" w:hAnsi="Times New Roman" w:cs="Times New Roman"/>
        </w:rPr>
        <w:t>Most</w:t>
      </w:r>
      <w:r w:rsidRPr="005948DE">
        <w:rPr>
          <w:rFonts w:ascii="Times New Roman" w:hAnsi="Times New Roman" w:cs="Times New Roman"/>
          <w:spacing w:val="11"/>
        </w:rPr>
        <w:t xml:space="preserve"> </w:t>
      </w:r>
      <w:r w:rsidRPr="005948DE">
        <w:rPr>
          <w:rFonts w:ascii="Times New Roman" w:hAnsi="Times New Roman" w:cs="Times New Roman"/>
        </w:rPr>
        <w:t>Advantageous</w:t>
      </w:r>
      <w:r w:rsidRPr="005948DE">
        <w:rPr>
          <w:rFonts w:ascii="Times New Roman" w:hAnsi="Times New Roman" w:cs="Times New Roman"/>
          <w:spacing w:val="11"/>
        </w:rPr>
        <w:t xml:space="preserve"> </w:t>
      </w:r>
      <w:r w:rsidRPr="005948DE">
        <w:rPr>
          <w:rFonts w:ascii="Times New Roman" w:hAnsi="Times New Roman" w:cs="Times New Roman"/>
        </w:rPr>
        <w:t>Proposal.</w:t>
      </w:r>
    </w:p>
    <w:p w14:paraId="1B0D50B9"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Quality-based Selection</w:t>
      </w:r>
    </w:p>
    <w:p w14:paraId="68DE92B6" w14:textId="1CB6B39E" w:rsidR="00CA17E6"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Under</w:t>
      </w:r>
      <w:r w:rsidRPr="005948DE">
        <w:rPr>
          <w:rFonts w:ascii="Times New Roman" w:hAnsi="Times New Roman" w:cs="Times New Roman"/>
          <w:spacing w:val="6"/>
        </w:rPr>
        <w:t xml:space="preserve"> </w:t>
      </w:r>
      <w:r w:rsidR="005A5126">
        <w:rPr>
          <w:rFonts w:ascii="Times New Roman" w:hAnsi="Times New Roman" w:cs="Times New Roman"/>
          <w:spacing w:val="6"/>
        </w:rPr>
        <w:t xml:space="preserve">the </w:t>
      </w:r>
      <w:r w:rsidRPr="005948DE">
        <w:rPr>
          <w:rFonts w:ascii="Times New Roman" w:hAnsi="Times New Roman" w:cs="Times New Roman"/>
        </w:rPr>
        <w:t>QBS,</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6"/>
        </w:rPr>
        <w:t xml:space="preserve"> </w:t>
      </w:r>
      <w:r w:rsidRPr="005948DE">
        <w:rPr>
          <w:rFonts w:ascii="Times New Roman" w:hAnsi="Times New Roman" w:cs="Times New Roman"/>
        </w:rPr>
        <w:t>Proposal</w:t>
      </w:r>
      <w:r w:rsidRPr="005948DE">
        <w:rPr>
          <w:rFonts w:ascii="Times New Roman" w:hAnsi="Times New Roman" w:cs="Times New Roman"/>
          <w:spacing w:val="7"/>
        </w:rPr>
        <w:t xml:space="preserve"> </w:t>
      </w:r>
      <w:r w:rsidRPr="005948DE">
        <w:rPr>
          <w:rFonts w:ascii="Times New Roman" w:hAnsi="Times New Roman" w:cs="Times New Roman"/>
        </w:rPr>
        <w:t>quality</w:t>
      </w:r>
      <w:r w:rsidRPr="005948DE">
        <w:rPr>
          <w:rFonts w:ascii="Times New Roman" w:hAnsi="Times New Roman" w:cs="Times New Roman"/>
          <w:spacing w:val="6"/>
        </w:rPr>
        <w:t xml:space="preserve"> </w:t>
      </w:r>
      <w:r w:rsidRPr="005948DE">
        <w:rPr>
          <w:rFonts w:ascii="Times New Roman" w:hAnsi="Times New Roman" w:cs="Times New Roman"/>
        </w:rPr>
        <w:t>is</w:t>
      </w:r>
      <w:r w:rsidRPr="005948DE">
        <w:rPr>
          <w:rFonts w:ascii="Times New Roman" w:hAnsi="Times New Roman" w:cs="Times New Roman"/>
          <w:spacing w:val="7"/>
        </w:rPr>
        <w:t xml:space="preserve"> </w:t>
      </w:r>
      <w:r w:rsidRPr="005948DE">
        <w:rPr>
          <w:rFonts w:ascii="Times New Roman" w:hAnsi="Times New Roman" w:cs="Times New Roman"/>
        </w:rPr>
        <w:t>evaluated</w:t>
      </w:r>
      <w:r w:rsidRPr="005948DE">
        <w:rPr>
          <w:rFonts w:ascii="Times New Roman" w:hAnsi="Times New Roman" w:cs="Times New Roman"/>
          <w:spacing w:val="7"/>
        </w:rPr>
        <w:t xml:space="preserve"> </w:t>
      </w:r>
      <w:r w:rsidRPr="005948DE">
        <w:rPr>
          <w:rFonts w:ascii="Times New Roman" w:hAnsi="Times New Roman" w:cs="Times New Roman"/>
        </w:rPr>
        <w:t>without</w:t>
      </w:r>
      <w:r w:rsidRPr="005948DE">
        <w:rPr>
          <w:rFonts w:ascii="Times New Roman" w:hAnsi="Times New Roman" w:cs="Times New Roman"/>
          <w:spacing w:val="7"/>
        </w:rPr>
        <w:t xml:space="preserve"> </w:t>
      </w:r>
      <w:r w:rsidRPr="005948DE">
        <w:rPr>
          <w:rFonts w:ascii="Times New Roman" w:hAnsi="Times New Roman" w:cs="Times New Roman"/>
        </w:rPr>
        <w:t>using</w:t>
      </w:r>
      <w:r w:rsidRPr="005948DE">
        <w:rPr>
          <w:rFonts w:ascii="Times New Roman" w:hAnsi="Times New Roman" w:cs="Times New Roman"/>
          <w:spacing w:val="7"/>
        </w:rPr>
        <w:t xml:space="preserve"> </w:t>
      </w:r>
      <w:r w:rsidRPr="005948DE">
        <w:rPr>
          <w:rFonts w:ascii="Times New Roman" w:hAnsi="Times New Roman" w:cs="Times New Roman"/>
        </w:rPr>
        <w:t>cost</w:t>
      </w:r>
      <w:r w:rsidRPr="005948DE">
        <w:rPr>
          <w:rFonts w:ascii="Times New Roman" w:hAnsi="Times New Roman" w:cs="Times New Roman"/>
          <w:spacing w:val="5"/>
        </w:rPr>
        <w:t xml:space="preserve"> </w:t>
      </w:r>
      <w:r w:rsidRPr="005948DE">
        <w:rPr>
          <w:rFonts w:ascii="Times New Roman" w:hAnsi="Times New Roman" w:cs="Times New Roman"/>
        </w:rPr>
        <w:t>as</w:t>
      </w:r>
      <w:r w:rsidRPr="005948DE">
        <w:rPr>
          <w:rFonts w:ascii="Times New Roman" w:hAnsi="Times New Roman" w:cs="Times New Roman"/>
          <w:spacing w:val="7"/>
        </w:rPr>
        <w:t xml:space="preserve"> </w:t>
      </w:r>
      <w:r w:rsidRPr="005948DE">
        <w:rPr>
          <w:rFonts w:ascii="Times New Roman" w:hAnsi="Times New Roman" w:cs="Times New Roman"/>
        </w:rPr>
        <w:t>an</w:t>
      </w:r>
      <w:r w:rsidRPr="005948DE">
        <w:rPr>
          <w:rFonts w:ascii="Times New Roman" w:hAnsi="Times New Roman" w:cs="Times New Roman"/>
          <w:spacing w:val="6"/>
        </w:rPr>
        <w:t xml:space="preserve"> </w:t>
      </w:r>
      <w:r w:rsidRPr="005948DE">
        <w:rPr>
          <w:rFonts w:ascii="Times New Roman" w:hAnsi="Times New Roman" w:cs="Times New Roman"/>
        </w:rPr>
        <w:t>evaluation</w:t>
      </w:r>
      <w:r w:rsidRPr="005948DE">
        <w:rPr>
          <w:rFonts w:ascii="Times New Roman" w:hAnsi="Times New Roman" w:cs="Times New Roman"/>
          <w:spacing w:val="7"/>
        </w:rPr>
        <w:t xml:space="preserve"> </w:t>
      </w:r>
      <w:r w:rsidRPr="005948DE">
        <w:rPr>
          <w:rFonts w:ascii="Times New Roman" w:hAnsi="Times New Roman" w:cs="Times New Roman"/>
        </w:rPr>
        <w:t>criterion.</w:t>
      </w:r>
      <w:r w:rsidRPr="005948DE">
        <w:rPr>
          <w:rFonts w:ascii="Times New Roman" w:hAnsi="Times New Roman" w:cs="Times New Roman"/>
          <w:spacing w:val="13"/>
        </w:rPr>
        <w:t xml:space="preserve"> </w:t>
      </w:r>
      <w:r w:rsidRPr="005948DE">
        <w:rPr>
          <w:rFonts w:ascii="Times New Roman" w:hAnsi="Times New Roman" w:cs="Times New Roman"/>
        </w:rPr>
        <w:t>If</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77"/>
          <w:w w:val="99"/>
        </w:rPr>
        <w:t xml:space="preserve"> </w:t>
      </w:r>
      <w:r w:rsidRPr="005948DE">
        <w:rPr>
          <w:rFonts w:ascii="Times New Roman" w:hAnsi="Times New Roman" w:cs="Times New Roman"/>
        </w:rPr>
        <w:t>request</w:t>
      </w:r>
      <w:r w:rsidRPr="005948DE">
        <w:rPr>
          <w:rFonts w:ascii="Times New Roman" w:hAnsi="Times New Roman" w:cs="Times New Roman"/>
          <w:spacing w:val="-11"/>
        </w:rPr>
        <w:t xml:space="preserve"> </w:t>
      </w:r>
      <w:r w:rsidRPr="005948DE">
        <w:rPr>
          <w:rFonts w:ascii="Times New Roman" w:hAnsi="Times New Roman" w:cs="Times New Roman"/>
        </w:rPr>
        <w:t>for</w:t>
      </w:r>
      <w:r w:rsidRPr="005948DE">
        <w:rPr>
          <w:rFonts w:ascii="Times New Roman" w:hAnsi="Times New Roman" w:cs="Times New Roman"/>
          <w:spacing w:val="-10"/>
        </w:rPr>
        <w:t xml:space="preserve"> </w:t>
      </w:r>
      <w:r w:rsidRPr="005948DE">
        <w:rPr>
          <w:rFonts w:ascii="Times New Roman" w:hAnsi="Times New Roman" w:cs="Times New Roman"/>
        </w:rPr>
        <w:t>proposals</w:t>
      </w:r>
      <w:r w:rsidRPr="005948DE">
        <w:rPr>
          <w:rFonts w:ascii="Times New Roman" w:hAnsi="Times New Roman" w:cs="Times New Roman"/>
          <w:spacing w:val="-10"/>
        </w:rPr>
        <w:t xml:space="preserve"> </w:t>
      </w:r>
      <w:r w:rsidRPr="005948DE">
        <w:rPr>
          <w:rFonts w:ascii="Times New Roman" w:hAnsi="Times New Roman" w:cs="Times New Roman"/>
        </w:rPr>
        <w:t>requests</w:t>
      </w:r>
      <w:r w:rsidRPr="005948DE">
        <w:rPr>
          <w:rFonts w:ascii="Times New Roman" w:hAnsi="Times New Roman" w:cs="Times New Roman"/>
          <w:spacing w:val="-12"/>
        </w:rPr>
        <w:t xml:space="preserve"> </w:t>
      </w:r>
      <w:r w:rsidRPr="005948DE">
        <w:rPr>
          <w:rFonts w:ascii="Times New Roman" w:hAnsi="Times New Roman" w:cs="Times New Roman"/>
        </w:rPr>
        <w:t>both</w:t>
      </w:r>
      <w:r w:rsidRPr="005948DE">
        <w:rPr>
          <w:rFonts w:ascii="Times New Roman" w:hAnsi="Times New Roman" w:cs="Times New Roman"/>
          <w:spacing w:val="-10"/>
        </w:rPr>
        <w:t xml:space="preserve"> </w:t>
      </w:r>
      <w:r w:rsidRPr="005948DE">
        <w:rPr>
          <w:rFonts w:ascii="Times New Roman" w:hAnsi="Times New Roman" w:cs="Times New Roman"/>
        </w:rPr>
        <w:t>technical</w:t>
      </w:r>
      <w:r w:rsidRPr="005948DE">
        <w:rPr>
          <w:rFonts w:ascii="Times New Roman" w:hAnsi="Times New Roman" w:cs="Times New Roman"/>
          <w:spacing w:val="-10"/>
        </w:rPr>
        <w:t xml:space="preserve"> </w:t>
      </w:r>
      <w:r w:rsidRPr="005948DE">
        <w:rPr>
          <w:rFonts w:ascii="Times New Roman" w:hAnsi="Times New Roman" w:cs="Times New Roman"/>
        </w:rPr>
        <w:t>and</w:t>
      </w:r>
      <w:r w:rsidRPr="005948DE">
        <w:rPr>
          <w:rFonts w:ascii="Times New Roman" w:hAnsi="Times New Roman" w:cs="Times New Roman"/>
          <w:spacing w:val="-10"/>
        </w:rPr>
        <w:t xml:space="preserve"> </w:t>
      </w:r>
      <w:r w:rsidRPr="005948DE">
        <w:rPr>
          <w:rFonts w:ascii="Times New Roman" w:hAnsi="Times New Roman" w:cs="Times New Roman"/>
        </w:rPr>
        <w:t>financial</w:t>
      </w:r>
      <w:r w:rsidRPr="005948DE">
        <w:rPr>
          <w:rFonts w:ascii="Times New Roman" w:hAnsi="Times New Roman" w:cs="Times New Roman"/>
          <w:spacing w:val="-11"/>
        </w:rPr>
        <w:t xml:space="preserve"> </w:t>
      </w:r>
      <w:r w:rsidR="005A5126">
        <w:rPr>
          <w:rFonts w:ascii="Times New Roman" w:hAnsi="Times New Roman" w:cs="Times New Roman"/>
        </w:rPr>
        <w:t>p</w:t>
      </w:r>
      <w:r w:rsidR="005A5126" w:rsidRPr="005948DE">
        <w:rPr>
          <w:rFonts w:ascii="Times New Roman" w:hAnsi="Times New Roman" w:cs="Times New Roman"/>
        </w:rPr>
        <w:t>roposals</w:t>
      </w:r>
      <w:r w:rsidRPr="005948DE">
        <w:rPr>
          <w:rFonts w:ascii="Times New Roman" w:hAnsi="Times New Roman" w:cs="Times New Roman"/>
        </w:rPr>
        <w:t>,</w:t>
      </w:r>
      <w:r w:rsidRPr="005948DE">
        <w:rPr>
          <w:rFonts w:ascii="Times New Roman" w:hAnsi="Times New Roman" w:cs="Times New Roman"/>
          <w:spacing w:val="-10"/>
        </w:rPr>
        <w:t xml:space="preserve"> </w:t>
      </w:r>
      <w:r w:rsidRPr="005948DE">
        <w:rPr>
          <w:rFonts w:ascii="Times New Roman" w:hAnsi="Times New Roman" w:cs="Times New Roman"/>
        </w:rPr>
        <w:t>the</w:t>
      </w:r>
      <w:r w:rsidRPr="005948DE">
        <w:rPr>
          <w:rFonts w:ascii="Times New Roman" w:hAnsi="Times New Roman" w:cs="Times New Roman"/>
          <w:spacing w:val="-10"/>
        </w:rPr>
        <w:t xml:space="preserve"> </w:t>
      </w:r>
      <w:r w:rsidRPr="005948DE">
        <w:rPr>
          <w:rFonts w:ascii="Times New Roman" w:hAnsi="Times New Roman" w:cs="Times New Roman"/>
        </w:rPr>
        <w:t>financial</w:t>
      </w:r>
      <w:r w:rsidRPr="005948DE">
        <w:rPr>
          <w:rFonts w:ascii="Times New Roman" w:hAnsi="Times New Roman" w:cs="Times New Roman"/>
          <w:spacing w:val="-10"/>
        </w:rPr>
        <w:t xml:space="preserve"> </w:t>
      </w:r>
      <w:r w:rsidR="005A5126">
        <w:rPr>
          <w:rFonts w:ascii="Times New Roman" w:hAnsi="Times New Roman" w:cs="Times New Roman"/>
        </w:rPr>
        <w:t>p</w:t>
      </w:r>
      <w:r w:rsidR="005A5126" w:rsidRPr="005948DE">
        <w:rPr>
          <w:rFonts w:ascii="Times New Roman" w:hAnsi="Times New Roman" w:cs="Times New Roman"/>
        </w:rPr>
        <w:t>roposal</w:t>
      </w:r>
      <w:r w:rsidR="005A5126" w:rsidRPr="005948DE">
        <w:rPr>
          <w:rFonts w:ascii="Times New Roman" w:hAnsi="Times New Roman" w:cs="Times New Roman"/>
          <w:spacing w:val="-11"/>
        </w:rPr>
        <w:t xml:space="preserve"> </w:t>
      </w:r>
      <w:r w:rsidRPr="005948DE">
        <w:rPr>
          <w:rFonts w:ascii="Times New Roman" w:hAnsi="Times New Roman" w:cs="Times New Roman"/>
        </w:rPr>
        <w:t>of</w:t>
      </w:r>
      <w:r w:rsidRPr="005948DE">
        <w:rPr>
          <w:rFonts w:ascii="Times New Roman" w:hAnsi="Times New Roman" w:cs="Times New Roman"/>
          <w:spacing w:val="-10"/>
        </w:rPr>
        <w:t xml:space="preserve"> </w:t>
      </w:r>
      <w:r w:rsidRPr="005948DE">
        <w:rPr>
          <w:rFonts w:ascii="Times New Roman" w:hAnsi="Times New Roman" w:cs="Times New Roman"/>
        </w:rPr>
        <w:t>only</w:t>
      </w:r>
      <w:r w:rsidRPr="005948DE">
        <w:rPr>
          <w:rFonts w:ascii="Times New Roman" w:hAnsi="Times New Roman" w:cs="Times New Roman"/>
          <w:spacing w:val="81"/>
          <w:w w:val="99"/>
        </w:rPr>
        <w:t xml:space="preserve"> </w:t>
      </w:r>
      <w:r w:rsidRPr="005948DE">
        <w:rPr>
          <w:rFonts w:ascii="Times New Roman" w:hAnsi="Times New Roman" w:cs="Times New Roman"/>
        </w:rPr>
        <w:t>the</w:t>
      </w:r>
      <w:r w:rsidRPr="005948DE">
        <w:rPr>
          <w:rFonts w:ascii="Times New Roman" w:hAnsi="Times New Roman" w:cs="Times New Roman"/>
          <w:spacing w:val="-14"/>
        </w:rPr>
        <w:t xml:space="preserve"> </w:t>
      </w:r>
      <w:r w:rsidRPr="005948DE">
        <w:rPr>
          <w:rFonts w:ascii="Times New Roman" w:hAnsi="Times New Roman" w:cs="Times New Roman"/>
        </w:rPr>
        <w:t>highest</w:t>
      </w:r>
      <w:r w:rsidRPr="005948DE">
        <w:rPr>
          <w:rFonts w:ascii="Times New Roman" w:hAnsi="Times New Roman" w:cs="Times New Roman"/>
          <w:spacing w:val="-14"/>
        </w:rPr>
        <w:t xml:space="preserve"> </w:t>
      </w:r>
      <w:r w:rsidRPr="005948DE">
        <w:rPr>
          <w:rFonts w:ascii="Times New Roman" w:hAnsi="Times New Roman" w:cs="Times New Roman"/>
        </w:rPr>
        <w:t>technically</w:t>
      </w:r>
      <w:r w:rsidRPr="005948DE">
        <w:rPr>
          <w:rFonts w:ascii="Times New Roman" w:hAnsi="Times New Roman" w:cs="Times New Roman"/>
          <w:spacing w:val="-14"/>
        </w:rPr>
        <w:t xml:space="preserve"> </w:t>
      </w:r>
      <w:r w:rsidRPr="005948DE">
        <w:rPr>
          <w:rFonts w:ascii="Times New Roman" w:hAnsi="Times New Roman" w:cs="Times New Roman"/>
        </w:rPr>
        <w:t>qualified</w:t>
      </w:r>
      <w:r w:rsidRPr="005948DE">
        <w:rPr>
          <w:rFonts w:ascii="Times New Roman" w:hAnsi="Times New Roman" w:cs="Times New Roman"/>
          <w:spacing w:val="-14"/>
        </w:rPr>
        <w:t xml:space="preserve"> </w:t>
      </w:r>
      <w:r w:rsidRPr="005948DE">
        <w:rPr>
          <w:rFonts w:ascii="Times New Roman" w:hAnsi="Times New Roman" w:cs="Times New Roman"/>
        </w:rPr>
        <w:t>firm</w:t>
      </w:r>
      <w:r w:rsidRPr="005948DE">
        <w:rPr>
          <w:rFonts w:ascii="Times New Roman" w:hAnsi="Times New Roman" w:cs="Times New Roman"/>
          <w:spacing w:val="-14"/>
        </w:rPr>
        <w:t xml:space="preserve"> </w:t>
      </w:r>
      <w:r w:rsidRPr="005948DE">
        <w:rPr>
          <w:rFonts w:ascii="Times New Roman" w:hAnsi="Times New Roman" w:cs="Times New Roman"/>
        </w:rPr>
        <w:t>is</w:t>
      </w:r>
      <w:r w:rsidRPr="005948DE">
        <w:rPr>
          <w:rFonts w:ascii="Times New Roman" w:hAnsi="Times New Roman" w:cs="Times New Roman"/>
          <w:spacing w:val="-14"/>
        </w:rPr>
        <w:t xml:space="preserve"> </w:t>
      </w:r>
      <w:r w:rsidRPr="005948DE">
        <w:rPr>
          <w:rFonts w:ascii="Times New Roman" w:hAnsi="Times New Roman" w:cs="Times New Roman"/>
        </w:rPr>
        <w:t>opened</w:t>
      </w:r>
      <w:r w:rsidRPr="005948DE">
        <w:rPr>
          <w:rFonts w:ascii="Times New Roman" w:hAnsi="Times New Roman" w:cs="Times New Roman"/>
          <w:spacing w:val="-14"/>
        </w:rPr>
        <w:t xml:space="preserve"> </w:t>
      </w:r>
      <w:r w:rsidRPr="005948DE">
        <w:rPr>
          <w:rFonts w:ascii="Times New Roman" w:hAnsi="Times New Roman" w:cs="Times New Roman"/>
        </w:rPr>
        <w:t>and</w:t>
      </w:r>
      <w:r w:rsidRPr="005948DE">
        <w:rPr>
          <w:rFonts w:ascii="Times New Roman" w:hAnsi="Times New Roman" w:cs="Times New Roman"/>
          <w:spacing w:val="-14"/>
        </w:rPr>
        <w:t xml:space="preserve"> </w:t>
      </w:r>
      <w:r w:rsidRPr="005948DE">
        <w:rPr>
          <w:rFonts w:ascii="Times New Roman" w:hAnsi="Times New Roman" w:cs="Times New Roman"/>
        </w:rPr>
        <w:t>evaluated</w:t>
      </w:r>
      <w:r w:rsidRPr="005948DE">
        <w:rPr>
          <w:rFonts w:ascii="Times New Roman" w:hAnsi="Times New Roman" w:cs="Times New Roman"/>
          <w:spacing w:val="-14"/>
        </w:rPr>
        <w:t xml:space="preserve"> </w:t>
      </w:r>
      <w:r w:rsidRPr="005948DE">
        <w:rPr>
          <w:rFonts w:ascii="Times New Roman" w:hAnsi="Times New Roman" w:cs="Times New Roman"/>
        </w:rPr>
        <w:t>to</w:t>
      </w:r>
      <w:r w:rsidRPr="005948DE">
        <w:rPr>
          <w:rFonts w:ascii="Times New Roman" w:hAnsi="Times New Roman" w:cs="Times New Roman"/>
          <w:spacing w:val="-14"/>
        </w:rPr>
        <w:t xml:space="preserve"> </w:t>
      </w:r>
      <w:r w:rsidRPr="005948DE">
        <w:rPr>
          <w:rFonts w:ascii="Times New Roman" w:hAnsi="Times New Roman" w:cs="Times New Roman"/>
        </w:rPr>
        <w:t>determine</w:t>
      </w:r>
      <w:r w:rsidRPr="005948DE">
        <w:rPr>
          <w:rFonts w:ascii="Times New Roman" w:hAnsi="Times New Roman" w:cs="Times New Roman"/>
          <w:spacing w:val="-15"/>
        </w:rPr>
        <w:t xml:space="preserve"> </w:t>
      </w:r>
      <w:r w:rsidRPr="005948DE">
        <w:rPr>
          <w:rFonts w:ascii="Times New Roman" w:hAnsi="Times New Roman" w:cs="Times New Roman"/>
        </w:rPr>
        <w:t>the</w:t>
      </w:r>
      <w:r w:rsidRPr="005948DE">
        <w:rPr>
          <w:rFonts w:ascii="Times New Roman" w:hAnsi="Times New Roman" w:cs="Times New Roman"/>
          <w:spacing w:val="-14"/>
        </w:rPr>
        <w:t xml:space="preserve"> </w:t>
      </w:r>
      <w:r w:rsidRPr="005948DE">
        <w:rPr>
          <w:rFonts w:ascii="Times New Roman" w:hAnsi="Times New Roman" w:cs="Times New Roman"/>
        </w:rPr>
        <w:t>Most</w:t>
      </w:r>
      <w:r w:rsidRPr="005948DE">
        <w:rPr>
          <w:rFonts w:ascii="Times New Roman" w:hAnsi="Times New Roman" w:cs="Times New Roman"/>
          <w:spacing w:val="-14"/>
        </w:rPr>
        <w:t xml:space="preserve"> </w:t>
      </w:r>
      <w:r w:rsidRPr="005948DE">
        <w:rPr>
          <w:rFonts w:ascii="Times New Roman" w:hAnsi="Times New Roman" w:cs="Times New Roman"/>
        </w:rPr>
        <w:t>Advantageous</w:t>
      </w:r>
      <w:r w:rsidRPr="005948DE">
        <w:rPr>
          <w:rFonts w:ascii="Times New Roman" w:hAnsi="Times New Roman" w:cs="Times New Roman"/>
          <w:spacing w:val="87"/>
        </w:rPr>
        <w:t xml:space="preserve"> </w:t>
      </w:r>
      <w:r w:rsidRPr="005948DE">
        <w:rPr>
          <w:rFonts w:ascii="Times New Roman" w:hAnsi="Times New Roman" w:cs="Times New Roman"/>
        </w:rPr>
        <w:t>Proposal.</w:t>
      </w:r>
      <w:r w:rsidRPr="005948DE">
        <w:rPr>
          <w:rFonts w:ascii="Times New Roman" w:hAnsi="Times New Roman" w:cs="Times New Roman"/>
          <w:spacing w:val="9"/>
        </w:rPr>
        <w:t xml:space="preserve"> </w:t>
      </w:r>
      <w:r w:rsidRPr="005948DE">
        <w:rPr>
          <w:rFonts w:ascii="Times New Roman" w:hAnsi="Times New Roman" w:cs="Times New Roman"/>
        </w:rPr>
        <w:t>However,</w:t>
      </w:r>
      <w:r w:rsidRPr="005948DE">
        <w:rPr>
          <w:rFonts w:ascii="Times New Roman" w:hAnsi="Times New Roman" w:cs="Times New Roman"/>
          <w:spacing w:val="4"/>
        </w:rPr>
        <w:t xml:space="preserve"> </w:t>
      </w:r>
      <w:r w:rsidRPr="005948DE">
        <w:rPr>
          <w:rFonts w:ascii="Times New Roman" w:hAnsi="Times New Roman" w:cs="Times New Roman"/>
        </w:rPr>
        <w:t>if</w:t>
      </w:r>
      <w:r w:rsidRPr="005948DE">
        <w:rPr>
          <w:rFonts w:ascii="Times New Roman" w:hAnsi="Times New Roman" w:cs="Times New Roman"/>
          <w:spacing w:val="4"/>
        </w:rPr>
        <w:t xml:space="preserve"> </w:t>
      </w:r>
      <w:r w:rsidRPr="005948DE">
        <w:rPr>
          <w:rFonts w:ascii="Times New Roman" w:hAnsi="Times New Roman" w:cs="Times New Roman"/>
        </w:rPr>
        <w:t>the</w:t>
      </w:r>
      <w:r w:rsidRPr="005948DE">
        <w:rPr>
          <w:rFonts w:ascii="Times New Roman" w:hAnsi="Times New Roman" w:cs="Times New Roman"/>
          <w:spacing w:val="4"/>
        </w:rPr>
        <w:t xml:space="preserve"> </w:t>
      </w:r>
      <w:r w:rsidRPr="005948DE">
        <w:rPr>
          <w:rFonts w:ascii="Times New Roman" w:hAnsi="Times New Roman" w:cs="Times New Roman"/>
        </w:rPr>
        <w:t>request</w:t>
      </w:r>
      <w:r w:rsidRPr="005948DE">
        <w:rPr>
          <w:rFonts w:ascii="Times New Roman" w:hAnsi="Times New Roman" w:cs="Times New Roman"/>
          <w:spacing w:val="4"/>
        </w:rPr>
        <w:t xml:space="preserve"> </w:t>
      </w:r>
      <w:r w:rsidRPr="005948DE">
        <w:rPr>
          <w:rFonts w:ascii="Times New Roman" w:hAnsi="Times New Roman" w:cs="Times New Roman"/>
        </w:rPr>
        <w:t>for</w:t>
      </w:r>
      <w:r w:rsidRPr="005948DE">
        <w:rPr>
          <w:rFonts w:ascii="Times New Roman" w:hAnsi="Times New Roman" w:cs="Times New Roman"/>
          <w:spacing w:val="4"/>
        </w:rPr>
        <w:t xml:space="preserve"> </w:t>
      </w:r>
      <w:r w:rsidRPr="005948DE">
        <w:rPr>
          <w:rFonts w:ascii="Times New Roman" w:hAnsi="Times New Roman" w:cs="Times New Roman"/>
        </w:rPr>
        <w:t>proposals</w:t>
      </w:r>
      <w:r w:rsidRPr="005948DE">
        <w:rPr>
          <w:rFonts w:ascii="Times New Roman" w:hAnsi="Times New Roman" w:cs="Times New Roman"/>
          <w:spacing w:val="4"/>
        </w:rPr>
        <w:t xml:space="preserve"> </w:t>
      </w:r>
      <w:r w:rsidRPr="005948DE">
        <w:rPr>
          <w:rFonts w:ascii="Times New Roman" w:hAnsi="Times New Roman" w:cs="Times New Roman"/>
        </w:rPr>
        <w:t>document</w:t>
      </w:r>
      <w:r w:rsidRPr="005948DE">
        <w:rPr>
          <w:rFonts w:ascii="Times New Roman" w:hAnsi="Times New Roman" w:cs="Times New Roman"/>
          <w:spacing w:val="5"/>
        </w:rPr>
        <w:t xml:space="preserve"> </w:t>
      </w:r>
      <w:r w:rsidRPr="005948DE">
        <w:rPr>
          <w:rFonts w:ascii="Times New Roman" w:hAnsi="Times New Roman" w:cs="Times New Roman"/>
        </w:rPr>
        <w:t>requests</w:t>
      </w:r>
      <w:r w:rsidRPr="005948DE">
        <w:rPr>
          <w:rFonts w:ascii="Times New Roman" w:hAnsi="Times New Roman" w:cs="Times New Roman"/>
          <w:spacing w:val="4"/>
        </w:rPr>
        <w:t xml:space="preserve"> </w:t>
      </w:r>
      <w:r w:rsidRPr="005948DE">
        <w:rPr>
          <w:rFonts w:ascii="Times New Roman" w:hAnsi="Times New Roman" w:cs="Times New Roman"/>
        </w:rPr>
        <w:t>only</w:t>
      </w:r>
      <w:r w:rsidRPr="005948DE">
        <w:rPr>
          <w:rFonts w:ascii="Times New Roman" w:hAnsi="Times New Roman" w:cs="Times New Roman"/>
          <w:spacing w:val="5"/>
        </w:rPr>
        <w:t xml:space="preserve"> </w:t>
      </w:r>
      <w:r w:rsidRPr="005948DE">
        <w:rPr>
          <w:rFonts w:ascii="Times New Roman" w:hAnsi="Times New Roman" w:cs="Times New Roman"/>
        </w:rPr>
        <w:t>technical</w:t>
      </w:r>
      <w:r w:rsidRPr="005948DE">
        <w:rPr>
          <w:rFonts w:ascii="Times New Roman" w:hAnsi="Times New Roman" w:cs="Times New Roman"/>
          <w:spacing w:val="4"/>
        </w:rPr>
        <w:t xml:space="preserve"> </w:t>
      </w:r>
      <w:r w:rsidR="005A5126">
        <w:rPr>
          <w:rFonts w:ascii="Times New Roman" w:hAnsi="Times New Roman" w:cs="Times New Roman"/>
        </w:rPr>
        <w:t>p</w:t>
      </w:r>
      <w:r w:rsidR="005A5126" w:rsidRPr="005948DE">
        <w:rPr>
          <w:rFonts w:ascii="Times New Roman" w:hAnsi="Times New Roman" w:cs="Times New Roman"/>
        </w:rPr>
        <w:t>roposals</w:t>
      </w:r>
      <w:r w:rsidRPr="005948DE">
        <w:rPr>
          <w:rFonts w:ascii="Times New Roman" w:hAnsi="Times New Roman" w:cs="Times New Roman"/>
        </w:rPr>
        <w:t>,</w:t>
      </w:r>
      <w:r w:rsidRPr="005948DE">
        <w:rPr>
          <w:rFonts w:ascii="Times New Roman" w:hAnsi="Times New Roman" w:cs="Times New Roman"/>
          <w:spacing w:val="4"/>
        </w:rPr>
        <w:t xml:space="preserve"> </w:t>
      </w:r>
      <w:r w:rsidRPr="005948DE">
        <w:rPr>
          <w:rFonts w:ascii="Times New Roman" w:hAnsi="Times New Roman" w:cs="Times New Roman"/>
        </w:rPr>
        <w:t>the</w:t>
      </w:r>
      <w:r w:rsidRPr="005948DE">
        <w:rPr>
          <w:rFonts w:ascii="Times New Roman" w:hAnsi="Times New Roman" w:cs="Times New Roman"/>
          <w:spacing w:val="73"/>
          <w:w w:val="99"/>
        </w:rPr>
        <w:t xml:space="preserve"> </w:t>
      </w:r>
      <w:r w:rsidRPr="005948DE">
        <w:rPr>
          <w:rFonts w:ascii="Times New Roman" w:hAnsi="Times New Roman" w:cs="Times New Roman"/>
        </w:rPr>
        <w:t>firm</w:t>
      </w:r>
      <w:r w:rsidRPr="005948DE">
        <w:rPr>
          <w:rFonts w:ascii="Times New Roman" w:hAnsi="Times New Roman" w:cs="Times New Roman"/>
          <w:spacing w:val="33"/>
        </w:rPr>
        <w:t xml:space="preserve"> </w:t>
      </w:r>
      <w:r w:rsidRPr="005948DE">
        <w:rPr>
          <w:rFonts w:ascii="Times New Roman" w:hAnsi="Times New Roman" w:cs="Times New Roman"/>
        </w:rPr>
        <w:t>with</w:t>
      </w:r>
      <w:r w:rsidRPr="005948DE">
        <w:rPr>
          <w:rFonts w:ascii="Times New Roman" w:hAnsi="Times New Roman" w:cs="Times New Roman"/>
          <w:spacing w:val="33"/>
        </w:rPr>
        <w:t xml:space="preserve"> </w:t>
      </w:r>
      <w:r w:rsidRPr="005948DE">
        <w:rPr>
          <w:rFonts w:ascii="Times New Roman" w:hAnsi="Times New Roman" w:cs="Times New Roman"/>
        </w:rPr>
        <w:t>the</w:t>
      </w:r>
      <w:r w:rsidRPr="005948DE">
        <w:rPr>
          <w:rFonts w:ascii="Times New Roman" w:hAnsi="Times New Roman" w:cs="Times New Roman"/>
          <w:spacing w:val="33"/>
        </w:rPr>
        <w:t xml:space="preserve"> </w:t>
      </w:r>
      <w:r w:rsidRPr="005948DE">
        <w:rPr>
          <w:rFonts w:ascii="Times New Roman" w:hAnsi="Times New Roman" w:cs="Times New Roman"/>
        </w:rPr>
        <w:t>highest-ranked</w:t>
      </w:r>
      <w:r w:rsidRPr="005948DE">
        <w:rPr>
          <w:rFonts w:ascii="Times New Roman" w:hAnsi="Times New Roman" w:cs="Times New Roman"/>
          <w:spacing w:val="33"/>
        </w:rPr>
        <w:t xml:space="preserve"> </w:t>
      </w:r>
      <w:r w:rsidRPr="005948DE">
        <w:rPr>
          <w:rFonts w:ascii="Times New Roman" w:hAnsi="Times New Roman" w:cs="Times New Roman"/>
        </w:rPr>
        <w:t>technical</w:t>
      </w:r>
      <w:r w:rsidRPr="005948DE">
        <w:rPr>
          <w:rFonts w:ascii="Times New Roman" w:hAnsi="Times New Roman" w:cs="Times New Roman"/>
          <w:spacing w:val="34"/>
        </w:rPr>
        <w:t xml:space="preserve"> </w:t>
      </w:r>
      <w:r w:rsidR="005A5126">
        <w:rPr>
          <w:rFonts w:ascii="Times New Roman" w:hAnsi="Times New Roman" w:cs="Times New Roman"/>
        </w:rPr>
        <w:t>p</w:t>
      </w:r>
      <w:r w:rsidR="005A5126" w:rsidRPr="005948DE">
        <w:rPr>
          <w:rFonts w:ascii="Times New Roman" w:hAnsi="Times New Roman" w:cs="Times New Roman"/>
        </w:rPr>
        <w:t>roposal</w:t>
      </w:r>
      <w:r w:rsidR="005A5126" w:rsidRPr="005948DE">
        <w:rPr>
          <w:rFonts w:ascii="Times New Roman" w:hAnsi="Times New Roman" w:cs="Times New Roman"/>
          <w:spacing w:val="34"/>
        </w:rPr>
        <w:t xml:space="preserve"> </w:t>
      </w:r>
      <w:r w:rsidRPr="005948DE">
        <w:rPr>
          <w:rFonts w:ascii="Times New Roman" w:hAnsi="Times New Roman" w:cs="Times New Roman"/>
        </w:rPr>
        <w:t>is</w:t>
      </w:r>
      <w:r w:rsidRPr="005948DE">
        <w:rPr>
          <w:rFonts w:ascii="Times New Roman" w:hAnsi="Times New Roman" w:cs="Times New Roman"/>
          <w:spacing w:val="33"/>
        </w:rPr>
        <w:t xml:space="preserve"> </w:t>
      </w:r>
      <w:r w:rsidRPr="005948DE">
        <w:rPr>
          <w:rFonts w:ascii="Times New Roman" w:hAnsi="Times New Roman" w:cs="Times New Roman"/>
        </w:rPr>
        <w:t>invited</w:t>
      </w:r>
      <w:r w:rsidRPr="005948DE">
        <w:rPr>
          <w:rFonts w:ascii="Times New Roman" w:hAnsi="Times New Roman" w:cs="Times New Roman"/>
          <w:spacing w:val="34"/>
        </w:rPr>
        <w:t xml:space="preserve"> </w:t>
      </w:r>
      <w:r w:rsidRPr="005948DE">
        <w:rPr>
          <w:rFonts w:ascii="Times New Roman" w:hAnsi="Times New Roman" w:cs="Times New Roman"/>
        </w:rPr>
        <w:t>to</w:t>
      </w:r>
      <w:r w:rsidRPr="005948DE">
        <w:rPr>
          <w:rFonts w:ascii="Times New Roman" w:hAnsi="Times New Roman" w:cs="Times New Roman"/>
          <w:spacing w:val="33"/>
        </w:rPr>
        <w:t xml:space="preserve"> </w:t>
      </w:r>
      <w:r w:rsidRPr="005948DE">
        <w:rPr>
          <w:rFonts w:ascii="Times New Roman" w:hAnsi="Times New Roman" w:cs="Times New Roman"/>
        </w:rPr>
        <w:t>submit</w:t>
      </w:r>
      <w:r w:rsidRPr="005948DE">
        <w:rPr>
          <w:rFonts w:ascii="Times New Roman" w:hAnsi="Times New Roman" w:cs="Times New Roman"/>
          <w:spacing w:val="33"/>
        </w:rPr>
        <w:t xml:space="preserve"> </w:t>
      </w:r>
      <w:r w:rsidRPr="005948DE">
        <w:rPr>
          <w:rFonts w:ascii="Times New Roman" w:hAnsi="Times New Roman" w:cs="Times New Roman"/>
        </w:rPr>
        <w:t>its</w:t>
      </w:r>
      <w:r w:rsidRPr="005948DE">
        <w:rPr>
          <w:rFonts w:ascii="Times New Roman" w:hAnsi="Times New Roman" w:cs="Times New Roman"/>
          <w:spacing w:val="34"/>
        </w:rPr>
        <w:t xml:space="preserve"> </w:t>
      </w:r>
      <w:r w:rsidRPr="005948DE">
        <w:rPr>
          <w:rFonts w:ascii="Times New Roman" w:hAnsi="Times New Roman" w:cs="Times New Roman"/>
        </w:rPr>
        <w:t>financial</w:t>
      </w:r>
      <w:r w:rsidRPr="005948DE">
        <w:rPr>
          <w:rFonts w:ascii="Times New Roman" w:hAnsi="Times New Roman" w:cs="Times New Roman"/>
          <w:spacing w:val="33"/>
        </w:rPr>
        <w:t xml:space="preserve"> </w:t>
      </w:r>
      <w:r w:rsidR="005A5126">
        <w:rPr>
          <w:rFonts w:ascii="Times New Roman" w:hAnsi="Times New Roman" w:cs="Times New Roman"/>
        </w:rPr>
        <w:t>p</w:t>
      </w:r>
      <w:r w:rsidR="005A5126" w:rsidRPr="005948DE">
        <w:rPr>
          <w:rFonts w:ascii="Times New Roman" w:hAnsi="Times New Roman" w:cs="Times New Roman"/>
        </w:rPr>
        <w:t>roposals</w:t>
      </w:r>
      <w:r w:rsidR="005A5126" w:rsidRPr="005948DE">
        <w:rPr>
          <w:rFonts w:ascii="Times New Roman" w:hAnsi="Times New Roman" w:cs="Times New Roman"/>
          <w:spacing w:val="33"/>
        </w:rPr>
        <w:t xml:space="preserve"> </w:t>
      </w:r>
      <w:r w:rsidRPr="005948DE">
        <w:rPr>
          <w:rFonts w:ascii="Times New Roman" w:hAnsi="Times New Roman" w:cs="Times New Roman"/>
        </w:rPr>
        <w:t>for</w:t>
      </w:r>
      <w:r w:rsidRPr="005948DE">
        <w:rPr>
          <w:rFonts w:ascii="Times New Roman" w:hAnsi="Times New Roman" w:cs="Times New Roman"/>
          <w:spacing w:val="69"/>
          <w:w w:val="99"/>
        </w:rPr>
        <w:t xml:space="preserve"> </w:t>
      </w:r>
      <w:r w:rsidRPr="005948DE">
        <w:rPr>
          <w:rFonts w:ascii="Times New Roman" w:hAnsi="Times New Roman" w:cs="Times New Roman"/>
        </w:rPr>
        <w:t>negotiations.</w:t>
      </w:r>
    </w:p>
    <w:p w14:paraId="3DAF313A" w14:textId="2FE6F17B" w:rsidR="00CA17E6" w:rsidRPr="005948DE" w:rsidRDefault="005A5126" w:rsidP="005948DE">
      <w:pPr>
        <w:pStyle w:val="Normal0"/>
        <w:spacing w:after="120" w:line="276" w:lineRule="auto"/>
        <w:jc w:val="both"/>
        <w:rPr>
          <w:rFonts w:ascii="Times New Roman" w:hAnsi="Times New Roman" w:cs="Times New Roman"/>
        </w:rPr>
      </w:pPr>
      <w:r>
        <w:rPr>
          <w:rFonts w:ascii="Times New Roman" w:hAnsi="Times New Roman" w:cs="Times New Roman"/>
        </w:rPr>
        <w:t xml:space="preserve">The </w:t>
      </w:r>
      <w:r w:rsidR="00CA17E6" w:rsidRPr="005948DE">
        <w:rPr>
          <w:rFonts w:ascii="Times New Roman" w:hAnsi="Times New Roman" w:cs="Times New Roman"/>
        </w:rPr>
        <w:t>QBS</w:t>
      </w:r>
      <w:r w:rsidR="00CA17E6" w:rsidRPr="005948DE">
        <w:rPr>
          <w:rFonts w:ascii="Times New Roman" w:hAnsi="Times New Roman" w:cs="Times New Roman"/>
          <w:spacing w:val="-4"/>
        </w:rPr>
        <w:t xml:space="preserve"> </w:t>
      </w:r>
      <w:r w:rsidR="00CA17E6" w:rsidRPr="005948DE">
        <w:rPr>
          <w:rFonts w:ascii="Times New Roman" w:hAnsi="Times New Roman" w:cs="Times New Roman"/>
        </w:rPr>
        <w:t>is</w:t>
      </w:r>
      <w:r w:rsidR="00CA17E6" w:rsidRPr="005948DE">
        <w:rPr>
          <w:rFonts w:ascii="Times New Roman" w:hAnsi="Times New Roman" w:cs="Times New Roman"/>
          <w:spacing w:val="-3"/>
        </w:rPr>
        <w:t xml:space="preserve"> </w:t>
      </w:r>
      <w:r w:rsidR="00CA17E6" w:rsidRPr="005948DE">
        <w:rPr>
          <w:rFonts w:ascii="Times New Roman" w:hAnsi="Times New Roman" w:cs="Times New Roman"/>
        </w:rPr>
        <w:t>appropriate</w:t>
      </w:r>
      <w:r w:rsidR="00CA17E6" w:rsidRPr="005948DE">
        <w:rPr>
          <w:rFonts w:ascii="Times New Roman" w:hAnsi="Times New Roman" w:cs="Times New Roman"/>
          <w:spacing w:val="-2"/>
        </w:rPr>
        <w:t xml:space="preserve"> </w:t>
      </w:r>
      <w:r w:rsidR="00CA17E6" w:rsidRPr="005948DE">
        <w:rPr>
          <w:rFonts w:ascii="Times New Roman" w:hAnsi="Times New Roman" w:cs="Times New Roman"/>
        </w:rPr>
        <w:t>for</w:t>
      </w:r>
      <w:r w:rsidR="00CA17E6" w:rsidRPr="005948DE">
        <w:rPr>
          <w:rFonts w:ascii="Times New Roman" w:hAnsi="Times New Roman" w:cs="Times New Roman"/>
          <w:spacing w:val="-2"/>
        </w:rPr>
        <w:t xml:space="preserve"> </w:t>
      </w:r>
      <w:r w:rsidR="00CA17E6" w:rsidRPr="005948DE">
        <w:rPr>
          <w:rFonts w:ascii="Times New Roman" w:hAnsi="Times New Roman" w:cs="Times New Roman"/>
        </w:rPr>
        <w:t>the</w:t>
      </w:r>
      <w:r w:rsidR="00CA17E6" w:rsidRPr="005948DE">
        <w:rPr>
          <w:rFonts w:ascii="Times New Roman" w:hAnsi="Times New Roman" w:cs="Times New Roman"/>
          <w:spacing w:val="-2"/>
        </w:rPr>
        <w:t xml:space="preserve"> </w:t>
      </w:r>
      <w:r w:rsidR="00CA17E6" w:rsidRPr="005948DE">
        <w:rPr>
          <w:rFonts w:ascii="Times New Roman" w:hAnsi="Times New Roman" w:cs="Times New Roman"/>
        </w:rPr>
        <w:t>following</w:t>
      </w:r>
      <w:r w:rsidR="00CA17E6" w:rsidRPr="005948DE">
        <w:rPr>
          <w:rFonts w:ascii="Times New Roman" w:hAnsi="Times New Roman" w:cs="Times New Roman"/>
          <w:spacing w:val="-3"/>
        </w:rPr>
        <w:t xml:space="preserve"> </w:t>
      </w:r>
      <w:r w:rsidR="00CA17E6" w:rsidRPr="005948DE">
        <w:rPr>
          <w:rFonts w:ascii="Times New Roman" w:hAnsi="Times New Roman" w:cs="Times New Roman"/>
        </w:rPr>
        <w:t>types</w:t>
      </w:r>
      <w:r w:rsidR="00CA17E6" w:rsidRPr="005948DE">
        <w:rPr>
          <w:rFonts w:ascii="Times New Roman" w:hAnsi="Times New Roman" w:cs="Times New Roman"/>
          <w:spacing w:val="-2"/>
        </w:rPr>
        <w:t xml:space="preserve"> </w:t>
      </w:r>
      <w:r w:rsidR="00CA17E6" w:rsidRPr="005948DE">
        <w:rPr>
          <w:rFonts w:ascii="Times New Roman" w:hAnsi="Times New Roman" w:cs="Times New Roman"/>
        </w:rPr>
        <w:t>of</w:t>
      </w:r>
      <w:r w:rsidR="00CA17E6" w:rsidRPr="005948DE">
        <w:rPr>
          <w:rFonts w:ascii="Times New Roman" w:hAnsi="Times New Roman" w:cs="Times New Roman"/>
          <w:spacing w:val="-3"/>
        </w:rPr>
        <w:t xml:space="preserve"> </w:t>
      </w:r>
      <w:r w:rsidR="00CA17E6" w:rsidRPr="005948DE">
        <w:rPr>
          <w:rFonts w:ascii="Times New Roman" w:hAnsi="Times New Roman" w:cs="Times New Roman"/>
        </w:rPr>
        <w:t>assignments:</w:t>
      </w:r>
    </w:p>
    <w:p w14:paraId="05004123" w14:textId="5910A49B" w:rsidR="00CA17E6" w:rsidRPr="005948DE" w:rsidRDefault="00CA17E6" w:rsidP="005948DE">
      <w:pPr>
        <w:numPr>
          <w:ilvl w:val="2"/>
          <w:numId w:val="69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complex or highly specialized assignments for which it is difficult to define precise </w:t>
      </w:r>
      <w:r w:rsidR="005A5126" w:rsidRPr="005948DE">
        <w:rPr>
          <w:rFonts w:ascii="Times New Roman" w:hAnsi="Times New Roman" w:cs="Times New Roman"/>
          <w:lang w:val="en-US"/>
        </w:rPr>
        <w:t>T</w:t>
      </w:r>
      <w:r w:rsidR="005A5126">
        <w:rPr>
          <w:rFonts w:ascii="Times New Roman" w:hAnsi="Times New Roman" w:cs="Times New Roman"/>
          <w:lang w:val="en-US"/>
        </w:rPr>
        <w:t>o</w:t>
      </w:r>
      <w:r w:rsidR="005A5126" w:rsidRPr="005948DE">
        <w:rPr>
          <w:rFonts w:ascii="Times New Roman" w:hAnsi="Times New Roman" w:cs="Times New Roman"/>
          <w:lang w:val="en-US"/>
        </w:rPr>
        <w:t xml:space="preserve">R </w:t>
      </w:r>
      <w:r w:rsidRPr="005948DE">
        <w:rPr>
          <w:rFonts w:ascii="Times New Roman" w:hAnsi="Times New Roman" w:cs="Times New Roman"/>
          <w:lang w:val="en-US"/>
        </w:rPr>
        <w:t xml:space="preserve">and the input required from the firm, and for which the Borrower expects the firm to demonstrate innovation in its </w:t>
      </w:r>
      <w:r w:rsidR="005A5126">
        <w:rPr>
          <w:rFonts w:ascii="Times New Roman" w:hAnsi="Times New Roman" w:cs="Times New Roman"/>
          <w:lang w:val="en-US"/>
        </w:rPr>
        <w:t>p</w:t>
      </w:r>
      <w:r w:rsidR="005A5126" w:rsidRPr="005948DE">
        <w:rPr>
          <w:rFonts w:ascii="Times New Roman" w:hAnsi="Times New Roman" w:cs="Times New Roman"/>
          <w:lang w:val="en-US"/>
        </w:rPr>
        <w:t>roposals</w:t>
      </w:r>
      <w:r w:rsidRPr="005948DE">
        <w:rPr>
          <w:rFonts w:ascii="Times New Roman" w:hAnsi="Times New Roman" w:cs="Times New Roman"/>
          <w:lang w:val="en-US"/>
        </w:rPr>
        <w:t>;</w:t>
      </w:r>
    </w:p>
    <w:p w14:paraId="75CF7EA1" w14:textId="77777777" w:rsidR="00CA17E6" w:rsidRPr="005948DE" w:rsidRDefault="00CA17E6" w:rsidP="005948DE">
      <w:pPr>
        <w:numPr>
          <w:ilvl w:val="2"/>
          <w:numId w:val="69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assignments that have a high downstream impact; and</w:t>
      </w:r>
    </w:p>
    <w:p w14:paraId="439DF29E" w14:textId="6E87ADC4" w:rsidR="00CA17E6" w:rsidRPr="005948DE" w:rsidRDefault="00CA17E6" w:rsidP="005948DE">
      <w:pPr>
        <w:numPr>
          <w:ilvl w:val="2"/>
          <w:numId w:val="692"/>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assignments that can be carried out in substantially different ways, so that </w:t>
      </w:r>
      <w:r w:rsidR="005A5126">
        <w:rPr>
          <w:rFonts w:ascii="Times New Roman" w:hAnsi="Times New Roman" w:cs="Times New Roman"/>
          <w:lang w:val="en-US"/>
        </w:rPr>
        <w:t>p</w:t>
      </w:r>
      <w:r w:rsidR="005A5126" w:rsidRPr="005948DE">
        <w:rPr>
          <w:rFonts w:ascii="Times New Roman" w:hAnsi="Times New Roman" w:cs="Times New Roman"/>
          <w:lang w:val="en-US"/>
        </w:rPr>
        <w:t xml:space="preserve">roposals </w:t>
      </w:r>
      <w:r w:rsidRPr="005948DE">
        <w:rPr>
          <w:rFonts w:ascii="Times New Roman" w:hAnsi="Times New Roman" w:cs="Times New Roman"/>
          <w:lang w:val="en-US"/>
        </w:rPr>
        <w:t>will not be comparable.</w:t>
      </w:r>
    </w:p>
    <w:p w14:paraId="1D716A0C"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Consultant’s Qualification-based Selection</w:t>
      </w:r>
    </w:p>
    <w:p w14:paraId="22FE0F40" w14:textId="6924770F" w:rsidR="00CA17E6"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The</w:t>
      </w:r>
      <w:r w:rsidRPr="005948DE">
        <w:rPr>
          <w:rFonts w:ascii="Times New Roman" w:hAnsi="Times New Roman" w:cs="Times New Roman"/>
          <w:spacing w:val="13"/>
        </w:rPr>
        <w:t xml:space="preserve"> </w:t>
      </w:r>
      <w:r w:rsidRPr="00F94C4F">
        <w:rPr>
          <w:rFonts w:ascii="Times New Roman" w:hAnsi="Times New Roman" w:cs="Times New Roman"/>
        </w:rPr>
        <w:t>Borrower</w:t>
      </w:r>
      <w:r w:rsidRPr="005948DE">
        <w:rPr>
          <w:rFonts w:ascii="Times New Roman" w:hAnsi="Times New Roman" w:cs="Times New Roman"/>
          <w:spacing w:val="13"/>
        </w:rPr>
        <w:t xml:space="preserve"> </w:t>
      </w:r>
      <w:r w:rsidRPr="005948DE">
        <w:rPr>
          <w:rFonts w:ascii="Times New Roman" w:hAnsi="Times New Roman" w:cs="Times New Roman"/>
        </w:rPr>
        <w:t>shall</w:t>
      </w:r>
      <w:r w:rsidRPr="005948DE">
        <w:rPr>
          <w:rFonts w:ascii="Times New Roman" w:hAnsi="Times New Roman" w:cs="Times New Roman"/>
          <w:spacing w:val="13"/>
        </w:rPr>
        <w:t xml:space="preserve"> </w:t>
      </w:r>
      <w:r w:rsidRPr="005948DE">
        <w:rPr>
          <w:rFonts w:ascii="Times New Roman" w:hAnsi="Times New Roman" w:cs="Times New Roman"/>
        </w:rPr>
        <w:t>request</w:t>
      </w:r>
      <w:r w:rsidRPr="005948DE">
        <w:rPr>
          <w:rFonts w:ascii="Times New Roman" w:hAnsi="Times New Roman" w:cs="Times New Roman"/>
          <w:spacing w:val="14"/>
        </w:rPr>
        <w:t xml:space="preserve"> </w:t>
      </w:r>
      <w:r w:rsidRPr="005948DE">
        <w:rPr>
          <w:rFonts w:ascii="Times New Roman" w:hAnsi="Times New Roman" w:cs="Times New Roman"/>
        </w:rPr>
        <w:t>expressions</w:t>
      </w:r>
      <w:r w:rsidRPr="005948DE">
        <w:rPr>
          <w:rFonts w:ascii="Times New Roman" w:hAnsi="Times New Roman" w:cs="Times New Roman"/>
          <w:spacing w:val="13"/>
        </w:rPr>
        <w:t xml:space="preserve"> </w:t>
      </w:r>
      <w:r w:rsidRPr="005948DE">
        <w:rPr>
          <w:rFonts w:ascii="Times New Roman" w:hAnsi="Times New Roman" w:cs="Times New Roman"/>
        </w:rPr>
        <w:t>of</w:t>
      </w:r>
      <w:r w:rsidRPr="005948DE">
        <w:rPr>
          <w:rFonts w:ascii="Times New Roman" w:hAnsi="Times New Roman" w:cs="Times New Roman"/>
          <w:spacing w:val="13"/>
        </w:rPr>
        <w:t xml:space="preserve"> </w:t>
      </w:r>
      <w:r w:rsidRPr="005948DE">
        <w:rPr>
          <w:rFonts w:ascii="Times New Roman" w:hAnsi="Times New Roman" w:cs="Times New Roman"/>
        </w:rPr>
        <w:t>interest</w:t>
      </w:r>
      <w:r w:rsidRPr="005948DE">
        <w:rPr>
          <w:rFonts w:ascii="Times New Roman" w:hAnsi="Times New Roman" w:cs="Times New Roman"/>
          <w:spacing w:val="14"/>
        </w:rPr>
        <w:t xml:space="preserve"> </w:t>
      </w:r>
      <w:r w:rsidRPr="005948DE">
        <w:rPr>
          <w:rFonts w:ascii="Times New Roman" w:hAnsi="Times New Roman" w:cs="Times New Roman"/>
        </w:rPr>
        <w:t>(</w:t>
      </w:r>
      <w:r w:rsidR="005950B8" w:rsidRPr="005948DE">
        <w:rPr>
          <w:rFonts w:ascii="Times New Roman" w:hAnsi="Times New Roman" w:cs="Times New Roman"/>
        </w:rPr>
        <w:t>RE</w:t>
      </w:r>
      <w:r w:rsidR="005950B8">
        <w:rPr>
          <w:rFonts w:ascii="Times New Roman" w:hAnsi="Times New Roman" w:cs="Times New Roman"/>
        </w:rPr>
        <w:t>o</w:t>
      </w:r>
      <w:r w:rsidR="005950B8" w:rsidRPr="005948DE">
        <w:rPr>
          <w:rFonts w:ascii="Times New Roman" w:hAnsi="Times New Roman" w:cs="Times New Roman"/>
        </w:rPr>
        <w:t>I</w:t>
      </w:r>
      <w:r w:rsidRPr="005948DE">
        <w:rPr>
          <w:rFonts w:ascii="Times New Roman" w:hAnsi="Times New Roman" w:cs="Times New Roman"/>
        </w:rPr>
        <w:t>),</w:t>
      </w:r>
      <w:r w:rsidRPr="005948DE">
        <w:rPr>
          <w:rFonts w:ascii="Times New Roman" w:hAnsi="Times New Roman" w:cs="Times New Roman"/>
          <w:spacing w:val="13"/>
        </w:rPr>
        <w:t xml:space="preserve"> </w:t>
      </w:r>
      <w:r w:rsidRPr="005948DE">
        <w:rPr>
          <w:rFonts w:ascii="Times New Roman" w:hAnsi="Times New Roman" w:cs="Times New Roman"/>
        </w:rPr>
        <w:t>by</w:t>
      </w:r>
      <w:r w:rsidRPr="005948DE">
        <w:rPr>
          <w:rFonts w:ascii="Times New Roman" w:hAnsi="Times New Roman" w:cs="Times New Roman"/>
          <w:spacing w:val="13"/>
        </w:rPr>
        <w:t xml:space="preserve"> </w:t>
      </w:r>
      <w:r w:rsidRPr="005948DE">
        <w:rPr>
          <w:rFonts w:ascii="Times New Roman" w:hAnsi="Times New Roman" w:cs="Times New Roman"/>
        </w:rPr>
        <w:t>attaching</w:t>
      </w:r>
      <w:r w:rsidRPr="005948DE">
        <w:rPr>
          <w:rFonts w:ascii="Times New Roman" w:hAnsi="Times New Roman" w:cs="Times New Roman"/>
          <w:spacing w:val="14"/>
        </w:rPr>
        <w:t xml:space="preserve"> </w:t>
      </w:r>
      <w:r w:rsidRPr="005948DE">
        <w:rPr>
          <w:rFonts w:ascii="Times New Roman" w:hAnsi="Times New Roman" w:cs="Times New Roman"/>
        </w:rPr>
        <w:t>the</w:t>
      </w:r>
      <w:r w:rsidRPr="005948DE">
        <w:rPr>
          <w:rFonts w:ascii="Times New Roman" w:hAnsi="Times New Roman" w:cs="Times New Roman"/>
          <w:spacing w:val="13"/>
        </w:rPr>
        <w:t xml:space="preserve"> </w:t>
      </w:r>
      <w:r w:rsidR="005950B8" w:rsidRPr="005948DE">
        <w:rPr>
          <w:rFonts w:ascii="Times New Roman" w:hAnsi="Times New Roman" w:cs="Times New Roman"/>
        </w:rPr>
        <w:t>T</w:t>
      </w:r>
      <w:r w:rsidR="005950B8">
        <w:rPr>
          <w:rFonts w:ascii="Times New Roman" w:hAnsi="Times New Roman" w:cs="Times New Roman"/>
        </w:rPr>
        <w:t>o</w:t>
      </w:r>
      <w:r w:rsidR="005950B8" w:rsidRPr="005948DE">
        <w:rPr>
          <w:rFonts w:ascii="Times New Roman" w:hAnsi="Times New Roman" w:cs="Times New Roman"/>
        </w:rPr>
        <w:t>R</w:t>
      </w:r>
      <w:r w:rsidR="005950B8" w:rsidRPr="005948DE">
        <w:rPr>
          <w:rFonts w:ascii="Times New Roman" w:hAnsi="Times New Roman" w:cs="Times New Roman"/>
          <w:spacing w:val="13"/>
        </w:rPr>
        <w:t xml:space="preserve"> </w:t>
      </w:r>
      <w:r w:rsidRPr="005948DE">
        <w:rPr>
          <w:rFonts w:ascii="Times New Roman" w:hAnsi="Times New Roman" w:cs="Times New Roman"/>
        </w:rPr>
        <w:t>to</w:t>
      </w:r>
      <w:r w:rsidRPr="005948DE">
        <w:rPr>
          <w:rFonts w:ascii="Times New Roman" w:hAnsi="Times New Roman" w:cs="Times New Roman"/>
          <w:spacing w:val="14"/>
        </w:rPr>
        <w:t xml:space="preserve"> </w:t>
      </w:r>
      <w:r w:rsidRPr="005948DE">
        <w:rPr>
          <w:rFonts w:ascii="Times New Roman" w:hAnsi="Times New Roman" w:cs="Times New Roman"/>
        </w:rPr>
        <w:t>the</w:t>
      </w:r>
      <w:r w:rsidRPr="005948DE">
        <w:rPr>
          <w:rFonts w:ascii="Times New Roman" w:hAnsi="Times New Roman" w:cs="Times New Roman"/>
          <w:spacing w:val="13"/>
        </w:rPr>
        <w:t xml:space="preserve"> </w:t>
      </w:r>
      <w:r w:rsidR="005950B8" w:rsidRPr="005948DE">
        <w:rPr>
          <w:rFonts w:ascii="Times New Roman" w:hAnsi="Times New Roman" w:cs="Times New Roman"/>
        </w:rPr>
        <w:t>RE</w:t>
      </w:r>
      <w:r w:rsidR="005950B8">
        <w:rPr>
          <w:rFonts w:ascii="Times New Roman" w:hAnsi="Times New Roman" w:cs="Times New Roman"/>
        </w:rPr>
        <w:t>o</w:t>
      </w:r>
      <w:r w:rsidR="005950B8" w:rsidRPr="005948DE">
        <w:rPr>
          <w:rFonts w:ascii="Times New Roman" w:hAnsi="Times New Roman" w:cs="Times New Roman"/>
        </w:rPr>
        <w:t>I</w:t>
      </w:r>
      <w:r w:rsidRPr="005948DE">
        <w:rPr>
          <w:rFonts w:ascii="Times New Roman" w:hAnsi="Times New Roman" w:cs="Times New Roman"/>
        </w:rPr>
        <w:t>.</w:t>
      </w:r>
      <w:r w:rsidRPr="005948DE">
        <w:rPr>
          <w:rFonts w:ascii="Times New Roman" w:hAnsi="Times New Roman" w:cs="Times New Roman"/>
          <w:spacing w:val="27"/>
        </w:rPr>
        <w:t xml:space="preserve"> </w:t>
      </w:r>
      <w:r w:rsidRPr="005948DE">
        <w:rPr>
          <w:rFonts w:ascii="Times New Roman" w:hAnsi="Times New Roman" w:cs="Times New Roman"/>
        </w:rPr>
        <w:t>At</w:t>
      </w:r>
      <w:r w:rsidRPr="005948DE">
        <w:rPr>
          <w:rFonts w:ascii="Times New Roman" w:hAnsi="Times New Roman" w:cs="Times New Roman"/>
          <w:spacing w:val="73"/>
          <w:w w:val="99"/>
        </w:rPr>
        <w:t xml:space="preserve"> </w:t>
      </w:r>
      <w:r w:rsidRPr="005948DE">
        <w:rPr>
          <w:rFonts w:ascii="Times New Roman" w:hAnsi="Times New Roman" w:cs="Times New Roman"/>
        </w:rPr>
        <w:t>least</w:t>
      </w:r>
      <w:r w:rsidRPr="005948DE">
        <w:rPr>
          <w:rFonts w:ascii="Times New Roman" w:hAnsi="Times New Roman" w:cs="Times New Roman"/>
          <w:spacing w:val="18"/>
        </w:rPr>
        <w:t xml:space="preserve"> </w:t>
      </w:r>
      <w:r w:rsidRPr="005948DE">
        <w:rPr>
          <w:rFonts w:ascii="Times New Roman" w:hAnsi="Times New Roman" w:cs="Times New Roman"/>
        </w:rPr>
        <w:t>three</w:t>
      </w:r>
      <w:r w:rsidRPr="005948DE">
        <w:rPr>
          <w:rFonts w:ascii="Times New Roman" w:hAnsi="Times New Roman" w:cs="Times New Roman"/>
          <w:spacing w:val="18"/>
        </w:rPr>
        <w:t xml:space="preserve"> </w:t>
      </w:r>
      <w:r w:rsidRPr="005948DE">
        <w:rPr>
          <w:rFonts w:ascii="Times New Roman" w:hAnsi="Times New Roman" w:cs="Times New Roman"/>
        </w:rPr>
        <w:t>qualified</w:t>
      </w:r>
      <w:r w:rsidRPr="005948DE">
        <w:rPr>
          <w:rFonts w:ascii="Times New Roman" w:hAnsi="Times New Roman" w:cs="Times New Roman"/>
          <w:spacing w:val="18"/>
        </w:rPr>
        <w:t xml:space="preserve"> </w:t>
      </w:r>
      <w:r w:rsidRPr="005948DE">
        <w:rPr>
          <w:rFonts w:ascii="Times New Roman" w:hAnsi="Times New Roman" w:cs="Times New Roman"/>
        </w:rPr>
        <w:t>firms</w:t>
      </w:r>
      <w:r w:rsidRPr="005948DE">
        <w:rPr>
          <w:rFonts w:ascii="Times New Roman" w:hAnsi="Times New Roman" w:cs="Times New Roman"/>
          <w:spacing w:val="18"/>
        </w:rPr>
        <w:t xml:space="preserve"> </w:t>
      </w:r>
      <w:r w:rsidRPr="005948DE">
        <w:rPr>
          <w:rFonts w:ascii="Times New Roman" w:hAnsi="Times New Roman" w:cs="Times New Roman"/>
        </w:rPr>
        <w:t>shall</w:t>
      </w:r>
      <w:r w:rsidRPr="005948DE">
        <w:rPr>
          <w:rFonts w:ascii="Times New Roman" w:hAnsi="Times New Roman" w:cs="Times New Roman"/>
          <w:spacing w:val="18"/>
        </w:rPr>
        <w:t xml:space="preserve"> </w:t>
      </w:r>
      <w:r w:rsidRPr="005948DE">
        <w:rPr>
          <w:rFonts w:ascii="Times New Roman" w:hAnsi="Times New Roman" w:cs="Times New Roman"/>
        </w:rPr>
        <w:t>be</w:t>
      </w:r>
      <w:r w:rsidRPr="005948DE">
        <w:rPr>
          <w:rFonts w:ascii="Times New Roman" w:hAnsi="Times New Roman" w:cs="Times New Roman"/>
          <w:spacing w:val="18"/>
        </w:rPr>
        <w:t xml:space="preserve"> </w:t>
      </w:r>
      <w:r w:rsidRPr="005948DE">
        <w:rPr>
          <w:rFonts w:ascii="Times New Roman" w:hAnsi="Times New Roman" w:cs="Times New Roman"/>
        </w:rPr>
        <w:t>requested</w:t>
      </w:r>
      <w:r w:rsidRPr="005948DE">
        <w:rPr>
          <w:rFonts w:ascii="Times New Roman" w:hAnsi="Times New Roman" w:cs="Times New Roman"/>
          <w:spacing w:val="17"/>
        </w:rPr>
        <w:t xml:space="preserve"> </w:t>
      </w:r>
      <w:r w:rsidRPr="005948DE">
        <w:rPr>
          <w:rFonts w:ascii="Times New Roman" w:hAnsi="Times New Roman" w:cs="Times New Roman"/>
        </w:rPr>
        <w:t>to</w:t>
      </w:r>
      <w:r w:rsidRPr="005948DE">
        <w:rPr>
          <w:rFonts w:ascii="Times New Roman" w:hAnsi="Times New Roman" w:cs="Times New Roman"/>
          <w:spacing w:val="18"/>
        </w:rPr>
        <w:t xml:space="preserve"> </w:t>
      </w:r>
      <w:r w:rsidRPr="005948DE">
        <w:rPr>
          <w:rFonts w:ascii="Times New Roman" w:hAnsi="Times New Roman" w:cs="Times New Roman"/>
        </w:rPr>
        <w:t>provide</w:t>
      </w:r>
      <w:r w:rsidRPr="005948DE">
        <w:rPr>
          <w:rFonts w:ascii="Times New Roman" w:hAnsi="Times New Roman" w:cs="Times New Roman"/>
          <w:spacing w:val="18"/>
        </w:rPr>
        <w:t xml:space="preserve"> </w:t>
      </w:r>
      <w:r w:rsidRPr="005948DE">
        <w:rPr>
          <w:rFonts w:ascii="Times New Roman" w:hAnsi="Times New Roman" w:cs="Times New Roman"/>
        </w:rPr>
        <w:t>information</w:t>
      </w:r>
      <w:r w:rsidRPr="005948DE">
        <w:rPr>
          <w:rFonts w:ascii="Times New Roman" w:hAnsi="Times New Roman" w:cs="Times New Roman"/>
          <w:spacing w:val="18"/>
        </w:rPr>
        <w:t xml:space="preserve"> </w:t>
      </w:r>
      <w:r w:rsidRPr="005948DE">
        <w:rPr>
          <w:rFonts w:ascii="Times New Roman" w:hAnsi="Times New Roman" w:cs="Times New Roman"/>
        </w:rPr>
        <w:t>about</w:t>
      </w:r>
      <w:r w:rsidRPr="005948DE">
        <w:rPr>
          <w:rFonts w:ascii="Times New Roman" w:hAnsi="Times New Roman" w:cs="Times New Roman"/>
          <w:spacing w:val="18"/>
        </w:rPr>
        <w:t xml:space="preserve"> </w:t>
      </w:r>
      <w:r w:rsidRPr="005948DE">
        <w:rPr>
          <w:rFonts w:ascii="Times New Roman" w:hAnsi="Times New Roman" w:cs="Times New Roman"/>
        </w:rPr>
        <w:t>their</w:t>
      </w:r>
      <w:r w:rsidRPr="005948DE">
        <w:rPr>
          <w:rFonts w:ascii="Times New Roman" w:hAnsi="Times New Roman" w:cs="Times New Roman"/>
          <w:spacing w:val="18"/>
        </w:rPr>
        <w:t xml:space="preserve"> </w:t>
      </w:r>
      <w:r w:rsidRPr="005948DE">
        <w:rPr>
          <w:rFonts w:ascii="Times New Roman" w:hAnsi="Times New Roman" w:cs="Times New Roman"/>
        </w:rPr>
        <w:t>relevant</w:t>
      </w:r>
      <w:r w:rsidRPr="005948DE">
        <w:rPr>
          <w:rFonts w:ascii="Times New Roman" w:hAnsi="Times New Roman" w:cs="Times New Roman"/>
          <w:spacing w:val="67"/>
          <w:w w:val="99"/>
        </w:rPr>
        <w:t xml:space="preserve"> </w:t>
      </w:r>
      <w:r w:rsidRPr="005948DE">
        <w:rPr>
          <w:rFonts w:ascii="Times New Roman" w:hAnsi="Times New Roman" w:cs="Times New Roman"/>
        </w:rPr>
        <w:t>experience</w:t>
      </w:r>
      <w:r w:rsidRPr="005948DE">
        <w:rPr>
          <w:rFonts w:ascii="Times New Roman" w:hAnsi="Times New Roman" w:cs="Times New Roman"/>
          <w:spacing w:val="-3"/>
        </w:rPr>
        <w:t xml:space="preserve"> </w:t>
      </w:r>
      <w:r w:rsidRPr="005948DE">
        <w:rPr>
          <w:rFonts w:ascii="Times New Roman" w:hAnsi="Times New Roman" w:cs="Times New Roman"/>
        </w:rPr>
        <w:t>and</w:t>
      </w:r>
      <w:r w:rsidRPr="005948DE">
        <w:rPr>
          <w:rFonts w:ascii="Times New Roman" w:hAnsi="Times New Roman" w:cs="Times New Roman"/>
          <w:spacing w:val="-3"/>
        </w:rPr>
        <w:t xml:space="preserve"> </w:t>
      </w:r>
      <w:r w:rsidRPr="005948DE">
        <w:rPr>
          <w:rFonts w:ascii="Times New Roman" w:hAnsi="Times New Roman" w:cs="Times New Roman"/>
        </w:rPr>
        <w:t>qualifications.</w:t>
      </w:r>
      <w:r w:rsidRPr="005948DE">
        <w:rPr>
          <w:rFonts w:ascii="Times New Roman" w:hAnsi="Times New Roman" w:cs="Times New Roman"/>
          <w:spacing w:val="46"/>
        </w:rPr>
        <w:t xml:space="preserve"> </w:t>
      </w:r>
      <w:r w:rsidRPr="005948DE">
        <w:rPr>
          <w:rFonts w:ascii="Times New Roman" w:hAnsi="Times New Roman" w:cs="Times New Roman"/>
        </w:rPr>
        <w:t>From the</w:t>
      </w:r>
      <w:r w:rsidRPr="005948DE">
        <w:rPr>
          <w:rFonts w:ascii="Times New Roman" w:hAnsi="Times New Roman" w:cs="Times New Roman"/>
          <w:spacing w:val="-2"/>
        </w:rPr>
        <w:t xml:space="preserve"> </w:t>
      </w:r>
      <w:r w:rsidRPr="005948DE">
        <w:rPr>
          <w:rFonts w:ascii="Times New Roman" w:hAnsi="Times New Roman" w:cs="Times New Roman"/>
        </w:rPr>
        <w:t>firms</w:t>
      </w:r>
      <w:r w:rsidRPr="005948DE">
        <w:rPr>
          <w:rFonts w:ascii="Times New Roman" w:hAnsi="Times New Roman" w:cs="Times New Roman"/>
          <w:spacing w:val="-2"/>
        </w:rPr>
        <w:t xml:space="preserve"> </w:t>
      </w:r>
      <w:r w:rsidRPr="005948DE">
        <w:rPr>
          <w:rFonts w:ascii="Times New Roman" w:hAnsi="Times New Roman" w:cs="Times New Roman"/>
        </w:rPr>
        <w:t>that</w:t>
      </w:r>
      <w:r w:rsidRPr="005948DE">
        <w:rPr>
          <w:rFonts w:ascii="Times New Roman" w:hAnsi="Times New Roman" w:cs="Times New Roman"/>
          <w:spacing w:val="-2"/>
        </w:rPr>
        <w:t xml:space="preserve"> </w:t>
      </w:r>
      <w:r w:rsidRPr="005948DE">
        <w:rPr>
          <w:rFonts w:ascii="Times New Roman" w:hAnsi="Times New Roman" w:cs="Times New Roman"/>
        </w:rPr>
        <w:t>have</w:t>
      </w:r>
      <w:r w:rsidRPr="005948DE">
        <w:rPr>
          <w:rFonts w:ascii="Times New Roman" w:hAnsi="Times New Roman" w:cs="Times New Roman"/>
          <w:spacing w:val="-2"/>
        </w:rPr>
        <w:t xml:space="preserve"> </w:t>
      </w:r>
      <w:r w:rsidRPr="005948DE">
        <w:rPr>
          <w:rFonts w:ascii="Times New Roman" w:hAnsi="Times New Roman" w:cs="Times New Roman"/>
        </w:rPr>
        <w:t>submitted an</w:t>
      </w:r>
      <w:r w:rsidRPr="005948DE">
        <w:rPr>
          <w:rFonts w:ascii="Times New Roman" w:hAnsi="Times New Roman" w:cs="Times New Roman"/>
          <w:spacing w:val="-2"/>
        </w:rPr>
        <w:t xml:space="preserve"> </w:t>
      </w:r>
      <w:r w:rsidRPr="005948DE">
        <w:rPr>
          <w:rFonts w:ascii="Times New Roman" w:hAnsi="Times New Roman" w:cs="Times New Roman"/>
        </w:rPr>
        <w:t>EoI,</w:t>
      </w:r>
      <w:r w:rsidRPr="005948DE">
        <w:rPr>
          <w:rFonts w:ascii="Times New Roman" w:hAnsi="Times New Roman" w:cs="Times New Roman"/>
          <w:spacing w:val="24"/>
        </w:rPr>
        <w:t xml:space="preserve"> </w:t>
      </w:r>
      <w:r w:rsidRPr="005948DE">
        <w:rPr>
          <w:rFonts w:ascii="Times New Roman" w:hAnsi="Times New Roman" w:cs="Times New Roman"/>
        </w:rPr>
        <w:t>the</w:t>
      </w:r>
      <w:r w:rsidRPr="005948DE">
        <w:rPr>
          <w:rFonts w:ascii="Times New Roman" w:hAnsi="Times New Roman" w:cs="Times New Roman"/>
          <w:spacing w:val="24"/>
        </w:rPr>
        <w:t xml:space="preserve"> </w:t>
      </w:r>
      <w:r w:rsidRPr="00F94C4F">
        <w:rPr>
          <w:rFonts w:ascii="Times New Roman" w:hAnsi="Times New Roman" w:cs="Times New Roman"/>
        </w:rPr>
        <w:t>Borrower</w:t>
      </w:r>
      <w:r w:rsidRPr="005948DE">
        <w:rPr>
          <w:rFonts w:ascii="Times New Roman" w:hAnsi="Times New Roman" w:cs="Times New Roman"/>
          <w:spacing w:val="23"/>
        </w:rPr>
        <w:t xml:space="preserve"> </w:t>
      </w:r>
      <w:r w:rsidRPr="005948DE">
        <w:rPr>
          <w:rFonts w:ascii="Times New Roman" w:hAnsi="Times New Roman" w:cs="Times New Roman"/>
        </w:rPr>
        <w:t>selects</w:t>
      </w:r>
      <w:r w:rsidRPr="005948DE">
        <w:rPr>
          <w:rFonts w:ascii="Times New Roman" w:hAnsi="Times New Roman" w:cs="Times New Roman"/>
          <w:spacing w:val="79"/>
        </w:rPr>
        <w:t xml:space="preserve"> </w:t>
      </w:r>
      <w:r w:rsidRPr="005948DE">
        <w:rPr>
          <w:rFonts w:ascii="Times New Roman" w:hAnsi="Times New Roman" w:cs="Times New Roman"/>
        </w:rPr>
        <w:t>the</w:t>
      </w:r>
      <w:r w:rsidRPr="005948DE">
        <w:rPr>
          <w:rFonts w:ascii="Times New Roman" w:hAnsi="Times New Roman" w:cs="Times New Roman"/>
          <w:spacing w:val="6"/>
        </w:rPr>
        <w:t xml:space="preserve"> </w:t>
      </w:r>
      <w:r w:rsidRPr="005948DE">
        <w:rPr>
          <w:rFonts w:ascii="Times New Roman" w:hAnsi="Times New Roman" w:cs="Times New Roman"/>
        </w:rPr>
        <w:t>firm</w:t>
      </w:r>
      <w:r w:rsidRPr="005948DE">
        <w:rPr>
          <w:rFonts w:ascii="Times New Roman" w:hAnsi="Times New Roman" w:cs="Times New Roman"/>
          <w:spacing w:val="7"/>
        </w:rPr>
        <w:t xml:space="preserve"> </w:t>
      </w:r>
      <w:r w:rsidRPr="005948DE">
        <w:rPr>
          <w:rFonts w:ascii="Times New Roman" w:hAnsi="Times New Roman" w:cs="Times New Roman"/>
        </w:rPr>
        <w:t>with</w:t>
      </w:r>
      <w:r w:rsidRPr="005948DE">
        <w:rPr>
          <w:rFonts w:ascii="Times New Roman" w:hAnsi="Times New Roman" w:cs="Times New Roman"/>
          <w:spacing w:val="7"/>
        </w:rPr>
        <w:t xml:space="preserve"> </w:t>
      </w:r>
      <w:r w:rsidRPr="005948DE">
        <w:rPr>
          <w:rFonts w:ascii="Times New Roman" w:hAnsi="Times New Roman" w:cs="Times New Roman"/>
        </w:rPr>
        <w:t>the</w:t>
      </w:r>
      <w:r w:rsidRPr="005948DE">
        <w:rPr>
          <w:rFonts w:ascii="Times New Roman" w:hAnsi="Times New Roman" w:cs="Times New Roman"/>
          <w:spacing w:val="6"/>
        </w:rPr>
        <w:t xml:space="preserve"> </w:t>
      </w:r>
      <w:r w:rsidRPr="005948DE">
        <w:rPr>
          <w:rFonts w:ascii="Times New Roman" w:hAnsi="Times New Roman" w:cs="Times New Roman"/>
        </w:rPr>
        <w:t>best</w:t>
      </w:r>
      <w:r w:rsidRPr="005948DE">
        <w:rPr>
          <w:rFonts w:ascii="Times New Roman" w:hAnsi="Times New Roman" w:cs="Times New Roman"/>
          <w:spacing w:val="6"/>
        </w:rPr>
        <w:t xml:space="preserve"> </w:t>
      </w:r>
      <w:r w:rsidRPr="005948DE">
        <w:rPr>
          <w:rFonts w:ascii="Times New Roman" w:hAnsi="Times New Roman" w:cs="Times New Roman"/>
        </w:rPr>
        <w:t>qualifications</w:t>
      </w:r>
      <w:r w:rsidRPr="005948DE">
        <w:rPr>
          <w:rFonts w:ascii="Times New Roman" w:hAnsi="Times New Roman" w:cs="Times New Roman"/>
          <w:spacing w:val="8"/>
        </w:rPr>
        <w:t xml:space="preserve"> </w:t>
      </w:r>
      <w:r w:rsidRPr="005948DE">
        <w:rPr>
          <w:rFonts w:ascii="Times New Roman" w:hAnsi="Times New Roman" w:cs="Times New Roman"/>
        </w:rPr>
        <w:t>and</w:t>
      </w:r>
      <w:r w:rsidRPr="005948DE">
        <w:rPr>
          <w:rFonts w:ascii="Times New Roman" w:hAnsi="Times New Roman" w:cs="Times New Roman"/>
          <w:spacing w:val="6"/>
        </w:rPr>
        <w:t xml:space="preserve"> </w:t>
      </w:r>
      <w:r w:rsidRPr="005948DE">
        <w:rPr>
          <w:rFonts w:ascii="Times New Roman" w:hAnsi="Times New Roman" w:cs="Times New Roman"/>
        </w:rPr>
        <w:t>relevant</w:t>
      </w:r>
      <w:r w:rsidRPr="005948DE">
        <w:rPr>
          <w:rFonts w:ascii="Times New Roman" w:hAnsi="Times New Roman" w:cs="Times New Roman"/>
          <w:spacing w:val="6"/>
        </w:rPr>
        <w:t xml:space="preserve"> </w:t>
      </w:r>
      <w:r w:rsidRPr="005948DE">
        <w:rPr>
          <w:rFonts w:ascii="Times New Roman" w:hAnsi="Times New Roman" w:cs="Times New Roman"/>
        </w:rPr>
        <w:t>experience</w:t>
      </w:r>
      <w:r w:rsidRPr="005948DE">
        <w:rPr>
          <w:rFonts w:ascii="Times New Roman" w:hAnsi="Times New Roman" w:cs="Times New Roman"/>
          <w:spacing w:val="7"/>
        </w:rPr>
        <w:t xml:space="preserve"> </w:t>
      </w:r>
      <w:r w:rsidRPr="005948DE">
        <w:rPr>
          <w:rFonts w:ascii="Times New Roman" w:hAnsi="Times New Roman" w:cs="Times New Roman"/>
        </w:rPr>
        <w:t>and</w:t>
      </w:r>
      <w:r w:rsidRPr="005948DE">
        <w:rPr>
          <w:rFonts w:ascii="Times New Roman" w:hAnsi="Times New Roman" w:cs="Times New Roman"/>
          <w:spacing w:val="6"/>
        </w:rPr>
        <w:t xml:space="preserve"> </w:t>
      </w:r>
      <w:r w:rsidRPr="005948DE">
        <w:rPr>
          <w:rFonts w:ascii="Times New Roman" w:hAnsi="Times New Roman" w:cs="Times New Roman"/>
        </w:rPr>
        <w:t>invites</w:t>
      </w:r>
      <w:r w:rsidRPr="005948DE">
        <w:rPr>
          <w:rFonts w:ascii="Times New Roman" w:hAnsi="Times New Roman" w:cs="Times New Roman"/>
          <w:spacing w:val="7"/>
        </w:rPr>
        <w:t xml:space="preserve"> </w:t>
      </w:r>
      <w:r w:rsidRPr="005948DE">
        <w:rPr>
          <w:rFonts w:ascii="Times New Roman" w:hAnsi="Times New Roman" w:cs="Times New Roman"/>
        </w:rPr>
        <w:t>it</w:t>
      </w:r>
      <w:r w:rsidRPr="005948DE">
        <w:rPr>
          <w:rFonts w:ascii="Times New Roman" w:hAnsi="Times New Roman" w:cs="Times New Roman"/>
          <w:spacing w:val="8"/>
        </w:rPr>
        <w:t xml:space="preserve"> </w:t>
      </w:r>
      <w:r w:rsidRPr="005948DE">
        <w:rPr>
          <w:rFonts w:ascii="Times New Roman" w:hAnsi="Times New Roman" w:cs="Times New Roman"/>
        </w:rPr>
        <w:t>to</w:t>
      </w:r>
      <w:r w:rsidRPr="005948DE">
        <w:rPr>
          <w:rFonts w:ascii="Times New Roman" w:hAnsi="Times New Roman" w:cs="Times New Roman"/>
          <w:spacing w:val="6"/>
        </w:rPr>
        <w:t xml:space="preserve"> </w:t>
      </w:r>
      <w:r w:rsidRPr="005948DE">
        <w:rPr>
          <w:rFonts w:ascii="Times New Roman" w:hAnsi="Times New Roman" w:cs="Times New Roman"/>
        </w:rPr>
        <w:t>submit</w:t>
      </w:r>
      <w:r w:rsidRPr="005948DE">
        <w:rPr>
          <w:rFonts w:ascii="Times New Roman" w:hAnsi="Times New Roman" w:cs="Times New Roman"/>
          <w:spacing w:val="7"/>
        </w:rPr>
        <w:t xml:space="preserve"> </w:t>
      </w:r>
      <w:r w:rsidRPr="005948DE">
        <w:rPr>
          <w:rFonts w:ascii="Times New Roman" w:hAnsi="Times New Roman" w:cs="Times New Roman"/>
        </w:rPr>
        <w:t>its</w:t>
      </w:r>
      <w:r w:rsidRPr="005948DE">
        <w:rPr>
          <w:rFonts w:ascii="Times New Roman" w:hAnsi="Times New Roman" w:cs="Times New Roman"/>
          <w:spacing w:val="6"/>
        </w:rPr>
        <w:t xml:space="preserve"> </w:t>
      </w:r>
      <w:r w:rsidRPr="005948DE">
        <w:rPr>
          <w:rFonts w:ascii="Times New Roman" w:hAnsi="Times New Roman" w:cs="Times New Roman"/>
        </w:rPr>
        <w:t>technical</w:t>
      </w:r>
      <w:r w:rsidRPr="005948DE">
        <w:rPr>
          <w:rFonts w:ascii="Times New Roman" w:hAnsi="Times New Roman" w:cs="Times New Roman"/>
          <w:spacing w:val="65"/>
        </w:rPr>
        <w:t xml:space="preserve"> </w:t>
      </w:r>
      <w:r w:rsidRPr="005948DE">
        <w:rPr>
          <w:rFonts w:ascii="Times New Roman" w:hAnsi="Times New Roman" w:cs="Times New Roman"/>
        </w:rPr>
        <w:t>and</w:t>
      </w:r>
      <w:r w:rsidRPr="005948DE">
        <w:rPr>
          <w:rFonts w:ascii="Times New Roman" w:hAnsi="Times New Roman" w:cs="Times New Roman"/>
          <w:spacing w:val="-2"/>
        </w:rPr>
        <w:t xml:space="preserve"> </w:t>
      </w:r>
      <w:r w:rsidRPr="005948DE">
        <w:rPr>
          <w:rFonts w:ascii="Times New Roman" w:hAnsi="Times New Roman" w:cs="Times New Roman"/>
        </w:rPr>
        <w:t>financial</w:t>
      </w:r>
      <w:r w:rsidRPr="005948DE">
        <w:rPr>
          <w:rFonts w:ascii="Times New Roman" w:hAnsi="Times New Roman" w:cs="Times New Roman"/>
          <w:spacing w:val="-3"/>
        </w:rPr>
        <w:t xml:space="preserve"> </w:t>
      </w:r>
      <w:r w:rsidR="005950B8">
        <w:rPr>
          <w:rFonts w:ascii="Times New Roman" w:hAnsi="Times New Roman" w:cs="Times New Roman"/>
        </w:rPr>
        <w:t>p</w:t>
      </w:r>
      <w:r w:rsidR="005950B8" w:rsidRPr="005948DE">
        <w:rPr>
          <w:rFonts w:ascii="Times New Roman" w:hAnsi="Times New Roman" w:cs="Times New Roman"/>
        </w:rPr>
        <w:t>roposals</w:t>
      </w:r>
      <w:r w:rsidR="005950B8" w:rsidRPr="005948DE">
        <w:rPr>
          <w:rFonts w:ascii="Times New Roman" w:hAnsi="Times New Roman" w:cs="Times New Roman"/>
          <w:spacing w:val="-2"/>
        </w:rPr>
        <w:t xml:space="preserve"> </w:t>
      </w:r>
      <w:r w:rsidRPr="005948DE">
        <w:rPr>
          <w:rFonts w:ascii="Times New Roman" w:hAnsi="Times New Roman" w:cs="Times New Roman"/>
        </w:rPr>
        <w:t>for negotiations.</w:t>
      </w:r>
      <w:r w:rsidRPr="005948DE">
        <w:rPr>
          <w:rFonts w:ascii="Times New Roman" w:hAnsi="Times New Roman" w:cs="Times New Roman"/>
          <w:spacing w:val="46"/>
        </w:rPr>
        <w:t xml:space="preserve"> </w:t>
      </w:r>
      <w:r w:rsidRPr="005948DE">
        <w:rPr>
          <w:rFonts w:ascii="Times New Roman" w:hAnsi="Times New Roman" w:cs="Times New Roman"/>
        </w:rPr>
        <w:t>Advertisement</w:t>
      </w:r>
      <w:r w:rsidRPr="005948DE">
        <w:rPr>
          <w:rFonts w:ascii="Times New Roman" w:hAnsi="Times New Roman" w:cs="Times New Roman"/>
          <w:spacing w:val="-2"/>
        </w:rPr>
        <w:t xml:space="preserve"> </w:t>
      </w:r>
      <w:r w:rsidRPr="005948DE">
        <w:rPr>
          <w:rFonts w:ascii="Times New Roman" w:hAnsi="Times New Roman" w:cs="Times New Roman"/>
        </w:rPr>
        <w:t>of REoIs</w:t>
      </w:r>
      <w:r w:rsidRPr="005948DE">
        <w:rPr>
          <w:rFonts w:ascii="Times New Roman" w:hAnsi="Times New Roman" w:cs="Times New Roman"/>
          <w:spacing w:val="-2"/>
        </w:rPr>
        <w:t xml:space="preserve"> </w:t>
      </w:r>
      <w:r w:rsidRPr="005948DE">
        <w:rPr>
          <w:rFonts w:ascii="Times New Roman" w:hAnsi="Times New Roman" w:cs="Times New Roman"/>
        </w:rPr>
        <w:t>is</w:t>
      </w:r>
      <w:r w:rsidRPr="005948DE">
        <w:rPr>
          <w:rFonts w:ascii="Times New Roman" w:hAnsi="Times New Roman" w:cs="Times New Roman"/>
          <w:spacing w:val="-3"/>
        </w:rPr>
        <w:t xml:space="preserve"> </w:t>
      </w:r>
      <w:r w:rsidRPr="005948DE">
        <w:rPr>
          <w:rFonts w:ascii="Times New Roman" w:hAnsi="Times New Roman" w:cs="Times New Roman"/>
        </w:rPr>
        <w:t>not</w:t>
      </w:r>
      <w:r w:rsidRPr="005948DE">
        <w:rPr>
          <w:rFonts w:ascii="Times New Roman" w:hAnsi="Times New Roman" w:cs="Times New Roman"/>
          <w:spacing w:val="-2"/>
        </w:rPr>
        <w:t xml:space="preserve"> </w:t>
      </w:r>
      <w:r w:rsidRPr="005948DE">
        <w:rPr>
          <w:rFonts w:ascii="Times New Roman" w:hAnsi="Times New Roman" w:cs="Times New Roman"/>
        </w:rPr>
        <w:t>mandatory.</w:t>
      </w:r>
    </w:p>
    <w:p w14:paraId="7E850653" w14:textId="714D5AF7" w:rsidR="00CA17E6" w:rsidRPr="005948DE" w:rsidRDefault="005950B8" w:rsidP="005948DE">
      <w:pPr>
        <w:pStyle w:val="Normal0"/>
        <w:spacing w:after="120" w:line="276" w:lineRule="auto"/>
        <w:jc w:val="both"/>
        <w:rPr>
          <w:rFonts w:ascii="Times New Roman" w:eastAsia="Calibri" w:hAnsi="Times New Roman" w:cs="Times New Roman"/>
          <w:sz w:val="19"/>
          <w:szCs w:val="19"/>
        </w:rPr>
      </w:pPr>
      <w:r>
        <w:rPr>
          <w:rFonts w:ascii="Times New Roman" w:hAnsi="Times New Roman" w:cs="Times New Roman"/>
        </w:rPr>
        <w:t xml:space="preserve">The </w:t>
      </w:r>
      <w:r w:rsidR="00CA17E6" w:rsidRPr="005948DE">
        <w:rPr>
          <w:rFonts w:ascii="Times New Roman" w:hAnsi="Times New Roman" w:cs="Times New Roman"/>
        </w:rPr>
        <w:t>CQS</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is</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appropriate</w:t>
      </w:r>
      <w:r w:rsidR="00CA17E6" w:rsidRPr="005948DE">
        <w:rPr>
          <w:rFonts w:ascii="Times New Roman" w:hAnsi="Times New Roman" w:cs="Times New Roman"/>
          <w:spacing w:val="14"/>
        </w:rPr>
        <w:t xml:space="preserve"> </w:t>
      </w:r>
      <w:r w:rsidR="00CA17E6" w:rsidRPr="005948DE">
        <w:rPr>
          <w:rFonts w:ascii="Times New Roman" w:hAnsi="Times New Roman" w:cs="Times New Roman"/>
        </w:rPr>
        <w:t>for</w:t>
      </w:r>
      <w:r w:rsidR="00CA17E6" w:rsidRPr="005948DE">
        <w:rPr>
          <w:rFonts w:ascii="Times New Roman" w:hAnsi="Times New Roman" w:cs="Times New Roman"/>
          <w:spacing w:val="14"/>
        </w:rPr>
        <w:t xml:space="preserve"> </w:t>
      </w:r>
      <w:r w:rsidR="00CA17E6" w:rsidRPr="005948DE">
        <w:rPr>
          <w:rFonts w:ascii="Times New Roman" w:hAnsi="Times New Roman" w:cs="Times New Roman"/>
        </w:rPr>
        <w:t>small</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assignments</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or</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Emergency</w:t>
      </w:r>
      <w:r w:rsidR="00CA17E6" w:rsidRPr="005948DE">
        <w:rPr>
          <w:rFonts w:ascii="Times New Roman" w:hAnsi="Times New Roman" w:cs="Times New Roman"/>
          <w:spacing w:val="14"/>
        </w:rPr>
        <w:t xml:space="preserve"> </w:t>
      </w:r>
      <w:r w:rsidR="00CA17E6" w:rsidRPr="005948DE">
        <w:rPr>
          <w:rFonts w:ascii="Times New Roman" w:hAnsi="Times New Roman" w:cs="Times New Roman"/>
        </w:rPr>
        <w:t>Situations</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in</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which</w:t>
      </w:r>
      <w:r w:rsidR="00CA17E6" w:rsidRPr="005948DE">
        <w:rPr>
          <w:rFonts w:ascii="Times New Roman" w:hAnsi="Times New Roman" w:cs="Times New Roman"/>
          <w:spacing w:val="13"/>
        </w:rPr>
        <w:t xml:space="preserve"> </w:t>
      </w:r>
      <w:r w:rsidR="00CA17E6" w:rsidRPr="005948DE">
        <w:rPr>
          <w:rFonts w:ascii="Times New Roman" w:hAnsi="Times New Roman" w:cs="Times New Roman"/>
        </w:rPr>
        <w:t>preparing</w:t>
      </w:r>
      <w:r w:rsidR="00CA17E6" w:rsidRPr="005948DE">
        <w:rPr>
          <w:rFonts w:ascii="Times New Roman" w:hAnsi="Times New Roman" w:cs="Times New Roman"/>
          <w:spacing w:val="14"/>
        </w:rPr>
        <w:t xml:space="preserve"> </w:t>
      </w:r>
      <w:r w:rsidR="00CA17E6" w:rsidRPr="005948DE">
        <w:rPr>
          <w:rFonts w:ascii="Times New Roman" w:hAnsi="Times New Roman" w:cs="Times New Roman"/>
        </w:rPr>
        <w:t>and</w:t>
      </w:r>
      <w:r w:rsidR="00CA17E6" w:rsidRPr="005948DE">
        <w:rPr>
          <w:rFonts w:ascii="Times New Roman" w:hAnsi="Times New Roman" w:cs="Times New Roman"/>
          <w:spacing w:val="75"/>
        </w:rPr>
        <w:t xml:space="preserve"> </w:t>
      </w:r>
      <w:r w:rsidR="00CA17E6" w:rsidRPr="005948DE">
        <w:rPr>
          <w:rFonts w:ascii="Times New Roman" w:hAnsi="Times New Roman" w:cs="Times New Roman"/>
        </w:rPr>
        <w:t>evaluating</w:t>
      </w:r>
      <w:r w:rsidR="00CA17E6" w:rsidRPr="005948DE">
        <w:rPr>
          <w:rFonts w:ascii="Times New Roman" w:hAnsi="Times New Roman" w:cs="Times New Roman"/>
          <w:spacing w:val="-2"/>
        </w:rPr>
        <w:t xml:space="preserve"> </w:t>
      </w:r>
      <w:r w:rsidR="00CA17E6" w:rsidRPr="005948DE">
        <w:rPr>
          <w:rFonts w:ascii="Times New Roman" w:hAnsi="Times New Roman" w:cs="Times New Roman"/>
        </w:rPr>
        <w:t xml:space="preserve">competitive </w:t>
      </w:r>
      <w:r>
        <w:rPr>
          <w:rFonts w:ascii="Times New Roman" w:hAnsi="Times New Roman" w:cs="Times New Roman"/>
        </w:rPr>
        <w:t>p</w:t>
      </w:r>
      <w:r w:rsidRPr="005948DE">
        <w:rPr>
          <w:rFonts w:ascii="Times New Roman" w:hAnsi="Times New Roman" w:cs="Times New Roman"/>
        </w:rPr>
        <w:t>roposals</w:t>
      </w:r>
      <w:r w:rsidRPr="005948DE">
        <w:rPr>
          <w:rFonts w:ascii="Times New Roman" w:hAnsi="Times New Roman" w:cs="Times New Roman"/>
          <w:spacing w:val="-2"/>
        </w:rPr>
        <w:t xml:space="preserve"> </w:t>
      </w:r>
      <w:r w:rsidR="00CA17E6" w:rsidRPr="005948DE">
        <w:rPr>
          <w:rFonts w:ascii="Times New Roman" w:hAnsi="Times New Roman" w:cs="Times New Roman"/>
        </w:rPr>
        <w:t>is not</w:t>
      </w:r>
      <w:r w:rsidR="00CA17E6" w:rsidRPr="005948DE">
        <w:rPr>
          <w:rFonts w:ascii="Times New Roman" w:hAnsi="Times New Roman" w:cs="Times New Roman"/>
          <w:spacing w:val="-2"/>
        </w:rPr>
        <w:t xml:space="preserve"> </w:t>
      </w:r>
      <w:r w:rsidR="00CA17E6" w:rsidRPr="005948DE">
        <w:rPr>
          <w:rFonts w:ascii="Times New Roman" w:hAnsi="Times New Roman" w:cs="Times New Roman"/>
        </w:rPr>
        <w:t>justified.</w:t>
      </w:r>
    </w:p>
    <w:p w14:paraId="50508913"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Direct Selection</w:t>
      </w:r>
    </w:p>
    <w:p w14:paraId="3CA77F89"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Proportional,</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fit-for-purpose,</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and</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VfM</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considerations</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may</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require</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a</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direct</w:t>
      </w:r>
      <w:r w:rsidRPr="005948DE">
        <w:rPr>
          <w:rFonts w:ascii="Times New Roman" w:hAnsi="Times New Roman" w:cs="Times New Roman"/>
          <w:spacing w:val="-6"/>
          <w:lang w:val="en-US"/>
        </w:rPr>
        <w:t xml:space="preserve"> </w:t>
      </w:r>
      <w:r w:rsidRPr="005948DE">
        <w:rPr>
          <w:rFonts w:ascii="Times New Roman" w:hAnsi="Times New Roman" w:cs="Times New Roman"/>
          <w:lang w:val="en-US"/>
        </w:rPr>
        <w:t>selection</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(single-source</w:t>
      </w:r>
      <w:r w:rsidRPr="005948DE">
        <w:rPr>
          <w:rFonts w:ascii="Times New Roman" w:hAnsi="Times New Roman" w:cs="Times New Roman"/>
          <w:spacing w:val="61"/>
          <w:w w:val="99"/>
          <w:lang w:val="en-US"/>
        </w:rPr>
        <w:t xml:space="preserve"> </w:t>
      </w:r>
      <w:r w:rsidRPr="005948DE">
        <w:rPr>
          <w:rFonts w:ascii="Times New Roman" w:hAnsi="Times New Roman" w:cs="Times New Roman"/>
          <w:lang w:val="en-US"/>
        </w:rPr>
        <w:t>or</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sole-source</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selection),</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approach,</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that</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is:</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approaching</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and</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negotiating</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with</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only</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one</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firm.</w:t>
      </w:r>
      <w:r w:rsidRPr="005948DE">
        <w:rPr>
          <w:rFonts w:ascii="Times New Roman" w:hAnsi="Times New Roman" w:cs="Times New Roman"/>
          <w:spacing w:val="11"/>
          <w:lang w:val="en-US"/>
        </w:rPr>
        <w:t xml:space="preserve"> </w:t>
      </w:r>
      <w:r w:rsidRPr="005948DE">
        <w:rPr>
          <w:rFonts w:ascii="Times New Roman" w:hAnsi="Times New Roman" w:cs="Times New Roman"/>
          <w:lang w:val="en-US"/>
        </w:rPr>
        <w:t>This</w:t>
      </w:r>
      <w:r w:rsidRPr="005948DE">
        <w:rPr>
          <w:rFonts w:ascii="Times New Roman" w:hAnsi="Times New Roman" w:cs="Times New Roman"/>
          <w:spacing w:val="82"/>
          <w:lang w:val="en-US"/>
        </w:rPr>
        <w:t xml:space="preserve"> </w:t>
      </w:r>
      <w:r w:rsidRPr="005948DE">
        <w:rPr>
          <w:rFonts w:ascii="Times New Roman" w:hAnsi="Times New Roman" w:cs="Times New Roman"/>
          <w:lang w:val="en-US"/>
        </w:rPr>
        <w:t>selection</w:t>
      </w:r>
      <w:r w:rsidRPr="005948DE">
        <w:rPr>
          <w:rFonts w:ascii="Times New Roman" w:hAnsi="Times New Roman" w:cs="Times New Roman"/>
          <w:spacing w:val="19"/>
          <w:lang w:val="en-US"/>
        </w:rPr>
        <w:t xml:space="preserve"> </w:t>
      </w:r>
      <w:r w:rsidRPr="005948DE">
        <w:rPr>
          <w:rFonts w:ascii="Times New Roman" w:hAnsi="Times New Roman" w:cs="Times New Roman"/>
          <w:lang w:val="en-US"/>
        </w:rPr>
        <w:t>method</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may</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be</w:t>
      </w:r>
      <w:r w:rsidRPr="005948DE">
        <w:rPr>
          <w:rFonts w:ascii="Times New Roman" w:hAnsi="Times New Roman" w:cs="Times New Roman"/>
          <w:spacing w:val="19"/>
          <w:lang w:val="en-US"/>
        </w:rPr>
        <w:t xml:space="preserve"> </w:t>
      </w:r>
      <w:r w:rsidRPr="005948DE">
        <w:rPr>
          <w:rFonts w:ascii="Times New Roman" w:hAnsi="Times New Roman" w:cs="Times New Roman"/>
          <w:lang w:val="en-US"/>
        </w:rPr>
        <w:t>appropriate</w:t>
      </w:r>
      <w:r w:rsidRPr="005948DE">
        <w:rPr>
          <w:rFonts w:ascii="Times New Roman" w:hAnsi="Times New Roman" w:cs="Times New Roman"/>
          <w:spacing w:val="21"/>
          <w:lang w:val="en-US"/>
        </w:rPr>
        <w:t xml:space="preserve"> </w:t>
      </w:r>
      <w:r w:rsidRPr="005948DE">
        <w:rPr>
          <w:rFonts w:ascii="Times New Roman" w:hAnsi="Times New Roman" w:cs="Times New Roman"/>
          <w:lang w:val="en-US"/>
        </w:rPr>
        <w:t>when</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only</w:t>
      </w:r>
      <w:r w:rsidRPr="005948DE">
        <w:rPr>
          <w:rFonts w:ascii="Times New Roman" w:hAnsi="Times New Roman" w:cs="Times New Roman"/>
          <w:spacing w:val="19"/>
          <w:lang w:val="en-US"/>
        </w:rPr>
        <w:t xml:space="preserve"> </w:t>
      </w:r>
      <w:r w:rsidRPr="005948DE">
        <w:rPr>
          <w:rFonts w:ascii="Times New Roman" w:hAnsi="Times New Roman" w:cs="Times New Roman"/>
          <w:lang w:val="en-US"/>
        </w:rPr>
        <w:t>one</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firm</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is</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qualified,</w:t>
      </w:r>
      <w:r w:rsidRPr="005948DE">
        <w:rPr>
          <w:rFonts w:ascii="Times New Roman" w:hAnsi="Times New Roman" w:cs="Times New Roman"/>
          <w:spacing w:val="19"/>
          <w:lang w:val="en-US"/>
        </w:rPr>
        <w:t xml:space="preserve"> </w:t>
      </w:r>
      <w:r w:rsidRPr="005948DE">
        <w:rPr>
          <w:rFonts w:ascii="Times New Roman" w:hAnsi="Times New Roman" w:cs="Times New Roman"/>
          <w:lang w:val="en-US"/>
        </w:rPr>
        <w:t>a</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firm</w:t>
      </w:r>
      <w:r w:rsidRPr="005948DE">
        <w:rPr>
          <w:rFonts w:ascii="Times New Roman" w:hAnsi="Times New Roman" w:cs="Times New Roman"/>
          <w:spacing w:val="20"/>
          <w:lang w:val="en-US"/>
        </w:rPr>
        <w:t xml:space="preserve"> </w:t>
      </w:r>
      <w:r w:rsidRPr="005948DE">
        <w:rPr>
          <w:rFonts w:ascii="Times New Roman" w:hAnsi="Times New Roman" w:cs="Times New Roman"/>
          <w:lang w:val="en-US"/>
        </w:rPr>
        <w:t>has</w:t>
      </w:r>
      <w:r w:rsidRPr="005948DE">
        <w:rPr>
          <w:rFonts w:ascii="Times New Roman" w:hAnsi="Times New Roman" w:cs="Times New Roman"/>
          <w:spacing w:val="19"/>
          <w:lang w:val="en-US"/>
        </w:rPr>
        <w:t xml:space="preserve"> </w:t>
      </w:r>
      <w:r w:rsidRPr="005948DE">
        <w:rPr>
          <w:rFonts w:ascii="Times New Roman" w:hAnsi="Times New Roman" w:cs="Times New Roman"/>
          <w:lang w:val="en-US"/>
        </w:rPr>
        <w:t>experience</w:t>
      </w:r>
      <w:r w:rsidRPr="005948DE">
        <w:rPr>
          <w:rFonts w:ascii="Times New Roman" w:hAnsi="Times New Roman" w:cs="Times New Roman"/>
          <w:spacing w:val="19"/>
          <w:lang w:val="en-US"/>
        </w:rPr>
        <w:t xml:space="preserve"> </w:t>
      </w:r>
      <w:r w:rsidRPr="005948DE">
        <w:rPr>
          <w:rFonts w:ascii="Times New Roman" w:hAnsi="Times New Roman" w:cs="Times New Roman"/>
          <w:lang w:val="en-US"/>
        </w:rPr>
        <w:t>of</w:t>
      </w:r>
      <w:r w:rsidRPr="005948DE">
        <w:rPr>
          <w:rFonts w:ascii="Times New Roman" w:hAnsi="Times New Roman" w:cs="Times New Roman"/>
          <w:spacing w:val="56"/>
          <w:lang w:val="en-US"/>
        </w:rPr>
        <w:t xml:space="preserve"> </w:t>
      </w:r>
      <w:r w:rsidRPr="005948DE">
        <w:rPr>
          <w:rFonts w:ascii="Times New Roman" w:hAnsi="Times New Roman" w:cs="Times New Roman"/>
          <w:lang w:val="en-US"/>
        </w:rPr>
        <w:t>exceptional</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worth</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for</w:t>
      </w:r>
      <w:r w:rsidRPr="005948DE">
        <w:rPr>
          <w:rFonts w:ascii="Times New Roman" w:hAnsi="Times New Roman" w:cs="Times New Roman"/>
          <w:spacing w:val="-2"/>
          <w:lang w:val="en-US"/>
        </w:rPr>
        <w:t xml:space="preserve"> </w:t>
      </w:r>
      <w:r w:rsidRPr="005948DE">
        <w:rPr>
          <w:rFonts w:ascii="Times New Roman" w:hAnsi="Times New Roman" w:cs="Times New Roman"/>
          <w:lang w:val="en-US"/>
        </w:rPr>
        <w:t>the</w:t>
      </w:r>
      <w:r w:rsidRPr="005948DE">
        <w:rPr>
          <w:rFonts w:ascii="Times New Roman" w:hAnsi="Times New Roman" w:cs="Times New Roman"/>
          <w:spacing w:val="-3"/>
          <w:lang w:val="en-US"/>
        </w:rPr>
        <w:t xml:space="preserve"> </w:t>
      </w:r>
      <w:r w:rsidRPr="005948DE">
        <w:rPr>
          <w:rFonts w:ascii="Times New Roman" w:hAnsi="Times New Roman" w:cs="Times New Roman"/>
          <w:lang w:val="en-US"/>
        </w:rPr>
        <w:t>assignment,</w:t>
      </w:r>
      <w:r w:rsidRPr="005948DE">
        <w:rPr>
          <w:rFonts w:ascii="Times New Roman" w:hAnsi="Times New Roman" w:cs="Times New Roman"/>
          <w:spacing w:val="-3"/>
          <w:lang w:val="en-US"/>
        </w:rPr>
        <w:t xml:space="preserve"> </w:t>
      </w:r>
      <w:r w:rsidRPr="005948DE">
        <w:rPr>
          <w:rFonts w:ascii="Times New Roman" w:hAnsi="Times New Roman" w:cs="Times New Roman"/>
          <w:lang w:val="en-US"/>
        </w:rPr>
        <w:t>or</w:t>
      </w:r>
      <w:r w:rsidRPr="005948DE">
        <w:rPr>
          <w:rFonts w:ascii="Times New Roman" w:hAnsi="Times New Roman" w:cs="Times New Roman"/>
          <w:spacing w:val="-3"/>
          <w:lang w:val="en-US"/>
        </w:rPr>
        <w:t xml:space="preserve"> </w:t>
      </w:r>
      <w:r w:rsidRPr="005948DE">
        <w:rPr>
          <w:rFonts w:ascii="Times New Roman" w:hAnsi="Times New Roman" w:cs="Times New Roman"/>
          <w:lang w:val="en-US"/>
        </w:rPr>
        <w:t>there</w:t>
      </w:r>
      <w:r w:rsidRPr="005948DE">
        <w:rPr>
          <w:rFonts w:ascii="Times New Roman" w:hAnsi="Times New Roman" w:cs="Times New Roman"/>
          <w:spacing w:val="-3"/>
          <w:lang w:val="en-US"/>
        </w:rPr>
        <w:t xml:space="preserve"> </w:t>
      </w:r>
      <w:r w:rsidRPr="005948DE">
        <w:rPr>
          <w:rFonts w:ascii="Times New Roman" w:hAnsi="Times New Roman" w:cs="Times New Roman"/>
          <w:lang w:val="en-US"/>
        </w:rPr>
        <w:t>is</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justification</w:t>
      </w:r>
      <w:r w:rsidRPr="005948DE">
        <w:rPr>
          <w:rFonts w:ascii="Times New Roman" w:hAnsi="Times New Roman" w:cs="Times New Roman"/>
          <w:spacing w:val="-3"/>
          <w:lang w:val="en-US"/>
        </w:rPr>
        <w:t xml:space="preserve"> </w:t>
      </w:r>
      <w:r w:rsidRPr="005948DE">
        <w:rPr>
          <w:rFonts w:ascii="Times New Roman" w:hAnsi="Times New Roman" w:cs="Times New Roman"/>
          <w:lang w:val="en-US"/>
        </w:rPr>
        <w:t>to</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use</w:t>
      </w:r>
      <w:r w:rsidRPr="005948DE">
        <w:rPr>
          <w:rFonts w:ascii="Times New Roman" w:hAnsi="Times New Roman" w:cs="Times New Roman"/>
          <w:spacing w:val="-3"/>
          <w:lang w:val="en-US"/>
        </w:rPr>
        <w:t xml:space="preserve"> </w:t>
      </w:r>
      <w:r w:rsidRPr="005948DE">
        <w:rPr>
          <w:rFonts w:ascii="Times New Roman" w:hAnsi="Times New Roman" w:cs="Times New Roman"/>
          <w:lang w:val="en-US"/>
        </w:rPr>
        <w:t>a</w:t>
      </w:r>
      <w:r w:rsidRPr="005948DE">
        <w:rPr>
          <w:rFonts w:ascii="Times New Roman" w:hAnsi="Times New Roman" w:cs="Times New Roman"/>
          <w:spacing w:val="-2"/>
          <w:lang w:val="en-US"/>
        </w:rPr>
        <w:t xml:space="preserve"> </w:t>
      </w:r>
      <w:r w:rsidRPr="005948DE">
        <w:rPr>
          <w:rFonts w:ascii="Times New Roman" w:hAnsi="Times New Roman" w:cs="Times New Roman"/>
          <w:lang w:val="en-US"/>
        </w:rPr>
        <w:t>preferred</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firm.</w:t>
      </w:r>
    </w:p>
    <w:p w14:paraId="00D47840"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Direct</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selection</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may</w:t>
      </w:r>
      <w:r w:rsidRPr="005948DE">
        <w:rPr>
          <w:rFonts w:ascii="Times New Roman" w:hAnsi="Times New Roman" w:cs="Times New Roman"/>
          <w:spacing w:val="-5"/>
          <w:lang w:val="en-US"/>
        </w:rPr>
        <w:t xml:space="preserve"> </w:t>
      </w:r>
      <w:r w:rsidRPr="005948DE">
        <w:rPr>
          <w:rFonts w:ascii="Times New Roman" w:hAnsi="Times New Roman" w:cs="Times New Roman"/>
          <w:lang w:val="en-US"/>
        </w:rPr>
        <w:t>be</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appropriate</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under</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the</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following</w:t>
      </w:r>
      <w:r w:rsidRPr="005948DE">
        <w:rPr>
          <w:rFonts w:ascii="Times New Roman" w:hAnsi="Times New Roman" w:cs="Times New Roman"/>
          <w:spacing w:val="-4"/>
          <w:lang w:val="en-US"/>
        </w:rPr>
        <w:t xml:space="preserve"> </w:t>
      </w:r>
      <w:r w:rsidRPr="005948DE">
        <w:rPr>
          <w:rFonts w:ascii="Times New Roman" w:hAnsi="Times New Roman" w:cs="Times New Roman"/>
          <w:lang w:val="en-US"/>
        </w:rPr>
        <w:t>circumstances:</w:t>
      </w:r>
    </w:p>
    <w:p w14:paraId="7215DBAE" w14:textId="180E4AAF"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an existing contract for </w:t>
      </w:r>
      <w:r w:rsidR="005950B8">
        <w:rPr>
          <w:rFonts w:ascii="Times New Roman" w:hAnsi="Times New Roman" w:cs="Times New Roman"/>
          <w:lang w:val="en-US"/>
        </w:rPr>
        <w:t>c</w:t>
      </w:r>
      <w:r w:rsidR="005950B8" w:rsidRPr="005948DE">
        <w:rPr>
          <w:rFonts w:ascii="Times New Roman" w:hAnsi="Times New Roman" w:cs="Times New Roman"/>
          <w:lang w:val="en-US"/>
        </w:rPr>
        <w:t xml:space="preserve">onsulting </w:t>
      </w:r>
      <w:r w:rsidR="005950B8">
        <w:rPr>
          <w:rFonts w:ascii="Times New Roman" w:hAnsi="Times New Roman" w:cs="Times New Roman"/>
          <w:lang w:val="en-US"/>
        </w:rPr>
        <w:t>s</w:t>
      </w:r>
      <w:r w:rsidR="005950B8" w:rsidRPr="005948DE">
        <w:rPr>
          <w:rFonts w:ascii="Times New Roman" w:hAnsi="Times New Roman" w:cs="Times New Roman"/>
          <w:lang w:val="en-US"/>
        </w:rPr>
        <w:t>ervices</w:t>
      </w:r>
      <w:r w:rsidRPr="005948DE">
        <w:rPr>
          <w:rFonts w:ascii="Times New Roman" w:hAnsi="Times New Roman" w:cs="Times New Roman"/>
          <w:lang w:val="en-US"/>
        </w:rPr>
        <w:t xml:space="preserve">, including a contract not originally financed by the Bank but awarded in accordance with procedures acceptable to the Bank, may be extended for additional </w:t>
      </w:r>
      <w:r w:rsidR="005950B8">
        <w:rPr>
          <w:rFonts w:ascii="Times New Roman" w:hAnsi="Times New Roman" w:cs="Times New Roman"/>
          <w:lang w:val="en-US"/>
        </w:rPr>
        <w:t>c</w:t>
      </w:r>
      <w:r w:rsidR="005950B8" w:rsidRPr="005948DE">
        <w:rPr>
          <w:rFonts w:ascii="Times New Roman" w:hAnsi="Times New Roman" w:cs="Times New Roman"/>
          <w:lang w:val="en-US"/>
        </w:rPr>
        <w:t xml:space="preserve">onsulting </w:t>
      </w:r>
      <w:r w:rsidR="005950B8">
        <w:rPr>
          <w:rFonts w:ascii="Times New Roman" w:hAnsi="Times New Roman" w:cs="Times New Roman"/>
          <w:lang w:val="en-US"/>
        </w:rPr>
        <w:t>s</w:t>
      </w:r>
      <w:r w:rsidR="005950B8" w:rsidRPr="005948DE">
        <w:rPr>
          <w:rFonts w:ascii="Times New Roman" w:hAnsi="Times New Roman" w:cs="Times New Roman"/>
          <w:lang w:val="en-US"/>
        </w:rPr>
        <w:t xml:space="preserve">ervices </w:t>
      </w:r>
      <w:r w:rsidRPr="005948DE">
        <w:rPr>
          <w:rFonts w:ascii="Times New Roman" w:hAnsi="Times New Roman" w:cs="Times New Roman"/>
          <w:lang w:val="en-US"/>
        </w:rPr>
        <w:t>of a similar nature, if it is properly justified, no advantage may be obtained by competition, and the prices are reasonable;</w:t>
      </w:r>
    </w:p>
    <w:p w14:paraId="1B75ED7D" w14:textId="61C43C78"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for tasks that represent a natural continuation of previous work carried out by a Consultant within the last 12 months, where continuity in the technical approach, experience acquired, and continued professional liability of the same Consultant may make continuation with the initial Consultant preferable to a new competition, if performance has been satisfactory in the previous assignment(s);</w:t>
      </w:r>
    </w:p>
    <w:p w14:paraId="16248232" w14:textId="6446A263"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there is a justifiable requirement to reengage a firm that has previously completed a contract with the Borrower to perform a similar type of </w:t>
      </w:r>
      <w:r w:rsidR="005950B8">
        <w:rPr>
          <w:rFonts w:ascii="Times New Roman" w:hAnsi="Times New Roman" w:cs="Times New Roman"/>
          <w:lang w:val="en-US"/>
        </w:rPr>
        <w:t>c</w:t>
      </w:r>
      <w:r w:rsidR="005950B8" w:rsidRPr="005948DE">
        <w:rPr>
          <w:rFonts w:ascii="Times New Roman" w:hAnsi="Times New Roman" w:cs="Times New Roman"/>
          <w:lang w:val="en-US"/>
        </w:rPr>
        <w:t xml:space="preserve">onsulting </w:t>
      </w:r>
      <w:r w:rsidR="005950B8">
        <w:rPr>
          <w:rFonts w:ascii="Times New Roman" w:hAnsi="Times New Roman" w:cs="Times New Roman"/>
          <w:lang w:val="en-US"/>
        </w:rPr>
        <w:t>s</w:t>
      </w:r>
      <w:r w:rsidR="005950B8" w:rsidRPr="005948DE">
        <w:rPr>
          <w:rFonts w:ascii="Times New Roman" w:hAnsi="Times New Roman" w:cs="Times New Roman"/>
          <w:lang w:val="en-US"/>
        </w:rPr>
        <w:t>ervice</w:t>
      </w:r>
      <w:r w:rsidRPr="005948DE">
        <w:rPr>
          <w:rFonts w:ascii="Times New Roman" w:hAnsi="Times New Roman" w:cs="Times New Roman"/>
          <w:lang w:val="en-US"/>
        </w:rPr>
        <w:t>. The justification shows that the firm performed satisfactorily under the previous contract, no advantage may be obtained by competition, and the prices are reasonable;</w:t>
      </w:r>
    </w:p>
    <w:p w14:paraId="11A36AF8" w14:textId="04D08E74"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procurement is of both very low value and low risk, as agreed in the </w:t>
      </w:r>
      <w:r w:rsidR="005950B8">
        <w:rPr>
          <w:rFonts w:ascii="Times New Roman" w:hAnsi="Times New Roman" w:cs="Times New Roman"/>
          <w:lang w:val="en-US"/>
        </w:rPr>
        <w:t>PP</w:t>
      </w:r>
      <w:r w:rsidRPr="005948DE">
        <w:rPr>
          <w:rFonts w:ascii="Times New Roman" w:hAnsi="Times New Roman" w:cs="Times New Roman"/>
          <w:lang w:val="en-US"/>
        </w:rPr>
        <w:t>;</w:t>
      </w:r>
    </w:p>
    <w:p w14:paraId="454B656A" w14:textId="77777777"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in exceptional cases, for example, in response to Emergency Situations;</w:t>
      </w:r>
    </w:p>
    <w:p w14:paraId="787E6B9F" w14:textId="77777777"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only one firm is qualified, or one firm has experience of exceptional worth for the assignment;</w:t>
      </w:r>
    </w:p>
    <w:p w14:paraId="24F3A3FB" w14:textId="632E4931"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w:t>
      </w:r>
      <w:r w:rsidR="005950B8">
        <w:rPr>
          <w:rFonts w:ascii="Times New Roman" w:hAnsi="Times New Roman" w:cs="Times New Roman"/>
          <w:lang w:val="en-US"/>
        </w:rPr>
        <w:t>c</w:t>
      </w:r>
      <w:r w:rsidR="005950B8" w:rsidRPr="005948DE">
        <w:rPr>
          <w:rFonts w:ascii="Times New Roman" w:hAnsi="Times New Roman" w:cs="Times New Roman"/>
          <w:lang w:val="en-US"/>
        </w:rPr>
        <w:t xml:space="preserve">onsulting </w:t>
      </w:r>
      <w:r w:rsidR="005950B8">
        <w:rPr>
          <w:rFonts w:ascii="Times New Roman" w:hAnsi="Times New Roman" w:cs="Times New Roman"/>
          <w:lang w:val="en-US"/>
        </w:rPr>
        <w:t>s</w:t>
      </w:r>
      <w:r w:rsidR="005950B8" w:rsidRPr="005948DE">
        <w:rPr>
          <w:rFonts w:ascii="Times New Roman" w:hAnsi="Times New Roman" w:cs="Times New Roman"/>
          <w:lang w:val="en-US"/>
        </w:rPr>
        <w:t xml:space="preserve">ervices </w:t>
      </w:r>
      <w:r w:rsidRPr="005948DE">
        <w:rPr>
          <w:rFonts w:ascii="Times New Roman" w:hAnsi="Times New Roman" w:cs="Times New Roman"/>
          <w:lang w:val="en-US"/>
        </w:rPr>
        <w:t xml:space="preserve">provided in </w:t>
      </w:r>
      <w:r w:rsidR="00061C89">
        <w:rPr>
          <w:rFonts w:ascii="Times New Roman" w:hAnsi="Times New Roman" w:cs="Times New Roman"/>
          <w:lang w:val="en-US"/>
        </w:rPr>
        <w:t>Serbia</w:t>
      </w:r>
      <w:r w:rsidRPr="005948DE">
        <w:rPr>
          <w:rFonts w:ascii="Times New Roman" w:hAnsi="Times New Roman" w:cs="Times New Roman"/>
          <w:lang w:val="en-US"/>
        </w:rPr>
        <w:t xml:space="preserve"> by an SOE, university, research center, or institution of the Borrower’s country are of a unique and exceptional nature</w:t>
      </w:r>
      <w:r w:rsidR="005C73F2" w:rsidRPr="005948DE">
        <w:rPr>
          <w:rFonts w:ascii="Times New Roman" w:hAnsi="Times New Roman" w:cs="Times New Roman"/>
          <w:lang w:val="en-US"/>
        </w:rPr>
        <w:t xml:space="preserve">, </w:t>
      </w:r>
      <w:r w:rsidRPr="005948DE">
        <w:rPr>
          <w:rFonts w:ascii="Times New Roman" w:hAnsi="Times New Roman" w:cs="Times New Roman"/>
          <w:lang w:val="en-US"/>
        </w:rPr>
        <w:t>or</w:t>
      </w:r>
    </w:p>
    <w:p w14:paraId="31E69958" w14:textId="0F6A38B2" w:rsidR="00CA17E6" w:rsidRPr="005948DE" w:rsidRDefault="00CA17E6" w:rsidP="005948DE">
      <w:pPr>
        <w:numPr>
          <w:ilvl w:val="2"/>
          <w:numId w:val="693"/>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direct selection of </w:t>
      </w:r>
      <w:r w:rsidR="005950B8">
        <w:rPr>
          <w:rFonts w:ascii="Times New Roman" w:hAnsi="Times New Roman" w:cs="Times New Roman"/>
          <w:lang w:val="en-US"/>
        </w:rPr>
        <w:t xml:space="preserve">the </w:t>
      </w:r>
      <w:r w:rsidRPr="005948DE">
        <w:rPr>
          <w:rFonts w:ascii="Times New Roman" w:hAnsi="Times New Roman" w:cs="Times New Roman"/>
          <w:lang w:val="en-US"/>
        </w:rPr>
        <w:t>UN Agencies</w:t>
      </w:r>
      <w:r w:rsidR="005C73F2" w:rsidRPr="005948DE">
        <w:rPr>
          <w:rFonts w:ascii="Times New Roman" w:hAnsi="Times New Roman" w:cs="Times New Roman"/>
          <w:lang w:val="en-US"/>
        </w:rPr>
        <w:t>.</w:t>
      </w:r>
    </w:p>
    <w:p w14:paraId="7695918B" w14:textId="77777777" w:rsidR="00CA17E6" w:rsidRPr="005948DE" w:rsidRDefault="00CA17E6" w:rsidP="005948DE">
      <w:pPr>
        <w:spacing w:after="120" w:line="276" w:lineRule="auto"/>
        <w:jc w:val="both"/>
        <w:rPr>
          <w:rFonts w:ascii="Times New Roman" w:hAnsi="Times New Roman" w:cs="Times New Roman"/>
          <w:lang w:val="en-US"/>
        </w:rPr>
      </w:pPr>
      <w:r w:rsidRPr="005948DE">
        <w:rPr>
          <w:rFonts w:ascii="Times New Roman" w:hAnsi="Times New Roman" w:cs="Times New Roman"/>
          <w:lang w:val="en-US"/>
        </w:rPr>
        <w:t xml:space="preserve">In all instances of direct selection, the </w:t>
      </w:r>
      <w:r w:rsidRPr="00F94C4F">
        <w:rPr>
          <w:rFonts w:ascii="Times New Roman" w:hAnsi="Times New Roman" w:cs="Times New Roman"/>
          <w:lang w:val="en-US"/>
        </w:rPr>
        <w:t>Borrower</w:t>
      </w:r>
      <w:r w:rsidRPr="005948DE">
        <w:rPr>
          <w:rFonts w:ascii="Times New Roman" w:hAnsi="Times New Roman" w:cs="Times New Roman"/>
          <w:lang w:val="en-US"/>
        </w:rPr>
        <w:t xml:space="preserve"> shall ensure fairness and equity, and shall have in place procedures to ensure that:</w:t>
      </w:r>
    </w:p>
    <w:p w14:paraId="62FD73C3" w14:textId="77777777" w:rsidR="00CA17E6" w:rsidRPr="005948DE" w:rsidRDefault="00CA17E6" w:rsidP="005948DE">
      <w:pPr>
        <w:numPr>
          <w:ilvl w:val="2"/>
          <w:numId w:val="69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the prices are reasonable and consistent with the market rates for services of a similar nature; and</w:t>
      </w:r>
    </w:p>
    <w:p w14:paraId="304ED9D4" w14:textId="786704E9" w:rsidR="00CA17E6" w:rsidRPr="005948DE" w:rsidRDefault="00CA17E6" w:rsidP="005948DE">
      <w:pPr>
        <w:numPr>
          <w:ilvl w:val="2"/>
          <w:numId w:val="694"/>
        </w:numPr>
        <w:spacing w:after="120" w:line="276" w:lineRule="auto"/>
        <w:ind w:left="709"/>
        <w:jc w:val="both"/>
        <w:rPr>
          <w:rFonts w:ascii="Times New Roman" w:hAnsi="Times New Roman" w:cs="Times New Roman"/>
          <w:lang w:val="en-US"/>
        </w:rPr>
      </w:pPr>
      <w:r w:rsidRPr="005948DE">
        <w:rPr>
          <w:rFonts w:ascii="Times New Roman" w:hAnsi="Times New Roman" w:cs="Times New Roman"/>
          <w:lang w:val="en-US"/>
        </w:rPr>
        <w:t xml:space="preserve">the required </w:t>
      </w:r>
      <w:r w:rsidR="005950B8">
        <w:rPr>
          <w:rFonts w:ascii="Times New Roman" w:hAnsi="Times New Roman" w:cs="Times New Roman"/>
          <w:lang w:val="en-US"/>
        </w:rPr>
        <w:t>c</w:t>
      </w:r>
      <w:r w:rsidR="005950B8" w:rsidRPr="005948DE">
        <w:rPr>
          <w:rFonts w:ascii="Times New Roman" w:hAnsi="Times New Roman" w:cs="Times New Roman"/>
          <w:lang w:val="en-US"/>
        </w:rPr>
        <w:t xml:space="preserve">onsulting </w:t>
      </w:r>
      <w:r w:rsidR="005950B8">
        <w:rPr>
          <w:rFonts w:ascii="Times New Roman" w:hAnsi="Times New Roman" w:cs="Times New Roman"/>
          <w:lang w:val="en-US"/>
        </w:rPr>
        <w:t>s</w:t>
      </w:r>
      <w:r w:rsidR="005950B8" w:rsidRPr="005948DE">
        <w:rPr>
          <w:rFonts w:ascii="Times New Roman" w:hAnsi="Times New Roman" w:cs="Times New Roman"/>
          <w:lang w:val="en-US"/>
        </w:rPr>
        <w:t xml:space="preserve">ervices </w:t>
      </w:r>
      <w:r w:rsidRPr="005948DE">
        <w:rPr>
          <w:rFonts w:ascii="Times New Roman" w:hAnsi="Times New Roman" w:cs="Times New Roman"/>
          <w:lang w:val="en-US"/>
        </w:rPr>
        <w:t>are not split into smaller-size procurements to avoid competitive processes.</w:t>
      </w:r>
    </w:p>
    <w:p w14:paraId="5C07799F" w14:textId="77777777" w:rsidR="00CA17E6" w:rsidRPr="005948DE" w:rsidRDefault="00CA17E6" w:rsidP="005948DE">
      <w:pPr>
        <w:widowControl w:val="0"/>
        <w:spacing w:after="120" w:line="276" w:lineRule="auto"/>
        <w:jc w:val="both"/>
        <w:rPr>
          <w:rFonts w:ascii="Times New Roman" w:eastAsia="Calibri" w:hAnsi="Times New Roman" w:cs="Times New Roman"/>
          <w:color w:val="E36C0A" w:themeColor="accent6" w:themeShade="BF"/>
          <w:sz w:val="19"/>
          <w:szCs w:val="19"/>
          <w:lang w:val="en-US"/>
        </w:rPr>
      </w:pPr>
    </w:p>
    <w:p w14:paraId="25D1C046" w14:textId="77777777" w:rsidR="00CA17E6" w:rsidRPr="005948DE" w:rsidRDefault="00CA17E6" w:rsidP="005948DE">
      <w:pPr>
        <w:pStyle w:val="Heading4"/>
        <w:spacing w:line="276" w:lineRule="auto"/>
        <w:jc w:val="both"/>
        <w:rPr>
          <w:rFonts w:ascii="Times New Roman" w:hAnsi="Times New Roman" w:cs="Times New Roman"/>
          <w:color w:val="auto"/>
          <w:lang w:val="en-US"/>
        </w:rPr>
      </w:pPr>
      <w:r w:rsidRPr="005948DE">
        <w:rPr>
          <w:rFonts w:ascii="Times New Roman" w:hAnsi="Times New Roman" w:cs="Times New Roman"/>
          <w:color w:val="auto"/>
          <w:lang w:val="en-US"/>
        </w:rPr>
        <w:t>Selection Procedures for Consulting Firms</w:t>
      </w:r>
    </w:p>
    <w:p w14:paraId="7ACA0C67" w14:textId="77777777" w:rsidR="00CA17E6" w:rsidRPr="005948DE" w:rsidRDefault="00CA17E6" w:rsidP="005948DE">
      <w:pPr>
        <w:pStyle w:val="Heading5"/>
        <w:spacing w:line="276" w:lineRule="auto"/>
        <w:jc w:val="both"/>
        <w:rPr>
          <w:rFonts w:ascii="Times New Roman" w:hAnsi="Times New Roman" w:cs="Times New Roman"/>
          <w:color w:val="auto"/>
          <w:u w:val="single"/>
          <w:lang w:val="en-US"/>
        </w:rPr>
      </w:pPr>
      <w:r w:rsidRPr="005948DE">
        <w:rPr>
          <w:rFonts w:ascii="Times New Roman" w:hAnsi="Times New Roman" w:cs="Times New Roman"/>
          <w:color w:val="auto"/>
          <w:u w:val="single"/>
          <w:lang w:val="en-US"/>
        </w:rPr>
        <w:t>Shortlist</w:t>
      </w:r>
    </w:p>
    <w:p w14:paraId="344AB67E" w14:textId="6BCA702B" w:rsidR="00CA17E6" w:rsidRPr="005948DE"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The</w:t>
      </w:r>
      <w:r w:rsidRPr="005948DE">
        <w:rPr>
          <w:rFonts w:ascii="Times New Roman" w:hAnsi="Times New Roman" w:cs="Times New Roman"/>
          <w:spacing w:val="13"/>
        </w:rPr>
        <w:t xml:space="preserve"> </w:t>
      </w:r>
      <w:r w:rsidRPr="005948DE">
        <w:rPr>
          <w:rFonts w:ascii="Times New Roman" w:hAnsi="Times New Roman" w:cs="Times New Roman"/>
        </w:rPr>
        <w:t>preparation</w:t>
      </w:r>
      <w:r w:rsidRPr="005948DE">
        <w:rPr>
          <w:rFonts w:ascii="Times New Roman" w:hAnsi="Times New Roman" w:cs="Times New Roman"/>
          <w:spacing w:val="13"/>
        </w:rPr>
        <w:t xml:space="preserve"> </w:t>
      </w:r>
      <w:r w:rsidRPr="005948DE">
        <w:rPr>
          <w:rFonts w:ascii="Times New Roman" w:hAnsi="Times New Roman" w:cs="Times New Roman"/>
        </w:rPr>
        <w:t>of</w:t>
      </w:r>
      <w:r w:rsidRPr="005948DE">
        <w:rPr>
          <w:rFonts w:ascii="Times New Roman" w:hAnsi="Times New Roman" w:cs="Times New Roman"/>
          <w:spacing w:val="13"/>
        </w:rPr>
        <w:t xml:space="preserve"> </w:t>
      </w:r>
      <w:r w:rsidRPr="005948DE">
        <w:rPr>
          <w:rFonts w:ascii="Times New Roman" w:hAnsi="Times New Roman" w:cs="Times New Roman"/>
        </w:rPr>
        <w:t>a</w:t>
      </w:r>
      <w:r w:rsidRPr="005948DE">
        <w:rPr>
          <w:rFonts w:ascii="Times New Roman" w:hAnsi="Times New Roman" w:cs="Times New Roman"/>
          <w:spacing w:val="13"/>
        </w:rPr>
        <w:t xml:space="preserve"> </w:t>
      </w:r>
      <w:r w:rsidRPr="005948DE">
        <w:rPr>
          <w:rFonts w:ascii="Times New Roman" w:hAnsi="Times New Roman" w:cs="Times New Roman"/>
        </w:rPr>
        <w:t>Shortlist</w:t>
      </w:r>
      <w:r w:rsidRPr="005948DE">
        <w:rPr>
          <w:rFonts w:ascii="Times New Roman" w:hAnsi="Times New Roman" w:cs="Times New Roman"/>
          <w:spacing w:val="15"/>
        </w:rPr>
        <w:t xml:space="preserve"> </w:t>
      </w:r>
      <w:r w:rsidRPr="005948DE">
        <w:rPr>
          <w:rFonts w:ascii="Times New Roman" w:hAnsi="Times New Roman" w:cs="Times New Roman"/>
        </w:rPr>
        <w:t>of</w:t>
      </w:r>
      <w:r w:rsidRPr="005948DE">
        <w:rPr>
          <w:rFonts w:ascii="Times New Roman" w:hAnsi="Times New Roman" w:cs="Times New Roman"/>
          <w:spacing w:val="13"/>
        </w:rPr>
        <w:t xml:space="preserve"> </w:t>
      </w:r>
      <w:r w:rsidRPr="005948DE">
        <w:rPr>
          <w:rFonts w:ascii="Times New Roman" w:hAnsi="Times New Roman" w:cs="Times New Roman"/>
        </w:rPr>
        <w:t>firms</w:t>
      </w:r>
      <w:r w:rsidRPr="005948DE">
        <w:rPr>
          <w:rFonts w:ascii="Times New Roman" w:hAnsi="Times New Roman" w:cs="Times New Roman"/>
          <w:spacing w:val="13"/>
        </w:rPr>
        <w:t xml:space="preserve"> </w:t>
      </w:r>
      <w:r w:rsidRPr="005948DE">
        <w:rPr>
          <w:rFonts w:ascii="Times New Roman" w:hAnsi="Times New Roman" w:cs="Times New Roman"/>
        </w:rPr>
        <w:t>to</w:t>
      </w:r>
      <w:r w:rsidRPr="005948DE">
        <w:rPr>
          <w:rFonts w:ascii="Times New Roman" w:hAnsi="Times New Roman" w:cs="Times New Roman"/>
          <w:spacing w:val="14"/>
        </w:rPr>
        <w:t xml:space="preserve"> </w:t>
      </w:r>
      <w:r w:rsidRPr="005948DE">
        <w:rPr>
          <w:rFonts w:ascii="Times New Roman" w:hAnsi="Times New Roman" w:cs="Times New Roman"/>
        </w:rPr>
        <w:t>provide</w:t>
      </w:r>
      <w:r w:rsidRPr="005948DE">
        <w:rPr>
          <w:rFonts w:ascii="Times New Roman" w:hAnsi="Times New Roman" w:cs="Times New Roman"/>
          <w:spacing w:val="13"/>
        </w:rPr>
        <w:t xml:space="preserve"> </w:t>
      </w:r>
      <w:r w:rsidR="005950B8">
        <w:rPr>
          <w:rFonts w:ascii="Times New Roman" w:hAnsi="Times New Roman" w:cs="Times New Roman"/>
        </w:rPr>
        <w:t>c</w:t>
      </w:r>
      <w:r w:rsidR="005950B8" w:rsidRPr="005948DE">
        <w:rPr>
          <w:rFonts w:ascii="Times New Roman" w:hAnsi="Times New Roman" w:cs="Times New Roman"/>
        </w:rPr>
        <w:t>onsulting</w:t>
      </w:r>
      <w:r w:rsidR="005950B8" w:rsidRPr="005948DE">
        <w:rPr>
          <w:rFonts w:ascii="Times New Roman" w:hAnsi="Times New Roman" w:cs="Times New Roman"/>
          <w:spacing w:val="15"/>
        </w:rPr>
        <w:t xml:space="preserve"> </w:t>
      </w:r>
      <w:r w:rsidR="005950B8">
        <w:rPr>
          <w:rFonts w:ascii="Times New Roman" w:hAnsi="Times New Roman" w:cs="Times New Roman"/>
        </w:rPr>
        <w:t>s</w:t>
      </w:r>
      <w:r w:rsidR="005950B8" w:rsidRPr="005948DE">
        <w:rPr>
          <w:rFonts w:ascii="Times New Roman" w:hAnsi="Times New Roman" w:cs="Times New Roman"/>
        </w:rPr>
        <w:t>ervices</w:t>
      </w:r>
      <w:r w:rsidR="005950B8" w:rsidRPr="005948DE">
        <w:rPr>
          <w:rFonts w:ascii="Times New Roman" w:hAnsi="Times New Roman" w:cs="Times New Roman"/>
          <w:spacing w:val="14"/>
        </w:rPr>
        <w:t xml:space="preserve"> </w:t>
      </w:r>
      <w:r w:rsidRPr="005948DE">
        <w:rPr>
          <w:rFonts w:ascii="Times New Roman" w:hAnsi="Times New Roman" w:cs="Times New Roman"/>
        </w:rPr>
        <w:t>is</w:t>
      </w:r>
      <w:r w:rsidRPr="005948DE">
        <w:rPr>
          <w:rFonts w:ascii="Times New Roman" w:hAnsi="Times New Roman" w:cs="Times New Roman"/>
          <w:spacing w:val="14"/>
        </w:rPr>
        <w:t xml:space="preserve"> </w:t>
      </w:r>
      <w:r w:rsidRPr="005948DE">
        <w:rPr>
          <w:rFonts w:ascii="Times New Roman" w:hAnsi="Times New Roman" w:cs="Times New Roman"/>
        </w:rPr>
        <w:t>required</w:t>
      </w:r>
      <w:r w:rsidRPr="005948DE">
        <w:rPr>
          <w:rFonts w:ascii="Times New Roman" w:hAnsi="Times New Roman" w:cs="Times New Roman"/>
          <w:spacing w:val="14"/>
        </w:rPr>
        <w:t xml:space="preserve"> </w:t>
      </w:r>
      <w:r w:rsidRPr="005948DE">
        <w:rPr>
          <w:rFonts w:ascii="Times New Roman" w:hAnsi="Times New Roman" w:cs="Times New Roman"/>
        </w:rPr>
        <w:t>for</w:t>
      </w:r>
      <w:r w:rsidRPr="005948DE">
        <w:rPr>
          <w:rFonts w:ascii="Times New Roman" w:hAnsi="Times New Roman" w:cs="Times New Roman"/>
          <w:spacing w:val="14"/>
        </w:rPr>
        <w:t xml:space="preserve"> </w:t>
      </w:r>
      <w:r w:rsidRPr="005948DE">
        <w:rPr>
          <w:rFonts w:ascii="Times New Roman" w:hAnsi="Times New Roman" w:cs="Times New Roman"/>
        </w:rPr>
        <w:t>all</w:t>
      </w:r>
      <w:r w:rsidRPr="005948DE">
        <w:rPr>
          <w:rFonts w:ascii="Times New Roman" w:hAnsi="Times New Roman" w:cs="Times New Roman"/>
          <w:spacing w:val="14"/>
        </w:rPr>
        <w:t xml:space="preserve"> </w:t>
      </w:r>
      <w:r w:rsidRPr="005948DE">
        <w:rPr>
          <w:rFonts w:ascii="Times New Roman" w:hAnsi="Times New Roman" w:cs="Times New Roman"/>
        </w:rPr>
        <w:t>selection</w:t>
      </w:r>
      <w:r w:rsidRPr="005948DE">
        <w:rPr>
          <w:rFonts w:ascii="Times New Roman" w:hAnsi="Times New Roman" w:cs="Times New Roman"/>
          <w:spacing w:val="77"/>
        </w:rPr>
        <w:t xml:space="preserve"> </w:t>
      </w:r>
      <w:r w:rsidRPr="005948DE">
        <w:rPr>
          <w:rFonts w:ascii="Times New Roman" w:hAnsi="Times New Roman" w:cs="Times New Roman"/>
        </w:rPr>
        <w:t>methods</w:t>
      </w:r>
      <w:r w:rsidRPr="005948DE">
        <w:rPr>
          <w:rFonts w:ascii="Times New Roman" w:hAnsi="Times New Roman" w:cs="Times New Roman"/>
          <w:spacing w:val="1"/>
        </w:rPr>
        <w:t xml:space="preserve"> </w:t>
      </w:r>
      <w:r w:rsidRPr="005948DE">
        <w:rPr>
          <w:rFonts w:ascii="Times New Roman" w:hAnsi="Times New Roman" w:cs="Times New Roman"/>
        </w:rPr>
        <w:t>except</w:t>
      </w:r>
      <w:r w:rsidRPr="005948DE">
        <w:rPr>
          <w:rFonts w:ascii="Times New Roman" w:hAnsi="Times New Roman" w:cs="Times New Roman"/>
          <w:spacing w:val="1"/>
        </w:rPr>
        <w:t xml:space="preserve"> </w:t>
      </w:r>
      <w:r w:rsidRPr="005948DE">
        <w:rPr>
          <w:rFonts w:ascii="Times New Roman" w:hAnsi="Times New Roman" w:cs="Times New Roman"/>
        </w:rPr>
        <w:t>CQS</w:t>
      </w:r>
      <w:r w:rsidRPr="005948DE">
        <w:rPr>
          <w:rFonts w:ascii="Times New Roman" w:hAnsi="Times New Roman" w:cs="Times New Roman"/>
          <w:spacing w:val="1"/>
        </w:rPr>
        <w:t xml:space="preserve"> </w:t>
      </w:r>
      <w:r w:rsidRPr="005948DE">
        <w:rPr>
          <w:rFonts w:ascii="Times New Roman" w:hAnsi="Times New Roman" w:cs="Times New Roman"/>
        </w:rPr>
        <w:t>and</w:t>
      </w:r>
      <w:r w:rsidRPr="005948DE">
        <w:rPr>
          <w:rFonts w:ascii="Times New Roman" w:hAnsi="Times New Roman" w:cs="Times New Roman"/>
          <w:spacing w:val="1"/>
        </w:rPr>
        <w:t xml:space="preserve"> </w:t>
      </w:r>
      <w:r w:rsidRPr="005948DE">
        <w:rPr>
          <w:rFonts w:ascii="Times New Roman" w:hAnsi="Times New Roman" w:cs="Times New Roman"/>
        </w:rPr>
        <w:t>Direct Selection.</w:t>
      </w:r>
      <w:r w:rsidRPr="005948DE">
        <w:rPr>
          <w:rFonts w:ascii="Times New Roman" w:hAnsi="Times New Roman" w:cs="Times New Roman"/>
          <w:spacing w:val="2"/>
        </w:rPr>
        <w:t xml:space="preserve"> </w:t>
      </w:r>
      <w:r w:rsidRPr="005948DE">
        <w:rPr>
          <w:rFonts w:ascii="Times New Roman" w:hAnsi="Times New Roman" w:cs="Times New Roman"/>
        </w:rPr>
        <w:t>The</w:t>
      </w:r>
      <w:r w:rsidRPr="005948DE">
        <w:rPr>
          <w:rFonts w:ascii="Times New Roman" w:hAnsi="Times New Roman" w:cs="Times New Roman"/>
          <w:spacing w:val="1"/>
        </w:rPr>
        <w:t xml:space="preserve"> </w:t>
      </w:r>
      <w:r w:rsidRPr="00F94C4F">
        <w:rPr>
          <w:rFonts w:ascii="Times New Roman" w:hAnsi="Times New Roman" w:cs="Times New Roman"/>
        </w:rPr>
        <w:t>Borrower</w:t>
      </w:r>
      <w:r w:rsidRPr="005948DE">
        <w:rPr>
          <w:rFonts w:ascii="Times New Roman" w:hAnsi="Times New Roman" w:cs="Times New Roman"/>
          <w:spacing w:val="1"/>
        </w:rPr>
        <w:t xml:space="preserve"> </w:t>
      </w:r>
      <w:r w:rsidRPr="005948DE">
        <w:rPr>
          <w:rFonts w:ascii="Times New Roman" w:hAnsi="Times New Roman" w:cs="Times New Roman"/>
        </w:rPr>
        <w:t>prepares the</w:t>
      </w:r>
      <w:r w:rsidRPr="005948DE">
        <w:rPr>
          <w:rFonts w:ascii="Times New Roman" w:hAnsi="Times New Roman" w:cs="Times New Roman"/>
          <w:spacing w:val="1"/>
        </w:rPr>
        <w:t xml:space="preserve"> </w:t>
      </w:r>
      <w:r w:rsidRPr="005948DE">
        <w:rPr>
          <w:rFonts w:ascii="Times New Roman" w:hAnsi="Times New Roman" w:cs="Times New Roman"/>
        </w:rPr>
        <w:t>Shortlist</w:t>
      </w:r>
      <w:r w:rsidRPr="005948DE">
        <w:rPr>
          <w:rFonts w:ascii="Times New Roman" w:hAnsi="Times New Roman" w:cs="Times New Roman"/>
          <w:spacing w:val="1"/>
        </w:rPr>
        <w:t xml:space="preserve"> </w:t>
      </w:r>
      <w:r w:rsidRPr="005948DE">
        <w:rPr>
          <w:rFonts w:ascii="Times New Roman" w:hAnsi="Times New Roman" w:cs="Times New Roman"/>
        </w:rPr>
        <w:t>of</w:t>
      </w:r>
      <w:r w:rsidRPr="005948DE">
        <w:rPr>
          <w:rFonts w:ascii="Times New Roman" w:hAnsi="Times New Roman" w:cs="Times New Roman"/>
          <w:spacing w:val="1"/>
        </w:rPr>
        <w:t xml:space="preserve"> </w:t>
      </w:r>
      <w:r w:rsidRPr="005948DE">
        <w:rPr>
          <w:rFonts w:ascii="Times New Roman" w:hAnsi="Times New Roman" w:cs="Times New Roman"/>
        </w:rPr>
        <w:t>firms</w:t>
      </w:r>
      <w:r w:rsidRPr="005948DE">
        <w:rPr>
          <w:rFonts w:ascii="Times New Roman" w:hAnsi="Times New Roman" w:cs="Times New Roman"/>
          <w:spacing w:val="1"/>
        </w:rPr>
        <w:t xml:space="preserve"> </w:t>
      </w:r>
      <w:r w:rsidRPr="005948DE">
        <w:rPr>
          <w:rFonts w:ascii="Times New Roman" w:hAnsi="Times New Roman" w:cs="Times New Roman"/>
        </w:rPr>
        <w:t>that have</w:t>
      </w:r>
      <w:r w:rsidRPr="005948DE">
        <w:rPr>
          <w:rFonts w:ascii="Times New Roman" w:hAnsi="Times New Roman" w:cs="Times New Roman"/>
          <w:spacing w:val="77"/>
          <w:w w:val="99"/>
        </w:rPr>
        <w:t xml:space="preserve"> </w:t>
      </w:r>
      <w:r w:rsidRPr="005948DE">
        <w:rPr>
          <w:rFonts w:ascii="Times New Roman" w:hAnsi="Times New Roman" w:cs="Times New Roman"/>
        </w:rPr>
        <w:t>expressed</w:t>
      </w:r>
      <w:r w:rsidRPr="005948DE">
        <w:rPr>
          <w:rFonts w:ascii="Times New Roman" w:hAnsi="Times New Roman" w:cs="Times New Roman"/>
          <w:spacing w:val="-15"/>
        </w:rPr>
        <w:t xml:space="preserve"> </w:t>
      </w:r>
      <w:r w:rsidRPr="005948DE">
        <w:rPr>
          <w:rFonts w:ascii="Times New Roman" w:hAnsi="Times New Roman" w:cs="Times New Roman"/>
        </w:rPr>
        <w:t>interest</w:t>
      </w:r>
      <w:r w:rsidRPr="005948DE">
        <w:rPr>
          <w:rFonts w:ascii="Times New Roman" w:hAnsi="Times New Roman" w:cs="Times New Roman"/>
          <w:spacing w:val="-16"/>
        </w:rPr>
        <w:t xml:space="preserve"> </w:t>
      </w:r>
      <w:r w:rsidRPr="005948DE">
        <w:rPr>
          <w:rFonts w:ascii="Times New Roman" w:hAnsi="Times New Roman" w:cs="Times New Roman"/>
        </w:rPr>
        <w:t>and</w:t>
      </w:r>
      <w:r w:rsidRPr="005948DE">
        <w:rPr>
          <w:rFonts w:ascii="Times New Roman" w:hAnsi="Times New Roman" w:cs="Times New Roman"/>
          <w:spacing w:val="-14"/>
        </w:rPr>
        <w:t xml:space="preserve"> </w:t>
      </w:r>
      <w:r w:rsidRPr="005948DE">
        <w:rPr>
          <w:rFonts w:ascii="Times New Roman" w:hAnsi="Times New Roman" w:cs="Times New Roman"/>
        </w:rPr>
        <w:t>have</w:t>
      </w:r>
      <w:r w:rsidRPr="005948DE">
        <w:rPr>
          <w:rFonts w:ascii="Times New Roman" w:hAnsi="Times New Roman" w:cs="Times New Roman"/>
          <w:spacing w:val="-15"/>
        </w:rPr>
        <w:t xml:space="preserve"> </w:t>
      </w:r>
      <w:r w:rsidRPr="005948DE">
        <w:rPr>
          <w:rFonts w:ascii="Times New Roman" w:hAnsi="Times New Roman" w:cs="Times New Roman"/>
        </w:rPr>
        <w:t>the</w:t>
      </w:r>
      <w:r w:rsidRPr="005948DE">
        <w:rPr>
          <w:rFonts w:ascii="Times New Roman" w:hAnsi="Times New Roman" w:cs="Times New Roman"/>
          <w:spacing w:val="-14"/>
        </w:rPr>
        <w:t xml:space="preserve"> </w:t>
      </w:r>
      <w:r w:rsidRPr="005948DE">
        <w:rPr>
          <w:rFonts w:ascii="Times New Roman" w:hAnsi="Times New Roman" w:cs="Times New Roman"/>
        </w:rPr>
        <w:t>relevant</w:t>
      </w:r>
      <w:r w:rsidRPr="005948DE">
        <w:rPr>
          <w:rFonts w:ascii="Times New Roman" w:hAnsi="Times New Roman" w:cs="Times New Roman"/>
          <w:spacing w:val="-16"/>
        </w:rPr>
        <w:t xml:space="preserve"> </w:t>
      </w:r>
      <w:r w:rsidRPr="005948DE">
        <w:rPr>
          <w:rFonts w:ascii="Times New Roman" w:hAnsi="Times New Roman" w:cs="Times New Roman"/>
        </w:rPr>
        <w:t>experience</w:t>
      </w:r>
      <w:r w:rsidRPr="005948DE">
        <w:rPr>
          <w:rFonts w:ascii="Times New Roman" w:hAnsi="Times New Roman" w:cs="Times New Roman"/>
          <w:spacing w:val="-14"/>
        </w:rPr>
        <w:t xml:space="preserve"> </w:t>
      </w:r>
      <w:r w:rsidRPr="005948DE">
        <w:rPr>
          <w:rFonts w:ascii="Times New Roman" w:hAnsi="Times New Roman" w:cs="Times New Roman"/>
        </w:rPr>
        <w:t>and</w:t>
      </w:r>
      <w:r w:rsidRPr="005948DE">
        <w:rPr>
          <w:rFonts w:ascii="Times New Roman" w:hAnsi="Times New Roman" w:cs="Times New Roman"/>
          <w:spacing w:val="-15"/>
        </w:rPr>
        <w:t xml:space="preserve"> </w:t>
      </w:r>
      <w:r w:rsidRPr="005948DE">
        <w:rPr>
          <w:rFonts w:ascii="Times New Roman" w:hAnsi="Times New Roman" w:cs="Times New Roman"/>
        </w:rPr>
        <w:t>managerial</w:t>
      </w:r>
      <w:r w:rsidRPr="005948DE">
        <w:rPr>
          <w:rFonts w:ascii="Times New Roman" w:hAnsi="Times New Roman" w:cs="Times New Roman"/>
          <w:spacing w:val="-14"/>
        </w:rPr>
        <w:t xml:space="preserve"> </w:t>
      </w:r>
      <w:r w:rsidRPr="005948DE">
        <w:rPr>
          <w:rFonts w:ascii="Times New Roman" w:hAnsi="Times New Roman" w:cs="Times New Roman"/>
        </w:rPr>
        <w:t>and</w:t>
      </w:r>
      <w:r w:rsidRPr="005948DE">
        <w:rPr>
          <w:rFonts w:ascii="Times New Roman" w:hAnsi="Times New Roman" w:cs="Times New Roman"/>
          <w:spacing w:val="-15"/>
        </w:rPr>
        <w:t xml:space="preserve"> </w:t>
      </w:r>
      <w:r w:rsidRPr="005948DE">
        <w:rPr>
          <w:rFonts w:ascii="Times New Roman" w:hAnsi="Times New Roman" w:cs="Times New Roman"/>
        </w:rPr>
        <w:t>organizational</w:t>
      </w:r>
      <w:r w:rsidRPr="005948DE">
        <w:rPr>
          <w:rFonts w:ascii="Times New Roman" w:hAnsi="Times New Roman" w:cs="Times New Roman"/>
          <w:spacing w:val="-14"/>
        </w:rPr>
        <w:t xml:space="preserve"> </w:t>
      </w:r>
      <w:r w:rsidRPr="005948DE">
        <w:rPr>
          <w:rFonts w:ascii="Times New Roman" w:hAnsi="Times New Roman" w:cs="Times New Roman"/>
        </w:rPr>
        <w:t>capabilities</w:t>
      </w:r>
      <w:r w:rsidRPr="005948DE">
        <w:rPr>
          <w:rFonts w:ascii="Times New Roman" w:hAnsi="Times New Roman" w:cs="Times New Roman"/>
          <w:spacing w:val="107"/>
        </w:rPr>
        <w:t xml:space="preserve"> </w:t>
      </w:r>
      <w:r w:rsidRPr="005948DE">
        <w:rPr>
          <w:rFonts w:ascii="Times New Roman" w:hAnsi="Times New Roman" w:cs="Times New Roman"/>
        </w:rPr>
        <w:t>for</w:t>
      </w:r>
      <w:r w:rsidRPr="005948DE">
        <w:rPr>
          <w:rFonts w:ascii="Times New Roman" w:hAnsi="Times New Roman" w:cs="Times New Roman"/>
          <w:spacing w:val="-5"/>
        </w:rPr>
        <w:t xml:space="preserve"> </w:t>
      </w:r>
      <w:r w:rsidRPr="005948DE">
        <w:rPr>
          <w:rFonts w:ascii="Times New Roman" w:hAnsi="Times New Roman" w:cs="Times New Roman"/>
        </w:rPr>
        <w:t>the</w:t>
      </w:r>
      <w:r w:rsidRPr="005948DE">
        <w:rPr>
          <w:rFonts w:ascii="Times New Roman" w:hAnsi="Times New Roman" w:cs="Times New Roman"/>
          <w:spacing w:val="-5"/>
        </w:rPr>
        <w:t xml:space="preserve"> </w:t>
      </w:r>
      <w:r w:rsidRPr="005948DE">
        <w:rPr>
          <w:rFonts w:ascii="Times New Roman" w:hAnsi="Times New Roman" w:cs="Times New Roman"/>
        </w:rPr>
        <w:t>assignment.</w:t>
      </w:r>
    </w:p>
    <w:p w14:paraId="3147C8FB" w14:textId="77777777" w:rsidR="00CA17E6" w:rsidRPr="00843F73" w:rsidRDefault="00CA17E6" w:rsidP="005948DE">
      <w:pPr>
        <w:pStyle w:val="Normal0"/>
        <w:spacing w:after="120" w:line="276" w:lineRule="auto"/>
        <w:jc w:val="both"/>
        <w:rPr>
          <w:rFonts w:ascii="Times New Roman" w:hAnsi="Times New Roman" w:cs="Times New Roman"/>
        </w:rPr>
      </w:pPr>
      <w:r w:rsidRPr="005948DE">
        <w:rPr>
          <w:rFonts w:ascii="Times New Roman" w:hAnsi="Times New Roman" w:cs="Times New Roman"/>
        </w:rPr>
        <w:t>The</w:t>
      </w:r>
      <w:r w:rsidRPr="005948DE">
        <w:rPr>
          <w:rFonts w:ascii="Times New Roman" w:hAnsi="Times New Roman" w:cs="Times New Roman"/>
          <w:spacing w:val="9"/>
        </w:rPr>
        <w:t xml:space="preserve"> </w:t>
      </w:r>
      <w:r w:rsidRPr="005948DE">
        <w:rPr>
          <w:rFonts w:ascii="Times New Roman" w:hAnsi="Times New Roman" w:cs="Times New Roman"/>
        </w:rPr>
        <w:t>Shortlist</w:t>
      </w:r>
      <w:r w:rsidRPr="005948DE">
        <w:rPr>
          <w:rFonts w:ascii="Times New Roman" w:hAnsi="Times New Roman" w:cs="Times New Roman"/>
          <w:spacing w:val="10"/>
        </w:rPr>
        <w:t xml:space="preserve"> </w:t>
      </w:r>
      <w:r w:rsidRPr="005948DE">
        <w:rPr>
          <w:rFonts w:ascii="Times New Roman" w:hAnsi="Times New Roman" w:cs="Times New Roman"/>
        </w:rPr>
        <w:t>shall</w:t>
      </w:r>
      <w:r w:rsidRPr="005948DE">
        <w:rPr>
          <w:rFonts w:ascii="Times New Roman" w:hAnsi="Times New Roman" w:cs="Times New Roman"/>
          <w:spacing w:val="10"/>
        </w:rPr>
        <w:t xml:space="preserve"> </w:t>
      </w:r>
      <w:r w:rsidRPr="005948DE">
        <w:rPr>
          <w:rFonts w:ascii="Times New Roman" w:hAnsi="Times New Roman" w:cs="Times New Roman"/>
        </w:rPr>
        <w:t>include</w:t>
      </w:r>
      <w:r w:rsidRPr="005948DE">
        <w:rPr>
          <w:rFonts w:ascii="Times New Roman" w:hAnsi="Times New Roman" w:cs="Times New Roman"/>
          <w:spacing w:val="10"/>
        </w:rPr>
        <w:t xml:space="preserve"> </w:t>
      </w:r>
      <w:r w:rsidRPr="005948DE">
        <w:rPr>
          <w:rFonts w:ascii="Times New Roman" w:hAnsi="Times New Roman" w:cs="Times New Roman"/>
        </w:rPr>
        <w:t>not</w:t>
      </w:r>
      <w:r w:rsidRPr="005948DE">
        <w:rPr>
          <w:rFonts w:ascii="Times New Roman" w:hAnsi="Times New Roman" w:cs="Times New Roman"/>
          <w:spacing w:val="10"/>
        </w:rPr>
        <w:t xml:space="preserve"> </w:t>
      </w:r>
      <w:r w:rsidRPr="005948DE">
        <w:rPr>
          <w:rFonts w:ascii="Times New Roman" w:hAnsi="Times New Roman" w:cs="Times New Roman"/>
        </w:rPr>
        <w:t>fewer</w:t>
      </w:r>
      <w:r w:rsidRPr="005948DE">
        <w:rPr>
          <w:rFonts w:ascii="Times New Roman" w:hAnsi="Times New Roman" w:cs="Times New Roman"/>
          <w:spacing w:val="10"/>
        </w:rPr>
        <w:t xml:space="preserve"> </w:t>
      </w:r>
      <w:r w:rsidRPr="005948DE">
        <w:rPr>
          <w:rFonts w:ascii="Times New Roman" w:hAnsi="Times New Roman" w:cs="Times New Roman"/>
        </w:rPr>
        <w:t>than</w:t>
      </w:r>
      <w:r w:rsidRPr="005948DE">
        <w:rPr>
          <w:rFonts w:ascii="Times New Roman" w:hAnsi="Times New Roman" w:cs="Times New Roman"/>
          <w:spacing w:val="10"/>
        </w:rPr>
        <w:t xml:space="preserve"> </w:t>
      </w:r>
      <w:r w:rsidRPr="005948DE">
        <w:rPr>
          <w:rFonts w:ascii="Times New Roman" w:hAnsi="Times New Roman" w:cs="Times New Roman"/>
        </w:rPr>
        <w:t>five</w:t>
      </w:r>
      <w:r w:rsidRPr="005948DE">
        <w:rPr>
          <w:rFonts w:ascii="Times New Roman" w:hAnsi="Times New Roman" w:cs="Times New Roman"/>
          <w:spacing w:val="10"/>
        </w:rPr>
        <w:t xml:space="preserve"> </w:t>
      </w:r>
      <w:r w:rsidRPr="005948DE">
        <w:rPr>
          <w:rFonts w:ascii="Times New Roman" w:hAnsi="Times New Roman" w:cs="Times New Roman"/>
        </w:rPr>
        <w:t>(5)</w:t>
      </w:r>
      <w:r w:rsidRPr="005948DE">
        <w:rPr>
          <w:rFonts w:ascii="Times New Roman" w:hAnsi="Times New Roman" w:cs="Times New Roman"/>
          <w:spacing w:val="10"/>
        </w:rPr>
        <w:t xml:space="preserve"> </w:t>
      </w:r>
      <w:r w:rsidRPr="005948DE">
        <w:rPr>
          <w:rFonts w:ascii="Times New Roman" w:hAnsi="Times New Roman" w:cs="Times New Roman"/>
        </w:rPr>
        <w:t>and</w:t>
      </w:r>
      <w:r w:rsidRPr="005948DE">
        <w:rPr>
          <w:rFonts w:ascii="Times New Roman" w:hAnsi="Times New Roman" w:cs="Times New Roman"/>
          <w:spacing w:val="10"/>
        </w:rPr>
        <w:t xml:space="preserve"> </w:t>
      </w:r>
      <w:r w:rsidRPr="005948DE">
        <w:rPr>
          <w:rFonts w:ascii="Times New Roman" w:hAnsi="Times New Roman" w:cs="Times New Roman"/>
        </w:rPr>
        <w:t>not</w:t>
      </w:r>
      <w:r w:rsidRPr="005948DE">
        <w:rPr>
          <w:rFonts w:ascii="Times New Roman" w:hAnsi="Times New Roman" w:cs="Times New Roman"/>
          <w:spacing w:val="10"/>
        </w:rPr>
        <w:t xml:space="preserve"> </w:t>
      </w:r>
      <w:r w:rsidRPr="005948DE">
        <w:rPr>
          <w:rFonts w:ascii="Times New Roman" w:hAnsi="Times New Roman" w:cs="Times New Roman"/>
        </w:rPr>
        <w:t>more</w:t>
      </w:r>
      <w:r w:rsidRPr="005948DE">
        <w:rPr>
          <w:rFonts w:ascii="Times New Roman" w:hAnsi="Times New Roman" w:cs="Times New Roman"/>
          <w:spacing w:val="10"/>
        </w:rPr>
        <w:t xml:space="preserve"> </w:t>
      </w:r>
      <w:r w:rsidRPr="005948DE">
        <w:rPr>
          <w:rFonts w:ascii="Times New Roman" w:hAnsi="Times New Roman" w:cs="Times New Roman"/>
        </w:rPr>
        <w:t>than</w:t>
      </w:r>
      <w:r w:rsidRPr="005948DE">
        <w:rPr>
          <w:rFonts w:ascii="Times New Roman" w:hAnsi="Times New Roman" w:cs="Times New Roman"/>
          <w:spacing w:val="9"/>
        </w:rPr>
        <w:t xml:space="preserve"> </w:t>
      </w:r>
      <w:r w:rsidRPr="005948DE">
        <w:rPr>
          <w:rFonts w:ascii="Times New Roman" w:hAnsi="Times New Roman" w:cs="Times New Roman"/>
        </w:rPr>
        <w:t>eight</w:t>
      </w:r>
      <w:r w:rsidRPr="005948DE">
        <w:rPr>
          <w:rFonts w:ascii="Times New Roman" w:hAnsi="Times New Roman" w:cs="Times New Roman"/>
          <w:spacing w:val="10"/>
        </w:rPr>
        <w:t xml:space="preserve"> </w:t>
      </w:r>
      <w:r w:rsidRPr="005948DE">
        <w:rPr>
          <w:rFonts w:ascii="Times New Roman" w:hAnsi="Times New Roman" w:cs="Times New Roman"/>
        </w:rPr>
        <w:t>(8)</w:t>
      </w:r>
      <w:r w:rsidRPr="005948DE">
        <w:rPr>
          <w:rFonts w:ascii="Times New Roman" w:hAnsi="Times New Roman" w:cs="Times New Roman"/>
          <w:spacing w:val="10"/>
        </w:rPr>
        <w:t xml:space="preserve"> </w:t>
      </w:r>
      <w:r w:rsidRPr="005948DE">
        <w:rPr>
          <w:rFonts w:ascii="Times New Roman" w:hAnsi="Times New Roman" w:cs="Times New Roman"/>
        </w:rPr>
        <w:t>eligible</w:t>
      </w:r>
      <w:r w:rsidRPr="005948DE">
        <w:rPr>
          <w:rFonts w:ascii="Times New Roman" w:hAnsi="Times New Roman" w:cs="Times New Roman"/>
          <w:spacing w:val="10"/>
        </w:rPr>
        <w:t xml:space="preserve"> </w:t>
      </w:r>
      <w:r w:rsidRPr="005948DE">
        <w:rPr>
          <w:rFonts w:ascii="Times New Roman" w:hAnsi="Times New Roman" w:cs="Times New Roman"/>
        </w:rPr>
        <w:t>firms.</w:t>
      </w:r>
      <w:r w:rsidRPr="005948DE">
        <w:rPr>
          <w:rFonts w:ascii="Times New Roman" w:hAnsi="Times New Roman" w:cs="Times New Roman"/>
          <w:spacing w:val="20"/>
        </w:rPr>
        <w:t xml:space="preserve"> </w:t>
      </w:r>
      <w:r w:rsidRPr="005948DE">
        <w:rPr>
          <w:rFonts w:ascii="Times New Roman" w:hAnsi="Times New Roman" w:cs="Times New Roman"/>
        </w:rPr>
        <w:t>The</w:t>
      </w:r>
      <w:r w:rsidRPr="005948DE">
        <w:rPr>
          <w:rFonts w:ascii="Times New Roman" w:hAnsi="Times New Roman" w:cs="Times New Roman"/>
          <w:spacing w:val="75"/>
          <w:w w:val="99"/>
        </w:rPr>
        <w:t xml:space="preserve"> </w:t>
      </w:r>
      <w:r w:rsidRPr="005948DE">
        <w:rPr>
          <w:rFonts w:ascii="Times New Roman" w:hAnsi="Times New Roman" w:cs="Times New Roman"/>
        </w:rPr>
        <w:t>Bank</w:t>
      </w:r>
      <w:r w:rsidRPr="005948DE">
        <w:rPr>
          <w:rFonts w:ascii="Times New Roman" w:hAnsi="Times New Roman" w:cs="Times New Roman"/>
          <w:spacing w:val="-12"/>
        </w:rPr>
        <w:t xml:space="preserve"> </w:t>
      </w:r>
      <w:r w:rsidRPr="005948DE">
        <w:rPr>
          <w:rFonts w:ascii="Times New Roman" w:hAnsi="Times New Roman" w:cs="Times New Roman"/>
        </w:rPr>
        <w:t>may</w:t>
      </w:r>
      <w:r w:rsidRPr="005948DE">
        <w:rPr>
          <w:rFonts w:ascii="Times New Roman" w:hAnsi="Times New Roman" w:cs="Times New Roman"/>
          <w:spacing w:val="-11"/>
        </w:rPr>
        <w:t xml:space="preserve"> </w:t>
      </w:r>
      <w:r w:rsidRPr="005948DE">
        <w:rPr>
          <w:rFonts w:ascii="Times New Roman" w:hAnsi="Times New Roman" w:cs="Times New Roman"/>
        </w:rPr>
        <w:t>agree</w:t>
      </w:r>
      <w:r w:rsidRPr="005948DE">
        <w:rPr>
          <w:rFonts w:ascii="Times New Roman" w:hAnsi="Times New Roman" w:cs="Times New Roman"/>
          <w:spacing w:val="-12"/>
        </w:rPr>
        <w:t xml:space="preserve"> </w:t>
      </w:r>
      <w:r w:rsidRPr="005948DE">
        <w:rPr>
          <w:rFonts w:ascii="Times New Roman" w:hAnsi="Times New Roman" w:cs="Times New Roman"/>
        </w:rPr>
        <w:t>to</w:t>
      </w:r>
      <w:r w:rsidRPr="005948DE">
        <w:rPr>
          <w:rFonts w:ascii="Times New Roman" w:hAnsi="Times New Roman" w:cs="Times New Roman"/>
          <w:spacing w:val="-11"/>
        </w:rPr>
        <w:t xml:space="preserve"> </w:t>
      </w:r>
      <w:r w:rsidRPr="005948DE">
        <w:rPr>
          <w:rFonts w:ascii="Times New Roman" w:hAnsi="Times New Roman" w:cs="Times New Roman"/>
        </w:rPr>
        <w:t>Shortlists</w:t>
      </w:r>
      <w:r w:rsidRPr="005948DE">
        <w:rPr>
          <w:rFonts w:ascii="Times New Roman" w:hAnsi="Times New Roman" w:cs="Times New Roman"/>
          <w:spacing w:val="-12"/>
        </w:rPr>
        <w:t xml:space="preserve"> </w:t>
      </w:r>
      <w:r w:rsidRPr="005948DE">
        <w:rPr>
          <w:rFonts w:ascii="Times New Roman" w:hAnsi="Times New Roman" w:cs="Times New Roman"/>
        </w:rPr>
        <w:t>comprising</w:t>
      </w:r>
      <w:r w:rsidRPr="005948DE">
        <w:rPr>
          <w:rFonts w:ascii="Times New Roman" w:hAnsi="Times New Roman" w:cs="Times New Roman"/>
          <w:spacing w:val="-11"/>
        </w:rPr>
        <w:t xml:space="preserve"> </w:t>
      </w:r>
      <w:r w:rsidRPr="005948DE">
        <w:rPr>
          <w:rFonts w:ascii="Times New Roman" w:hAnsi="Times New Roman" w:cs="Times New Roman"/>
        </w:rPr>
        <w:t>a</w:t>
      </w:r>
      <w:r w:rsidRPr="005948DE">
        <w:rPr>
          <w:rFonts w:ascii="Times New Roman" w:hAnsi="Times New Roman" w:cs="Times New Roman"/>
          <w:spacing w:val="-12"/>
        </w:rPr>
        <w:t xml:space="preserve"> </w:t>
      </w:r>
      <w:r w:rsidRPr="005948DE">
        <w:rPr>
          <w:rFonts w:ascii="Times New Roman" w:hAnsi="Times New Roman" w:cs="Times New Roman"/>
        </w:rPr>
        <w:t>smaller</w:t>
      </w:r>
      <w:r w:rsidRPr="005948DE">
        <w:rPr>
          <w:rFonts w:ascii="Times New Roman" w:hAnsi="Times New Roman" w:cs="Times New Roman"/>
          <w:spacing w:val="-11"/>
        </w:rPr>
        <w:t xml:space="preserve"> </w:t>
      </w:r>
      <w:r w:rsidRPr="005948DE">
        <w:rPr>
          <w:rFonts w:ascii="Times New Roman" w:hAnsi="Times New Roman" w:cs="Times New Roman"/>
        </w:rPr>
        <w:t>number</w:t>
      </w:r>
      <w:r w:rsidRPr="005948DE">
        <w:rPr>
          <w:rFonts w:ascii="Times New Roman" w:hAnsi="Times New Roman" w:cs="Times New Roman"/>
          <w:spacing w:val="-12"/>
        </w:rPr>
        <w:t xml:space="preserve"> </w:t>
      </w:r>
      <w:r w:rsidRPr="005948DE">
        <w:rPr>
          <w:rFonts w:ascii="Times New Roman" w:hAnsi="Times New Roman" w:cs="Times New Roman"/>
        </w:rPr>
        <w:t>of</w:t>
      </w:r>
      <w:r w:rsidRPr="005948DE">
        <w:rPr>
          <w:rFonts w:ascii="Times New Roman" w:hAnsi="Times New Roman" w:cs="Times New Roman"/>
          <w:spacing w:val="-11"/>
        </w:rPr>
        <w:t xml:space="preserve"> </w:t>
      </w:r>
      <w:r w:rsidRPr="005948DE">
        <w:rPr>
          <w:rFonts w:ascii="Times New Roman" w:hAnsi="Times New Roman" w:cs="Times New Roman"/>
        </w:rPr>
        <w:t>firms</w:t>
      </w:r>
      <w:r w:rsidRPr="005948DE">
        <w:rPr>
          <w:rFonts w:ascii="Times New Roman" w:hAnsi="Times New Roman" w:cs="Times New Roman"/>
          <w:spacing w:val="-12"/>
        </w:rPr>
        <w:t xml:space="preserve"> </w:t>
      </w:r>
      <w:r w:rsidRPr="005948DE">
        <w:rPr>
          <w:rFonts w:ascii="Times New Roman" w:hAnsi="Times New Roman" w:cs="Times New Roman"/>
        </w:rPr>
        <w:t>when</w:t>
      </w:r>
      <w:r w:rsidRPr="005948DE">
        <w:rPr>
          <w:rFonts w:ascii="Times New Roman" w:hAnsi="Times New Roman" w:cs="Times New Roman"/>
          <w:spacing w:val="-11"/>
        </w:rPr>
        <w:t xml:space="preserve"> </w:t>
      </w:r>
      <w:r w:rsidRPr="005948DE">
        <w:rPr>
          <w:rFonts w:ascii="Times New Roman" w:hAnsi="Times New Roman" w:cs="Times New Roman"/>
        </w:rPr>
        <w:t>not</w:t>
      </w:r>
      <w:r w:rsidRPr="005948DE">
        <w:rPr>
          <w:rFonts w:ascii="Times New Roman" w:hAnsi="Times New Roman" w:cs="Times New Roman"/>
          <w:spacing w:val="-12"/>
        </w:rPr>
        <w:t xml:space="preserve"> </w:t>
      </w:r>
      <w:r w:rsidRPr="005948DE">
        <w:rPr>
          <w:rFonts w:ascii="Times New Roman" w:hAnsi="Times New Roman" w:cs="Times New Roman"/>
        </w:rPr>
        <w:t>enough</w:t>
      </w:r>
      <w:r w:rsidRPr="005948DE">
        <w:rPr>
          <w:rFonts w:ascii="Times New Roman" w:hAnsi="Times New Roman" w:cs="Times New Roman"/>
          <w:spacing w:val="-11"/>
        </w:rPr>
        <w:t xml:space="preserve"> </w:t>
      </w:r>
      <w:r w:rsidRPr="005948DE">
        <w:rPr>
          <w:rFonts w:ascii="Times New Roman" w:hAnsi="Times New Roman" w:cs="Times New Roman"/>
        </w:rPr>
        <w:t>qualified</w:t>
      </w:r>
      <w:r w:rsidRPr="005948DE">
        <w:rPr>
          <w:rFonts w:ascii="Times New Roman" w:hAnsi="Times New Roman" w:cs="Times New Roman"/>
          <w:spacing w:val="-12"/>
        </w:rPr>
        <w:t xml:space="preserve"> </w:t>
      </w:r>
      <w:r w:rsidRPr="005948DE">
        <w:rPr>
          <w:rFonts w:ascii="Times New Roman" w:hAnsi="Times New Roman" w:cs="Times New Roman"/>
        </w:rPr>
        <w:t>firms</w:t>
      </w:r>
      <w:r w:rsidRPr="005948DE">
        <w:rPr>
          <w:rFonts w:ascii="Times New Roman" w:hAnsi="Times New Roman" w:cs="Times New Roman"/>
          <w:spacing w:val="73"/>
        </w:rPr>
        <w:t xml:space="preserve"> </w:t>
      </w:r>
      <w:r w:rsidRPr="005948DE">
        <w:rPr>
          <w:rFonts w:ascii="Times New Roman" w:hAnsi="Times New Roman" w:cs="Times New Roman"/>
        </w:rPr>
        <w:t>have</w:t>
      </w:r>
      <w:r w:rsidRPr="00843F73">
        <w:rPr>
          <w:rFonts w:ascii="Times New Roman" w:hAnsi="Times New Roman" w:cs="Times New Roman"/>
          <w:spacing w:val="8"/>
        </w:rPr>
        <w:t xml:space="preserve"> </w:t>
      </w:r>
      <w:r w:rsidRPr="00843F73">
        <w:rPr>
          <w:rFonts w:ascii="Times New Roman" w:hAnsi="Times New Roman" w:cs="Times New Roman"/>
        </w:rPr>
        <w:t>expressed</w:t>
      </w:r>
      <w:r w:rsidRPr="00843F73">
        <w:rPr>
          <w:rFonts w:ascii="Times New Roman" w:hAnsi="Times New Roman" w:cs="Times New Roman"/>
          <w:spacing w:val="8"/>
        </w:rPr>
        <w:t xml:space="preserve"> </w:t>
      </w:r>
      <w:r w:rsidRPr="00843F73">
        <w:rPr>
          <w:rFonts w:ascii="Times New Roman" w:hAnsi="Times New Roman" w:cs="Times New Roman"/>
        </w:rPr>
        <w:t>interest</w:t>
      </w:r>
      <w:r w:rsidRPr="00843F73">
        <w:rPr>
          <w:rFonts w:ascii="Times New Roman" w:hAnsi="Times New Roman" w:cs="Times New Roman"/>
          <w:spacing w:val="8"/>
        </w:rPr>
        <w:t xml:space="preserve"> </w:t>
      </w:r>
      <w:r w:rsidRPr="00843F73">
        <w:rPr>
          <w:rFonts w:ascii="Times New Roman" w:hAnsi="Times New Roman" w:cs="Times New Roman"/>
        </w:rPr>
        <w:t>in</w:t>
      </w:r>
      <w:r w:rsidRPr="00843F73">
        <w:rPr>
          <w:rFonts w:ascii="Times New Roman" w:hAnsi="Times New Roman" w:cs="Times New Roman"/>
          <w:spacing w:val="8"/>
        </w:rPr>
        <w:t xml:space="preserve"> </w:t>
      </w:r>
      <w:r w:rsidRPr="00843F73">
        <w:rPr>
          <w:rFonts w:ascii="Times New Roman" w:hAnsi="Times New Roman" w:cs="Times New Roman"/>
        </w:rPr>
        <w:t>the</w:t>
      </w:r>
      <w:r w:rsidRPr="00843F73">
        <w:rPr>
          <w:rFonts w:ascii="Times New Roman" w:hAnsi="Times New Roman" w:cs="Times New Roman"/>
          <w:spacing w:val="8"/>
        </w:rPr>
        <w:t xml:space="preserve"> </w:t>
      </w:r>
      <w:r w:rsidRPr="00843F73">
        <w:rPr>
          <w:rFonts w:ascii="Times New Roman" w:hAnsi="Times New Roman" w:cs="Times New Roman"/>
        </w:rPr>
        <w:t>assignment,</w:t>
      </w:r>
      <w:r w:rsidRPr="00843F73">
        <w:rPr>
          <w:rFonts w:ascii="Times New Roman" w:hAnsi="Times New Roman" w:cs="Times New Roman"/>
          <w:spacing w:val="9"/>
        </w:rPr>
        <w:t xml:space="preserve"> </w:t>
      </w:r>
      <w:r w:rsidRPr="00843F73">
        <w:rPr>
          <w:rFonts w:ascii="Times New Roman" w:hAnsi="Times New Roman" w:cs="Times New Roman"/>
        </w:rPr>
        <w:t>not</w:t>
      </w:r>
      <w:r w:rsidRPr="00843F73">
        <w:rPr>
          <w:rFonts w:ascii="Times New Roman" w:hAnsi="Times New Roman" w:cs="Times New Roman"/>
          <w:spacing w:val="9"/>
        </w:rPr>
        <w:t xml:space="preserve"> </w:t>
      </w:r>
      <w:r w:rsidRPr="00843F73">
        <w:rPr>
          <w:rFonts w:ascii="Times New Roman" w:hAnsi="Times New Roman" w:cs="Times New Roman"/>
        </w:rPr>
        <w:t>enough</w:t>
      </w:r>
      <w:r w:rsidRPr="00843F73">
        <w:rPr>
          <w:rFonts w:ascii="Times New Roman" w:hAnsi="Times New Roman" w:cs="Times New Roman"/>
          <w:spacing w:val="9"/>
        </w:rPr>
        <w:t xml:space="preserve"> </w:t>
      </w:r>
      <w:r w:rsidRPr="00843F73">
        <w:rPr>
          <w:rFonts w:ascii="Times New Roman" w:hAnsi="Times New Roman" w:cs="Times New Roman"/>
        </w:rPr>
        <w:t>qualified</w:t>
      </w:r>
      <w:r w:rsidRPr="00843F73">
        <w:rPr>
          <w:rFonts w:ascii="Times New Roman" w:hAnsi="Times New Roman" w:cs="Times New Roman"/>
          <w:spacing w:val="9"/>
        </w:rPr>
        <w:t xml:space="preserve"> </w:t>
      </w:r>
      <w:r w:rsidRPr="00843F73">
        <w:rPr>
          <w:rFonts w:ascii="Times New Roman" w:hAnsi="Times New Roman" w:cs="Times New Roman"/>
        </w:rPr>
        <w:t>firms</w:t>
      </w:r>
      <w:r w:rsidRPr="00843F73">
        <w:rPr>
          <w:rFonts w:ascii="Times New Roman" w:hAnsi="Times New Roman" w:cs="Times New Roman"/>
          <w:spacing w:val="8"/>
        </w:rPr>
        <w:t xml:space="preserve"> </w:t>
      </w:r>
      <w:r w:rsidRPr="00843F73">
        <w:rPr>
          <w:rFonts w:ascii="Times New Roman" w:hAnsi="Times New Roman" w:cs="Times New Roman"/>
        </w:rPr>
        <w:t>could</w:t>
      </w:r>
      <w:r w:rsidRPr="00843F73">
        <w:rPr>
          <w:rFonts w:ascii="Times New Roman" w:hAnsi="Times New Roman" w:cs="Times New Roman"/>
          <w:spacing w:val="8"/>
        </w:rPr>
        <w:t xml:space="preserve"> </w:t>
      </w:r>
      <w:r w:rsidRPr="00843F73">
        <w:rPr>
          <w:rFonts w:ascii="Times New Roman" w:hAnsi="Times New Roman" w:cs="Times New Roman"/>
        </w:rPr>
        <w:t>be</w:t>
      </w:r>
      <w:r w:rsidRPr="00843F73">
        <w:rPr>
          <w:rFonts w:ascii="Times New Roman" w:hAnsi="Times New Roman" w:cs="Times New Roman"/>
          <w:spacing w:val="8"/>
        </w:rPr>
        <w:t xml:space="preserve"> </w:t>
      </w:r>
      <w:r w:rsidRPr="00843F73">
        <w:rPr>
          <w:rFonts w:ascii="Times New Roman" w:hAnsi="Times New Roman" w:cs="Times New Roman"/>
        </w:rPr>
        <w:t>identified,</w:t>
      </w:r>
      <w:r w:rsidRPr="00843F73">
        <w:rPr>
          <w:rFonts w:ascii="Times New Roman" w:hAnsi="Times New Roman" w:cs="Times New Roman"/>
          <w:spacing w:val="9"/>
        </w:rPr>
        <w:t xml:space="preserve"> </w:t>
      </w:r>
      <w:r w:rsidRPr="00843F73">
        <w:rPr>
          <w:rFonts w:ascii="Times New Roman" w:hAnsi="Times New Roman" w:cs="Times New Roman"/>
        </w:rPr>
        <w:t>or</w:t>
      </w:r>
      <w:r w:rsidRPr="00843F73">
        <w:rPr>
          <w:rFonts w:ascii="Times New Roman" w:hAnsi="Times New Roman" w:cs="Times New Roman"/>
          <w:spacing w:val="8"/>
        </w:rPr>
        <w:t xml:space="preserve"> </w:t>
      </w:r>
      <w:r w:rsidRPr="00843F73">
        <w:rPr>
          <w:rFonts w:ascii="Times New Roman" w:hAnsi="Times New Roman" w:cs="Times New Roman"/>
        </w:rPr>
        <w:t>the</w:t>
      </w:r>
      <w:r w:rsidRPr="00843F73">
        <w:rPr>
          <w:rFonts w:ascii="Times New Roman" w:hAnsi="Times New Roman" w:cs="Times New Roman"/>
          <w:spacing w:val="59"/>
          <w:w w:val="99"/>
        </w:rPr>
        <w:t xml:space="preserve"> </w:t>
      </w:r>
      <w:r w:rsidRPr="00843F73">
        <w:rPr>
          <w:rFonts w:ascii="Times New Roman" w:hAnsi="Times New Roman" w:cs="Times New Roman"/>
        </w:rPr>
        <w:t>size</w:t>
      </w:r>
      <w:r w:rsidRPr="00843F73">
        <w:rPr>
          <w:rFonts w:ascii="Times New Roman" w:hAnsi="Times New Roman" w:cs="Times New Roman"/>
          <w:spacing w:val="-4"/>
        </w:rPr>
        <w:t xml:space="preserve"> </w:t>
      </w:r>
      <w:r w:rsidRPr="00843F73">
        <w:rPr>
          <w:rFonts w:ascii="Times New Roman" w:hAnsi="Times New Roman" w:cs="Times New Roman"/>
        </w:rPr>
        <w:t>of</w:t>
      </w:r>
      <w:r w:rsidRPr="00843F73">
        <w:rPr>
          <w:rFonts w:ascii="Times New Roman" w:hAnsi="Times New Roman" w:cs="Times New Roman"/>
          <w:spacing w:val="-3"/>
        </w:rPr>
        <w:t xml:space="preserve"> </w:t>
      </w:r>
      <w:r w:rsidRPr="00843F73">
        <w:rPr>
          <w:rFonts w:ascii="Times New Roman" w:hAnsi="Times New Roman" w:cs="Times New Roman"/>
        </w:rPr>
        <w:t>the</w:t>
      </w:r>
      <w:r w:rsidRPr="00843F73">
        <w:rPr>
          <w:rFonts w:ascii="Times New Roman" w:hAnsi="Times New Roman" w:cs="Times New Roman"/>
          <w:spacing w:val="-3"/>
        </w:rPr>
        <w:t xml:space="preserve"> </w:t>
      </w:r>
      <w:r w:rsidRPr="00843F73">
        <w:rPr>
          <w:rFonts w:ascii="Times New Roman" w:hAnsi="Times New Roman" w:cs="Times New Roman"/>
        </w:rPr>
        <w:t>contract</w:t>
      </w:r>
      <w:r w:rsidRPr="00843F73">
        <w:rPr>
          <w:rFonts w:ascii="Times New Roman" w:hAnsi="Times New Roman" w:cs="Times New Roman"/>
          <w:spacing w:val="-3"/>
        </w:rPr>
        <w:t xml:space="preserve"> </w:t>
      </w:r>
      <w:r w:rsidRPr="00843F73">
        <w:rPr>
          <w:rFonts w:ascii="Times New Roman" w:hAnsi="Times New Roman" w:cs="Times New Roman"/>
        </w:rPr>
        <w:t>or</w:t>
      </w:r>
      <w:r w:rsidRPr="00843F73">
        <w:rPr>
          <w:rFonts w:ascii="Times New Roman" w:hAnsi="Times New Roman" w:cs="Times New Roman"/>
          <w:spacing w:val="-3"/>
        </w:rPr>
        <w:t xml:space="preserve"> </w:t>
      </w:r>
      <w:r w:rsidRPr="00843F73">
        <w:rPr>
          <w:rFonts w:ascii="Times New Roman" w:hAnsi="Times New Roman" w:cs="Times New Roman"/>
        </w:rPr>
        <w:t>the</w:t>
      </w:r>
      <w:r w:rsidRPr="00843F73">
        <w:rPr>
          <w:rFonts w:ascii="Times New Roman" w:hAnsi="Times New Roman" w:cs="Times New Roman"/>
          <w:spacing w:val="-2"/>
        </w:rPr>
        <w:t xml:space="preserve"> </w:t>
      </w:r>
      <w:r w:rsidRPr="00843F73">
        <w:rPr>
          <w:rFonts w:ascii="Times New Roman" w:hAnsi="Times New Roman" w:cs="Times New Roman"/>
        </w:rPr>
        <w:t>nature</w:t>
      </w:r>
      <w:r w:rsidRPr="00843F73">
        <w:rPr>
          <w:rFonts w:ascii="Times New Roman" w:hAnsi="Times New Roman" w:cs="Times New Roman"/>
          <w:spacing w:val="-3"/>
        </w:rPr>
        <w:t xml:space="preserve"> </w:t>
      </w:r>
      <w:r w:rsidRPr="00843F73">
        <w:rPr>
          <w:rFonts w:ascii="Times New Roman" w:hAnsi="Times New Roman" w:cs="Times New Roman"/>
        </w:rPr>
        <w:t>of</w:t>
      </w:r>
      <w:r w:rsidRPr="00843F73">
        <w:rPr>
          <w:rFonts w:ascii="Times New Roman" w:hAnsi="Times New Roman" w:cs="Times New Roman"/>
          <w:spacing w:val="-2"/>
        </w:rPr>
        <w:t xml:space="preserve"> </w:t>
      </w:r>
      <w:r w:rsidRPr="00843F73">
        <w:rPr>
          <w:rFonts w:ascii="Times New Roman" w:hAnsi="Times New Roman" w:cs="Times New Roman"/>
        </w:rPr>
        <w:t>the</w:t>
      </w:r>
      <w:r w:rsidRPr="00843F73">
        <w:rPr>
          <w:rFonts w:ascii="Times New Roman" w:hAnsi="Times New Roman" w:cs="Times New Roman"/>
          <w:spacing w:val="-3"/>
        </w:rPr>
        <w:t xml:space="preserve"> </w:t>
      </w:r>
      <w:r w:rsidRPr="00843F73">
        <w:rPr>
          <w:rFonts w:ascii="Times New Roman" w:hAnsi="Times New Roman" w:cs="Times New Roman"/>
        </w:rPr>
        <w:t>assignment</w:t>
      </w:r>
      <w:r w:rsidRPr="00843F73">
        <w:rPr>
          <w:rFonts w:ascii="Times New Roman" w:hAnsi="Times New Roman" w:cs="Times New Roman"/>
          <w:spacing w:val="-3"/>
        </w:rPr>
        <w:t xml:space="preserve"> </w:t>
      </w:r>
      <w:r w:rsidRPr="00843F73">
        <w:rPr>
          <w:rFonts w:ascii="Times New Roman" w:hAnsi="Times New Roman" w:cs="Times New Roman"/>
        </w:rPr>
        <w:t>does</w:t>
      </w:r>
      <w:r w:rsidRPr="00843F73">
        <w:rPr>
          <w:rFonts w:ascii="Times New Roman" w:hAnsi="Times New Roman" w:cs="Times New Roman"/>
          <w:spacing w:val="-3"/>
        </w:rPr>
        <w:t xml:space="preserve"> </w:t>
      </w:r>
      <w:r w:rsidRPr="00843F73">
        <w:rPr>
          <w:rFonts w:ascii="Times New Roman" w:hAnsi="Times New Roman" w:cs="Times New Roman"/>
        </w:rPr>
        <w:t>not</w:t>
      </w:r>
      <w:r w:rsidRPr="00843F73">
        <w:rPr>
          <w:rFonts w:ascii="Times New Roman" w:hAnsi="Times New Roman" w:cs="Times New Roman"/>
          <w:spacing w:val="-2"/>
        </w:rPr>
        <w:t xml:space="preserve"> </w:t>
      </w:r>
      <w:r w:rsidRPr="00843F73">
        <w:rPr>
          <w:rFonts w:ascii="Times New Roman" w:hAnsi="Times New Roman" w:cs="Times New Roman"/>
        </w:rPr>
        <w:t>justify</w:t>
      </w:r>
      <w:r w:rsidRPr="00843F73">
        <w:rPr>
          <w:rFonts w:ascii="Times New Roman" w:hAnsi="Times New Roman" w:cs="Times New Roman"/>
          <w:spacing w:val="-2"/>
        </w:rPr>
        <w:t xml:space="preserve"> </w:t>
      </w:r>
      <w:r w:rsidRPr="00843F73">
        <w:rPr>
          <w:rFonts w:ascii="Times New Roman" w:hAnsi="Times New Roman" w:cs="Times New Roman"/>
        </w:rPr>
        <w:t>wider</w:t>
      </w:r>
      <w:r w:rsidRPr="00843F73">
        <w:rPr>
          <w:rFonts w:ascii="Times New Roman" w:hAnsi="Times New Roman" w:cs="Times New Roman"/>
          <w:spacing w:val="-4"/>
        </w:rPr>
        <w:t xml:space="preserve"> </w:t>
      </w:r>
      <w:r w:rsidRPr="00843F73">
        <w:rPr>
          <w:rFonts w:ascii="Times New Roman" w:hAnsi="Times New Roman" w:cs="Times New Roman"/>
        </w:rPr>
        <w:t>competition.</w:t>
      </w:r>
    </w:p>
    <w:p w14:paraId="29F60A6B" w14:textId="77777777" w:rsidR="00CA17E6"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The</w:t>
      </w:r>
      <w:r w:rsidRPr="00843F73">
        <w:rPr>
          <w:rFonts w:ascii="Times New Roman" w:hAnsi="Times New Roman" w:cs="Times New Roman"/>
          <w:spacing w:val="-4"/>
        </w:rPr>
        <w:t xml:space="preserve"> </w:t>
      </w:r>
      <w:r w:rsidRPr="00843F73">
        <w:rPr>
          <w:rFonts w:ascii="Times New Roman" w:hAnsi="Times New Roman" w:cs="Times New Roman"/>
        </w:rPr>
        <w:t>following</w:t>
      </w:r>
      <w:r w:rsidRPr="00843F73">
        <w:rPr>
          <w:rFonts w:ascii="Times New Roman" w:hAnsi="Times New Roman" w:cs="Times New Roman"/>
          <w:spacing w:val="-2"/>
        </w:rPr>
        <w:t xml:space="preserve"> </w:t>
      </w:r>
      <w:r w:rsidRPr="00843F73">
        <w:rPr>
          <w:rFonts w:ascii="Times New Roman" w:hAnsi="Times New Roman" w:cs="Times New Roman"/>
        </w:rPr>
        <w:t>is</w:t>
      </w:r>
      <w:r w:rsidRPr="00843F73">
        <w:rPr>
          <w:rFonts w:ascii="Times New Roman" w:hAnsi="Times New Roman" w:cs="Times New Roman"/>
          <w:spacing w:val="-2"/>
        </w:rPr>
        <w:t xml:space="preserve"> </w:t>
      </w:r>
      <w:r w:rsidRPr="00843F73">
        <w:rPr>
          <w:rFonts w:ascii="Times New Roman" w:hAnsi="Times New Roman" w:cs="Times New Roman"/>
        </w:rPr>
        <w:t>not</w:t>
      </w:r>
      <w:r w:rsidRPr="00843F73">
        <w:rPr>
          <w:rFonts w:ascii="Times New Roman" w:hAnsi="Times New Roman" w:cs="Times New Roman"/>
          <w:spacing w:val="-2"/>
        </w:rPr>
        <w:t xml:space="preserve"> </w:t>
      </w:r>
      <w:r w:rsidRPr="00843F73">
        <w:rPr>
          <w:rFonts w:ascii="Times New Roman" w:hAnsi="Times New Roman" w:cs="Times New Roman"/>
        </w:rPr>
        <w:t>normally</w:t>
      </w:r>
      <w:r w:rsidRPr="00843F73">
        <w:rPr>
          <w:rFonts w:ascii="Times New Roman" w:hAnsi="Times New Roman" w:cs="Times New Roman"/>
          <w:spacing w:val="-2"/>
        </w:rPr>
        <w:t xml:space="preserve"> </w:t>
      </w:r>
      <w:r w:rsidRPr="00843F73">
        <w:rPr>
          <w:rFonts w:ascii="Times New Roman" w:hAnsi="Times New Roman" w:cs="Times New Roman"/>
        </w:rPr>
        <w:t>be</w:t>
      </w:r>
      <w:r w:rsidRPr="00843F73">
        <w:rPr>
          <w:rFonts w:ascii="Times New Roman" w:hAnsi="Times New Roman" w:cs="Times New Roman"/>
          <w:spacing w:val="-2"/>
        </w:rPr>
        <w:t xml:space="preserve"> </w:t>
      </w:r>
      <w:r w:rsidRPr="00843F73">
        <w:rPr>
          <w:rFonts w:ascii="Times New Roman" w:hAnsi="Times New Roman" w:cs="Times New Roman"/>
        </w:rPr>
        <w:t>included</w:t>
      </w:r>
      <w:r w:rsidRPr="00843F73">
        <w:rPr>
          <w:rFonts w:ascii="Times New Roman" w:hAnsi="Times New Roman" w:cs="Times New Roman"/>
          <w:spacing w:val="-2"/>
        </w:rPr>
        <w:t xml:space="preserve"> </w:t>
      </w:r>
      <w:r w:rsidRPr="00843F73">
        <w:rPr>
          <w:rFonts w:ascii="Times New Roman" w:hAnsi="Times New Roman" w:cs="Times New Roman"/>
        </w:rPr>
        <w:t>in</w:t>
      </w:r>
      <w:r w:rsidRPr="00843F73">
        <w:rPr>
          <w:rFonts w:ascii="Times New Roman" w:hAnsi="Times New Roman" w:cs="Times New Roman"/>
          <w:spacing w:val="-4"/>
        </w:rPr>
        <w:t xml:space="preserve"> </w:t>
      </w:r>
      <w:r w:rsidRPr="00843F73">
        <w:rPr>
          <w:rFonts w:ascii="Times New Roman" w:hAnsi="Times New Roman" w:cs="Times New Roman"/>
        </w:rPr>
        <w:t>the</w:t>
      </w:r>
      <w:r w:rsidRPr="00843F73">
        <w:rPr>
          <w:rFonts w:ascii="Times New Roman" w:hAnsi="Times New Roman" w:cs="Times New Roman"/>
          <w:spacing w:val="-2"/>
        </w:rPr>
        <w:t xml:space="preserve"> </w:t>
      </w:r>
      <w:r w:rsidRPr="00843F73">
        <w:rPr>
          <w:rFonts w:ascii="Times New Roman" w:hAnsi="Times New Roman" w:cs="Times New Roman"/>
        </w:rPr>
        <w:t>same</w:t>
      </w:r>
      <w:r w:rsidRPr="00843F73">
        <w:rPr>
          <w:rFonts w:ascii="Times New Roman" w:hAnsi="Times New Roman" w:cs="Times New Roman"/>
          <w:spacing w:val="-2"/>
        </w:rPr>
        <w:t xml:space="preserve"> </w:t>
      </w:r>
      <w:r w:rsidRPr="00843F73">
        <w:rPr>
          <w:rFonts w:ascii="Times New Roman" w:hAnsi="Times New Roman" w:cs="Times New Roman"/>
        </w:rPr>
        <w:t>Shortlist</w:t>
      </w:r>
      <w:r w:rsidRPr="00843F73">
        <w:rPr>
          <w:rFonts w:ascii="Times New Roman" w:hAnsi="Times New Roman" w:cs="Times New Roman"/>
          <w:spacing w:val="-2"/>
        </w:rPr>
        <w:t xml:space="preserve"> </w:t>
      </w:r>
      <w:r w:rsidRPr="00843F73">
        <w:rPr>
          <w:rFonts w:ascii="Times New Roman" w:hAnsi="Times New Roman" w:cs="Times New Roman"/>
        </w:rPr>
        <w:t>with</w:t>
      </w:r>
      <w:r w:rsidRPr="00843F73">
        <w:rPr>
          <w:rFonts w:ascii="Times New Roman" w:hAnsi="Times New Roman" w:cs="Times New Roman"/>
          <w:spacing w:val="-3"/>
        </w:rPr>
        <w:t xml:space="preserve"> </w:t>
      </w:r>
      <w:r w:rsidRPr="00843F73">
        <w:rPr>
          <w:rFonts w:ascii="Times New Roman" w:hAnsi="Times New Roman" w:cs="Times New Roman"/>
        </w:rPr>
        <w:t>private</w:t>
      </w:r>
      <w:r w:rsidRPr="00843F73">
        <w:rPr>
          <w:rFonts w:ascii="Times New Roman" w:hAnsi="Times New Roman" w:cs="Times New Roman"/>
          <w:spacing w:val="-3"/>
        </w:rPr>
        <w:t xml:space="preserve"> </w:t>
      </w:r>
      <w:r w:rsidRPr="00843F73">
        <w:rPr>
          <w:rFonts w:ascii="Times New Roman" w:hAnsi="Times New Roman" w:cs="Times New Roman"/>
        </w:rPr>
        <w:t>sector</w:t>
      </w:r>
      <w:r w:rsidRPr="00843F73">
        <w:rPr>
          <w:rFonts w:ascii="Times New Roman" w:hAnsi="Times New Roman" w:cs="Times New Roman"/>
          <w:spacing w:val="-2"/>
        </w:rPr>
        <w:t xml:space="preserve"> </w:t>
      </w:r>
      <w:r w:rsidRPr="00843F73">
        <w:rPr>
          <w:rFonts w:ascii="Times New Roman" w:hAnsi="Times New Roman" w:cs="Times New Roman"/>
        </w:rPr>
        <w:t>firms:</w:t>
      </w:r>
    </w:p>
    <w:p w14:paraId="5EFA7E6A" w14:textId="3CD304DB" w:rsidR="00CA17E6" w:rsidRPr="00843F73" w:rsidRDefault="005950B8" w:rsidP="00665F55">
      <w:pPr>
        <w:numPr>
          <w:ilvl w:val="2"/>
          <w:numId w:val="695"/>
        </w:numPr>
        <w:spacing w:after="120" w:line="240" w:lineRule="auto"/>
        <w:ind w:left="709"/>
        <w:jc w:val="both"/>
        <w:rPr>
          <w:rFonts w:ascii="Times New Roman" w:hAnsi="Times New Roman" w:cs="Times New Roman"/>
          <w:lang w:val="en-US"/>
        </w:rPr>
      </w:pPr>
      <w:r>
        <w:rPr>
          <w:rFonts w:ascii="Times New Roman" w:hAnsi="Times New Roman" w:cs="Times New Roman"/>
          <w:lang w:val="en-US"/>
        </w:rPr>
        <w:t xml:space="preserve">The </w:t>
      </w:r>
      <w:r w:rsidR="00CA17E6" w:rsidRPr="00843F73">
        <w:rPr>
          <w:rFonts w:ascii="Times New Roman" w:hAnsi="Times New Roman" w:cs="Times New Roman"/>
          <w:lang w:val="en-US"/>
        </w:rPr>
        <w:t>UN Agencies; or</w:t>
      </w:r>
    </w:p>
    <w:p w14:paraId="4AD096A7" w14:textId="6C5C2FDD" w:rsidR="00CA17E6" w:rsidRPr="00843F73" w:rsidRDefault="00CA17E6" w:rsidP="00665F55">
      <w:pPr>
        <w:numPr>
          <w:ilvl w:val="2"/>
          <w:numId w:val="695"/>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SOEs or institutions and not-for-profit organizations (such as NGOs, and universities), unless they operate as commercial entities.</w:t>
      </w:r>
    </w:p>
    <w:p w14:paraId="4B39364A" w14:textId="45467AAD" w:rsidR="00CA17E6" w:rsidRPr="00843F73" w:rsidRDefault="00CA17E6" w:rsidP="00665F55">
      <w:pPr>
        <w:spacing w:after="120" w:line="240" w:lineRule="auto"/>
        <w:jc w:val="both"/>
        <w:rPr>
          <w:rFonts w:ascii="Times New Roman" w:hAnsi="Times New Roman" w:cs="Times New Roman"/>
          <w:lang w:val="en-US"/>
        </w:rPr>
      </w:pPr>
      <w:r w:rsidRPr="00843F73">
        <w:rPr>
          <w:rFonts w:ascii="Times New Roman" w:hAnsi="Times New Roman" w:cs="Times New Roman"/>
          <w:lang w:val="en-US"/>
        </w:rPr>
        <w:t>If</w:t>
      </w:r>
      <w:r w:rsidRPr="00843F73">
        <w:rPr>
          <w:rFonts w:ascii="Times New Roman" w:hAnsi="Times New Roman" w:cs="Times New Roman"/>
          <w:spacing w:val="9"/>
          <w:lang w:val="en-US"/>
        </w:rPr>
        <w:t xml:space="preserve"> </w:t>
      </w:r>
      <w:r w:rsidRPr="00843F73">
        <w:rPr>
          <w:rFonts w:ascii="Times New Roman" w:hAnsi="Times New Roman" w:cs="Times New Roman"/>
          <w:lang w:val="en-US"/>
        </w:rPr>
        <w:t>such</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entities</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are</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included</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in</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list,</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selection</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should</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normally</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made</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using</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QBS</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or</w:t>
      </w:r>
      <w:r w:rsidRPr="00843F73">
        <w:rPr>
          <w:rFonts w:ascii="Times New Roman" w:hAnsi="Times New Roman" w:cs="Times New Roman"/>
          <w:spacing w:val="10"/>
          <w:lang w:val="en-US"/>
        </w:rPr>
        <w:t xml:space="preserve"> </w:t>
      </w:r>
      <w:r w:rsidRPr="00843F73">
        <w:rPr>
          <w:rFonts w:ascii="Times New Roman" w:hAnsi="Times New Roman" w:cs="Times New Roman"/>
          <w:lang w:val="en-US"/>
        </w:rPr>
        <w:t>CQS.</w:t>
      </w:r>
      <w:r w:rsidRPr="00843F73">
        <w:rPr>
          <w:rFonts w:ascii="Times New Roman" w:hAnsi="Times New Roman" w:cs="Times New Roman"/>
          <w:spacing w:val="59"/>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Shortlist shall not include ind</w:t>
      </w:r>
      <w:r w:rsidR="00FA3650" w:rsidRPr="00843F73">
        <w:rPr>
          <w:rFonts w:ascii="Times New Roman" w:hAnsi="Times New Roman" w:cs="Times New Roman"/>
          <w:lang w:val="en-US"/>
        </w:rPr>
        <w:t>ividual Consultants.</w:t>
      </w:r>
    </w:p>
    <w:p w14:paraId="6CE4855A" w14:textId="77777777" w:rsidR="00CA17E6" w:rsidRPr="00843F73" w:rsidRDefault="00CA17E6" w:rsidP="00DA351C">
      <w:pPr>
        <w:pStyle w:val="Heading5"/>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Request for Proposals</w:t>
      </w:r>
    </w:p>
    <w:p w14:paraId="5D3E2A33" w14:textId="55B5A184" w:rsidR="00CA17E6"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The</w:t>
      </w:r>
      <w:r w:rsidRPr="00843F73">
        <w:rPr>
          <w:rFonts w:ascii="Times New Roman" w:hAnsi="Times New Roman" w:cs="Times New Roman"/>
          <w:spacing w:val="11"/>
        </w:rPr>
        <w:t xml:space="preserve"> </w:t>
      </w:r>
      <w:r w:rsidRPr="00843F73">
        <w:rPr>
          <w:rFonts w:ascii="Times New Roman" w:hAnsi="Times New Roman" w:cs="Times New Roman"/>
        </w:rPr>
        <w:t>Shortlisted</w:t>
      </w:r>
      <w:r w:rsidRPr="00843F73">
        <w:rPr>
          <w:rFonts w:ascii="Times New Roman" w:hAnsi="Times New Roman" w:cs="Times New Roman"/>
          <w:spacing w:val="13"/>
        </w:rPr>
        <w:t xml:space="preserve"> </w:t>
      </w:r>
      <w:r w:rsidRPr="00843F73">
        <w:rPr>
          <w:rFonts w:ascii="Times New Roman" w:hAnsi="Times New Roman" w:cs="Times New Roman"/>
        </w:rPr>
        <w:t>firms</w:t>
      </w:r>
      <w:r w:rsidRPr="00843F73">
        <w:rPr>
          <w:rFonts w:ascii="Times New Roman" w:hAnsi="Times New Roman" w:cs="Times New Roman"/>
          <w:spacing w:val="11"/>
        </w:rPr>
        <w:t xml:space="preserve"> </w:t>
      </w:r>
      <w:r w:rsidRPr="00843F73">
        <w:rPr>
          <w:rFonts w:ascii="Times New Roman" w:hAnsi="Times New Roman" w:cs="Times New Roman"/>
        </w:rPr>
        <w:t>are</w:t>
      </w:r>
      <w:r w:rsidRPr="00843F73">
        <w:rPr>
          <w:rFonts w:ascii="Times New Roman" w:hAnsi="Times New Roman" w:cs="Times New Roman"/>
          <w:spacing w:val="12"/>
        </w:rPr>
        <w:t xml:space="preserve"> </w:t>
      </w:r>
      <w:r w:rsidRPr="00843F73">
        <w:rPr>
          <w:rFonts w:ascii="Times New Roman" w:hAnsi="Times New Roman" w:cs="Times New Roman"/>
        </w:rPr>
        <w:t>invited</w:t>
      </w:r>
      <w:r w:rsidRPr="00843F73">
        <w:rPr>
          <w:rFonts w:ascii="Times New Roman" w:hAnsi="Times New Roman" w:cs="Times New Roman"/>
          <w:spacing w:val="13"/>
        </w:rPr>
        <w:t xml:space="preserve"> </w:t>
      </w:r>
      <w:r w:rsidRPr="00843F73">
        <w:rPr>
          <w:rFonts w:ascii="Times New Roman" w:hAnsi="Times New Roman" w:cs="Times New Roman"/>
        </w:rPr>
        <w:t>to</w:t>
      </w:r>
      <w:r w:rsidRPr="00843F73">
        <w:rPr>
          <w:rFonts w:ascii="Times New Roman" w:hAnsi="Times New Roman" w:cs="Times New Roman"/>
          <w:spacing w:val="11"/>
        </w:rPr>
        <w:t xml:space="preserve"> </w:t>
      </w:r>
      <w:r w:rsidRPr="00843F73">
        <w:rPr>
          <w:rFonts w:ascii="Times New Roman" w:hAnsi="Times New Roman" w:cs="Times New Roman"/>
        </w:rPr>
        <w:t>respond</w:t>
      </w:r>
      <w:r w:rsidRPr="00843F73">
        <w:rPr>
          <w:rFonts w:ascii="Times New Roman" w:hAnsi="Times New Roman" w:cs="Times New Roman"/>
          <w:spacing w:val="12"/>
        </w:rPr>
        <w:t xml:space="preserve"> </w:t>
      </w:r>
      <w:r w:rsidRPr="00843F73">
        <w:rPr>
          <w:rFonts w:ascii="Times New Roman" w:hAnsi="Times New Roman" w:cs="Times New Roman"/>
        </w:rPr>
        <w:t>to</w:t>
      </w:r>
      <w:r w:rsidRPr="00843F73">
        <w:rPr>
          <w:rFonts w:ascii="Times New Roman" w:hAnsi="Times New Roman" w:cs="Times New Roman"/>
          <w:spacing w:val="11"/>
        </w:rPr>
        <w:t xml:space="preserve"> </w:t>
      </w:r>
      <w:r w:rsidRPr="00843F73">
        <w:rPr>
          <w:rFonts w:ascii="Times New Roman" w:hAnsi="Times New Roman" w:cs="Times New Roman"/>
        </w:rPr>
        <w:t>the</w:t>
      </w:r>
      <w:r w:rsidRPr="00843F73">
        <w:rPr>
          <w:rFonts w:ascii="Times New Roman" w:hAnsi="Times New Roman" w:cs="Times New Roman"/>
          <w:spacing w:val="12"/>
        </w:rPr>
        <w:t xml:space="preserve"> </w:t>
      </w:r>
      <w:r w:rsidRPr="00843F73">
        <w:rPr>
          <w:rFonts w:ascii="Times New Roman" w:hAnsi="Times New Roman" w:cs="Times New Roman"/>
        </w:rPr>
        <w:t>request</w:t>
      </w:r>
      <w:r w:rsidRPr="00843F73">
        <w:rPr>
          <w:rFonts w:ascii="Times New Roman" w:hAnsi="Times New Roman" w:cs="Times New Roman"/>
          <w:spacing w:val="11"/>
        </w:rPr>
        <w:t xml:space="preserve"> </w:t>
      </w:r>
      <w:r w:rsidRPr="00843F73">
        <w:rPr>
          <w:rFonts w:ascii="Times New Roman" w:hAnsi="Times New Roman" w:cs="Times New Roman"/>
        </w:rPr>
        <w:t>for</w:t>
      </w:r>
      <w:r w:rsidRPr="00843F73">
        <w:rPr>
          <w:rFonts w:ascii="Times New Roman" w:hAnsi="Times New Roman" w:cs="Times New Roman"/>
          <w:spacing w:val="11"/>
        </w:rPr>
        <w:t xml:space="preserve"> </w:t>
      </w:r>
      <w:r w:rsidRPr="00843F73">
        <w:rPr>
          <w:rFonts w:ascii="Times New Roman" w:hAnsi="Times New Roman" w:cs="Times New Roman"/>
        </w:rPr>
        <w:t>proposals</w:t>
      </w:r>
      <w:r w:rsidRPr="00843F73">
        <w:rPr>
          <w:rFonts w:ascii="Times New Roman" w:hAnsi="Times New Roman" w:cs="Times New Roman"/>
          <w:spacing w:val="12"/>
        </w:rPr>
        <w:t xml:space="preserve"> </w:t>
      </w:r>
      <w:r w:rsidRPr="00843F73">
        <w:rPr>
          <w:rFonts w:ascii="Times New Roman" w:hAnsi="Times New Roman" w:cs="Times New Roman"/>
        </w:rPr>
        <w:t>document</w:t>
      </w:r>
      <w:r w:rsidRPr="00843F73">
        <w:rPr>
          <w:rFonts w:ascii="Times New Roman" w:hAnsi="Times New Roman" w:cs="Times New Roman"/>
          <w:spacing w:val="12"/>
        </w:rPr>
        <w:t xml:space="preserve"> </w:t>
      </w:r>
      <w:r w:rsidRPr="00843F73">
        <w:rPr>
          <w:rFonts w:ascii="Times New Roman" w:hAnsi="Times New Roman" w:cs="Times New Roman"/>
        </w:rPr>
        <w:t>using</w:t>
      </w:r>
      <w:r w:rsidRPr="00843F73">
        <w:rPr>
          <w:rFonts w:ascii="Times New Roman" w:hAnsi="Times New Roman" w:cs="Times New Roman"/>
          <w:spacing w:val="12"/>
        </w:rPr>
        <w:t xml:space="preserve"> </w:t>
      </w:r>
      <w:r w:rsidRPr="00843F73">
        <w:rPr>
          <w:rFonts w:ascii="Times New Roman" w:hAnsi="Times New Roman" w:cs="Times New Roman"/>
        </w:rPr>
        <w:t>one</w:t>
      </w:r>
      <w:r w:rsidRPr="00843F73">
        <w:rPr>
          <w:rFonts w:ascii="Times New Roman" w:hAnsi="Times New Roman" w:cs="Times New Roman"/>
          <w:spacing w:val="12"/>
        </w:rPr>
        <w:t xml:space="preserve"> </w:t>
      </w:r>
      <w:r w:rsidRPr="00843F73">
        <w:rPr>
          <w:rFonts w:ascii="Times New Roman" w:hAnsi="Times New Roman" w:cs="Times New Roman"/>
        </w:rPr>
        <w:t>of</w:t>
      </w:r>
      <w:r w:rsidRPr="00843F73">
        <w:rPr>
          <w:rFonts w:ascii="Times New Roman" w:hAnsi="Times New Roman" w:cs="Times New Roman"/>
          <w:spacing w:val="62"/>
        </w:rPr>
        <w:t xml:space="preserve"> </w:t>
      </w:r>
      <w:r w:rsidRPr="00843F73">
        <w:rPr>
          <w:rFonts w:ascii="Times New Roman" w:hAnsi="Times New Roman" w:cs="Times New Roman"/>
        </w:rPr>
        <w:t>the</w:t>
      </w:r>
      <w:r w:rsidRPr="00843F73">
        <w:rPr>
          <w:rFonts w:ascii="Times New Roman" w:hAnsi="Times New Roman" w:cs="Times New Roman"/>
          <w:spacing w:val="37"/>
        </w:rPr>
        <w:t xml:space="preserve"> </w:t>
      </w:r>
      <w:r w:rsidRPr="00843F73">
        <w:rPr>
          <w:rFonts w:ascii="Times New Roman" w:hAnsi="Times New Roman" w:cs="Times New Roman"/>
        </w:rPr>
        <w:t>approved</w:t>
      </w:r>
      <w:r w:rsidRPr="00843F73">
        <w:rPr>
          <w:rFonts w:ascii="Times New Roman" w:hAnsi="Times New Roman" w:cs="Times New Roman"/>
          <w:spacing w:val="37"/>
        </w:rPr>
        <w:t xml:space="preserve"> </w:t>
      </w:r>
      <w:r w:rsidRPr="00843F73">
        <w:rPr>
          <w:rFonts w:ascii="Times New Roman" w:hAnsi="Times New Roman" w:cs="Times New Roman"/>
        </w:rPr>
        <w:t>selection</w:t>
      </w:r>
      <w:r w:rsidRPr="00843F73">
        <w:rPr>
          <w:rFonts w:ascii="Times New Roman" w:hAnsi="Times New Roman" w:cs="Times New Roman"/>
          <w:spacing w:val="38"/>
        </w:rPr>
        <w:t xml:space="preserve"> </w:t>
      </w:r>
      <w:r w:rsidRPr="00843F73">
        <w:rPr>
          <w:rFonts w:ascii="Times New Roman" w:hAnsi="Times New Roman" w:cs="Times New Roman"/>
        </w:rPr>
        <w:t>methods.</w:t>
      </w:r>
      <w:r w:rsidRPr="00843F73">
        <w:rPr>
          <w:rFonts w:ascii="Times New Roman" w:hAnsi="Times New Roman" w:cs="Times New Roman"/>
          <w:spacing w:val="26"/>
        </w:rPr>
        <w:t xml:space="preserve"> </w:t>
      </w:r>
      <w:r w:rsidRPr="00843F73">
        <w:rPr>
          <w:rFonts w:ascii="Times New Roman" w:hAnsi="Times New Roman" w:cs="Times New Roman"/>
        </w:rPr>
        <w:t>In</w:t>
      </w:r>
      <w:r w:rsidRPr="00843F73">
        <w:rPr>
          <w:rFonts w:ascii="Times New Roman" w:hAnsi="Times New Roman" w:cs="Times New Roman"/>
          <w:spacing w:val="38"/>
        </w:rPr>
        <w:t xml:space="preserve"> </w:t>
      </w:r>
      <w:r w:rsidRPr="00843F73">
        <w:rPr>
          <w:rFonts w:ascii="Times New Roman" w:hAnsi="Times New Roman" w:cs="Times New Roman"/>
        </w:rPr>
        <w:t>determining</w:t>
      </w:r>
      <w:r w:rsidRPr="00843F73">
        <w:rPr>
          <w:rFonts w:ascii="Times New Roman" w:hAnsi="Times New Roman" w:cs="Times New Roman"/>
          <w:spacing w:val="38"/>
        </w:rPr>
        <w:t xml:space="preserve"> </w:t>
      </w:r>
      <w:r w:rsidRPr="00843F73">
        <w:rPr>
          <w:rFonts w:ascii="Times New Roman" w:hAnsi="Times New Roman" w:cs="Times New Roman"/>
        </w:rPr>
        <w:t>the</w:t>
      </w:r>
      <w:r w:rsidRPr="00843F73">
        <w:rPr>
          <w:rFonts w:ascii="Times New Roman" w:hAnsi="Times New Roman" w:cs="Times New Roman"/>
          <w:spacing w:val="37"/>
        </w:rPr>
        <w:t xml:space="preserve"> </w:t>
      </w:r>
      <w:r w:rsidRPr="00843F73">
        <w:rPr>
          <w:rFonts w:ascii="Times New Roman" w:hAnsi="Times New Roman" w:cs="Times New Roman"/>
        </w:rPr>
        <w:t>right</w:t>
      </w:r>
      <w:r w:rsidRPr="00843F73">
        <w:rPr>
          <w:rFonts w:ascii="Times New Roman" w:hAnsi="Times New Roman" w:cs="Times New Roman"/>
          <w:spacing w:val="38"/>
        </w:rPr>
        <w:t xml:space="preserve"> </w:t>
      </w:r>
      <w:r w:rsidRPr="00843F73">
        <w:rPr>
          <w:rFonts w:ascii="Times New Roman" w:hAnsi="Times New Roman" w:cs="Times New Roman"/>
        </w:rPr>
        <w:t>selection</w:t>
      </w:r>
      <w:r w:rsidRPr="00843F73">
        <w:rPr>
          <w:rFonts w:ascii="Times New Roman" w:hAnsi="Times New Roman" w:cs="Times New Roman"/>
          <w:spacing w:val="37"/>
        </w:rPr>
        <w:t xml:space="preserve"> </w:t>
      </w:r>
      <w:r w:rsidRPr="00843F73">
        <w:rPr>
          <w:rFonts w:ascii="Times New Roman" w:hAnsi="Times New Roman" w:cs="Times New Roman"/>
        </w:rPr>
        <w:t>method</w:t>
      </w:r>
      <w:r w:rsidRPr="00843F73">
        <w:rPr>
          <w:rFonts w:ascii="Times New Roman" w:hAnsi="Times New Roman" w:cs="Times New Roman"/>
          <w:spacing w:val="38"/>
        </w:rPr>
        <w:t xml:space="preserve"> </w:t>
      </w:r>
      <w:r w:rsidRPr="00843F73">
        <w:rPr>
          <w:rFonts w:ascii="Times New Roman" w:hAnsi="Times New Roman" w:cs="Times New Roman"/>
        </w:rPr>
        <w:t>for</w:t>
      </w:r>
      <w:r w:rsidRPr="00843F73">
        <w:rPr>
          <w:rFonts w:ascii="Times New Roman" w:hAnsi="Times New Roman" w:cs="Times New Roman"/>
          <w:spacing w:val="37"/>
        </w:rPr>
        <w:t xml:space="preserve"> </w:t>
      </w:r>
      <w:r w:rsidRPr="00843F73">
        <w:rPr>
          <w:rFonts w:ascii="Times New Roman" w:hAnsi="Times New Roman" w:cs="Times New Roman"/>
        </w:rPr>
        <w:t>Consultants,</w:t>
      </w:r>
      <w:r w:rsidRPr="00843F73">
        <w:rPr>
          <w:rFonts w:ascii="Times New Roman" w:hAnsi="Times New Roman" w:cs="Times New Roman"/>
          <w:spacing w:val="77"/>
          <w:w w:val="99"/>
        </w:rPr>
        <w:t xml:space="preserve"> </w:t>
      </w:r>
      <w:r w:rsidRPr="00843F73">
        <w:rPr>
          <w:rFonts w:ascii="Times New Roman" w:hAnsi="Times New Roman" w:cs="Times New Roman"/>
        </w:rPr>
        <w:t>quality</w:t>
      </w:r>
      <w:r w:rsidRPr="00843F73">
        <w:rPr>
          <w:rFonts w:ascii="Times New Roman" w:hAnsi="Times New Roman" w:cs="Times New Roman"/>
          <w:spacing w:val="8"/>
        </w:rPr>
        <w:t xml:space="preserve"> </w:t>
      </w:r>
      <w:r w:rsidRPr="00843F73">
        <w:rPr>
          <w:rFonts w:ascii="Times New Roman" w:hAnsi="Times New Roman" w:cs="Times New Roman"/>
        </w:rPr>
        <w:t>aspects</w:t>
      </w:r>
      <w:r w:rsidRPr="00843F73">
        <w:rPr>
          <w:rFonts w:ascii="Times New Roman" w:hAnsi="Times New Roman" w:cs="Times New Roman"/>
          <w:spacing w:val="9"/>
        </w:rPr>
        <w:t xml:space="preserve"> </w:t>
      </w:r>
      <w:r w:rsidRPr="00843F73">
        <w:rPr>
          <w:rFonts w:ascii="Times New Roman" w:hAnsi="Times New Roman" w:cs="Times New Roman"/>
        </w:rPr>
        <w:t>are</w:t>
      </w:r>
      <w:r w:rsidRPr="00843F73">
        <w:rPr>
          <w:rFonts w:ascii="Times New Roman" w:hAnsi="Times New Roman" w:cs="Times New Roman"/>
          <w:spacing w:val="9"/>
        </w:rPr>
        <w:t xml:space="preserve"> </w:t>
      </w:r>
      <w:r w:rsidRPr="00843F73">
        <w:rPr>
          <w:rFonts w:ascii="Times New Roman" w:hAnsi="Times New Roman" w:cs="Times New Roman"/>
        </w:rPr>
        <w:t>particularly</w:t>
      </w:r>
      <w:r w:rsidRPr="00843F73">
        <w:rPr>
          <w:rFonts w:ascii="Times New Roman" w:hAnsi="Times New Roman" w:cs="Times New Roman"/>
          <w:spacing w:val="10"/>
        </w:rPr>
        <w:t xml:space="preserve"> </w:t>
      </w:r>
      <w:r w:rsidRPr="00843F73">
        <w:rPr>
          <w:rFonts w:ascii="Times New Roman" w:hAnsi="Times New Roman" w:cs="Times New Roman"/>
        </w:rPr>
        <w:t>critical.</w:t>
      </w:r>
      <w:r w:rsidRPr="00843F73">
        <w:rPr>
          <w:rFonts w:ascii="Times New Roman" w:hAnsi="Times New Roman" w:cs="Times New Roman"/>
          <w:spacing w:val="18"/>
        </w:rPr>
        <w:t xml:space="preserve"> </w:t>
      </w:r>
      <w:r w:rsidRPr="00843F73">
        <w:rPr>
          <w:rFonts w:ascii="Times New Roman" w:hAnsi="Times New Roman" w:cs="Times New Roman"/>
        </w:rPr>
        <w:t>Selection</w:t>
      </w:r>
      <w:r w:rsidRPr="00843F73">
        <w:rPr>
          <w:rFonts w:ascii="Times New Roman" w:hAnsi="Times New Roman" w:cs="Times New Roman"/>
          <w:spacing w:val="9"/>
        </w:rPr>
        <w:t xml:space="preserve"> </w:t>
      </w:r>
      <w:r w:rsidRPr="00843F73">
        <w:rPr>
          <w:rFonts w:ascii="Times New Roman" w:hAnsi="Times New Roman" w:cs="Times New Roman"/>
        </w:rPr>
        <w:t>based</w:t>
      </w:r>
      <w:r w:rsidRPr="00843F73">
        <w:rPr>
          <w:rFonts w:ascii="Times New Roman" w:hAnsi="Times New Roman" w:cs="Times New Roman"/>
          <w:spacing w:val="9"/>
        </w:rPr>
        <w:t xml:space="preserve"> </w:t>
      </w:r>
      <w:r w:rsidRPr="00843F73">
        <w:rPr>
          <w:rFonts w:ascii="Times New Roman" w:hAnsi="Times New Roman" w:cs="Times New Roman"/>
        </w:rPr>
        <w:t>on</w:t>
      </w:r>
      <w:r w:rsidRPr="00843F73">
        <w:rPr>
          <w:rFonts w:ascii="Times New Roman" w:hAnsi="Times New Roman" w:cs="Times New Roman"/>
          <w:spacing w:val="9"/>
        </w:rPr>
        <w:t xml:space="preserve"> </w:t>
      </w:r>
      <w:r w:rsidRPr="00843F73">
        <w:rPr>
          <w:rFonts w:ascii="Times New Roman" w:hAnsi="Times New Roman" w:cs="Times New Roman"/>
        </w:rPr>
        <w:t>lowest</w:t>
      </w:r>
      <w:r w:rsidRPr="00843F73">
        <w:rPr>
          <w:rFonts w:ascii="Times New Roman" w:hAnsi="Times New Roman" w:cs="Times New Roman"/>
          <w:spacing w:val="9"/>
        </w:rPr>
        <w:t xml:space="preserve"> </w:t>
      </w:r>
      <w:r w:rsidRPr="00843F73">
        <w:rPr>
          <w:rFonts w:ascii="Times New Roman" w:hAnsi="Times New Roman" w:cs="Times New Roman"/>
        </w:rPr>
        <w:t>price</w:t>
      </w:r>
      <w:r w:rsidRPr="00843F73">
        <w:rPr>
          <w:rFonts w:ascii="Times New Roman" w:hAnsi="Times New Roman" w:cs="Times New Roman"/>
          <w:spacing w:val="9"/>
        </w:rPr>
        <w:t xml:space="preserve"> </w:t>
      </w:r>
      <w:r w:rsidRPr="00843F73">
        <w:rPr>
          <w:rFonts w:ascii="Times New Roman" w:hAnsi="Times New Roman" w:cs="Times New Roman"/>
        </w:rPr>
        <w:t>only</w:t>
      </w:r>
      <w:r w:rsidRPr="00843F73">
        <w:rPr>
          <w:rFonts w:ascii="Times New Roman" w:hAnsi="Times New Roman" w:cs="Times New Roman"/>
          <w:spacing w:val="9"/>
        </w:rPr>
        <w:t xml:space="preserve"> </w:t>
      </w:r>
      <w:r w:rsidRPr="00843F73">
        <w:rPr>
          <w:rFonts w:ascii="Times New Roman" w:hAnsi="Times New Roman" w:cs="Times New Roman"/>
        </w:rPr>
        <w:t>may</w:t>
      </w:r>
      <w:r w:rsidRPr="00843F73">
        <w:rPr>
          <w:rFonts w:ascii="Times New Roman" w:hAnsi="Times New Roman" w:cs="Times New Roman"/>
          <w:spacing w:val="9"/>
        </w:rPr>
        <w:t xml:space="preserve"> </w:t>
      </w:r>
      <w:r w:rsidRPr="00843F73">
        <w:rPr>
          <w:rFonts w:ascii="Times New Roman" w:hAnsi="Times New Roman" w:cs="Times New Roman"/>
        </w:rPr>
        <w:t>not</w:t>
      </w:r>
      <w:r w:rsidRPr="00843F73">
        <w:rPr>
          <w:rFonts w:ascii="Times New Roman" w:hAnsi="Times New Roman" w:cs="Times New Roman"/>
          <w:spacing w:val="9"/>
        </w:rPr>
        <w:t xml:space="preserve"> </w:t>
      </w:r>
      <w:r w:rsidRPr="00843F73">
        <w:rPr>
          <w:rFonts w:ascii="Times New Roman" w:hAnsi="Times New Roman" w:cs="Times New Roman"/>
        </w:rPr>
        <w:t>deliver</w:t>
      </w:r>
      <w:r w:rsidRPr="00843F73">
        <w:rPr>
          <w:rFonts w:ascii="Times New Roman" w:hAnsi="Times New Roman" w:cs="Times New Roman"/>
          <w:spacing w:val="10"/>
        </w:rPr>
        <w:t xml:space="preserve"> </w:t>
      </w:r>
      <w:r w:rsidRPr="00843F73">
        <w:rPr>
          <w:rFonts w:ascii="Times New Roman" w:hAnsi="Times New Roman" w:cs="Times New Roman"/>
        </w:rPr>
        <w:t>the</w:t>
      </w:r>
      <w:r w:rsidRPr="00843F73">
        <w:rPr>
          <w:rFonts w:ascii="Times New Roman" w:hAnsi="Times New Roman" w:cs="Times New Roman"/>
          <w:spacing w:val="53"/>
          <w:w w:val="99"/>
        </w:rPr>
        <w:t xml:space="preserve"> </w:t>
      </w:r>
      <w:r w:rsidRPr="00843F73">
        <w:rPr>
          <w:rFonts w:ascii="Times New Roman" w:hAnsi="Times New Roman" w:cs="Times New Roman"/>
        </w:rPr>
        <w:t>best VfM.</w:t>
      </w:r>
    </w:p>
    <w:p w14:paraId="6FC297ED" w14:textId="77777777" w:rsidR="00AC395A" w:rsidRPr="00843F73" w:rsidRDefault="00AC395A" w:rsidP="00AC395A">
      <w:pPr>
        <w:pStyle w:val="Normal0"/>
        <w:spacing w:after="0" w:line="240" w:lineRule="auto"/>
        <w:rPr>
          <w:rFonts w:ascii="Times New Roman" w:eastAsia="Calibri" w:hAnsi="Times New Roman" w:cs="Times New Roman"/>
          <w:sz w:val="19"/>
          <w:szCs w:val="19"/>
        </w:rPr>
      </w:pPr>
    </w:p>
    <w:p w14:paraId="34E5C982" w14:textId="77777777" w:rsidR="00CA17E6" w:rsidRPr="00843F73" w:rsidRDefault="00CA17E6" w:rsidP="00FA3650">
      <w:pPr>
        <w:pStyle w:val="Heading4"/>
        <w:rPr>
          <w:rFonts w:ascii="Times New Roman" w:hAnsi="Times New Roman" w:cs="Times New Roman"/>
          <w:color w:val="auto"/>
          <w:lang w:val="en-US"/>
        </w:rPr>
      </w:pPr>
      <w:r w:rsidRPr="00843F73">
        <w:rPr>
          <w:rFonts w:ascii="Times New Roman" w:hAnsi="Times New Roman" w:cs="Times New Roman"/>
          <w:color w:val="auto"/>
          <w:lang w:val="en-US"/>
        </w:rPr>
        <w:t>Market Approach Options</w:t>
      </w:r>
    </w:p>
    <w:p w14:paraId="6E70580A" w14:textId="77777777" w:rsidR="00CA17E6" w:rsidRPr="00843F73" w:rsidRDefault="00CA17E6" w:rsidP="00DA351C">
      <w:pPr>
        <w:pStyle w:val="Heading5"/>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Open Competition</w:t>
      </w:r>
    </w:p>
    <w:p w14:paraId="64CBA63F" w14:textId="1FC15CBF" w:rsidR="00CA17E6" w:rsidRPr="00843F73" w:rsidRDefault="00CA17E6" w:rsidP="00665F55">
      <w:pPr>
        <w:pStyle w:val="Normal0"/>
        <w:spacing w:after="120" w:line="240" w:lineRule="auto"/>
        <w:jc w:val="both"/>
        <w:rPr>
          <w:rFonts w:ascii="Times New Roman" w:eastAsia="Calibri" w:hAnsi="Times New Roman" w:cs="Times New Roman"/>
          <w:sz w:val="19"/>
          <w:szCs w:val="19"/>
        </w:rPr>
      </w:pPr>
      <w:r w:rsidRPr="00843F73">
        <w:rPr>
          <w:rFonts w:ascii="Times New Roman" w:hAnsi="Times New Roman" w:cs="Times New Roman"/>
        </w:rPr>
        <w:t>An</w:t>
      </w:r>
      <w:r w:rsidRPr="00843F73">
        <w:rPr>
          <w:rFonts w:ascii="Times New Roman" w:hAnsi="Times New Roman" w:cs="Times New Roman"/>
          <w:spacing w:val="43"/>
        </w:rPr>
        <w:t xml:space="preserve"> </w:t>
      </w:r>
      <w:r w:rsidRPr="00843F73">
        <w:rPr>
          <w:rFonts w:ascii="Times New Roman" w:hAnsi="Times New Roman" w:cs="Times New Roman"/>
        </w:rPr>
        <w:t>open</w:t>
      </w:r>
      <w:r w:rsidRPr="00843F73">
        <w:rPr>
          <w:rFonts w:ascii="Times New Roman" w:hAnsi="Times New Roman" w:cs="Times New Roman"/>
          <w:spacing w:val="43"/>
        </w:rPr>
        <w:t xml:space="preserve"> </w:t>
      </w:r>
      <w:r w:rsidRPr="00843F73">
        <w:rPr>
          <w:rFonts w:ascii="Times New Roman" w:hAnsi="Times New Roman" w:cs="Times New Roman"/>
        </w:rPr>
        <w:t>competitive</w:t>
      </w:r>
      <w:r w:rsidRPr="00843F73">
        <w:rPr>
          <w:rFonts w:ascii="Times New Roman" w:hAnsi="Times New Roman" w:cs="Times New Roman"/>
          <w:spacing w:val="43"/>
        </w:rPr>
        <w:t xml:space="preserve"> </w:t>
      </w:r>
      <w:r w:rsidRPr="00843F73">
        <w:rPr>
          <w:rFonts w:ascii="Times New Roman" w:hAnsi="Times New Roman" w:cs="Times New Roman"/>
        </w:rPr>
        <w:t>approach</w:t>
      </w:r>
      <w:r w:rsidRPr="00843F73">
        <w:rPr>
          <w:rFonts w:ascii="Times New Roman" w:hAnsi="Times New Roman" w:cs="Times New Roman"/>
          <w:spacing w:val="43"/>
        </w:rPr>
        <w:t xml:space="preserve"> </w:t>
      </w:r>
      <w:r w:rsidRPr="00843F73">
        <w:rPr>
          <w:rFonts w:ascii="Times New Roman" w:hAnsi="Times New Roman" w:cs="Times New Roman"/>
        </w:rPr>
        <w:t>to</w:t>
      </w:r>
      <w:r w:rsidRPr="00843F73">
        <w:rPr>
          <w:rFonts w:ascii="Times New Roman" w:hAnsi="Times New Roman" w:cs="Times New Roman"/>
          <w:spacing w:val="43"/>
        </w:rPr>
        <w:t xml:space="preserve"> </w:t>
      </w:r>
      <w:r w:rsidRPr="00843F73">
        <w:rPr>
          <w:rFonts w:ascii="Times New Roman" w:hAnsi="Times New Roman" w:cs="Times New Roman"/>
        </w:rPr>
        <w:t>market</w:t>
      </w:r>
      <w:r w:rsidRPr="00843F73">
        <w:rPr>
          <w:rFonts w:ascii="Times New Roman" w:hAnsi="Times New Roman" w:cs="Times New Roman"/>
          <w:spacing w:val="43"/>
        </w:rPr>
        <w:t xml:space="preserve"> </w:t>
      </w:r>
      <w:r w:rsidRPr="00843F73">
        <w:rPr>
          <w:rFonts w:ascii="Times New Roman" w:hAnsi="Times New Roman" w:cs="Times New Roman"/>
        </w:rPr>
        <w:t>provides</w:t>
      </w:r>
      <w:r w:rsidRPr="00843F73">
        <w:rPr>
          <w:rFonts w:ascii="Times New Roman" w:hAnsi="Times New Roman" w:cs="Times New Roman"/>
          <w:spacing w:val="43"/>
        </w:rPr>
        <w:t xml:space="preserve"> </w:t>
      </w:r>
      <w:r w:rsidRPr="00843F73">
        <w:rPr>
          <w:rFonts w:ascii="Times New Roman" w:hAnsi="Times New Roman" w:cs="Times New Roman"/>
        </w:rPr>
        <w:t>all</w:t>
      </w:r>
      <w:r w:rsidRPr="00843F73">
        <w:rPr>
          <w:rFonts w:ascii="Times New Roman" w:hAnsi="Times New Roman" w:cs="Times New Roman"/>
          <w:spacing w:val="43"/>
        </w:rPr>
        <w:t xml:space="preserve"> </w:t>
      </w:r>
      <w:r w:rsidRPr="00843F73">
        <w:rPr>
          <w:rFonts w:ascii="Times New Roman" w:hAnsi="Times New Roman" w:cs="Times New Roman"/>
        </w:rPr>
        <w:t>eligible</w:t>
      </w:r>
      <w:r w:rsidRPr="00843F73">
        <w:rPr>
          <w:rFonts w:ascii="Times New Roman" w:hAnsi="Times New Roman" w:cs="Times New Roman"/>
          <w:spacing w:val="43"/>
        </w:rPr>
        <w:t xml:space="preserve"> </w:t>
      </w:r>
      <w:r w:rsidRPr="00843F73">
        <w:rPr>
          <w:rFonts w:ascii="Times New Roman" w:hAnsi="Times New Roman" w:cs="Times New Roman"/>
        </w:rPr>
        <w:t>prospective</w:t>
      </w:r>
      <w:r w:rsidRPr="00843F73">
        <w:rPr>
          <w:rFonts w:ascii="Times New Roman" w:hAnsi="Times New Roman" w:cs="Times New Roman"/>
          <w:spacing w:val="43"/>
        </w:rPr>
        <w:t xml:space="preserve"> </w:t>
      </w:r>
      <w:r w:rsidRPr="00843F73">
        <w:rPr>
          <w:rFonts w:ascii="Times New Roman" w:hAnsi="Times New Roman" w:cs="Times New Roman"/>
        </w:rPr>
        <w:t>firms</w:t>
      </w:r>
      <w:r w:rsidRPr="00843F73">
        <w:rPr>
          <w:rFonts w:ascii="Times New Roman" w:hAnsi="Times New Roman" w:cs="Times New Roman"/>
          <w:spacing w:val="43"/>
        </w:rPr>
        <w:t xml:space="preserve"> </w:t>
      </w:r>
      <w:r w:rsidRPr="00843F73">
        <w:rPr>
          <w:rFonts w:ascii="Times New Roman" w:hAnsi="Times New Roman" w:cs="Times New Roman"/>
        </w:rPr>
        <w:t>or</w:t>
      </w:r>
      <w:r w:rsidRPr="00843F73">
        <w:rPr>
          <w:rFonts w:ascii="Times New Roman" w:hAnsi="Times New Roman" w:cs="Times New Roman"/>
          <w:spacing w:val="43"/>
        </w:rPr>
        <w:t xml:space="preserve"> </w:t>
      </w:r>
      <w:r w:rsidRPr="00843F73">
        <w:rPr>
          <w:rFonts w:ascii="Times New Roman" w:hAnsi="Times New Roman" w:cs="Times New Roman"/>
        </w:rPr>
        <w:t>individual</w:t>
      </w:r>
      <w:r w:rsidRPr="00843F73">
        <w:rPr>
          <w:rFonts w:ascii="Times New Roman" w:hAnsi="Times New Roman" w:cs="Times New Roman"/>
          <w:spacing w:val="80"/>
        </w:rPr>
        <w:t xml:space="preserve"> </w:t>
      </w:r>
      <w:r w:rsidRPr="00843F73">
        <w:rPr>
          <w:rFonts w:ascii="Times New Roman" w:hAnsi="Times New Roman" w:cs="Times New Roman"/>
        </w:rPr>
        <w:t>Consultants</w:t>
      </w:r>
      <w:r w:rsidRPr="00843F73">
        <w:rPr>
          <w:rFonts w:ascii="Times New Roman" w:hAnsi="Times New Roman" w:cs="Times New Roman"/>
          <w:spacing w:val="6"/>
        </w:rPr>
        <w:t xml:space="preserve"> </w:t>
      </w:r>
      <w:r w:rsidRPr="00843F73">
        <w:rPr>
          <w:rFonts w:ascii="Times New Roman" w:hAnsi="Times New Roman" w:cs="Times New Roman"/>
        </w:rPr>
        <w:t>with</w:t>
      </w:r>
      <w:r w:rsidRPr="00843F73">
        <w:rPr>
          <w:rFonts w:ascii="Times New Roman" w:hAnsi="Times New Roman" w:cs="Times New Roman"/>
          <w:spacing w:val="6"/>
        </w:rPr>
        <w:t xml:space="preserve"> </w:t>
      </w:r>
      <w:r w:rsidRPr="00843F73">
        <w:rPr>
          <w:rFonts w:ascii="Times New Roman" w:hAnsi="Times New Roman" w:cs="Times New Roman"/>
        </w:rPr>
        <w:t>timely</w:t>
      </w:r>
      <w:r w:rsidRPr="00843F73">
        <w:rPr>
          <w:rFonts w:ascii="Times New Roman" w:hAnsi="Times New Roman" w:cs="Times New Roman"/>
          <w:spacing w:val="7"/>
        </w:rPr>
        <w:t xml:space="preserve"> </w:t>
      </w:r>
      <w:r w:rsidRPr="00843F73">
        <w:rPr>
          <w:rFonts w:ascii="Times New Roman" w:hAnsi="Times New Roman" w:cs="Times New Roman"/>
        </w:rPr>
        <w:t>and</w:t>
      </w:r>
      <w:r w:rsidRPr="00843F73">
        <w:rPr>
          <w:rFonts w:ascii="Times New Roman" w:hAnsi="Times New Roman" w:cs="Times New Roman"/>
          <w:spacing w:val="6"/>
        </w:rPr>
        <w:t xml:space="preserve"> </w:t>
      </w:r>
      <w:r w:rsidRPr="00843F73">
        <w:rPr>
          <w:rFonts w:ascii="Times New Roman" w:hAnsi="Times New Roman" w:cs="Times New Roman"/>
        </w:rPr>
        <w:t>adequate</w:t>
      </w:r>
      <w:r w:rsidRPr="00843F73">
        <w:rPr>
          <w:rFonts w:ascii="Times New Roman" w:hAnsi="Times New Roman" w:cs="Times New Roman"/>
          <w:spacing w:val="7"/>
        </w:rPr>
        <w:t xml:space="preserve"> </w:t>
      </w:r>
      <w:r w:rsidRPr="00843F73">
        <w:rPr>
          <w:rFonts w:ascii="Times New Roman" w:hAnsi="Times New Roman" w:cs="Times New Roman"/>
        </w:rPr>
        <w:t>advertisement</w:t>
      </w:r>
      <w:r w:rsidRPr="00843F73">
        <w:rPr>
          <w:rFonts w:ascii="Times New Roman" w:hAnsi="Times New Roman" w:cs="Times New Roman"/>
          <w:spacing w:val="6"/>
        </w:rPr>
        <w:t xml:space="preserve"> </w:t>
      </w:r>
      <w:r w:rsidRPr="00843F73">
        <w:rPr>
          <w:rFonts w:ascii="Times New Roman" w:hAnsi="Times New Roman" w:cs="Times New Roman"/>
        </w:rPr>
        <w:t>of</w:t>
      </w:r>
      <w:r w:rsidRPr="00843F73">
        <w:rPr>
          <w:rFonts w:ascii="Times New Roman" w:hAnsi="Times New Roman" w:cs="Times New Roman"/>
          <w:spacing w:val="7"/>
        </w:rPr>
        <w:t xml:space="preserve"> </w:t>
      </w:r>
      <w:r w:rsidRPr="00843F73">
        <w:rPr>
          <w:rFonts w:ascii="Times New Roman" w:hAnsi="Times New Roman" w:cs="Times New Roman"/>
        </w:rPr>
        <w:t>a</w:t>
      </w:r>
      <w:r w:rsidRPr="00843F73">
        <w:rPr>
          <w:rFonts w:ascii="Times New Roman" w:hAnsi="Times New Roman" w:cs="Times New Roman"/>
          <w:spacing w:val="6"/>
        </w:rPr>
        <w:t xml:space="preserve"> </w:t>
      </w:r>
      <w:r w:rsidRPr="00843F73">
        <w:rPr>
          <w:rFonts w:ascii="Times New Roman" w:hAnsi="Times New Roman" w:cs="Times New Roman"/>
        </w:rPr>
        <w:t>Borrower’s</w:t>
      </w:r>
      <w:r w:rsidRPr="00843F73">
        <w:rPr>
          <w:rFonts w:ascii="Times New Roman" w:hAnsi="Times New Roman" w:cs="Times New Roman"/>
          <w:spacing w:val="7"/>
        </w:rPr>
        <w:t xml:space="preserve"> </w:t>
      </w:r>
      <w:r w:rsidRPr="00843F73">
        <w:rPr>
          <w:rFonts w:ascii="Times New Roman" w:hAnsi="Times New Roman" w:cs="Times New Roman"/>
        </w:rPr>
        <w:t>requirements</w:t>
      </w:r>
      <w:r w:rsidRPr="00843F73">
        <w:rPr>
          <w:rFonts w:ascii="Times New Roman" w:hAnsi="Times New Roman" w:cs="Times New Roman"/>
          <w:spacing w:val="6"/>
        </w:rPr>
        <w:t xml:space="preserve"> </w:t>
      </w:r>
      <w:r w:rsidRPr="00843F73">
        <w:rPr>
          <w:rFonts w:ascii="Times New Roman" w:hAnsi="Times New Roman" w:cs="Times New Roman"/>
        </w:rPr>
        <w:t>and</w:t>
      </w:r>
      <w:r w:rsidRPr="00843F73">
        <w:rPr>
          <w:rFonts w:ascii="Times New Roman" w:hAnsi="Times New Roman" w:cs="Times New Roman"/>
          <w:spacing w:val="6"/>
        </w:rPr>
        <w:t xml:space="preserve"> </w:t>
      </w:r>
      <w:r w:rsidRPr="00843F73">
        <w:rPr>
          <w:rFonts w:ascii="Times New Roman" w:hAnsi="Times New Roman" w:cs="Times New Roman"/>
        </w:rPr>
        <w:t>an</w:t>
      </w:r>
      <w:r w:rsidRPr="00843F73">
        <w:rPr>
          <w:rFonts w:ascii="Times New Roman" w:hAnsi="Times New Roman" w:cs="Times New Roman"/>
          <w:spacing w:val="7"/>
        </w:rPr>
        <w:t xml:space="preserve"> </w:t>
      </w:r>
      <w:r w:rsidRPr="00843F73">
        <w:rPr>
          <w:rFonts w:ascii="Times New Roman" w:hAnsi="Times New Roman" w:cs="Times New Roman"/>
        </w:rPr>
        <w:t>equal</w:t>
      </w:r>
      <w:r w:rsidRPr="00843F73">
        <w:rPr>
          <w:rFonts w:ascii="Times New Roman" w:hAnsi="Times New Roman" w:cs="Times New Roman"/>
          <w:spacing w:val="82"/>
        </w:rPr>
        <w:t xml:space="preserve"> </w:t>
      </w:r>
      <w:r w:rsidRPr="00843F73">
        <w:rPr>
          <w:rFonts w:ascii="Times New Roman" w:hAnsi="Times New Roman" w:cs="Times New Roman"/>
        </w:rPr>
        <w:t>opportunity</w:t>
      </w:r>
      <w:r w:rsidRPr="00843F73">
        <w:rPr>
          <w:rFonts w:ascii="Times New Roman" w:hAnsi="Times New Roman" w:cs="Times New Roman"/>
          <w:spacing w:val="21"/>
        </w:rPr>
        <w:t xml:space="preserve"> </w:t>
      </w:r>
      <w:r w:rsidRPr="00843F73">
        <w:rPr>
          <w:rFonts w:ascii="Times New Roman" w:hAnsi="Times New Roman" w:cs="Times New Roman"/>
        </w:rPr>
        <w:t>to</w:t>
      </w:r>
      <w:r w:rsidRPr="00843F73">
        <w:rPr>
          <w:rFonts w:ascii="Times New Roman" w:hAnsi="Times New Roman" w:cs="Times New Roman"/>
          <w:spacing w:val="20"/>
        </w:rPr>
        <w:t xml:space="preserve"> </w:t>
      </w:r>
      <w:r w:rsidRPr="00843F73">
        <w:rPr>
          <w:rFonts w:ascii="Times New Roman" w:hAnsi="Times New Roman" w:cs="Times New Roman"/>
        </w:rPr>
        <w:t>provide</w:t>
      </w:r>
      <w:r w:rsidRPr="00843F73">
        <w:rPr>
          <w:rFonts w:ascii="Times New Roman" w:hAnsi="Times New Roman" w:cs="Times New Roman"/>
          <w:spacing w:val="20"/>
        </w:rPr>
        <w:t xml:space="preserve"> </w:t>
      </w:r>
      <w:r w:rsidRPr="00843F73">
        <w:rPr>
          <w:rFonts w:ascii="Times New Roman" w:hAnsi="Times New Roman" w:cs="Times New Roman"/>
        </w:rPr>
        <w:t>the</w:t>
      </w:r>
      <w:r w:rsidRPr="00843F73">
        <w:rPr>
          <w:rFonts w:ascii="Times New Roman" w:hAnsi="Times New Roman" w:cs="Times New Roman"/>
          <w:spacing w:val="21"/>
        </w:rPr>
        <w:t xml:space="preserve"> </w:t>
      </w:r>
      <w:r w:rsidRPr="00843F73">
        <w:rPr>
          <w:rFonts w:ascii="Times New Roman" w:hAnsi="Times New Roman" w:cs="Times New Roman"/>
        </w:rPr>
        <w:t>required</w:t>
      </w:r>
      <w:r w:rsidRPr="00843F73">
        <w:rPr>
          <w:rFonts w:ascii="Times New Roman" w:hAnsi="Times New Roman" w:cs="Times New Roman"/>
          <w:spacing w:val="21"/>
        </w:rPr>
        <w:t xml:space="preserve"> </w:t>
      </w:r>
      <w:r w:rsidRPr="00843F73">
        <w:rPr>
          <w:rFonts w:ascii="Times New Roman" w:hAnsi="Times New Roman" w:cs="Times New Roman"/>
        </w:rPr>
        <w:t>Consulting</w:t>
      </w:r>
      <w:r w:rsidRPr="00843F73">
        <w:rPr>
          <w:rFonts w:ascii="Times New Roman" w:hAnsi="Times New Roman" w:cs="Times New Roman"/>
          <w:spacing w:val="20"/>
        </w:rPr>
        <w:t xml:space="preserve"> </w:t>
      </w:r>
      <w:r w:rsidRPr="00843F73">
        <w:rPr>
          <w:rFonts w:ascii="Times New Roman" w:hAnsi="Times New Roman" w:cs="Times New Roman"/>
        </w:rPr>
        <w:t>Services.</w:t>
      </w:r>
      <w:r w:rsidRPr="00843F73">
        <w:rPr>
          <w:rFonts w:ascii="Times New Roman" w:hAnsi="Times New Roman" w:cs="Times New Roman"/>
          <w:spacing w:val="42"/>
        </w:rPr>
        <w:t xml:space="preserve"> </w:t>
      </w:r>
      <w:r w:rsidRPr="00843F73">
        <w:rPr>
          <w:rFonts w:ascii="Times New Roman" w:hAnsi="Times New Roman" w:cs="Times New Roman"/>
        </w:rPr>
        <w:t>Open,</w:t>
      </w:r>
      <w:r w:rsidRPr="00843F73">
        <w:rPr>
          <w:rFonts w:ascii="Times New Roman" w:hAnsi="Times New Roman" w:cs="Times New Roman"/>
          <w:spacing w:val="22"/>
        </w:rPr>
        <w:t xml:space="preserve"> </w:t>
      </w:r>
      <w:r w:rsidRPr="00843F73">
        <w:rPr>
          <w:rFonts w:ascii="Times New Roman" w:hAnsi="Times New Roman" w:cs="Times New Roman"/>
        </w:rPr>
        <w:t>competitive</w:t>
      </w:r>
      <w:r w:rsidRPr="00843F73">
        <w:rPr>
          <w:rFonts w:ascii="Times New Roman" w:hAnsi="Times New Roman" w:cs="Times New Roman"/>
          <w:spacing w:val="20"/>
        </w:rPr>
        <w:t xml:space="preserve"> </w:t>
      </w:r>
      <w:r w:rsidRPr="00843F73">
        <w:rPr>
          <w:rFonts w:ascii="Times New Roman" w:hAnsi="Times New Roman" w:cs="Times New Roman"/>
        </w:rPr>
        <w:t>procurement</w:t>
      </w:r>
      <w:r w:rsidRPr="00843F73">
        <w:rPr>
          <w:rFonts w:ascii="Times New Roman" w:hAnsi="Times New Roman" w:cs="Times New Roman"/>
          <w:spacing w:val="77"/>
          <w:w w:val="99"/>
        </w:rPr>
        <w:t xml:space="preserve"> </w:t>
      </w:r>
      <w:r w:rsidRPr="00843F73">
        <w:rPr>
          <w:rFonts w:ascii="Times New Roman" w:hAnsi="Times New Roman" w:cs="Times New Roman"/>
        </w:rPr>
        <w:t>approaches,</w:t>
      </w:r>
      <w:r w:rsidRPr="00843F73">
        <w:rPr>
          <w:rFonts w:ascii="Times New Roman" w:hAnsi="Times New Roman" w:cs="Times New Roman"/>
          <w:spacing w:val="35"/>
        </w:rPr>
        <w:t xml:space="preserve"> </w:t>
      </w:r>
      <w:r w:rsidRPr="00843F73">
        <w:rPr>
          <w:rFonts w:ascii="Times New Roman" w:hAnsi="Times New Roman" w:cs="Times New Roman"/>
        </w:rPr>
        <w:t>including</w:t>
      </w:r>
      <w:r w:rsidRPr="00843F73">
        <w:rPr>
          <w:rFonts w:ascii="Times New Roman" w:hAnsi="Times New Roman" w:cs="Times New Roman"/>
          <w:spacing w:val="37"/>
        </w:rPr>
        <w:t xml:space="preserve"> </w:t>
      </w:r>
      <w:r w:rsidRPr="00843F73">
        <w:rPr>
          <w:rFonts w:ascii="Times New Roman" w:hAnsi="Times New Roman" w:cs="Times New Roman"/>
        </w:rPr>
        <w:t>the</w:t>
      </w:r>
      <w:r w:rsidRPr="00843F73">
        <w:rPr>
          <w:rFonts w:ascii="Times New Roman" w:hAnsi="Times New Roman" w:cs="Times New Roman"/>
          <w:spacing w:val="35"/>
        </w:rPr>
        <w:t xml:space="preserve"> </w:t>
      </w:r>
      <w:r w:rsidRPr="00843F73">
        <w:rPr>
          <w:rFonts w:ascii="Times New Roman" w:hAnsi="Times New Roman" w:cs="Times New Roman"/>
        </w:rPr>
        <w:t>advertisement</w:t>
      </w:r>
      <w:r w:rsidRPr="00843F73">
        <w:rPr>
          <w:rFonts w:ascii="Times New Roman" w:hAnsi="Times New Roman" w:cs="Times New Roman"/>
          <w:spacing w:val="36"/>
        </w:rPr>
        <w:t xml:space="preserve"> </w:t>
      </w:r>
      <w:r w:rsidRPr="00843F73">
        <w:rPr>
          <w:rFonts w:ascii="Times New Roman" w:hAnsi="Times New Roman" w:cs="Times New Roman"/>
        </w:rPr>
        <w:t>for</w:t>
      </w:r>
      <w:r w:rsidRPr="00843F73">
        <w:rPr>
          <w:rFonts w:ascii="Times New Roman" w:hAnsi="Times New Roman" w:cs="Times New Roman"/>
          <w:spacing w:val="37"/>
        </w:rPr>
        <w:t xml:space="preserve"> </w:t>
      </w:r>
      <w:r w:rsidRPr="00843F73">
        <w:rPr>
          <w:rFonts w:ascii="Times New Roman" w:hAnsi="Times New Roman" w:cs="Times New Roman"/>
        </w:rPr>
        <w:t>EoI,</w:t>
      </w:r>
      <w:r w:rsidRPr="00843F73">
        <w:rPr>
          <w:rFonts w:ascii="Times New Roman" w:hAnsi="Times New Roman" w:cs="Times New Roman"/>
          <w:spacing w:val="36"/>
        </w:rPr>
        <w:t xml:space="preserve"> </w:t>
      </w:r>
      <w:r w:rsidRPr="00843F73">
        <w:rPr>
          <w:rFonts w:ascii="Times New Roman" w:hAnsi="Times New Roman" w:cs="Times New Roman"/>
        </w:rPr>
        <w:t>is</w:t>
      </w:r>
      <w:r w:rsidRPr="00843F73">
        <w:rPr>
          <w:rFonts w:ascii="Times New Roman" w:hAnsi="Times New Roman" w:cs="Times New Roman"/>
          <w:spacing w:val="36"/>
        </w:rPr>
        <w:t xml:space="preserve"> </w:t>
      </w:r>
      <w:r w:rsidRPr="00843F73">
        <w:rPr>
          <w:rFonts w:ascii="Times New Roman" w:hAnsi="Times New Roman" w:cs="Times New Roman"/>
        </w:rPr>
        <w:t>the</w:t>
      </w:r>
      <w:r w:rsidRPr="00843F73">
        <w:rPr>
          <w:rFonts w:ascii="Times New Roman" w:hAnsi="Times New Roman" w:cs="Times New Roman"/>
          <w:spacing w:val="36"/>
        </w:rPr>
        <w:t xml:space="preserve"> </w:t>
      </w:r>
      <w:r w:rsidRPr="00843F73">
        <w:rPr>
          <w:rFonts w:ascii="Times New Roman" w:hAnsi="Times New Roman" w:cs="Times New Roman"/>
        </w:rPr>
        <w:t>preferred</w:t>
      </w:r>
      <w:r w:rsidRPr="00843F73">
        <w:rPr>
          <w:rFonts w:ascii="Times New Roman" w:hAnsi="Times New Roman" w:cs="Times New Roman"/>
          <w:spacing w:val="35"/>
        </w:rPr>
        <w:t xml:space="preserve"> </w:t>
      </w:r>
      <w:r w:rsidRPr="00843F73">
        <w:rPr>
          <w:rFonts w:ascii="Times New Roman" w:hAnsi="Times New Roman" w:cs="Times New Roman"/>
        </w:rPr>
        <w:t>approach</w:t>
      </w:r>
      <w:r w:rsidRPr="00843F73">
        <w:rPr>
          <w:rFonts w:ascii="Times New Roman" w:hAnsi="Times New Roman" w:cs="Times New Roman"/>
          <w:spacing w:val="37"/>
        </w:rPr>
        <w:t xml:space="preserve"> </w:t>
      </w:r>
      <w:r w:rsidRPr="00843F73">
        <w:rPr>
          <w:rFonts w:ascii="Times New Roman" w:hAnsi="Times New Roman" w:cs="Times New Roman"/>
        </w:rPr>
        <w:t>for</w:t>
      </w:r>
      <w:r w:rsidRPr="00843F73">
        <w:rPr>
          <w:rFonts w:ascii="Times New Roman" w:hAnsi="Times New Roman" w:cs="Times New Roman"/>
          <w:spacing w:val="36"/>
        </w:rPr>
        <w:t xml:space="preserve"> </w:t>
      </w:r>
      <w:r w:rsidRPr="00843F73">
        <w:rPr>
          <w:rFonts w:ascii="Times New Roman" w:hAnsi="Times New Roman" w:cs="Times New Roman"/>
        </w:rPr>
        <w:t>Bank-financed</w:t>
      </w:r>
      <w:r w:rsidRPr="00843F73">
        <w:rPr>
          <w:rFonts w:ascii="Times New Roman" w:hAnsi="Times New Roman" w:cs="Times New Roman"/>
          <w:spacing w:val="97"/>
        </w:rPr>
        <w:t xml:space="preserve"> </w:t>
      </w:r>
      <w:r w:rsidRPr="00843F73">
        <w:rPr>
          <w:rFonts w:ascii="Times New Roman" w:hAnsi="Times New Roman" w:cs="Times New Roman"/>
        </w:rPr>
        <w:t>selection of Consultants.</w:t>
      </w:r>
    </w:p>
    <w:p w14:paraId="73B5B053" w14:textId="77777777" w:rsidR="00CA17E6" w:rsidRPr="00843F73" w:rsidRDefault="00CA17E6" w:rsidP="00665F55">
      <w:pPr>
        <w:pStyle w:val="Heading5"/>
        <w:jc w:val="both"/>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Limited Competition</w:t>
      </w:r>
    </w:p>
    <w:p w14:paraId="03B5E8B6" w14:textId="77777777" w:rsidR="008E6F47"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Limited</w:t>
      </w:r>
      <w:r w:rsidRPr="00843F73">
        <w:rPr>
          <w:rFonts w:ascii="Times New Roman" w:hAnsi="Times New Roman" w:cs="Times New Roman"/>
          <w:spacing w:val="14"/>
        </w:rPr>
        <w:t xml:space="preserve"> </w:t>
      </w:r>
      <w:r w:rsidRPr="00843F73">
        <w:rPr>
          <w:rFonts w:ascii="Times New Roman" w:hAnsi="Times New Roman" w:cs="Times New Roman"/>
        </w:rPr>
        <w:t>competition</w:t>
      </w:r>
      <w:r w:rsidRPr="00843F73">
        <w:rPr>
          <w:rFonts w:ascii="Times New Roman" w:hAnsi="Times New Roman" w:cs="Times New Roman"/>
          <w:spacing w:val="14"/>
        </w:rPr>
        <w:t xml:space="preserve"> </w:t>
      </w:r>
      <w:r w:rsidRPr="00843F73">
        <w:rPr>
          <w:rFonts w:ascii="Times New Roman" w:hAnsi="Times New Roman" w:cs="Times New Roman"/>
        </w:rPr>
        <w:t>is</w:t>
      </w:r>
      <w:r w:rsidRPr="00843F73">
        <w:rPr>
          <w:rFonts w:ascii="Times New Roman" w:hAnsi="Times New Roman" w:cs="Times New Roman"/>
          <w:spacing w:val="14"/>
        </w:rPr>
        <w:t xml:space="preserve"> </w:t>
      </w:r>
      <w:r w:rsidRPr="00843F73">
        <w:rPr>
          <w:rFonts w:ascii="Times New Roman" w:hAnsi="Times New Roman" w:cs="Times New Roman"/>
        </w:rPr>
        <w:t>competitive</w:t>
      </w:r>
      <w:r w:rsidRPr="00843F73">
        <w:rPr>
          <w:rFonts w:ascii="Times New Roman" w:hAnsi="Times New Roman" w:cs="Times New Roman"/>
          <w:spacing w:val="14"/>
        </w:rPr>
        <w:t xml:space="preserve"> </w:t>
      </w:r>
      <w:r w:rsidRPr="00843F73">
        <w:rPr>
          <w:rFonts w:ascii="Times New Roman" w:hAnsi="Times New Roman" w:cs="Times New Roman"/>
        </w:rPr>
        <w:t>selection</w:t>
      </w:r>
      <w:r w:rsidRPr="00843F73">
        <w:rPr>
          <w:rFonts w:ascii="Times New Roman" w:hAnsi="Times New Roman" w:cs="Times New Roman"/>
          <w:spacing w:val="14"/>
        </w:rPr>
        <w:t xml:space="preserve"> </w:t>
      </w:r>
      <w:r w:rsidRPr="00843F73">
        <w:rPr>
          <w:rFonts w:ascii="Times New Roman" w:hAnsi="Times New Roman" w:cs="Times New Roman"/>
        </w:rPr>
        <w:t>in</w:t>
      </w:r>
      <w:r w:rsidRPr="00843F73">
        <w:rPr>
          <w:rFonts w:ascii="Times New Roman" w:hAnsi="Times New Roman" w:cs="Times New Roman"/>
          <w:spacing w:val="14"/>
        </w:rPr>
        <w:t xml:space="preserve"> </w:t>
      </w:r>
      <w:r w:rsidRPr="00843F73">
        <w:rPr>
          <w:rFonts w:ascii="Times New Roman" w:hAnsi="Times New Roman" w:cs="Times New Roman"/>
        </w:rPr>
        <w:t>which</w:t>
      </w:r>
      <w:r w:rsidRPr="00843F73">
        <w:rPr>
          <w:rFonts w:ascii="Times New Roman" w:hAnsi="Times New Roman" w:cs="Times New Roman"/>
          <w:spacing w:val="15"/>
        </w:rPr>
        <w:t xml:space="preserve"> </w:t>
      </w:r>
      <w:r w:rsidRPr="00843F73">
        <w:rPr>
          <w:rFonts w:ascii="Times New Roman" w:hAnsi="Times New Roman" w:cs="Times New Roman"/>
        </w:rPr>
        <w:t>the</w:t>
      </w:r>
      <w:r w:rsidRPr="00843F73">
        <w:rPr>
          <w:rFonts w:ascii="Times New Roman" w:hAnsi="Times New Roman" w:cs="Times New Roman"/>
          <w:spacing w:val="14"/>
        </w:rPr>
        <w:t xml:space="preserve"> </w:t>
      </w:r>
      <w:r w:rsidRPr="00F94C4F">
        <w:rPr>
          <w:rFonts w:ascii="Times New Roman" w:hAnsi="Times New Roman" w:cs="Times New Roman"/>
        </w:rPr>
        <w:t>Borrower</w:t>
      </w:r>
      <w:r w:rsidRPr="00843F73">
        <w:rPr>
          <w:rFonts w:ascii="Times New Roman" w:hAnsi="Times New Roman" w:cs="Times New Roman"/>
          <w:spacing w:val="14"/>
        </w:rPr>
        <w:t xml:space="preserve"> </w:t>
      </w:r>
      <w:r w:rsidRPr="00843F73">
        <w:rPr>
          <w:rFonts w:ascii="Times New Roman" w:hAnsi="Times New Roman" w:cs="Times New Roman"/>
        </w:rPr>
        <w:t>prepares</w:t>
      </w:r>
      <w:r w:rsidRPr="00843F73">
        <w:rPr>
          <w:rFonts w:ascii="Times New Roman" w:hAnsi="Times New Roman" w:cs="Times New Roman"/>
          <w:spacing w:val="14"/>
        </w:rPr>
        <w:t xml:space="preserve"> </w:t>
      </w:r>
      <w:r w:rsidRPr="00843F73">
        <w:rPr>
          <w:rFonts w:ascii="Times New Roman" w:hAnsi="Times New Roman" w:cs="Times New Roman"/>
        </w:rPr>
        <w:t>a</w:t>
      </w:r>
      <w:r w:rsidRPr="00843F73">
        <w:rPr>
          <w:rFonts w:ascii="Times New Roman" w:hAnsi="Times New Roman" w:cs="Times New Roman"/>
          <w:spacing w:val="14"/>
        </w:rPr>
        <w:t xml:space="preserve"> </w:t>
      </w:r>
      <w:r w:rsidRPr="00843F73">
        <w:rPr>
          <w:rFonts w:ascii="Times New Roman" w:hAnsi="Times New Roman" w:cs="Times New Roman"/>
        </w:rPr>
        <w:t>Shortlist</w:t>
      </w:r>
      <w:r w:rsidRPr="00843F73">
        <w:rPr>
          <w:rFonts w:ascii="Times New Roman" w:hAnsi="Times New Roman" w:cs="Times New Roman"/>
          <w:spacing w:val="14"/>
        </w:rPr>
        <w:t xml:space="preserve"> </w:t>
      </w:r>
      <w:r w:rsidRPr="00843F73">
        <w:rPr>
          <w:rFonts w:ascii="Times New Roman" w:hAnsi="Times New Roman" w:cs="Times New Roman"/>
        </w:rPr>
        <w:t>without</w:t>
      </w:r>
      <w:r w:rsidRPr="00843F73">
        <w:rPr>
          <w:rFonts w:ascii="Times New Roman" w:hAnsi="Times New Roman" w:cs="Times New Roman"/>
          <w:spacing w:val="102"/>
        </w:rPr>
        <w:t xml:space="preserve"> </w:t>
      </w:r>
      <w:r w:rsidRPr="00843F73">
        <w:rPr>
          <w:rFonts w:ascii="Times New Roman" w:hAnsi="Times New Roman" w:cs="Times New Roman"/>
        </w:rPr>
        <w:t>advertisement.</w:t>
      </w:r>
      <w:r w:rsidRPr="00843F73">
        <w:rPr>
          <w:rFonts w:ascii="Times New Roman" w:hAnsi="Times New Roman" w:cs="Times New Roman"/>
          <w:spacing w:val="16"/>
        </w:rPr>
        <w:t xml:space="preserve"> </w:t>
      </w:r>
      <w:r w:rsidRPr="00843F73">
        <w:rPr>
          <w:rFonts w:ascii="Times New Roman" w:hAnsi="Times New Roman" w:cs="Times New Roman"/>
        </w:rPr>
        <w:t>It</w:t>
      </w:r>
      <w:r w:rsidRPr="00843F73">
        <w:rPr>
          <w:rFonts w:ascii="Times New Roman" w:hAnsi="Times New Roman" w:cs="Times New Roman"/>
          <w:spacing w:val="8"/>
        </w:rPr>
        <w:t xml:space="preserve"> </w:t>
      </w:r>
      <w:r w:rsidRPr="00843F73">
        <w:rPr>
          <w:rFonts w:ascii="Times New Roman" w:hAnsi="Times New Roman" w:cs="Times New Roman"/>
        </w:rPr>
        <w:t>may</w:t>
      </w:r>
      <w:r w:rsidRPr="00843F73">
        <w:rPr>
          <w:rFonts w:ascii="Times New Roman" w:hAnsi="Times New Roman" w:cs="Times New Roman"/>
          <w:spacing w:val="8"/>
        </w:rPr>
        <w:t xml:space="preserve"> </w:t>
      </w:r>
      <w:r w:rsidRPr="00843F73">
        <w:rPr>
          <w:rFonts w:ascii="Times New Roman" w:hAnsi="Times New Roman" w:cs="Times New Roman"/>
        </w:rPr>
        <w:t>be</w:t>
      </w:r>
      <w:r w:rsidRPr="00843F73">
        <w:rPr>
          <w:rFonts w:ascii="Times New Roman" w:hAnsi="Times New Roman" w:cs="Times New Roman"/>
          <w:spacing w:val="8"/>
        </w:rPr>
        <w:t xml:space="preserve"> </w:t>
      </w:r>
      <w:r w:rsidRPr="00843F73">
        <w:rPr>
          <w:rFonts w:ascii="Times New Roman" w:hAnsi="Times New Roman" w:cs="Times New Roman"/>
        </w:rPr>
        <w:t>appropriate</w:t>
      </w:r>
      <w:r w:rsidRPr="00843F73">
        <w:rPr>
          <w:rFonts w:ascii="Times New Roman" w:hAnsi="Times New Roman" w:cs="Times New Roman"/>
          <w:spacing w:val="10"/>
        </w:rPr>
        <w:t xml:space="preserve"> </w:t>
      </w:r>
      <w:r w:rsidRPr="00843F73">
        <w:rPr>
          <w:rFonts w:ascii="Times New Roman" w:hAnsi="Times New Roman" w:cs="Times New Roman"/>
        </w:rPr>
        <w:t>when</w:t>
      </w:r>
      <w:r w:rsidRPr="00843F73">
        <w:rPr>
          <w:rFonts w:ascii="Times New Roman" w:hAnsi="Times New Roman" w:cs="Times New Roman"/>
          <w:spacing w:val="8"/>
        </w:rPr>
        <w:t xml:space="preserve"> </w:t>
      </w:r>
      <w:r w:rsidRPr="00843F73">
        <w:rPr>
          <w:rFonts w:ascii="Times New Roman" w:hAnsi="Times New Roman" w:cs="Times New Roman"/>
        </w:rPr>
        <w:t>there</w:t>
      </w:r>
      <w:r w:rsidRPr="00843F73">
        <w:rPr>
          <w:rFonts w:ascii="Times New Roman" w:hAnsi="Times New Roman" w:cs="Times New Roman"/>
          <w:spacing w:val="8"/>
        </w:rPr>
        <w:t xml:space="preserve"> </w:t>
      </w:r>
      <w:r w:rsidRPr="00843F73">
        <w:rPr>
          <w:rFonts w:ascii="Times New Roman" w:hAnsi="Times New Roman" w:cs="Times New Roman"/>
        </w:rPr>
        <w:t>are</w:t>
      </w:r>
      <w:r w:rsidRPr="00843F73">
        <w:rPr>
          <w:rFonts w:ascii="Times New Roman" w:hAnsi="Times New Roman" w:cs="Times New Roman"/>
          <w:spacing w:val="8"/>
        </w:rPr>
        <w:t xml:space="preserve"> </w:t>
      </w:r>
      <w:r w:rsidRPr="00843F73">
        <w:rPr>
          <w:rFonts w:ascii="Times New Roman" w:hAnsi="Times New Roman" w:cs="Times New Roman"/>
        </w:rPr>
        <w:t>only</w:t>
      </w:r>
      <w:r w:rsidRPr="00843F73">
        <w:rPr>
          <w:rFonts w:ascii="Times New Roman" w:hAnsi="Times New Roman" w:cs="Times New Roman"/>
          <w:spacing w:val="8"/>
        </w:rPr>
        <w:t xml:space="preserve"> </w:t>
      </w:r>
      <w:r w:rsidRPr="00843F73">
        <w:rPr>
          <w:rFonts w:ascii="Times New Roman" w:hAnsi="Times New Roman" w:cs="Times New Roman"/>
        </w:rPr>
        <w:t>a</w:t>
      </w:r>
      <w:r w:rsidRPr="00843F73">
        <w:rPr>
          <w:rFonts w:ascii="Times New Roman" w:hAnsi="Times New Roman" w:cs="Times New Roman"/>
          <w:spacing w:val="8"/>
        </w:rPr>
        <w:t xml:space="preserve"> </w:t>
      </w:r>
      <w:r w:rsidRPr="00843F73">
        <w:rPr>
          <w:rFonts w:ascii="Times New Roman" w:hAnsi="Times New Roman" w:cs="Times New Roman"/>
        </w:rPr>
        <w:t>limited</w:t>
      </w:r>
      <w:r w:rsidRPr="00843F73">
        <w:rPr>
          <w:rFonts w:ascii="Times New Roman" w:hAnsi="Times New Roman" w:cs="Times New Roman"/>
          <w:spacing w:val="8"/>
        </w:rPr>
        <w:t xml:space="preserve"> </w:t>
      </w:r>
      <w:r w:rsidRPr="00843F73">
        <w:rPr>
          <w:rFonts w:ascii="Times New Roman" w:hAnsi="Times New Roman" w:cs="Times New Roman"/>
        </w:rPr>
        <w:t>number</w:t>
      </w:r>
      <w:r w:rsidRPr="00843F73">
        <w:rPr>
          <w:rFonts w:ascii="Times New Roman" w:hAnsi="Times New Roman" w:cs="Times New Roman"/>
          <w:spacing w:val="9"/>
        </w:rPr>
        <w:t xml:space="preserve"> </w:t>
      </w:r>
      <w:r w:rsidRPr="00843F73">
        <w:rPr>
          <w:rFonts w:ascii="Times New Roman" w:hAnsi="Times New Roman" w:cs="Times New Roman"/>
        </w:rPr>
        <w:t>of</w:t>
      </w:r>
      <w:r w:rsidRPr="00843F73">
        <w:rPr>
          <w:rFonts w:ascii="Times New Roman" w:hAnsi="Times New Roman" w:cs="Times New Roman"/>
          <w:spacing w:val="9"/>
        </w:rPr>
        <w:t xml:space="preserve"> </w:t>
      </w:r>
      <w:r w:rsidRPr="00843F73">
        <w:rPr>
          <w:rFonts w:ascii="Times New Roman" w:hAnsi="Times New Roman" w:cs="Times New Roman"/>
        </w:rPr>
        <w:t>qualified</w:t>
      </w:r>
      <w:r w:rsidRPr="00843F73">
        <w:rPr>
          <w:rFonts w:ascii="Times New Roman" w:hAnsi="Times New Roman" w:cs="Times New Roman"/>
          <w:spacing w:val="70"/>
        </w:rPr>
        <w:t xml:space="preserve"> </w:t>
      </w:r>
      <w:r w:rsidRPr="00843F73">
        <w:rPr>
          <w:rFonts w:ascii="Times New Roman" w:hAnsi="Times New Roman" w:cs="Times New Roman"/>
        </w:rPr>
        <w:t>Consultants</w:t>
      </w:r>
      <w:r w:rsidRPr="00843F73">
        <w:rPr>
          <w:rFonts w:ascii="Times New Roman" w:hAnsi="Times New Roman" w:cs="Times New Roman"/>
          <w:spacing w:val="22"/>
        </w:rPr>
        <w:t xml:space="preserve"> </w:t>
      </w:r>
      <w:r w:rsidRPr="00843F73">
        <w:rPr>
          <w:rFonts w:ascii="Times New Roman" w:hAnsi="Times New Roman" w:cs="Times New Roman"/>
        </w:rPr>
        <w:t>that</w:t>
      </w:r>
      <w:r w:rsidRPr="00843F73">
        <w:rPr>
          <w:rFonts w:ascii="Times New Roman" w:hAnsi="Times New Roman" w:cs="Times New Roman"/>
          <w:spacing w:val="22"/>
        </w:rPr>
        <w:t xml:space="preserve"> </w:t>
      </w:r>
      <w:r w:rsidRPr="00843F73">
        <w:rPr>
          <w:rFonts w:ascii="Times New Roman" w:hAnsi="Times New Roman" w:cs="Times New Roman"/>
        </w:rPr>
        <w:t>can</w:t>
      </w:r>
      <w:r w:rsidRPr="00843F73">
        <w:rPr>
          <w:rFonts w:ascii="Times New Roman" w:hAnsi="Times New Roman" w:cs="Times New Roman"/>
          <w:spacing w:val="22"/>
        </w:rPr>
        <w:t xml:space="preserve"> </w:t>
      </w:r>
      <w:r w:rsidRPr="00843F73">
        <w:rPr>
          <w:rFonts w:ascii="Times New Roman" w:hAnsi="Times New Roman" w:cs="Times New Roman"/>
        </w:rPr>
        <w:t>carry</w:t>
      </w:r>
      <w:r w:rsidRPr="00843F73">
        <w:rPr>
          <w:rFonts w:ascii="Times New Roman" w:hAnsi="Times New Roman" w:cs="Times New Roman"/>
          <w:spacing w:val="22"/>
        </w:rPr>
        <w:t xml:space="preserve"> </w:t>
      </w:r>
      <w:r w:rsidRPr="00843F73">
        <w:rPr>
          <w:rFonts w:ascii="Times New Roman" w:hAnsi="Times New Roman" w:cs="Times New Roman"/>
        </w:rPr>
        <w:t>out</w:t>
      </w:r>
      <w:r w:rsidRPr="00843F73">
        <w:rPr>
          <w:rFonts w:ascii="Times New Roman" w:hAnsi="Times New Roman" w:cs="Times New Roman"/>
          <w:spacing w:val="22"/>
        </w:rPr>
        <w:t xml:space="preserve"> </w:t>
      </w:r>
      <w:r w:rsidRPr="00843F73">
        <w:rPr>
          <w:rFonts w:ascii="Times New Roman" w:hAnsi="Times New Roman" w:cs="Times New Roman"/>
        </w:rPr>
        <w:t>the</w:t>
      </w:r>
      <w:r w:rsidRPr="00843F73">
        <w:rPr>
          <w:rFonts w:ascii="Times New Roman" w:hAnsi="Times New Roman" w:cs="Times New Roman"/>
          <w:spacing w:val="22"/>
        </w:rPr>
        <w:t xml:space="preserve"> </w:t>
      </w:r>
      <w:r w:rsidRPr="00843F73">
        <w:rPr>
          <w:rFonts w:ascii="Times New Roman" w:hAnsi="Times New Roman" w:cs="Times New Roman"/>
        </w:rPr>
        <w:t>subject</w:t>
      </w:r>
      <w:r w:rsidRPr="00843F73">
        <w:rPr>
          <w:rFonts w:ascii="Times New Roman" w:hAnsi="Times New Roman" w:cs="Times New Roman"/>
          <w:spacing w:val="22"/>
        </w:rPr>
        <w:t xml:space="preserve"> </w:t>
      </w:r>
      <w:r w:rsidRPr="00843F73">
        <w:rPr>
          <w:rFonts w:ascii="Times New Roman" w:hAnsi="Times New Roman" w:cs="Times New Roman"/>
        </w:rPr>
        <w:t>assignment,</w:t>
      </w:r>
      <w:r w:rsidRPr="00843F73">
        <w:rPr>
          <w:rFonts w:ascii="Times New Roman" w:hAnsi="Times New Roman" w:cs="Times New Roman"/>
          <w:spacing w:val="22"/>
        </w:rPr>
        <w:t xml:space="preserve"> </w:t>
      </w:r>
      <w:r w:rsidRPr="00843F73">
        <w:rPr>
          <w:rFonts w:ascii="Times New Roman" w:hAnsi="Times New Roman" w:cs="Times New Roman"/>
        </w:rPr>
        <w:t>or</w:t>
      </w:r>
      <w:r w:rsidRPr="00843F73">
        <w:rPr>
          <w:rFonts w:ascii="Times New Roman" w:hAnsi="Times New Roman" w:cs="Times New Roman"/>
          <w:spacing w:val="23"/>
        </w:rPr>
        <w:t xml:space="preserve"> </w:t>
      </w:r>
      <w:r w:rsidRPr="00843F73">
        <w:rPr>
          <w:rFonts w:ascii="Times New Roman" w:hAnsi="Times New Roman" w:cs="Times New Roman"/>
        </w:rPr>
        <w:t>other</w:t>
      </w:r>
      <w:r w:rsidRPr="00843F73">
        <w:rPr>
          <w:rFonts w:ascii="Times New Roman" w:hAnsi="Times New Roman" w:cs="Times New Roman"/>
          <w:spacing w:val="22"/>
        </w:rPr>
        <w:t xml:space="preserve"> </w:t>
      </w:r>
      <w:r w:rsidRPr="00843F73">
        <w:rPr>
          <w:rFonts w:ascii="Times New Roman" w:hAnsi="Times New Roman" w:cs="Times New Roman"/>
        </w:rPr>
        <w:t>justifiable</w:t>
      </w:r>
      <w:r w:rsidRPr="00843F73">
        <w:rPr>
          <w:rFonts w:ascii="Times New Roman" w:hAnsi="Times New Roman" w:cs="Times New Roman"/>
          <w:spacing w:val="23"/>
        </w:rPr>
        <w:t xml:space="preserve"> </w:t>
      </w:r>
      <w:r w:rsidRPr="00843F73">
        <w:rPr>
          <w:rFonts w:ascii="Times New Roman" w:hAnsi="Times New Roman" w:cs="Times New Roman"/>
        </w:rPr>
        <w:t>exceptional</w:t>
      </w:r>
      <w:r w:rsidRPr="00843F73">
        <w:rPr>
          <w:rFonts w:ascii="Times New Roman" w:hAnsi="Times New Roman" w:cs="Times New Roman"/>
          <w:spacing w:val="22"/>
        </w:rPr>
        <w:t xml:space="preserve"> </w:t>
      </w:r>
      <w:r w:rsidRPr="00843F73">
        <w:rPr>
          <w:rFonts w:ascii="Times New Roman" w:hAnsi="Times New Roman" w:cs="Times New Roman"/>
        </w:rPr>
        <w:t>reasons.</w:t>
      </w:r>
      <w:r w:rsidRPr="00843F73">
        <w:rPr>
          <w:rFonts w:ascii="Times New Roman" w:hAnsi="Times New Roman" w:cs="Times New Roman"/>
          <w:spacing w:val="86"/>
        </w:rPr>
        <w:t xml:space="preserve"> </w:t>
      </w:r>
      <w:r w:rsidRPr="00F94C4F">
        <w:rPr>
          <w:rFonts w:ascii="Times New Roman" w:hAnsi="Times New Roman" w:cs="Times New Roman"/>
        </w:rPr>
        <w:t>Borrowers</w:t>
      </w:r>
      <w:r w:rsidRPr="00843F73">
        <w:rPr>
          <w:rFonts w:ascii="Times New Roman" w:hAnsi="Times New Roman" w:cs="Times New Roman"/>
          <w:spacing w:val="33"/>
        </w:rPr>
        <w:t xml:space="preserve"> </w:t>
      </w:r>
      <w:r w:rsidRPr="00843F73">
        <w:rPr>
          <w:rFonts w:ascii="Times New Roman" w:hAnsi="Times New Roman" w:cs="Times New Roman"/>
        </w:rPr>
        <w:t>shall</w:t>
      </w:r>
      <w:r w:rsidRPr="00843F73">
        <w:rPr>
          <w:rFonts w:ascii="Times New Roman" w:hAnsi="Times New Roman" w:cs="Times New Roman"/>
          <w:spacing w:val="33"/>
        </w:rPr>
        <w:t xml:space="preserve"> </w:t>
      </w:r>
      <w:r w:rsidRPr="00843F73">
        <w:rPr>
          <w:rFonts w:ascii="Times New Roman" w:hAnsi="Times New Roman" w:cs="Times New Roman"/>
        </w:rPr>
        <w:t>seek</w:t>
      </w:r>
      <w:r w:rsidRPr="00843F73">
        <w:rPr>
          <w:rFonts w:ascii="Times New Roman" w:hAnsi="Times New Roman" w:cs="Times New Roman"/>
          <w:spacing w:val="33"/>
        </w:rPr>
        <w:t xml:space="preserve"> </w:t>
      </w:r>
      <w:r w:rsidRPr="00843F73">
        <w:rPr>
          <w:rFonts w:ascii="Times New Roman" w:hAnsi="Times New Roman" w:cs="Times New Roman"/>
        </w:rPr>
        <w:t>EoIs</w:t>
      </w:r>
      <w:r w:rsidRPr="00843F73">
        <w:rPr>
          <w:rFonts w:ascii="Times New Roman" w:hAnsi="Times New Roman" w:cs="Times New Roman"/>
          <w:spacing w:val="34"/>
        </w:rPr>
        <w:t xml:space="preserve"> </w:t>
      </w:r>
      <w:r w:rsidRPr="00843F73">
        <w:rPr>
          <w:rFonts w:ascii="Times New Roman" w:hAnsi="Times New Roman" w:cs="Times New Roman"/>
        </w:rPr>
        <w:t>from</w:t>
      </w:r>
      <w:r w:rsidRPr="00843F73">
        <w:rPr>
          <w:rFonts w:ascii="Times New Roman" w:hAnsi="Times New Roman" w:cs="Times New Roman"/>
          <w:spacing w:val="33"/>
        </w:rPr>
        <w:t xml:space="preserve"> </w:t>
      </w:r>
      <w:r w:rsidRPr="00843F73">
        <w:rPr>
          <w:rFonts w:ascii="Times New Roman" w:hAnsi="Times New Roman" w:cs="Times New Roman"/>
        </w:rPr>
        <w:t>a</w:t>
      </w:r>
      <w:r w:rsidRPr="00843F73">
        <w:rPr>
          <w:rFonts w:ascii="Times New Roman" w:hAnsi="Times New Roman" w:cs="Times New Roman"/>
          <w:spacing w:val="33"/>
        </w:rPr>
        <w:t xml:space="preserve"> </w:t>
      </w:r>
      <w:r w:rsidRPr="00843F73">
        <w:rPr>
          <w:rFonts w:ascii="Times New Roman" w:hAnsi="Times New Roman" w:cs="Times New Roman"/>
        </w:rPr>
        <w:t>list</w:t>
      </w:r>
      <w:r w:rsidRPr="00843F73">
        <w:rPr>
          <w:rFonts w:ascii="Times New Roman" w:hAnsi="Times New Roman" w:cs="Times New Roman"/>
          <w:spacing w:val="33"/>
        </w:rPr>
        <w:t xml:space="preserve"> </w:t>
      </w:r>
      <w:r w:rsidRPr="00843F73">
        <w:rPr>
          <w:rFonts w:ascii="Times New Roman" w:hAnsi="Times New Roman" w:cs="Times New Roman"/>
        </w:rPr>
        <w:t>of</w:t>
      </w:r>
      <w:r w:rsidRPr="00843F73">
        <w:rPr>
          <w:rFonts w:ascii="Times New Roman" w:hAnsi="Times New Roman" w:cs="Times New Roman"/>
          <w:spacing w:val="33"/>
        </w:rPr>
        <w:t xml:space="preserve"> </w:t>
      </w:r>
      <w:r w:rsidRPr="00843F73">
        <w:rPr>
          <w:rFonts w:ascii="Times New Roman" w:hAnsi="Times New Roman" w:cs="Times New Roman"/>
        </w:rPr>
        <w:t>potential</w:t>
      </w:r>
      <w:r w:rsidRPr="00843F73">
        <w:rPr>
          <w:rFonts w:ascii="Times New Roman" w:hAnsi="Times New Roman" w:cs="Times New Roman"/>
          <w:spacing w:val="33"/>
        </w:rPr>
        <w:t xml:space="preserve"> </w:t>
      </w:r>
      <w:r w:rsidRPr="00843F73">
        <w:rPr>
          <w:rFonts w:ascii="Times New Roman" w:hAnsi="Times New Roman" w:cs="Times New Roman"/>
        </w:rPr>
        <w:t>Consultants</w:t>
      </w:r>
      <w:r w:rsidRPr="00843F73">
        <w:rPr>
          <w:rFonts w:ascii="Times New Roman" w:hAnsi="Times New Roman" w:cs="Times New Roman"/>
          <w:spacing w:val="34"/>
        </w:rPr>
        <w:t xml:space="preserve"> </w:t>
      </w:r>
      <w:r w:rsidRPr="00843F73">
        <w:rPr>
          <w:rFonts w:ascii="Times New Roman" w:hAnsi="Times New Roman" w:cs="Times New Roman"/>
        </w:rPr>
        <w:t>that</w:t>
      </w:r>
      <w:r w:rsidRPr="00843F73">
        <w:rPr>
          <w:rFonts w:ascii="Times New Roman" w:hAnsi="Times New Roman" w:cs="Times New Roman"/>
          <w:spacing w:val="34"/>
        </w:rPr>
        <w:t xml:space="preserve"> </w:t>
      </w:r>
      <w:r w:rsidRPr="00843F73">
        <w:rPr>
          <w:rFonts w:ascii="Times New Roman" w:hAnsi="Times New Roman" w:cs="Times New Roman"/>
        </w:rPr>
        <w:t>is</w:t>
      </w:r>
      <w:r w:rsidRPr="00843F73">
        <w:rPr>
          <w:rFonts w:ascii="Times New Roman" w:hAnsi="Times New Roman" w:cs="Times New Roman"/>
          <w:spacing w:val="33"/>
        </w:rPr>
        <w:t xml:space="preserve"> </w:t>
      </w:r>
      <w:r w:rsidRPr="00843F73">
        <w:rPr>
          <w:rFonts w:ascii="Times New Roman" w:hAnsi="Times New Roman" w:cs="Times New Roman"/>
        </w:rPr>
        <w:t>broad</w:t>
      </w:r>
      <w:r w:rsidRPr="00843F73">
        <w:rPr>
          <w:rFonts w:ascii="Times New Roman" w:hAnsi="Times New Roman" w:cs="Times New Roman"/>
          <w:spacing w:val="33"/>
        </w:rPr>
        <w:t xml:space="preserve"> </w:t>
      </w:r>
      <w:r w:rsidRPr="00843F73">
        <w:rPr>
          <w:rFonts w:ascii="Times New Roman" w:hAnsi="Times New Roman" w:cs="Times New Roman"/>
        </w:rPr>
        <w:t>enough</w:t>
      </w:r>
      <w:r w:rsidRPr="00843F73">
        <w:rPr>
          <w:rFonts w:ascii="Times New Roman" w:hAnsi="Times New Roman" w:cs="Times New Roman"/>
          <w:spacing w:val="34"/>
        </w:rPr>
        <w:t xml:space="preserve"> </w:t>
      </w:r>
      <w:r w:rsidRPr="00843F73">
        <w:rPr>
          <w:rFonts w:ascii="Times New Roman" w:hAnsi="Times New Roman" w:cs="Times New Roman"/>
        </w:rPr>
        <w:t>to</w:t>
      </w:r>
      <w:r w:rsidRPr="00843F73">
        <w:rPr>
          <w:rFonts w:ascii="Times New Roman" w:hAnsi="Times New Roman" w:cs="Times New Roman"/>
          <w:spacing w:val="33"/>
        </w:rPr>
        <w:t xml:space="preserve"> </w:t>
      </w:r>
      <w:r w:rsidRPr="00843F73">
        <w:rPr>
          <w:rFonts w:ascii="Times New Roman" w:hAnsi="Times New Roman" w:cs="Times New Roman"/>
        </w:rPr>
        <w:t>ensure</w:t>
      </w:r>
      <w:r w:rsidRPr="00843F73">
        <w:rPr>
          <w:rFonts w:ascii="Times New Roman" w:hAnsi="Times New Roman" w:cs="Times New Roman"/>
          <w:spacing w:val="69"/>
          <w:w w:val="99"/>
        </w:rPr>
        <w:t xml:space="preserve"> </w:t>
      </w:r>
      <w:r w:rsidRPr="00843F73">
        <w:rPr>
          <w:rFonts w:ascii="Times New Roman" w:hAnsi="Times New Roman" w:cs="Times New Roman"/>
        </w:rPr>
        <w:t>adequate</w:t>
      </w:r>
      <w:r w:rsidRPr="00843F73">
        <w:rPr>
          <w:rFonts w:ascii="Times New Roman" w:hAnsi="Times New Roman" w:cs="Times New Roman"/>
          <w:spacing w:val="-7"/>
        </w:rPr>
        <w:t xml:space="preserve"> </w:t>
      </w:r>
      <w:r w:rsidRPr="00843F73">
        <w:rPr>
          <w:rFonts w:ascii="Times New Roman" w:hAnsi="Times New Roman" w:cs="Times New Roman"/>
        </w:rPr>
        <w:t>competition.</w:t>
      </w:r>
    </w:p>
    <w:p w14:paraId="204216FA" w14:textId="1CFBD20C" w:rsidR="00CA17E6" w:rsidRPr="00843F73" w:rsidRDefault="00CA17E6" w:rsidP="00665F55">
      <w:pPr>
        <w:pStyle w:val="Heading5"/>
        <w:jc w:val="both"/>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Approaching the International Market</w:t>
      </w:r>
    </w:p>
    <w:p w14:paraId="65FE78BE" w14:textId="77777777" w:rsidR="008E6F47"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An</w:t>
      </w:r>
      <w:r w:rsidRPr="00843F73">
        <w:rPr>
          <w:rFonts w:ascii="Times New Roman" w:hAnsi="Times New Roman" w:cs="Times New Roman"/>
          <w:spacing w:val="3"/>
        </w:rPr>
        <w:t xml:space="preserve"> </w:t>
      </w:r>
      <w:r w:rsidRPr="00843F73">
        <w:rPr>
          <w:rFonts w:ascii="Times New Roman" w:hAnsi="Times New Roman" w:cs="Times New Roman"/>
        </w:rPr>
        <w:t>open</w:t>
      </w:r>
      <w:r w:rsidRPr="00843F73">
        <w:rPr>
          <w:rFonts w:ascii="Times New Roman" w:hAnsi="Times New Roman" w:cs="Times New Roman"/>
          <w:spacing w:val="3"/>
        </w:rPr>
        <w:t xml:space="preserve"> </w:t>
      </w:r>
      <w:r w:rsidRPr="00843F73">
        <w:rPr>
          <w:rFonts w:ascii="Times New Roman" w:hAnsi="Times New Roman" w:cs="Times New Roman"/>
        </w:rPr>
        <w:t>international</w:t>
      </w:r>
      <w:r w:rsidRPr="00843F73">
        <w:rPr>
          <w:rFonts w:ascii="Times New Roman" w:hAnsi="Times New Roman" w:cs="Times New Roman"/>
          <w:spacing w:val="3"/>
        </w:rPr>
        <w:t xml:space="preserve"> </w:t>
      </w:r>
      <w:r w:rsidRPr="00843F73">
        <w:rPr>
          <w:rFonts w:ascii="Times New Roman" w:hAnsi="Times New Roman" w:cs="Times New Roman"/>
        </w:rPr>
        <w:t>competitive</w:t>
      </w:r>
      <w:r w:rsidRPr="00843F73">
        <w:rPr>
          <w:rFonts w:ascii="Times New Roman" w:hAnsi="Times New Roman" w:cs="Times New Roman"/>
          <w:spacing w:val="3"/>
        </w:rPr>
        <w:t xml:space="preserve"> </w:t>
      </w:r>
      <w:r w:rsidRPr="00843F73">
        <w:rPr>
          <w:rFonts w:ascii="Times New Roman" w:hAnsi="Times New Roman" w:cs="Times New Roman"/>
        </w:rPr>
        <w:t>procurement/selection</w:t>
      </w:r>
      <w:r w:rsidRPr="00843F73">
        <w:rPr>
          <w:rFonts w:ascii="Times New Roman" w:hAnsi="Times New Roman" w:cs="Times New Roman"/>
          <w:spacing w:val="3"/>
        </w:rPr>
        <w:t xml:space="preserve"> </w:t>
      </w:r>
      <w:r w:rsidRPr="00843F73">
        <w:rPr>
          <w:rFonts w:ascii="Times New Roman" w:hAnsi="Times New Roman" w:cs="Times New Roman"/>
        </w:rPr>
        <w:t>market</w:t>
      </w:r>
      <w:r w:rsidRPr="00843F73">
        <w:rPr>
          <w:rFonts w:ascii="Times New Roman" w:hAnsi="Times New Roman" w:cs="Times New Roman"/>
          <w:spacing w:val="3"/>
        </w:rPr>
        <w:t xml:space="preserve"> </w:t>
      </w:r>
      <w:r w:rsidRPr="00843F73">
        <w:rPr>
          <w:rFonts w:ascii="Times New Roman" w:hAnsi="Times New Roman" w:cs="Times New Roman"/>
        </w:rPr>
        <w:t>approach,</w:t>
      </w:r>
      <w:r w:rsidRPr="00843F73">
        <w:rPr>
          <w:rFonts w:ascii="Times New Roman" w:hAnsi="Times New Roman" w:cs="Times New Roman"/>
          <w:spacing w:val="3"/>
        </w:rPr>
        <w:t xml:space="preserve"> </w:t>
      </w:r>
      <w:r w:rsidRPr="00843F73">
        <w:rPr>
          <w:rFonts w:ascii="Times New Roman" w:hAnsi="Times New Roman" w:cs="Times New Roman"/>
        </w:rPr>
        <w:t>with</w:t>
      </w:r>
      <w:r w:rsidRPr="00843F73">
        <w:rPr>
          <w:rFonts w:ascii="Times New Roman" w:hAnsi="Times New Roman" w:cs="Times New Roman"/>
          <w:spacing w:val="2"/>
        </w:rPr>
        <w:t xml:space="preserve"> </w:t>
      </w:r>
      <w:r w:rsidRPr="00843F73">
        <w:rPr>
          <w:rFonts w:ascii="Times New Roman" w:hAnsi="Times New Roman" w:cs="Times New Roman"/>
        </w:rPr>
        <w:t>mandatory</w:t>
      </w:r>
      <w:r w:rsidRPr="00843F73">
        <w:rPr>
          <w:rFonts w:ascii="Times New Roman" w:hAnsi="Times New Roman" w:cs="Times New Roman"/>
          <w:spacing w:val="93"/>
          <w:w w:val="99"/>
        </w:rPr>
        <w:t xml:space="preserve"> </w:t>
      </w:r>
      <w:r w:rsidRPr="00843F73">
        <w:rPr>
          <w:rFonts w:ascii="Times New Roman" w:hAnsi="Times New Roman" w:cs="Times New Roman"/>
        </w:rPr>
        <w:t>international advertisement in accordance with these Procurement Regulations, is used when the</w:t>
      </w:r>
      <w:r w:rsidRPr="00843F73">
        <w:rPr>
          <w:rFonts w:ascii="Times New Roman" w:hAnsi="Times New Roman" w:cs="Times New Roman"/>
          <w:spacing w:val="69"/>
          <w:w w:val="99"/>
        </w:rPr>
        <w:t xml:space="preserve"> </w:t>
      </w:r>
      <w:r w:rsidRPr="00843F73">
        <w:rPr>
          <w:rFonts w:ascii="Times New Roman" w:hAnsi="Times New Roman" w:cs="Times New Roman"/>
        </w:rPr>
        <w:t>participation</w:t>
      </w:r>
      <w:r w:rsidRPr="00843F73">
        <w:rPr>
          <w:rFonts w:ascii="Times New Roman" w:hAnsi="Times New Roman" w:cs="Times New Roman"/>
          <w:spacing w:val="-2"/>
        </w:rPr>
        <w:t xml:space="preserve"> </w:t>
      </w:r>
      <w:r w:rsidRPr="00843F73">
        <w:rPr>
          <w:rFonts w:ascii="Times New Roman" w:hAnsi="Times New Roman" w:cs="Times New Roman"/>
        </w:rPr>
        <w:t>of</w:t>
      </w:r>
      <w:r w:rsidRPr="00843F73">
        <w:rPr>
          <w:rFonts w:ascii="Times New Roman" w:hAnsi="Times New Roman" w:cs="Times New Roman"/>
          <w:spacing w:val="-2"/>
        </w:rPr>
        <w:t xml:space="preserve"> </w:t>
      </w:r>
      <w:r w:rsidRPr="00843F73">
        <w:rPr>
          <w:rFonts w:ascii="Times New Roman" w:hAnsi="Times New Roman" w:cs="Times New Roman"/>
        </w:rPr>
        <w:t>foreign</w:t>
      </w:r>
      <w:r w:rsidRPr="00843F73">
        <w:rPr>
          <w:rFonts w:ascii="Times New Roman" w:hAnsi="Times New Roman" w:cs="Times New Roman"/>
          <w:spacing w:val="-2"/>
        </w:rPr>
        <w:t xml:space="preserve"> </w:t>
      </w:r>
      <w:r w:rsidRPr="00843F73">
        <w:rPr>
          <w:rFonts w:ascii="Times New Roman" w:hAnsi="Times New Roman" w:cs="Times New Roman"/>
        </w:rPr>
        <w:t>firms is most likely</w:t>
      </w:r>
      <w:r w:rsidRPr="00843F73">
        <w:rPr>
          <w:rFonts w:ascii="Times New Roman" w:hAnsi="Times New Roman" w:cs="Times New Roman"/>
          <w:spacing w:val="-3"/>
        </w:rPr>
        <w:t xml:space="preserve"> </w:t>
      </w:r>
      <w:r w:rsidRPr="00843F73">
        <w:rPr>
          <w:rFonts w:ascii="Times New Roman" w:hAnsi="Times New Roman" w:cs="Times New Roman"/>
        </w:rPr>
        <w:t>to achieve the</w:t>
      </w:r>
      <w:r w:rsidRPr="00843F73">
        <w:rPr>
          <w:rFonts w:ascii="Times New Roman" w:hAnsi="Times New Roman" w:cs="Times New Roman"/>
          <w:spacing w:val="-2"/>
        </w:rPr>
        <w:t xml:space="preserve"> </w:t>
      </w:r>
      <w:r w:rsidRPr="00843F73">
        <w:rPr>
          <w:rFonts w:ascii="Times New Roman" w:hAnsi="Times New Roman" w:cs="Times New Roman"/>
        </w:rPr>
        <w:t>best fit-for-purpose</w:t>
      </w:r>
      <w:r w:rsidRPr="00843F73">
        <w:rPr>
          <w:rFonts w:ascii="Times New Roman" w:hAnsi="Times New Roman" w:cs="Times New Roman"/>
          <w:spacing w:val="-2"/>
        </w:rPr>
        <w:t xml:space="preserve"> </w:t>
      </w:r>
      <w:r w:rsidRPr="00843F73">
        <w:rPr>
          <w:rFonts w:ascii="Times New Roman" w:hAnsi="Times New Roman" w:cs="Times New Roman"/>
        </w:rPr>
        <w:t>and</w:t>
      </w:r>
      <w:r w:rsidRPr="00843F73">
        <w:rPr>
          <w:rFonts w:ascii="Times New Roman" w:hAnsi="Times New Roman" w:cs="Times New Roman"/>
          <w:spacing w:val="-3"/>
        </w:rPr>
        <w:t xml:space="preserve"> </w:t>
      </w:r>
      <w:r w:rsidRPr="00843F73">
        <w:rPr>
          <w:rFonts w:ascii="Times New Roman" w:hAnsi="Times New Roman" w:cs="Times New Roman"/>
        </w:rPr>
        <w:t>VfM.</w:t>
      </w:r>
    </w:p>
    <w:p w14:paraId="15F69568" w14:textId="77777777" w:rsidR="00CA17E6" w:rsidRPr="00843F73" w:rsidRDefault="00CA17E6" w:rsidP="00665F55">
      <w:pPr>
        <w:pStyle w:val="Heading5"/>
        <w:jc w:val="both"/>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Approaching the National Market</w:t>
      </w:r>
    </w:p>
    <w:p w14:paraId="2FCE7739" w14:textId="1B26A824" w:rsidR="00CA17E6"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As</w:t>
      </w:r>
      <w:r w:rsidRPr="00843F73">
        <w:rPr>
          <w:rFonts w:ascii="Times New Roman" w:hAnsi="Times New Roman" w:cs="Times New Roman"/>
          <w:spacing w:val="38"/>
        </w:rPr>
        <w:t xml:space="preserve"> </w:t>
      </w:r>
      <w:r w:rsidRPr="00843F73">
        <w:rPr>
          <w:rFonts w:ascii="Times New Roman" w:hAnsi="Times New Roman" w:cs="Times New Roman"/>
        </w:rPr>
        <w:t>agreed</w:t>
      </w:r>
      <w:r w:rsidRPr="00843F73">
        <w:rPr>
          <w:rFonts w:ascii="Times New Roman" w:hAnsi="Times New Roman" w:cs="Times New Roman"/>
          <w:spacing w:val="38"/>
        </w:rPr>
        <w:t xml:space="preserve"> </w:t>
      </w:r>
      <w:r w:rsidRPr="00843F73">
        <w:rPr>
          <w:rFonts w:ascii="Times New Roman" w:hAnsi="Times New Roman" w:cs="Times New Roman"/>
        </w:rPr>
        <w:t>in</w:t>
      </w:r>
      <w:r w:rsidRPr="00843F73">
        <w:rPr>
          <w:rFonts w:ascii="Times New Roman" w:hAnsi="Times New Roman" w:cs="Times New Roman"/>
          <w:spacing w:val="38"/>
        </w:rPr>
        <w:t xml:space="preserve"> </w:t>
      </w:r>
      <w:r w:rsidRPr="00843F73">
        <w:rPr>
          <w:rFonts w:ascii="Times New Roman" w:hAnsi="Times New Roman" w:cs="Times New Roman"/>
        </w:rPr>
        <w:t>the</w:t>
      </w:r>
      <w:r w:rsidRPr="00843F73">
        <w:rPr>
          <w:rFonts w:ascii="Times New Roman" w:hAnsi="Times New Roman" w:cs="Times New Roman"/>
          <w:spacing w:val="39"/>
        </w:rPr>
        <w:t xml:space="preserve"> </w:t>
      </w:r>
      <w:r w:rsidR="005950B8">
        <w:rPr>
          <w:rFonts w:ascii="Times New Roman" w:hAnsi="Times New Roman" w:cs="Times New Roman"/>
        </w:rPr>
        <w:t>PP</w:t>
      </w:r>
      <w:r w:rsidRPr="00843F73">
        <w:rPr>
          <w:rFonts w:ascii="Times New Roman" w:hAnsi="Times New Roman" w:cs="Times New Roman"/>
        </w:rPr>
        <w:t>,</w:t>
      </w:r>
      <w:r w:rsidRPr="00843F73">
        <w:rPr>
          <w:rFonts w:ascii="Times New Roman" w:hAnsi="Times New Roman" w:cs="Times New Roman"/>
          <w:spacing w:val="38"/>
        </w:rPr>
        <w:t xml:space="preserve"> </w:t>
      </w:r>
      <w:r w:rsidRPr="00843F73">
        <w:rPr>
          <w:rFonts w:ascii="Times New Roman" w:hAnsi="Times New Roman" w:cs="Times New Roman"/>
        </w:rPr>
        <w:t>national</w:t>
      </w:r>
      <w:r w:rsidRPr="00843F73">
        <w:rPr>
          <w:rFonts w:ascii="Times New Roman" w:hAnsi="Times New Roman" w:cs="Times New Roman"/>
          <w:spacing w:val="38"/>
        </w:rPr>
        <w:t xml:space="preserve"> </w:t>
      </w:r>
      <w:r w:rsidRPr="00843F73">
        <w:rPr>
          <w:rFonts w:ascii="Times New Roman" w:hAnsi="Times New Roman" w:cs="Times New Roman"/>
        </w:rPr>
        <w:t>selection</w:t>
      </w:r>
      <w:r w:rsidRPr="00843F73">
        <w:rPr>
          <w:rFonts w:ascii="Times New Roman" w:hAnsi="Times New Roman" w:cs="Times New Roman"/>
          <w:spacing w:val="39"/>
        </w:rPr>
        <w:t xml:space="preserve"> </w:t>
      </w:r>
      <w:r w:rsidRPr="00843F73">
        <w:rPr>
          <w:rFonts w:ascii="Times New Roman" w:hAnsi="Times New Roman" w:cs="Times New Roman"/>
        </w:rPr>
        <w:t>through</w:t>
      </w:r>
      <w:r w:rsidRPr="00843F73">
        <w:rPr>
          <w:rFonts w:ascii="Times New Roman" w:hAnsi="Times New Roman" w:cs="Times New Roman"/>
          <w:spacing w:val="38"/>
        </w:rPr>
        <w:t xml:space="preserve"> </w:t>
      </w:r>
      <w:r w:rsidRPr="00843F73">
        <w:rPr>
          <w:rFonts w:ascii="Times New Roman" w:hAnsi="Times New Roman" w:cs="Times New Roman"/>
        </w:rPr>
        <w:t>advertisement</w:t>
      </w:r>
      <w:r w:rsidRPr="00843F73">
        <w:rPr>
          <w:rFonts w:ascii="Times New Roman" w:hAnsi="Times New Roman" w:cs="Times New Roman"/>
          <w:spacing w:val="38"/>
        </w:rPr>
        <w:t xml:space="preserve"> </w:t>
      </w:r>
      <w:r w:rsidRPr="00843F73">
        <w:rPr>
          <w:rFonts w:ascii="Times New Roman" w:hAnsi="Times New Roman" w:cs="Times New Roman"/>
        </w:rPr>
        <w:t>in</w:t>
      </w:r>
      <w:r w:rsidRPr="00843F73">
        <w:rPr>
          <w:rFonts w:ascii="Times New Roman" w:hAnsi="Times New Roman" w:cs="Times New Roman"/>
          <w:spacing w:val="38"/>
        </w:rPr>
        <w:t xml:space="preserve"> </w:t>
      </w:r>
      <w:r w:rsidRPr="00843F73">
        <w:rPr>
          <w:rFonts w:ascii="Times New Roman" w:hAnsi="Times New Roman" w:cs="Times New Roman"/>
        </w:rPr>
        <w:t>the</w:t>
      </w:r>
      <w:r w:rsidRPr="00843F73">
        <w:rPr>
          <w:rFonts w:ascii="Times New Roman" w:hAnsi="Times New Roman" w:cs="Times New Roman"/>
          <w:spacing w:val="39"/>
        </w:rPr>
        <w:t xml:space="preserve"> </w:t>
      </w:r>
      <w:r w:rsidRPr="00843F73">
        <w:rPr>
          <w:rFonts w:ascii="Times New Roman" w:hAnsi="Times New Roman" w:cs="Times New Roman"/>
        </w:rPr>
        <w:t>national</w:t>
      </w:r>
      <w:r w:rsidRPr="00843F73">
        <w:rPr>
          <w:rFonts w:ascii="Times New Roman" w:hAnsi="Times New Roman" w:cs="Times New Roman"/>
          <w:spacing w:val="79"/>
        </w:rPr>
        <w:t xml:space="preserve"> </w:t>
      </w:r>
      <w:r w:rsidRPr="00843F73">
        <w:rPr>
          <w:rFonts w:ascii="Times New Roman" w:hAnsi="Times New Roman" w:cs="Times New Roman"/>
        </w:rPr>
        <w:t>media/press</w:t>
      </w:r>
      <w:r w:rsidRPr="00843F73">
        <w:rPr>
          <w:rFonts w:ascii="Times New Roman" w:hAnsi="Times New Roman" w:cs="Times New Roman"/>
          <w:spacing w:val="33"/>
        </w:rPr>
        <w:t xml:space="preserve"> </w:t>
      </w:r>
      <w:r w:rsidRPr="00843F73">
        <w:rPr>
          <w:rFonts w:ascii="Times New Roman" w:hAnsi="Times New Roman" w:cs="Times New Roman"/>
        </w:rPr>
        <w:t>may</w:t>
      </w:r>
      <w:r w:rsidRPr="00843F73">
        <w:rPr>
          <w:rFonts w:ascii="Times New Roman" w:hAnsi="Times New Roman" w:cs="Times New Roman"/>
          <w:spacing w:val="33"/>
        </w:rPr>
        <w:t xml:space="preserve"> </w:t>
      </w:r>
      <w:r w:rsidRPr="00843F73">
        <w:rPr>
          <w:rFonts w:ascii="Times New Roman" w:hAnsi="Times New Roman" w:cs="Times New Roman"/>
        </w:rPr>
        <w:t>be</w:t>
      </w:r>
      <w:r w:rsidRPr="00843F73">
        <w:rPr>
          <w:rFonts w:ascii="Times New Roman" w:hAnsi="Times New Roman" w:cs="Times New Roman"/>
          <w:spacing w:val="33"/>
        </w:rPr>
        <w:t xml:space="preserve"> </w:t>
      </w:r>
      <w:r w:rsidRPr="00843F73">
        <w:rPr>
          <w:rFonts w:ascii="Times New Roman" w:hAnsi="Times New Roman" w:cs="Times New Roman"/>
        </w:rPr>
        <w:t>used</w:t>
      </w:r>
      <w:r w:rsidRPr="00843F73">
        <w:rPr>
          <w:rFonts w:ascii="Times New Roman" w:hAnsi="Times New Roman" w:cs="Times New Roman"/>
          <w:spacing w:val="34"/>
        </w:rPr>
        <w:t xml:space="preserve"> </w:t>
      </w:r>
      <w:r w:rsidRPr="00843F73">
        <w:rPr>
          <w:rFonts w:ascii="Times New Roman" w:hAnsi="Times New Roman" w:cs="Times New Roman"/>
        </w:rPr>
        <w:t>when</w:t>
      </w:r>
      <w:r w:rsidRPr="00843F73">
        <w:rPr>
          <w:rFonts w:ascii="Times New Roman" w:hAnsi="Times New Roman" w:cs="Times New Roman"/>
          <w:spacing w:val="33"/>
        </w:rPr>
        <w:t xml:space="preserve"> </w:t>
      </w:r>
      <w:r w:rsidRPr="00843F73">
        <w:rPr>
          <w:rFonts w:ascii="Times New Roman" w:hAnsi="Times New Roman" w:cs="Times New Roman"/>
        </w:rPr>
        <w:t>the</w:t>
      </w:r>
      <w:r w:rsidRPr="00843F73">
        <w:rPr>
          <w:rFonts w:ascii="Times New Roman" w:hAnsi="Times New Roman" w:cs="Times New Roman"/>
          <w:spacing w:val="33"/>
        </w:rPr>
        <w:t xml:space="preserve"> </w:t>
      </w:r>
      <w:r w:rsidRPr="00843F73">
        <w:rPr>
          <w:rFonts w:ascii="Times New Roman" w:hAnsi="Times New Roman" w:cs="Times New Roman"/>
        </w:rPr>
        <w:t>nature,</w:t>
      </w:r>
      <w:r w:rsidRPr="00843F73">
        <w:rPr>
          <w:rFonts w:ascii="Times New Roman" w:hAnsi="Times New Roman" w:cs="Times New Roman"/>
          <w:spacing w:val="33"/>
        </w:rPr>
        <w:t xml:space="preserve"> </w:t>
      </w:r>
      <w:r w:rsidRPr="00843F73">
        <w:rPr>
          <w:rFonts w:ascii="Times New Roman" w:hAnsi="Times New Roman" w:cs="Times New Roman"/>
        </w:rPr>
        <w:t>scope,</w:t>
      </w:r>
      <w:r w:rsidRPr="00843F73">
        <w:rPr>
          <w:rFonts w:ascii="Times New Roman" w:hAnsi="Times New Roman" w:cs="Times New Roman"/>
          <w:spacing w:val="34"/>
        </w:rPr>
        <w:t xml:space="preserve"> </w:t>
      </w:r>
      <w:r w:rsidRPr="00843F73">
        <w:rPr>
          <w:rFonts w:ascii="Times New Roman" w:hAnsi="Times New Roman" w:cs="Times New Roman"/>
        </w:rPr>
        <w:t>and/or</w:t>
      </w:r>
      <w:r w:rsidRPr="00843F73">
        <w:rPr>
          <w:rFonts w:ascii="Times New Roman" w:hAnsi="Times New Roman" w:cs="Times New Roman"/>
          <w:spacing w:val="33"/>
        </w:rPr>
        <w:t xml:space="preserve"> </w:t>
      </w:r>
      <w:r w:rsidRPr="00843F73">
        <w:rPr>
          <w:rFonts w:ascii="Times New Roman" w:hAnsi="Times New Roman" w:cs="Times New Roman"/>
        </w:rPr>
        <w:t>value</w:t>
      </w:r>
      <w:r w:rsidRPr="00843F73">
        <w:rPr>
          <w:rFonts w:ascii="Times New Roman" w:hAnsi="Times New Roman" w:cs="Times New Roman"/>
          <w:spacing w:val="33"/>
        </w:rPr>
        <w:t xml:space="preserve"> </w:t>
      </w:r>
      <w:r w:rsidRPr="00843F73">
        <w:rPr>
          <w:rFonts w:ascii="Times New Roman" w:hAnsi="Times New Roman" w:cs="Times New Roman"/>
        </w:rPr>
        <w:t>of</w:t>
      </w:r>
      <w:r w:rsidRPr="00843F73">
        <w:rPr>
          <w:rFonts w:ascii="Times New Roman" w:hAnsi="Times New Roman" w:cs="Times New Roman"/>
          <w:spacing w:val="33"/>
        </w:rPr>
        <w:t xml:space="preserve"> </w:t>
      </w:r>
      <w:r w:rsidRPr="00843F73">
        <w:rPr>
          <w:rFonts w:ascii="Times New Roman" w:hAnsi="Times New Roman" w:cs="Times New Roman"/>
        </w:rPr>
        <w:t>the</w:t>
      </w:r>
      <w:r w:rsidRPr="00843F73">
        <w:rPr>
          <w:rFonts w:ascii="Times New Roman" w:hAnsi="Times New Roman" w:cs="Times New Roman"/>
          <w:spacing w:val="34"/>
        </w:rPr>
        <w:t xml:space="preserve"> </w:t>
      </w:r>
      <w:r w:rsidRPr="00843F73">
        <w:rPr>
          <w:rFonts w:ascii="Times New Roman" w:hAnsi="Times New Roman" w:cs="Times New Roman"/>
        </w:rPr>
        <w:t>Consulting</w:t>
      </w:r>
      <w:r w:rsidRPr="00843F73">
        <w:rPr>
          <w:rFonts w:ascii="Times New Roman" w:hAnsi="Times New Roman" w:cs="Times New Roman"/>
          <w:spacing w:val="33"/>
        </w:rPr>
        <w:t xml:space="preserve"> </w:t>
      </w:r>
      <w:r w:rsidRPr="00843F73">
        <w:rPr>
          <w:rFonts w:ascii="Times New Roman" w:hAnsi="Times New Roman" w:cs="Times New Roman"/>
        </w:rPr>
        <w:t>Services</w:t>
      </w:r>
      <w:r w:rsidRPr="00843F73">
        <w:rPr>
          <w:rFonts w:ascii="Times New Roman" w:hAnsi="Times New Roman" w:cs="Times New Roman"/>
          <w:spacing w:val="32"/>
        </w:rPr>
        <w:t xml:space="preserve"> </w:t>
      </w:r>
      <w:r w:rsidRPr="00843F73">
        <w:rPr>
          <w:rFonts w:ascii="Times New Roman" w:hAnsi="Times New Roman" w:cs="Times New Roman"/>
        </w:rPr>
        <w:t>is</w:t>
      </w:r>
      <w:r w:rsidRPr="00843F73">
        <w:rPr>
          <w:rFonts w:ascii="Times New Roman" w:hAnsi="Times New Roman" w:cs="Times New Roman"/>
          <w:spacing w:val="70"/>
        </w:rPr>
        <w:t xml:space="preserve"> </w:t>
      </w:r>
      <w:r w:rsidRPr="00843F73">
        <w:rPr>
          <w:rFonts w:ascii="Times New Roman" w:hAnsi="Times New Roman" w:cs="Times New Roman"/>
        </w:rPr>
        <w:t>unlikely</w:t>
      </w:r>
      <w:r w:rsidRPr="00843F73">
        <w:rPr>
          <w:rFonts w:ascii="Times New Roman" w:hAnsi="Times New Roman" w:cs="Times New Roman"/>
          <w:spacing w:val="16"/>
        </w:rPr>
        <w:t xml:space="preserve"> </w:t>
      </w:r>
      <w:r w:rsidRPr="00843F73">
        <w:rPr>
          <w:rFonts w:ascii="Times New Roman" w:hAnsi="Times New Roman" w:cs="Times New Roman"/>
        </w:rPr>
        <w:t>to</w:t>
      </w:r>
      <w:r w:rsidRPr="00843F73">
        <w:rPr>
          <w:rFonts w:ascii="Times New Roman" w:hAnsi="Times New Roman" w:cs="Times New Roman"/>
          <w:spacing w:val="16"/>
        </w:rPr>
        <w:t xml:space="preserve"> </w:t>
      </w:r>
      <w:r w:rsidRPr="00843F73">
        <w:rPr>
          <w:rFonts w:ascii="Times New Roman" w:hAnsi="Times New Roman" w:cs="Times New Roman"/>
        </w:rPr>
        <w:t>attract</w:t>
      </w:r>
      <w:r w:rsidRPr="00843F73">
        <w:rPr>
          <w:rFonts w:ascii="Times New Roman" w:hAnsi="Times New Roman" w:cs="Times New Roman"/>
          <w:spacing w:val="16"/>
        </w:rPr>
        <w:t xml:space="preserve"> </w:t>
      </w:r>
      <w:r w:rsidRPr="00843F73">
        <w:rPr>
          <w:rFonts w:ascii="Times New Roman" w:hAnsi="Times New Roman" w:cs="Times New Roman"/>
        </w:rPr>
        <w:t>foreign</w:t>
      </w:r>
      <w:r w:rsidRPr="00843F73">
        <w:rPr>
          <w:rFonts w:ascii="Times New Roman" w:hAnsi="Times New Roman" w:cs="Times New Roman"/>
          <w:spacing w:val="17"/>
        </w:rPr>
        <w:t xml:space="preserve"> </w:t>
      </w:r>
      <w:r w:rsidRPr="00843F73">
        <w:rPr>
          <w:rFonts w:ascii="Times New Roman" w:hAnsi="Times New Roman" w:cs="Times New Roman"/>
        </w:rPr>
        <w:t>competition</w:t>
      </w:r>
      <w:r w:rsidRPr="00843F73">
        <w:rPr>
          <w:rFonts w:ascii="Times New Roman" w:hAnsi="Times New Roman" w:cs="Times New Roman"/>
          <w:spacing w:val="16"/>
        </w:rPr>
        <w:t xml:space="preserve"> </w:t>
      </w:r>
      <w:r w:rsidRPr="00843F73">
        <w:rPr>
          <w:rFonts w:ascii="Times New Roman" w:hAnsi="Times New Roman" w:cs="Times New Roman"/>
        </w:rPr>
        <w:t>and</w:t>
      </w:r>
      <w:r w:rsidRPr="00843F73">
        <w:rPr>
          <w:rFonts w:ascii="Times New Roman" w:hAnsi="Times New Roman" w:cs="Times New Roman"/>
          <w:spacing w:val="16"/>
        </w:rPr>
        <w:t xml:space="preserve"> </w:t>
      </w:r>
      <w:r w:rsidRPr="00843F73">
        <w:rPr>
          <w:rFonts w:ascii="Times New Roman" w:hAnsi="Times New Roman" w:cs="Times New Roman"/>
        </w:rPr>
        <w:t>there</w:t>
      </w:r>
      <w:r w:rsidRPr="00843F73">
        <w:rPr>
          <w:rFonts w:ascii="Times New Roman" w:hAnsi="Times New Roman" w:cs="Times New Roman"/>
          <w:spacing w:val="16"/>
        </w:rPr>
        <w:t xml:space="preserve"> </w:t>
      </w:r>
      <w:r w:rsidRPr="00843F73">
        <w:rPr>
          <w:rFonts w:ascii="Times New Roman" w:hAnsi="Times New Roman" w:cs="Times New Roman"/>
        </w:rPr>
        <w:t>are</w:t>
      </w:r>
      <w:r w:rsidRPr="00843F73">
        <w:rPr>
          <w:rFonts w:ascii="Times New Roman" w:hAnsi="Times New Roman" w:cs="Times New Roman"/>
          <w:spacing w:val="17"/>
        </w:rPr>
        <w:t xml:space="preserve"> </w:t>
      </w:r>
      <w:r w:rsidRPr="00843F73">
        <w:rPr>
          <w:rFonts w:ascii="Times New Roman" w:hAnsi="Times New Roman" w:cs="Times New Roman"/>
        </w:rPr>
        <w:t>adequate</w:t>
      </w:r>
      <w:r w:rsidRPr="00843F73">
        <w:rPr>
          <w:rFonts w:ascii="Times New Roman" w:hAnsi="Times New Roman" w:cs="Times New Roman"/>
          <w:spacing w:val="17"/>
        </w:rPr>
        <w:t xml:space="preserve"> </w:t>
      </w:r>
      <w:r w:rsidRPr="00843F73">
        <w:rPr>
          <w:rFonts w:ascii="Times New Roman" w:hAnsi="Times New Roman" w:cs="Times New Roman"/>
        </w:rPr>
        <w:t>qualified</w:t>
      </w:r>
      <w:r w:rsidRPr="00843F73">
        <w:rPr>
          <w:rFonts w:ascii="Times New Roman" w:hAnsi="Times New Roman" w:cs="Times New Roman"/>
          <w:spacing w:val="17"/>
        </w:rPr>
        <w:t xml:space="preserve"> </w:t>
      </w:r>
      <w:r w:rsidRPr="00843F73">
        <w:rPr>
          <w:rFonts w:ascii="Times New Roman" w:hAnsi="Times New Roman" w:cs="Times New Roman"/>
        </w:rPr>
        <w:t>national</w:t>
      </w:r>
      <w:r w:rsidRPr="00843F73">
        <w:rPr>
          <w:rFonts w:ascii="Times New Roman" w:hAnsi="Times New Roman" w:cs="Times New Roman"/>
          <w:spacing w:val="16"/>
        </w:rPr>
        <w:t xml:space="preserve"> </w:t>
      </w:r>
      <w:r w:rsidRPr="00843F73">
        <w:rPr>
          <w:rFonts w:ascii="Times New Roman" w:hAnsi="Times New Roman" w:cs="Times New Roman"/>
        </w:rPr>
        <w:t>Consultants</w:t>
      </w:r>
      <w:r w:rsidRPr="00843F73">
        <w:rPr>
          <w:rFonts w:ascii="Times New Roman" w:hAnsi="Times New Roman" w:cs="Times New Roman"/>
          <w:spacing w:val="17"/>
        </w:rPr>
        <w:t xml:space="preserve"> </w:t>
      </w:r>
      <w:r w:rsidRPr="00843F73">
        <w:rPr>
          <w:rFonts w:ascii="Times New Roman" w:hAnsi="Times New Roman" w:cs="Times New Roman"/>
        </w:rPr>
        <w:t>to</w:t>
      </w:r>
      <w:r w:rsidRPr="00843F73">
        <w:rPr>
          <w:rFonts w:ascii="Times New Roman" w:hAnsi="Times New Roman" w:cs="Times New Roman"/>
          <w:spacing w:val="75"/>
        </w:rPr>
        <w:t xml:space="preserve"> </w:t>
      </w:r>
      <w:r w:rsidRPr="00843F73">
        <w:rPr>
          <w:rFonts w:ascii="Times New Roman" w:hAnsi="Times New Roman" w:cs="Times New Roman"/>
        </w:rPr>
        <w:t>carry</w:t>
      </w:r>
      <w:r w:rsidRPr="00843F73">
        <w:rPr>
          <w:rFonts w:ascii="Times New Roman" w:hAnsi="Times New Roman" w:cs="Times New Roman"/>
          <w:spacing w:val="-11"/>
        </w:rPr>
        <w:t xml:space="preserve"> </w:t>
      </w:r>
      <w:r w:rsidRPr="00843F73">
        <w:rPr>
          <w:rFonts w:ascii="Times New Roman" w:hAnsi="Times New Roman" w:cs="Times New Roman"/>
        </w:rPr>
        <w:t>out</w:t>
      </w:r>
      <w:r w:rsidRPr="00843F73">
        <w:rPr>
          <w:rFonts w:ascii="Times New Roman" w:hAnsi="Times New Roman" w:cs="Times New Roman"/>
          <w:spacing w:val="-10"/>
        </w:rPr>
        <w:t xml:space="preserve"> </w:t>
      </w:r>
      <w:r w:rsidRPr="00843F73">
        <w:rPr>
          <w:rFonts w:ascii="Times New Roman" w:hAnsi="Times New Roman" w:cs="Times New Roman"/>
        </w:rPr>
        <w:t>the</w:t>
      </w:r>
      <w:r w:rsidRPr="00843F73">
        <w:rPr>
          <w:rFonts w:ascii="Times New Roman" w:hAnsi="Times New Roman" w:cs="Times New Roman"/>
          <w:spacing w:val="-10"/>
        </w:rPr>
        <w:t xml:space="preserve"> </w:t>
      </w:r>
      <w:r w:rsidRPr="00843F73">
        <w:rPr>
          <w:rFonts w:ascii="Times New Roman" w:hAnsi="Times New Roman" w:cs="Times New Roman"/>
        </w:rPr>
        <w:t>assignments.</w:t>
      </w:r>
      <w:r w:rsidRPr="00843F73">
        <w:rPr>
          <w:rFonts w:ascii="Times New Roman" w:hAnsi="Times New Roman" w:cs="Times New Roman"/>
          <w:spacing w:val="29"/>
        </w:rPr>
        <w:t xml:space="preserve"> </w:t>
      </w:r>
      <w:r w:rsidRPr="00843F73">
        <w:rPr>
          <w:rFonts w:ascii="Times New Roman" w:hAnsi="Times New Roman" w:cs="Times New Roman"/>
        </w:rPr>
        <w:t>If</w:t>
      </w:r>
      <w:r w:rsidRPr="00843F73">
        <w:rPr>
          <w:rFonts w:ascii="Times New Roman" w:hAnsi="Times New Roman" w:cs="Times New Roman"/>
          <w:spacing w:val="-10"/>
        </w:rPr>
        <w:t xml:space="preserve"> </w:t>
      </w:r>
      <w:r w:rsidRPr="00843F73">
        <w:rPr>
          <w:rFonts w:ascii="Times New Roman" w:hAnsi="Times New Roman" w:cs="Times New Roman"/>
        </w:rPr>
        <w:t>foreign</w:t>
      </w:r>
      <w:r w:rsidRPr="00843F73">
        <w:rPr>
          <w:rFonts w:ascii="Times New Roman" w:hAnsi="Times New Roman" w:cs="Times New Roman"/>
          <w:spacing w:val="-11"/>
        </w:rPr>
        <w:t xml:space="preserve"> </w:t>
      </w:r>
      <w:r w:rsidRPr="00843F73">
        <w:rPr>
          <w:rFonts w:ascii="Times New Roman" w:hAnsi="Times New Roman" w:cs="Times New Roman"/>
        </w:rPr>
        <w:t>Consultants</w:t>
      </w:r>
      <w:r w:rsidRPr="00843F73">
        <w:rPr>
          <w:rFonts w:ascii="Times New Roman" w:hAnsi="Times New Roman" w:cs="Times New Roman"/>
          <w:spacing w:val="-10"/>
        </w:rPr>
        <w:t xml:space="preserve"> </w:t>
      </w:r>
      <w:r w:rsidRPr="00843F73">
        <w:rPr>
          <w:rFonts w:ascii="Times New Roman" w:hAnsi="Times New Roman" w:cs="Times New Roman"/>
        </w:rPr>
        <w:t>wish</w:t>
      </w:r>
      <w:r w:rsidRPr="00843F73">
        <w:rPr>
          <w:rFonts w:ascii="Times New Roman" w:hAnsi="Times New Roman" w:cs="Times New Roman"/>
          <w:spacing w:val="-10"/>
        </w:rPr>
        <w:t xml:space="preserve"> </w:t>
      </w:r>
      <w:r w:rsidRPr="00843F73">
        <w:rPr>
          <w:rFonts w:ascii="Times New Roman" w:hAnsi="Times New Roman" w:cs="Times New Roman"/>
        </w:rPr>
        <w:t>to</w:t>
      </w:r>
      <w:r w:rsidRPr="00843F73">
        <w:rPr>
          <w:rFonts w:ascii="Times New Roman" w:hAnsi="Times New Roman" w:cs="Times New Roman"/>
          <w:spacing w:val="-11"/>
        </w:rPr>
        <w:t xml:space="preserve"> </w:t>
      </w:r>
      <w:r w:rsidRPr="00843F73">
        <w:rPr>
          <w:rFonts w:ascii="Times New Roman" w:hAnsi="Times New Roman" w:cs="Times New Roman"/>
        </w:rPr>
        <w:t>participate</w:t>
      </w:r>
      <w:r w:rsidRPr="00843F73">
        <w:rPr>
          <w:rFonts w:ascii="Times New Roman" w:hAnsi="Times New Roman" w:cs="Times New Roman"/>
          <w:spacing w:val="-11"/>
        </w:rPr>
        <w:t xml:space="preserve"> </w:t>
      </w:r>
      <w:r w:rsidRPr="00843F73">
        <w:rPr>
          <w:rFonts w:ascii="Times New Roman" w:hAnsi="Times New Roman" w:cs="Times New Roman"/>
        </w:rPr>
        <w:t>in</w:t>
      </w:r>
      <w:r w:rsidRPr="00843F73">
        <w:rPr>
          <w:rFonts w:ascii="Times New Roman" w:hAnsi="Times New Roman" w:cs="Times New Roman"/>
          <w:spacing w:val="-10"/>
        </w:rPr>
        <w:t xml:space="preserve"> </w:t>
      </w:r>
      <w:r w:rsidRPr="00843F73">
        <w:rPr>
          <w:rFonts w:ascii="Times New Roman" w:hAnsi="Times New Roman" w:cs="Times New Roman"/>
        </w:rPr>
        <w:t>national</w:t>
      </w:r>
      <w:r w:rsidRPr="00843F73">
        <w:rPr>
          <w:rFonts w:ascii="Times New Roman" w:hAnsi="Times New Roman" w:cs="Times New Roman"/>
          <w:spacing w:val="-10"/>
        </w:rPr>
        <w:t xml:space="preserve"> </w:t>
      </w:r>
      <w:r w:rsidRPr="00843F73">
        <w:rPr>
          <w:rFonts w:ascii="Times New Roman" w:hAnsi="Times New Roman" w:cs="Times New Roman"/>
        </w:rPr>
        <w:t>selection,</w:t>
      </w:r>
      <w:r w:rsidRPr="00843F73">
        <w:rPr>
          <w:rFonts w:ascii="Times New Roman" w:hAnsi="Times New Roman" w:cs="Times New Roman"/>
          <w:spacing w:val="-10"/>
        </w:rPr>
        <w:t xml:space="preserve"> </w:t>
      </w:r>
      <w:r w:rsidRPr="00843F73">
        <w:rPr>
          <w:rFonts w:ascii="Times New Roman" w:hAnsi="Times New Roman" w:cs="Times New Roman"/>
        </w:rPr>
        <w:t>they</w:t>
      </w:r>
      <w:r w:rsidRPr="00843F73">
        <w:rPr>
          <w:rFonts w:ascii="Times New Roman" w:hAnsi="Times New Roman" w:cs="Times New Roman"/>
          <w:spacing w:val="-11"/>
        </w:rPr>
        <w:t xml:space="preserve"> </w:t>
      </w:r>
      <w:r w:rsidRPr="00843F73">
        <w:rPr>
          <w:rFonts w:ascii="Times New Roman" w:hAnsi="Times New Roman" w:cs="Times New Roman"/>
        </w:rPr>
        <w:t>may</w:t>
      </w:r>
      <w:r w:rsidRPr="00843F73">
        <w:rPr>
          <w:rFonts w:ascii="Times New Roman" w:hAnsi="Times New Roman" w:cs="Times New Roman"/>
          <w:spacing w:val="71"/>
          <w:w w:val="99"/>
        </w:rPr>
        <w:t xml:space="preserve"> </w:t>
      </w:r>
      <w:r w:rsidRPr="00843F73">
        <w:rPr>
          <w:rFonts w:ascii="Times New Roman" w:hAnsi="Times New Roman" w:cs="Times New Roman"/>
        </w:rPr>
        <w:t>do</w:t>
      </w:r>
      <w:r w:rsidRPr="00843F73">
        <w:rPr>
          <w:rFonts w:ascii="Times New Roman" w:hAnsi="Times New Roman" w:cs="Times New Roman"/>
          <w:spacing w:val="8"/>
        </w:rPr>
        <w:t xml:space="preserve"> </w:t>
      </w:r>
      <w:r w:rsidRPr="00843F73">
        <w:rPr>
          <w:rFonts w:ascii="Times New Roman" w:hAnsi="Times New Roman" w:cs="Times New Roman"/>
        </w:rPr>
        <w:t>so.</w:t>
      </w:r>
      <w:r w:rsidRPr="00843F73">
        <w:rPr>
          <w:rFonts w:ascii="Times New Roman" w:hAnsi="Times New Roman" w:cs="Times New Roman"/>
          <w:spacing w:val="18"/>
        </w:rPr>
        <w:t xml:space="preserve"> </w:t>
      </w:r>
      <w:r w:rsidRPr="00843F73">
        <w:rPr>
          <w:rFonts w:ascii="Times New Roman" w:hAnsi="Times New Roman" w:cs="Times New Roman"/>
        </w:rPr>
        <w:t>When</w:t>
      </w:r>
      <w:r w:rsidRPr="00843F73">
        <w:rPr>
          <w:rFonts w:ascii="Times New Roman" w:hAnsi="Times New Roman" w:cs="Times New Roman"/>
          <w:spacing w:val="8"/>
        </w:rPr>
        <w:t xml:space="preserve"> </w:t>
      </w:r>
      <w:r w:rsidRPr="00843F73">
        <w:rPr>
          <w:rFonts w:ascii="Times New Roman" w:hAnsi="Times New Roman" w:cs="Times New Roman"/>
        </w:rPr>
        <w:t>approaching</w:t>
      </w:r>
      <w:r w:rsidRPr="00843F73">
        <w:rPr>
          <w:rFonts w:ascii="Times New Roman" w:hAnsi="Times New Roman" w:cs="Times New Roman"/>
          <w:spacing w:val="9"/>
        </w:rPr>
        <w:t xml:space="preserve"> </w:t>
      </w:r>
      <w:r w:rsidRPr="00843F73">
        <w:rPr>
          <w:rFonts w:ascii="Times New Roman" w:hAnsi="Times New Roman" w:cs="Times New Roman"/>
        </w:rPr>
        <w:t>the</w:t>
      </w:r>
      <w:r w:rsidRPr="00843F73">
        <w:rPr>
          <w:rFonts w:ascii="Times New Roman" w:hAnsi="Times New Roman" w:cs="Times New Roman"/>
          <w:spacing w:val="8"/>
        </w:rPr>
        <w:t xml:space="preserve"> </w:t>
      </w:r>
      <w:r w:rsidRPr="00843F73">
        <w:rPr>
          <w:rFonts w:ascii="Times New Roman" w:hAnsi="Times New Roman" w:cs="Times New Roman"/>
        </w:rPr>
        <w:t>national</w:t>
      </w:r>
      <w:r w:rsidRPr="00843F73">
        <w:rPr>
          <w:rFonts w:ascii="Times New Roman" w:hAnsi="Times New Roman" w:cs="Times New Roman"/>
          <w:spacing w:val="9"/>
        </w:rPr>
        <w:t xml:space="preserve"> </w:t>
      </w:r>
      <w:r w:rsidRPr="00843F73">
        <w:rPr>
          <w:rFonts w:ascii="Times New Roman" w:hAnsi="Times New Roman" w:cs="Times New Roman"/>
        </w:rPr>
        <w:t>market,</w:t>
      </w:r>
      <w:r w:rsidRPr="00843F73">
        <w:rPr>
          <w:rFonts w:ascii="Times New Roman" w:hAnsi="Times New Roman" w:cs="Times New Roman"/>
          <w:spacing w:val="8"/>
        </w:rPr>
        <w:t xml:space="preserve"> </w:t>
      </w:r>
      <w:r w:rsidRPr="00843F73">
        <w:rPr>
          <w:rFonts w:ascii="Times New Roman" w:hAnsi="Times New Roman" w:cs="Times New Roman"/>
        </w:rPr>
        <w:t>the</w:t>
      </w:r>
      <w:r w:rsidRPr="00843F73">
        <w:rPr>
          <w:rFonts w:ascii="Times New Roman" w:hAnsi="Times New Roman" w:cs="Times New Roman"/>
          <w:spacing w:val="8"/>
        </w:rPr>
        <w:t xml:space="preserve"> </w:t>
      </w:r>
      <w:r w:rsidRPr="00843F73">
        <w:rPr>
          <w:rFonts w:ascii="Times New Roman" w:hAnsi="Times New Roman" w:cs="Times New Roman"/>
        </w:rPr>
        <w:t>country’s</w:t>
      </w:r>
      <w:r w:rsidRPr="00843F73">
        <w:rPr>
          <w:rFonts w:ascii="Times New Roman" w:hAnsi="Times New Roman" w:cs="Times New Roman"/>
          <w:spacing w:val="9"/>
        </w:rPr>
        <w:t xml:space="preserve"> </w:t>
      </w:r>
      <w:r w:rsidRPr="00843F73">
        <w:rPr>
          <w:rFonts w:ascii="Times New Roman" w:hAnsi="Times New Roman" w:cs="Times New Roman"/>
        </w:rPr>
        <w:t>own</w:t>
      </w:r>
      <w:r w:rsidRPr="00843F73">
        <w:rPr>
          <w:rFonts w:ascii="Times New Roman" w:hAnsi="Times New Roman" w:cs="Times New Roman"/>
          <w:spacing w:val="8"/>
        </w:rPr>
        <w:t xml:space="preserve"> </w:t>
      </w:r>
      <w:r w:rsidRPr="00843F73">
        <w:rPr>
          <w:rFonts w:ascii="Times New Roman" w:hAnsi="Times New Roman" w:cs="Times New Roman"/>
        </w:rPr>
        <w:t>procurement</w:t>
      </w:r>
      <w:r w:rsidRPr="00843F73">
        <w:rPr>
          <w:rFonts w:ascii="Times New Roman" w:hAnsi="Times New Roman" w:cs="Times New Roman"/>
          <w:spacing w:val="9"/>
        </w:rPr>
        <w:t xml:space="preserve"> </w:t>
      </w:r>
      <w:r w:rsidRPr="00843F73">
        <w:rPr>
          <w:rFonts w:ascii="Times New Roman" w:hAnsi="Times New Roman" w:cs="Times New Roman"/>
        </w:rPr>
        <w:t>procedures</w:t>
      </w:r>
      <w:r w:rsidRPr="00843F73">
        <w:rPr>
          <w:rFonts w:ascii="Times New Roman" w:hAnsi="Times New Roman" w:cs="Times New Roman"/>
          <w:spacing w:val="8"/>
        </w:rPr>
        <w:t xml:space="preserve"> </w:t>
      </w:r>
      <w:r w:rsidRPr="00843F73">
        <w:rPr>
          <w:rFonts w:ascii="Times New Roman" w:hAnsi="Times New Roman" w:cs="Times New Roman"/>
        </w:rPr>
        <w:t>may</w:t>
      </w:r>
      <w:r w:rsidRPr="00843F73">
        <w:rPr>
          <w:rFonts w:ascii="Times New Roman" w:hAnsi="Times New Roman" w:cs="Times New Roman"/>
          <w:spacing w:val="91"/>
          <w:w w:val="99"/>
        </w:rPr>
        <w:t xml:space="preserve"> </w:t>
      </w:r>
      <w:r w:rsidRPr="00843F73">
        <w:rPr>
          <w:rFonts w:ascii="Times New Roman" w:hAnsi="Times New Roman" w:cs="Times New Roman"/>
        </w:rPr>
        <w:t>be</w:t>
      </w:r>
      <w:r w:rsidRPr="00843F73">
        <w:rPr>
          <w:rFonts w:ascii="Times New Roman" w:hAnsi="Times New Roman" w:cs="Times New Roman"/>
          <w:spacing w:val="-2"/>
        </w:rPr>
        <w:t xml:space="preserve"> </w:t>
      </w:r>
      <w:r w:rsidRPr="00843F73">
        <w:rPr>
          <w:rFonts w:ascii="Times New Roman" w:hAnsi="Times New Roman" w:cs="Times New Roman"/>
        </w:rPr>
        <w:t>used.</w:t>
      </w:r>
    </w:p>
    <w:p w14:paraId="7A6CAB03" w14:textId="77777777" w:rsidR="00AC395A" w:rsidRPr="00843F73" w:rsidRDefault="00AC395A" w:rsidP="00843F73">
      <w:pPr>
        <w:pStyle w:val="Normal0"/>
        <w:spacing w:after="0" w:line="240" w:lineRule="auto"/>
        <w:rPr>
          <w:rFonts w:ascii="Times New Roman" w:hAnsi="Times New Roman" w:cs="Times New Roman"/>
        </w:rPr>
      </w:pPr>
    </w:p>
    <w:p w14:paraId="330F60C7" w14:textId="77777777" w:rsidR="00CA17E6" w:rsidRPr="00843F73" w:rsidRDefault="00CA17E6" w:rsidP="00665F55">
      <w:pPr>
        <w:pStyle w:val="Heading4"/>
        <w:jc w:val="both"/>
        <w:rPr>
          <w:rFonts w:ascii="Times New Roman" w:hAnsi="Times New Roman" w:cs="Times New Roman"/>
          <w:color w:val="auto"/>
          <w:lang w:val="en-US"/>
        </w:rPr>
      </w:pPr>
      <w:r w:rsidRPr="00843F73">
        <w:rPr>
          <w:rFonts w:ascii="Times New Roman" w:hAnsi="Times New Roman" w:cs="Times New Roman"/>
          <w:color w:val="auto"/>
          <w:lang w:val="en-US"/>
        </w:rPr>
        <w:t>Project Implementation Support Personnel</w:t>
      </w:r>
    </w:p>
    <w:p w14:paraId="700082FD" w14:textId="350D2341" w:rsidR="00CA17E6"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Project</w:t>
      </w:r>
      <w:r w:rsidRPr="00843F73">
        <w:rPr>
          <w:rFonts w:ascii="Times New Roman" w:hAnsi="Times New Roman" w:cs="Times New Roman"/>
          <w:spacing w:val="38"/>
        </w:rPr>
        <w:t xml:space="preserve"> </w:t>
      </w:r>
      <w:r w:rsidRPr="00843F73">
        <w:rPr>
          <w:rFonts w:ascii="Times New Roman" w:hAnsi="Times New Roman" w:cs="Times New Roman"/>
        </w:rPr>
        <w:t>implementation</w:t>
      </w:r>
      <w:r w:rsidRPr="00843F73">
        <w:rPr>
          <w:rFonts w:ascii="Times New Roman" w:hAnsi="Times New Roman" w:cs="Times New Roman"/>
          <w:spacing w:val="38"/>
        </w:rPr>
        <w:t xml:space="preserve"> </w:t>
      </w:r>
      <w:r w:rsidRPr="00843F73">
        <w:rPr>
          <w:rFonts w:ascii="Times New Roman" w:hAnsi="Times New Roman" w:cs="Times New Roman"/>
        </w:rPr>
        <w:t>staff,</w:t>
      </w:r>
      <w:r w:rsidRPr="00843F73">
        <w:rPr>
          <w:rFonts w:ascii="Times New Roman" w:hAnsi="Times New Roman" w:cs="Times New Roman"/>
          <w:spacing w:val="39"/>
        </w:rPr>
        <w:t xml:space="preserve"> </w:t>
      </w:r>
      <w:r w:rsidRPr="00843F73">
        <w:rPr>
          <w:rFonts w:ascii="Times New Roman" w:hAnsi="Times New Roman" w:cs="Times New Roman"/>
        </w:rPr>
        <w:t>individuals</w:t>
      </w:r>
      <w:r w:rsidRPr="00843F73">
        <w:rPr>
          <w:rFonts w:ascii="Times New Roman" w:hAnsi="Times New Roman" w:cs="Times New Roman"/>
          <w:spacing w:val="38"/>
        </w:rPr>
        <w:t xml:space="preserve"> </w:t>
      </w:r>
      <w:r w:rsidRPr="00843F73">
        <w:rPr>
          <w:rFonts w:ascii="Times New Roman" w:hAnsi="Times New Roman" w:cs="Times New Roman"/>
        </w:rPr>
        <w:t>contracted</w:t>
      </w:r>
      <w:r w:rsidRPr="00843F73">
        <w:rPr>
          <w:rFonts w:ascii="Times New Roman" w:hAnsi="Times New Roman" w:cs="Times New Roman"/>
          <w:spacing w:val="39"/>
        </w:rPr>
        <w:t xml:space="preserve"> </w:t>
      </w:r>
      <w:r w:rsidRPr="00843F73">
        <w:rPr>
          <w:rFonts w:ascii="Times New Roman" w:hAnsi="Times New Roman" w:cs="Times New Roman"/>
        </w:rPr>
        <w:t>by</w:t>
      </w:r>
      <w:r w:rsidRPr="00843F73">
        <w:rPr>
          <w:rFonts w:ascii="Times New Roman" w:hAnsi="Times New Roman" w:cs="Times New Roman"/>
          <w:spacing w:val="38"/>
        </w:rPr>
        <w:t xml:space="preserve"> </w:t>
      </w:r>
      <w:r w:rsidRPr="00843F73">
        <w:rPr>
          <w:rFonts w:ascii="Times New Roman" w:hAnsi="Times New Roman" w:cs="Times New Roman"/>
        </w:rPr>
        <w:t>the</w:t>
      </w:r>
      <w:r w:rsidRPr="00843F73">
        <w:rPr>
          <w:rFonts w:ascii="Times New Roman" w:hAnsi="Times New Roman" w:cs="Times New Roman"/>
          <w:spacing w:val="39"/>
        </w:rPr>
        <w:t xml:space="preserve"> </w:t>
      </w:r>
      <w:r w:rsidRPr="00F94C4F">
        <w:rPr>
          <w:rFonts w:ascii="Times New Roman" w:hAnsi="Times New Roman" w:cs="Times New Roman"/>
        </w:rPr>
        <w:t>Borrower</w:t>
      </w:r>
      <w:r w:rsidRPr="00843F73">
        <w:rPr>
          <w:rFonts w:ascii="Times New Roman" w:hAnsi="Times New Roman" w:cs="Times New Roman"/>
          <w:spacing w:val="38"/>
        </w:rPr>
        <w:t xml:space="preserve"> </w:t>
      </w:r>
      <w:r w:rsidRPr="00843F73">
        <w:rPr>
          <w:rFonts w:ascii="Times New Roman" w:hAnsi="Times New Roman" w:cs="Times New Roman"/>
        </w:rPr>
        <w:t>to</w:t>
      </w:r>
      <w:r w:rsidRPr="00843F73">
        <w:rPr>
          <w:rFonts w:ascii="Times New Roman" w:hAnsi="Times New Roman" w:cs="Times New Roman"/>
          <w:spacing w:val="39"/>
        </w:rPr>
        <w:t xml:space="preserve"> </w:t>
      </w:r>
      <w:r w:rsidRPr="00843F73">
        <w:rPr>
          <w:rFonts w:ascii="Times New Roman" w:hAnsi="Times New Roman" w:cs="Times New Roman"/>
        </w:rPr>
        <w:t>support</w:t>
      </w:r>
      <w:r w:rsidRPr="00843F73">
        <w:rPr>
          <w:rFonts w:ascii="Times New Roman" w:hAnsi="Times New Roman" w:cs="Times New Roman"/>
          <w:spacing w:val="38"/>
        </w:rPr>
        <w:t xml:space="preserve"> </w:t>
      </w:r>
      <w:r w:rsidR="005950B8">
        <w:rPr>
          <w:rFonts w:ascii="Times New Roman" w:hAnsi="Times New Roman" w:cs="Times New Roman"/>
        </w:rPr>
        <w:t>P</w:t>
      </w:r>
      <w:r w:rsidRPr="00843F73">
        <w:rPr>
          <w:rFonts w:ascii="Times New Roman" w:hAnsi="Times New Roman" w:cs="Times New Roman"/>
        </w:rPr>
        <w:t>roject</w:t>
      </w:r>
      <w:r w:rsidRPr="00843F73">
        <w:rPr>
          <w:rFonts w:ascii="Times New Roman" w:hAnsi="Times New Roman" w:cs="Times New Roman"/>
          <w:spacing w:val="77"/>
          <w:w w:val="99"/>
        </w:rPr>
        <w:t xml:space="preserve"> </w:t>
      </w:r>
      <w:r w:rsidRPr="00843F73">
        <w:rPr>
          <w:rFonts w:ascii="Times New Roman" w:hAnsi="Times New Roman" w:cs="Times New Roman"/>
        </w:rPr>
        <w:t>implementation,</w:t>
      </w:r>
      <w:r w:rsidRPr="00843F73">
        <w:rPr>
          <w:rFonts w:ascii="Times New Roman" w:hAnsi="Times New Roman" w:cs="Times New Roman"/>
          <w:spacing w:val="-3"/>
        </w:rPr>
        <w:t xml:space="preserve"> </w:t>
      </w:r>
      <w:r w:rsidRPr="00843F73">
        <w:rPr>
          <w:rFonts w:ascii="Times New Roman" w:hAnsi="Times New Roman" w:cs="Times New Roman"/>
        </w:rPr>
        <w:t>other</w:t>
      </w:r>
      <w:r w:rsidRPr="00843F73">
        <w:rPr>
          <w:rFonts w:ascii="Times New Roman" w:hAnsi="Times New Roman" w:cs="Times New Roman"/>
          <w:spacing w:val="-3"/>
        </w:rPr>
        <w:t xml:space="preserve"> </w:t>
      </w:r>
      <w:r w:rsidRPr="00843F73">
        <w:rPr>
          <w:rFonts w:ascii="Times New Roman" w:hAnsi="Times New Roman" w:cs="Times New Roman"/>
        </w:rPr>
        <w:t>than</w:t>
      </w:r>
      <w:r w:rsidRPr="00843F73">
        <w:rPr>
          <w:rFonts w:ascii="Times New Roman" w:hAnsi="Times New Roman" w:cs="Times New Roman"/>
          <w:spacing w:val="-3"/>
        </w:rPr>
        <w:t xml:space="preserve"> </w:t>
      </w:r>
      <w:r w:rsidRPr="00843F73">
        <w:rPr>
          <w:rFonts w:ascii="Times New Roman" w:hAnsi="Times New Roman" w:cs="Times New Roman"/>
        </w:rPr>
        <w:t>individual</w:t>
      </w:r>
      <w:r w:rsidRPr="00843F73">
        <w:rPr>
          <w:rFonts w:ascii="Times New Roman" w:hAnsi="Times New Roman" w:cs="Times New Roman"/>
          <w:spacing w:val="-3"/>
        </w:rPr>
        <w:t xml:space="preserve"> </w:t>
      </w:r>
      <w:r w:rsidRPr="00843F73">
        <w:rPr>
          <w:rFonts w:ascii="Times New Roman" w:hAnsi="Times New Roman" w:cs="Times New Roman"/>
        </w:rPr>
        <w:t>consulting</w:t>
      </w:r>
      <w:r w:rsidRPr="00843F73">
        <w:rPr>
          <w:rFonts w:ascii="Times New Roman" w:hAnsi="Times New Roman" w:cs="Times New Roman"/>
          <w:spacing w:val="-2"/>
        </w:rPr>
        <w:t xml:space="preserve"> </w:t>
      </w:r>
      <w:r w:rsidRPr="00843F73">
        <w:rPr>
          <w:rFonts w:ascii="Times New Roman" w:hAnsi="Times New Roman" w:cs="Times New Roman"/>
        </w:rPr>
        <w:t>positions</w:t>
      </w:r>
      <w:r w:rsidRPr="00843F73">
        <w:rPr>
          <w:rFonts w:ascii="Times New Roman" w:hAnsi="Times New Roman" w:cs="Times New Roman"/>
          <w:spacing w:val="-3"/>
        </w:rPr>
        <w:t xml:space="preserve"> </w:t>
      </w:r>
      <w:r w:rsidRPr="00843F73">
        <w:rPr>
          <w:rFonts w:ascii="Times New Roman" w:hAnsi="Times New Roman" w:cs="Times New Roman"/>
        </w:rPr>
        <w:t>identified</w:t>
      </w:r>
      <w:r w:rsidRPr="00843F73">
        <w:rPr>
          <w:rFonts w:ascii="Times New Roman" w:hAnsi="Times New Roman" w:cs="Times New Roman"/>
          <w:spacing w:val="-3"/>
        </w:rPr>
        <w:t xml:space="preserve"> </w:t>
      </w:r>
      <w:r w:rsidRPr="00843F73">
        <w:rPr>
          <w:rFonts w:ascii="Times New Roman" w:hAnsi="Times New Roman" w:cs="Times New Roman"/>
        </w:rPr>
        <w:t>in</w:t>
      </w:r>
      <w:r w:rsidRPr="00843F73">
        <w:rPr>
          <w:rFonts w:ascii="Times New Roman" w:hAnsi="Times New Roman" w:cs="Times New Roman"/>
          <w:spacing w:val="-3"/>
        </w:rPr>
        <w:t xml:space="preserve"> </w:t>
      </w:r>
      <w:r w:rsidRPr="00843F73">
        <w:rPr>
          <w:rFonts w:ascii="Times New Roman" w:hAnsi="Times New Roman" w:cs="Times New Roman"/>
        </w:rPr>
        <w:t>the</w:t>
      </w:r>
      <w:r w:rsidRPr="00843F73">
        <w:rPr>
          <w:rFonts w:ascii="Times New Roman" w:hAnsi="Times New Roman" w:cs="Times New Roman"/>
          <w:spacing w:val="-3"/>
        </w:rPr>
        <w:t xml:space="preserve"> </w:t>
      </w:r>
      <w:r w:rsidRPr="00843F73">
        <w:rPr>
          <w:rFonts w:ascii="Times New Roman" w:hAnsi="Times New Roman" w:cs="Times New Roman"/>
        </w:rPr>
        <w:t>Legal Agreement,</w:t>
      </w:r>
      <w:r w:rsidRPr="00843F73">
        <w:rPr>
          <w:rFonts w:ascii="Times New Roman" w:hAnsi="Times New Roman" w:cs="Times New Roman"/>
          <w:spacing w:val="-3"/>
        </w:rPr>
        <w:t xml:space="preserve"> </w:t>
      </w:r>
      <w:r w:rsidRPr="00843F73">
        <w:rPr>
          <w:rFonts w:ascii="Times New Roman" w:hAnsi="Times New Roman" w:cs="Times New Roman"/>
        </w:rPr>
        <w:t>may</w:t>
      </w:r>
      <w:r w:rsidRPr="00843F73">
        <w:rPr>
          <w:rFonts w:ascii="Times New Roman" w:hAnsi="Times New Roman" w:cs="Times New Roman"/>
          <w:spacing w:val="71"/>
          <w:w w:val="99"/>
        </w:rPr>
        <w:t xml:space="preserve"> </w:t>
      </w:r>
      <w:r w:rsidRPr="00843F73">
        <w:rPr>
          <w:rFonts w:ascii="Times New Roman" w:hAnsi="Times New Roman" w:cs="Times New Roman"/>
        </w:rPr>
        <w:t>be</w:t>
      </w:r>
      <w:r w:rsidRPr="00843F73">
        <w:rPr>
          <w:rFonts w:ascii="Times New Roman" w:hAnsi="Times New Roman" w:cs="Times New Roman"/>
          <w:spacing w:val="20"/>
        </w:rPr>
        <w:t xml:space="preserve"> </w:t>
      </w:r>
      <w:r w:rsidRPr="00843F73">
        <w:rPr>
          <w:rFonts w:ascii="Times New Roman" w:hAnsi="Times New Roman" w:cs="Times New Roman"/>
        </w:rPr>
        <w:t>selected</w:t>
      </w:r>
      <w:r w:rsidRPr="00843F73">
        <w:rPr>
          <w:rFonts w:ascii="Times New Roman" w:hAnsi="Times New Roman" w:cs="Times New Roman"/>
          <w:spacing w:val="21"/>
        </w:rPr>
        <w:t xml:space="preserve"> </w:t>
      </w:r>
      <w:r w:rsidRPr="00843F73">
        <w:rPr>
          <w:rFonts w:ascii="Times New Roman" w:hAnsi="Times New Roman" w:cs="Times New Roman"/>
        </w:rPr>
        <w:t>by</w:t>
      </w:r>
      <w:r w:rsidRPr="00843F73">
        <w:rPr>
          <w:rFonts w:ascii="Times New Roman" w:hAnsi="Times New Roman" w:cs="Times New Roman"/>
          <w:spacing w:val="21"/>
        </w:rPr>
        <w:t xml:space="preserve"> </w:t>
      </w:r>
      <w:r w:rsidRPr="00843F73">
        <w:rPr>
          <w:rFonts w:ascii="Times New Roman" w:hAnsi="Times New Roman" w:cs="Times New Roman"/>
        </w:rPr>
        <w:t>the</w:t>
      </w:r>
      <w:r w:rsidRPr="00843F73">
        <w:rPr>
          <w:rFonts w:ascii="Times New Roman" w:hAnsi="Times New Roman" w:cs="Times New Roman"/>
          <w:spacing w:val="21"/>
        </w:rPr>
        <w:t xml:space="preserve"> </w:t>
      </w:r>
      <w:r w:rsidRPr="00F94C4F">
        <w:rPr>
          <w:rFonts w:ascii="Times New Roman" w:hAnsi="Times New Roman" w:cs="Times New Roman"/>
        </w:rPr>
        <w:t>Borrower</w:t>
      </w:r>
      <w:r w:rsidRPr="00843F73">
        <w:rPr>
          <w:rFonts w:ascii="Times New Roman" w:hAnsi="Times New Roman" w:cs="Times New Roman"/>
          <w:spacing w:val="21"/>
        </w:rPr>
        <w:t xml:space="preserve"> </w:t>
      </w:r>
      <w:r w:rsidRPr="00843F73">
        <w:rPr>
          <w:rFonts w:ascii="Times New Roman" w:hAnsi="Times New Roman" w:cs="Times New Roman"/>
        </w:rPr>
        <w:t>according</w:t>
      </w:r>
      <w:r w:rsidRPr="00843F73">
        <w:rPr>
          <w:rFonts w:ascii="Times New Roman" w:hAnsi="Times New Roman" w:cs="Times New Roman"/>
          <w:spacing w:val="21"/>
        </w:rPr>
        <w:t xml:space="preserve"> </w:t>
      </w:r>
      <w:r w:rsidRPr="00843F73">
        <w:rPr>
          <w:rFonts w:ascii="Times New Roman" w:hAnsi="Times New Roman" w:cs="Times New Roman"/>
        </w:rPr>
        <w:t>to</w:t>
      </w:r>
      <w:r w:rsidRPr="00843F73">
        <w:rPr>
          <w:rFonts w:ascii="Times New Roman" w:hAnsi="Times New Roman" w:cs="Times New Roman"/>
          <w:spacing w:val="20"/>
        </w:rPr>
        <w:t xml:space="preserve"> </w:t>
      </w:r>
      <w:r w:rsidRPr="00843F73">
        <w:rPr>
          <w:rFonts w:ascii="Times New Roman" w:hAnsi="Times New Roman" w:cs="Times New Roman"/>
        </w:rPr>
        <w:t>its</w:t>
      </w:r>
      <w:r w:rsidRPr="00843F73">
        <w:rPr>
          <w:rFonts w:ascii="Times New Roman" w:hAnsi="Times New Roman" w:cs="Times New Roman"/>
          <w:spacing w:val="21"/>
        </w:rPr>
        <w:t xml:space="preserve"> </w:t>
      </w:r>
      <w:r w:rsidRPr="00843F73">
        <w:rPr>
          <w:rFonts w:ascii="Times New Roman" w:hAnsi="Times New Roman" w:cs="Times New Roman"/>
        </w:rPr>
        <w:t>personnel</w:t>
      </w:r>
      <w:r w:rsidRPr="00843F73">
        <w:rPr>
          <w:rFonts w:ascii="Times New Roman" w:hAnsi="Times New Roman" w:cs="Times New Roman"/>
          <w:spacing w:val="21"/>
        </w:rPr>
        <w:t xml:space="preserve"> </w:t>
      </w:r>
      <w:r w:rsidRPr="00843F73">
        <w:rPr>
          <w:rFonts w:ascii="Times New Roman" w:hAnsi="Times New Roman" w:cs="Times New Roman"/>
        </w:rPr>
        <w:t>hiring</w:t>
      </w:r>
      <w:r w:rsidRPr="00843F73">
        <w:rPr>
          <w:rFonts w:ascii="Times New Roman" w:hAnsi="Times New Roman" w:cs="Times New Roman"/>
          <w:spacing w:val="21"/>
        </w:rPr>
        <w:t xml:space="preserve"> </w:t>
      </w:r>
      <w:r w:rsidRPr="00843F73">
        <w:rPr>
          <w:rFonts w:ascii="Times New Roman" w:hAnsi="Times New Roman" w:cs="Times New Roman"/>
        </w:rPr>
        <w:t>procedures</w:t>
      </w:r>
      <w:r w:rsidRPr="00843F73">
        <w:rPr>
          <w:rFonts w:ascii="Times New Roman" w:hAnsi="Times New Roman" w:cs="Times New Roman"/>
          <w:spacing w:val="20"/>
        </w:rPr>
        <w:t xml:space="preserve"> </w:t>
      </w:r>
      <w:r w:rsidRPr="00843F73">
        <w:rPr>
          <w:rFonts w:ascii="Times New Roman" w:hAnsi="Times New Roman" w:cs="Times New Roman"/>
        </w:rPr>
        <w:t>for</w:t>
      </w:r>
      <w:r w:rsidRPr="00843F73">
        <w:rPr>
          <w:rFonts w:ascii="Times New Roman" w:hAnsi="Times New Roman" w:cs="Times New Roman"/>
          <w:spacing w:val="21"/>
        </w:rPr>
        <w:t xml:space="preserve"> </w:t>
      </w:r>
      <w:r w:rsidRPr="00843F73">
        <w:rPr>
          <w:rFonts w:ascii="Times New Roman" w:hAnsi="Times New Roman" w:cs="Times New Roman"/>
        </w:rPr>
        <w:t>such</w:t>
      </w:r>
      <w:r w:rsidRPr="00843F73">
        <w:rPr>
          <w:rFonts w:ascii="Times New Roman" w:hAnsi="Times New Roman" w:cs="Times New Roman"/>
          <w:spacing w:val="21"/>
        </w:rPr>
        <w:t xml:space="preserve"> </w:t>
      </w:r>
      <w:r w:rsidRPr="00843F73">
        <w:rPr>
          <w:rFonts w:ascii="Times New Roman" w:hAnsi="Times New Roman" w:cs="Times New Roman"/>
        </w:rPr>
        <w:t>activities,</w:t>
      </w:r>
      <w:r w:rsidRPr="00843F73">
        <w:rPr>
          <w:rFonts w:ascii="Times New Roman" w:hAnsi="Times New Roman" w:cs="Times New Roman"/>
          <w:spacing w:val="20"/>
        </w:rPr>
        <w:t xml:space="preserve"> </w:t>
      </w:r>
      <w:r w:rsidRPr="00843F73">
        <w:rPr>
          <w:rFonts w:ascii="Times New Roman" w:hAnsi="Times New Roman" w:cs="Times New Roman"/>
        </w:rPr>
        <w:t>as</w:t>
      </w:r>
      <w:r w:rsidRPr="00843F73">
        <w:rPr>
          <w:rFonts w:ascii="Times New Roman" w:hAnsi="Times New Roman" w:cs="Times New Roman"/>
          <w:spacing w:val="93"/>
        </w:rPr>
        <w:t xml:space="preserve"> </w:t>
      </w:r>
      <w:r w:rsidRPr="00843F73">
        <w:rPr>
          <w:rFonts w:ascii="Times New Roman" w:hAnsi="Times New Roman" w:cs="Times New Roman"/>
        </w:rPr>
        <w:t>reviewed</w:t>
      </w:r>
      <w:r w:rsidRPr="00843F73">
        <w:rPr>
          <w:rFonts w:ascii="Times New Roman" w:hAnsi="Times New Roman" w:cs="Times New Roman"/>
          <w:spacing w:val="-2"/>
        </w:rPr>
        <w:t xml:space="preserve"> </w:t>
      </w:r>
      <w:r w:rsidRPr="00843F73">
        <w:rPr>
          <w:rFonts w:ascii="Times New Roman" w:hAnsi="Times New Roman" w:cs="Times New Roman"/>
        </w:rPr>
        <w:t>and</w:t>
      </w:r>
      <w:r w:rsidRPr="00843F73">
        <w:rPr>
          <w:rFonts w:ascii="Times New Roman" w:hAnsi="Times New Roman" w:cs="Times New Roman"/>
          <w:spacing w:val="-3"/>
        </w:rPr>
        <w:t xml:space="preserve"> </w:t>
      </w:r>
      <w:r w:rsidRPr="00843F73">
        <w:rPr>
          <w:rFonts w:ascii="Times New Roman" w:hAnsi="Times New Roman" w:cs="Times New Roman"/>
        </w:rPr>
        <w:t>found</w:t>
      </w:r>
      <w:r w:rsidRPr="00843F73">
        <w:rPr>
          <w:rFonts w:ascii="Times New Roman" w:hAnsi="Times New Roman" w:cs="Times New Roman"/>
          <w:spacing w:val="-2"/>
        </w:rPr>
        <w:t xml:space="preserve"> </w:t>
      </w:r>
      <w:r w:rsidRPr="00843F73">
        <w:rPr>
          <w:rFonts w:ascii="Times New Roman" w:hAnsi="Times New Roman" w:cs="Times New Roman"/>
        </w:rPr>
        <w:t>acceptable</w:t>
      </w:r>
      <w:r w:rsidRPr="00843F73">
        <w:rPr>
          <w:rFonts w:ascii="Times New Roman" w:hAnsi="Times New Roman" w:cs="Times New Roman"/>
          <w:spacing w:val="-2"/>
        </w:rPr>
        <w:t xml:space="preserve"> </w:t>
      </w:r>
      <w:r w:rsidRPr="00843F73">
        <w:rPr>
          <w:rFonts w:ascii="Times New Roman" w:hAnsi="Times New Roman" w:cs="Times New Roman"/>
        </w:rPr>
        <w:t>by</w:t>
      </w:r>
      <w:r w:rsidRPr="00843F73">
        <w:rPr>
          <w:rFonts w:ascii="Times New Roman" w:hAnsi="Times New Roman" w:cs="Times New Roman"/>
          <w:spacing w:val="-2"/>
        </w:rPr>
        <w:t xml:space="preserve"> </w:t>
      </w:r>
      <w:r w:rsidRPr="00843F73">
        <w:rPr>
          <w:rFonts w:ascii="Times New Roman" w:hAnsi="Times New Roman" w:cs="Times New Roman"/>
        </w:rPr>
        <w:t>the</w:t>
      </w:r>
      <w:r w:rsidRPr="00843F73">
        <w:rPr>
          <w:rFonts w:ascii="Times New Roman" w:hAnsi="Times New Roman" w:cs="Times New Roman"/>
          <w:spacing w:val="-2"/>
        </w:rPr>
        <w:t xml:space="preserve"> </w:t>
      </w:r>
      <w:r w:rsidRPr="00843F73">
        <w:rPr>
          <w:rFonts w:ascii="Times New Roman" w:hAnsi="Times New Roman" w:cs="Times New Roman"/>
        </w:rPr>
        <w:t>Bank.</w:t>
      </w:r>
    </w:p>
    <w:p w14:paraId="5EAE15CD" w14:textId="77777777" w:rsidR="00CA17E6" w:rsidRPr="00843F73" w:rsidRDefault="00CA17E6" w:rsidP="00843F73">
      <w:pPr>
        <w:widowControl w:val="0"/>
        <w:spacing w:after="0" w:line="240" w:lineRule="auto"/>
        <w:rPr>
          <w:rFonts w:ascii="Times New Roman" w:eastAsia="Calibri" w:hAnsi="Times New Roman" w:cs="Times New Roman"/>
          <w:sz w:val="19"/>
          <w:szCs w:val="19"/>
          <w:lang w:val="en-US"/>
        </w:rPr>
      </w:pPr>
    </w:p>
    <w:p w14:paraId="4B85A498" w14:textId="77777777" w:rsidR="00CA17E6" w:rsidRPr="00843F73" w:rsidRDefault="00CA17E6" w:rsidP="00DA351C">
      <w:pPr>
        <w:pStyle w:val="Heading4"/>
        <w:rPr>
          <w:rFonts w:ascii="Times New Roman" w:hAnsi="Times New Roman" w:cs="Times New Roman"/>
          <w:color w:val="auto"/>
          <w:lang w:val="en-US"/>
        </w:rPr>
      </w:pPr>
      <w:r w:rsidRPr="00843F73">
        <w:rPr>
          <w:rFonts w:ascii="Times New Roman" w:hAnsi="Times New Roman" w:cs="Times New Roman"/>
          <w:color w:val="auto"/>
          <w:lang w:val="en-US"/>
        </w:rPr>
        <w:t>Approved Selection Methods for Individual Consultants</w:t>
      </w:r>
    </w:p>
    <w:p w14:paraId="61082B77" w14:textId="77777777" w:rsidR="00CA17E6" w:rsidRPr="00843F73" w:rsidRDefault="00CA17E6" w:rsidP="00665F55">
      <w:pPr>
        <w:widowControl w:val="0"/>
        <w:tabs>
          <w:tab w:val="left" w:pos="786"/>
        </w:tabs>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spacing w:val="-1"/>
          <w:lang w:val="en-US"/>
        </w:rPr>
        <w:t>Individual</w:t>
      </w:r>
      <w:r w:rsidRPr="00843F73">
        <w:rPr>
          <w:rFonts w:ascii="Times New Roman" w:eastAsia="Calibri" w:hAnsi="Times New Roman" w:cs="Times New Roman"/>
          <w:spacing w:val="-2"/>
          <w:lang w:val="en-US"/>
        </w:rPr>
        <w:t xml:space="preserve"> </w:t>
      </w:r>
      <w:r w:rsidRPr="00843F73">
        <w:rPr>
          <w:rFonts w:ascii="Times New Roman" w:eastAsia="Calibri" w:hAnsi="Times New Roman" w:cs="Times New Roman"/>
          <w:spacing w:val="-1"/>
          <w:lang w:val="en-US"/>
        </w:rPr>
        <w:t>Consultants</w:t>
      </w:r>
      <w:r w:rsidRPr="00843F73">
        <w:rPr>
          <w:rFonts w:ascii="Times New Roman" w:eastAsia="Calibri" w:hAnsi="Times New Roman" w:cs="Times New Roman"/>
          <w:spacing w:val="-2"/>
          <w:lang w:val="en-US"/>
        </w:rPr>
        <w:t xml:space="preserve"> </w:t>
      </w:r>
      <w:r w:rsidRPr="00843F73">
        <w:rPr>
          <w:rFonts w:ascii="Times New Roman" w:eastAsia="Calibri" w:hAnsi="Times New Roman" w:cs="Times New Roman"/>
          <w:lang w:val="en-US"/>
        </w:rPr>
        <w:t>are</w:t>
      </w:r>
      <w:r w:rsidRPr="00843F73">
        <w:rPr>
          <w:rFonts w:ascii="Times New Roman" w:eastAsia="Calibri" w:hAnsi="Times New Roman" w:cs="Times New Roman"/>
          <w:spacing w:val="-2"/>
          <w:lang w:val="en-US"/>
        </w:rPr>
        <w:t xml:space="preserve"> </w:t>
      </w:r>
      <w:r w:rsidRPr="00843F73">
        <w:rPr>
          <w:rFonts w:ascii="Times New Roman" w:eastAsia="Calibri" w:hAnsi="Times New Roman" w:cs="Times New Roman"/>
          <w:spacing w:val="-1"/>
          <w:lang w:val="en-US"/>
        </w:rPr>
        <w:t>selected for</w:t>
      </w:r>
      <w:r w:rsidRPr="00843F73">
        <w:rPr>
          <w:rFonts w:ascii="Times New Roman" w:eastAsia="Calibri" w:hAnsi="Times New Roman" w:cs="Times New Roman"/>
          <w:spacing w:val="-2"/>
          <w:lang w:val="en-US"/>
        </w:rPr>
        <w:t xml:space="preserve"> </w:t>
      </w:r>
      <w:r w:rsidRPr="00843F73">
        <w:rPr>
          <w:rFonts w:ascii="Times New Roman" w:eastAsia="Calibri" w:hAnsi="Times New Roman" w:cs="Times New Roman"/>
          <w:lang w:val="en-US"/>
        </w:rPr>
        <w:t>an</w:t>
      </w:r>
      <w:r w:rsidRPr="00843F73">
        <w:rPr>
          <w:rFonts w:ascii="Times New Roman" w:eastAsia="Calibri" w:hAnsi="Times New Roman" w:cs="Times New Roman"/>
          <w:spacing w:val="-1"/>
          <w:lang w:val="en-US"/>
        </w:rPr>
        <w:t xml:space="preserve"> </w:t>
      </w:r>
      <w:r w:rsidRPr="00843F73">
        <w:rPr>
          <w:rFonts w:ascii="Times New Roman" w:eastAsia="Calibri" w:hAnsi="Times New Roman" w:cs="Times New Roman"/>
          <w:lang w:val="en-US"/>
        </w:rPr>
        <w:t>assignment</w:t>
      </w:r>
      <w:r w:rsidRPr="00843F73">
        <w:rPr>
          <w:rFonts w:ascii="Times New Roman" w:eastAsia="Calibri" w:hAnsi="Times New Roman" w:cs="Times New Roman"/>
          <w:spacing w:val="-2"/>
          <w:lang w:val="en-US"/>
        </w:rPr>
        <w:t xml:space="preserve"> </w:t>
      </w:r>
      <w:r w:rsidRPr="00843F73">
        <w:rPr>
          <w:rFonts w:ascii="Times New Roman" w:eastAsia="Calibri" w:hAnsi="Times New Roman" w:cs="Times New Roman"/>
          <w:spacing w:val="-1"/>
          <w:lang w:val="en-US"/>
        </w:rPr>
        <w:t>for</w:t>
      </w:r>
      <w:r w:rsidRPr="00843F73">
        <w:rPr>
          <w:rFonts w:ascii="Times New Roman" w:eastAsia="Calibri" w:hAnsi="Times New Roman" w:cs="Times New Roman"/>
          <w:spacing w:val="-2"/>
          <w:lang w:val="en-US"/>
        </w:rPr>
        <w:t xml:space="preserve"> </w:t>
      </w:r>
      <w:r w:rsidRPr="00843F73">
        <w:rPr>
          <w:rFonts w:ascii="Times New Roman" w:eastAsia="Calibri" w:hAnsi="Times New Roman" w:cs="Times New Roman"/>
          <w:spacing w:val="-1"/>
          <w:lang w:val="en-US"/>
        </w:rPr>
        <w:t>which:</w:t>
      </w:r>
    </w:p>
    <w:p w14:paraId="117862AE" w14:textId="77777777" w:rsidR="00CA17E6" w:rsidRPr="00843F73" w:rsidRDefault="00CA17E6" w:rsidP="00665F55">
      <w:pPr>
        <w:numPr>
          <w:ilvl w:val="2"/>
          <w:numId w:val="696"/>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a team of experts is not required;</w:t>
      </w:r>
    </w:p>
    <w:p w14:paraId="526E56A5" w14:textId="77777777" w:rsidR="00CA17E6" w:rsidRPr="00843F73" w:rsidRDefault="00CA17E6" w:rsidP="00665F55">
      <w:pPr>
        <w:numPr>
          <w:ilvl w:val="2"/>
          <w:numId w:val="696"/>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no additional home office professional support is required; and</w:t>
      </w:r>
    </w:p>
    <w:p w14:paraId="6DFEE2F0" w14:textId="77777777" w:rsidR="00CA17E6" w:rsidRPr="00843F73" w:rsidRDefault="00CA17E6" w:rsidP="00665F55">
      <w:pPr>
        <w:numPr>
          <w:ilvl w:val="2"/>
          <w:numId w:val="696"/>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the experience and qualifications of the individual are of paramount requirement.</w:t>
      </w:r>
    </w:p>
    <w:p w14:paraId="5C000D2F" w14:textId="63CD2374" w:rsidR="00CA17E6" w:rsidRPr="00843F73" w:rsidRDefault="00CA17E6" w:rsidP="00665F55">
      <w:pPr>
        <w:spacing w:after="120" w:line="240" w:lineRule="auto"/>
        <w:jc w:val="both"/>
        <w:rPr>
          <w:rFonts w:ascii="Times New Roman" w:eastAsia="Calibri" w:hAnsi="Times New Roman" w:cs="Times New Roman"/>
          <w:sz w:val="16"/>
          <w:szCs w:val="16"/>
          <w:lang w:val="en-US"/>
        </w:rPr>
      </w:pPr>
      <w:r w:rsidRPr="00843F73">
        <w:rPr>
          <w:rFonts w:ascii="Times New Roman" w:hAnsi="Times New Roman" w:cs="Times New Roman"/>
          <w:lang w:val="en-US"/>
        </w:rPr>
        <w:t>When</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coordination,</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administration,</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or</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collective</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responsibility</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may</w:t>
      </w:r>
      <w:r w:rsidRPr="00843F73">
        <w:rPr>
          <w:rFonts w:ascii="Times New Roman" w:hAnsi="Times New Roman" w:cs="Times New Roman"/>
          <w:spacing w:val="18"/>
          <w:lang w:val="en-US"/>
        </w:rPr>
        <w:t xml:space="preserve"> </w:t>
      </w:r>
      <w:r w:rsidRPr="00843F73">
        <w:rPr>
          <w:rFonts w:ascii="Times New Roman" w:hAnsi="Times New Roman" w:cs="Times New Roman"/>
          <w:lang w:val="en-US"/>
        </w:rPr>
        <w:t>become</w:t>
      </w:r>
      <w:r w:rsidRPr="00843F73">
        <w:rPr>
          <w:rFonts w:ascii="Times New Roman" w:hAnsi="Times New Roman" w:cs="Times New Roman"/>
          <w:spacing w:val="19"/>
          <w:lang w:val="en-US"/>
        </w:rPr>
        <w:t xml:space="preserve"> </w:t>
      </w:r>
      <w:r w:rsidRPr="00843F73">
        <w:rPr>
          <w:rFonts w:ascii="Times New Roman" w:hAnsi="Times New Roman" w:cs="Times New Roman"/>
          <w:lang w:val="en-US"/>
        </w:rPr>
        <w:t>difficult</w:t>
      </w:r>
      <w:r w:rsidRPr="00843F73">
        <w:rPr>
          <w:rFonts w:ascii="Times New Roman" w:hAnsi="Times New Roman" w:cs="Times New Roman"/>
          <w:spacing w:val="19"/>
          <w:lang w:val="en-US"/>
        </w:rPr>
        <w:t xml:space="preserve"> </w:t>
      </w:r>
      <w:r w:rsidRPr="00843F73">
        <w:rPr>
          <w:rFonts w:ascii="Times New Roman" w:hAnsi="Times New Roman" w:cs="Times New Roman"/>
          <w:lang w:val="en-US"/>
        </w:rPr>
        <w:t>because</w:t>
      </w:r>
      <w:r w:rsidRPr="00843F73">
        <w:rPr>
          <w:rFonts w:ascii="Times New Roman" w:hAnsi="Times New Roman" w:cs="Times New Roman"/>
          <w:spacing w:val="20"/>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82"/>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number</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individuals,</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it</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is</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advisable</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to</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employ</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firm.</w:t>
      </w:r>
      <w:r w:rsidRPr="00843F73">
        <w:rPr>
          <w:rFonts w:ascii="Times New Roman" w:hAnsi="Times New Roman" w:cs="Times New Roman"/>
          <w:spacing w:val="8"/>
          <w:lang w:val="en-US"/>
        </w:rPr>
        <w:t xml:space="preserve"> </w:t>
      </w:r>
      <w:r w:rsidRPr="00843F73">
        <w:rPr>
          <w:rFonts w:ascii="Times New Roman" w:hAnsi="Times New Roman" w:cs="Times New Roman"/>
          <w:lang w:val="en-US"/>
        </w:rPr>
        <w:t>When</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qualified</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individual</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Consultants</w:t>
      </w:r>
      <w:r w:rsidRPr="00843F73">
        <w:rPr>
          <w:rFonts w:ascii="Times New Roman" w:hAnsi="Times New Roman" w:cs="Times New Roman"/>
          <w:spacing w:val="71"/>
          <w:lang w:val="en-US"/>
        </w:rPr>
        <w:t xml:space="preserve"> </w:t>
      </w:r>
      <w:r w:rsidRPr="00843F73">
        <w:rPr>
          <w:rFonts w:ascii="Times New Roman" w:hAnsi="Times New Roman" w:cs="Times New Roman"/>
          <w:lang w:val="en-US"/>
        </w:rPr>
        <w:t>are</w:t>
      </w:r>
      <w:r w:rsidRPr="00843F73">
        <w:rPr>
          <w:rFonts w:ascii="Times New Roman" w:hAnsi="Times New Roman" w:cs="Times New Roman"/>
          <w:spacing w:val="11"/>
          <w:lang w:val="en-US"/>
        </w:rPr>
        <w:t xml:space="preserve"> </w:t>
      </w:r>
      <w:r w:rsidRPr="00843F73">
        <w:rPr>
          <w:rFonts w:ascii="Times New Roman" w:hAnsi="Times New Roman" w:cs="Times New Roman"/>
          <w:lang w:val="en-US"/>
        </w:rPr>
        <w:t>unavailable</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or</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cannot</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sign</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contract</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directly</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with</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12"/>
          <w:lang w:val="en-US"/>
        </w:rPr>
        <w:t xml:space="preserve"> </w:t>
      </w:r>
      <w:r w:rsidRPr="00F94C4F">
        <w:rPr>
          <w:rFonts w:ascii="Times New Roman" w:hAnsi="Times New Roman" w:cs="Times New Roman"/>
          <w:lang w:val="en-US"/>
        </w:rPr>
        <w:t>Borrower</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because</w:t>
      </w:r>
      <w:r w:rsidRPr="00843F73">
        <w:rPr>
          <w:rFonts w:ascii="Times New Roman" w:hAnsi="Times New Roman" w:cs="Times New Roman"/>
          <w:spacing w:val="11"/>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prior</w:t>
      </w:r>
      <w:r w:rsidRPr="00843F73">
        <w:rPr>
          <w:rFonts w:ascii="Times New Roman" w:hAnsi="Times New Roman" w:cs="Times New Roman"/>
          <w:spacing w:val="12"/>
          <w:lang w:val="en-US"/>
        </w:rPr>
        <w:t xml:space="preserve"> </w:t>
      </w:r>
      <w:r w:rsidRPr="00843F73">
        <w:rPr>
          <w:rFonts w:ascii="Times New Roman" w:hAnsi="Times New Roman" w:cs="Times New Roman"/>
          <w:lang w:val="en-US"/>
        </w:rPr>
        <w:t>agreement</w:t>
      </w:r>
      <w:r w:rsidRPr="00843F73">
        <w:rPr>
          <w:rFonts w:ascii="Times New Roman" w:hAnsi="Times New Roman" w:cs="Times New Roman"/>
          <w:spacing w:val="83"/>
          <w:w w:val="99"/>
          <w:lang w:val="en-US"/>
        </w:rPr>
        <w:t xml:space="preserve"> </w:t>
      </w:r>
      <w:r w:rsidRPr="00843F73">
        <w:rPr>
          <w:rFonts w:ascii="Times New Roman" w:hAnsi="Times New Roman" w:cs="Times New Roman"/>
          <w:lang w:val="en-US"/>
        </w:rPr>
        <w:t>with</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firm,</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34"/>
          <w:lang w:val="en-US"/>
        </w:rPr>
        <w:t xml:space="preserve"> </w:t>
      </w:r>
      <w:r w:rsidRPr="00F94C4F">
        <w:rPr>
          <w:rFonts w:ascii="Times New Roman" w:hAnsi="Times New Roman" w:cs="Times New Roman"/>
          <w:lang w:val="en-US"/>
        </w:rPr>
        <w:t>Borrower</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may</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invite</w:t>
      </w:r>
      <w:r w:rsidRPr="00843F73">
        <w:rPr>
          <w:rFonts w:ascii="Times New Roman" w:hAnsi="Times New Roman" w:cs="Times New Roman"/>
          <w:spacing w:val="35"/>
          <w:lang w:val="en-US"/>
        </w:rPr>
        <w:t xml:space="preserve"> </w:t>
      </w:r>
      <w:r w:rsidRPr="00843F73">
        <w:rPr>
          <w:rFonts w:ascii="Times New Roman" w:hAnsi="Times New Roman" w:cs="Times New Roman"/>
          <w:lang w:val="en-US"/>
        </w:rPr>
        <w:t>firms</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to</w:t>
      </w:r>
      <w:r w:rsidRPr="00843F73">
        <w:rPr>
          <w:rFonts w:ascii="Times New Roman" w:hAnsi="Times New Roman" w:cs="Times New Roman"/>
          <w:spacing w:val="35"/>
          <w:lang w:val="en-US"/>
        </w:rPr>
        <w:t xml:space="preserve"> </w:t>
      </w:r>
      <w:r w:rsidRPr="00843F73">
        <w:rPr>
          <w:rFonts w:ascii="Times New Roman" w:hAnsi="Times New Roman" w:cs="Times New Roman"/>
          <w:lang w:val="en-US"/>
        </w:rPr>
        <w:t>provide</w:t>
      </w:r>
      <w:r w:rsidRPr="00843F73">
        <w:rPr>
          <w:rFonts w:ascii="Times New Roman" w:hAnsi="Times New Roman" w:cs="Times New Roman"/>
          <w:spacing w:val="35"/>
          <w:lang w:val="en-US"/>
        </w:rPr>
        <w:t xml:space="preserve"> </w:t>
      </w:r>
      <w:r w:rsidRPr="00843F73">
        <w:rPr>
          <w:rFonts w:ascii="Times New Roman" w:hAnsi="Times New Roman" w:cs="Times New Roman"/>
          <w:lang w:val="en-US"/>
        </w:rPr>
        <w:t>qualified</w:t>
      </w:r>
      <w:r w:rsidRPr="00843F73">
        <w:rPr>
          <w:rFonts w:ascii="Times New Roman" w:hAnsi="Times New Roman" w:cs="Times New Roman"/>
          <w:spacing w:val="35"/>
          <w:lang w:val="en-US"/>
        </w:rPr>
        <w:t xml:space="preserve"> </w:t>
      </w:r>
      <w:r w:rsidRPr="00843F73">
        <w:rPr>
          <w:rFonts w:ascii="Times New Roman" w:hAnsi="Times New Roman" w:cs="Times New Roman"/>
          <w:lang w:val="en-US"/>
        </w:rPr>
        <w:t>individual</w:t>
      </w:r>
      <w:r w:rsidRPr="00843F73">
        <w:rPr>
          <w:rFonts w:ascii="Times New Roman" w:hAnsi="Times New Roman" w:cs="Times New Roman"/>
          <w:spacing w:val="35"/>
          <w:lang w:val="en-US"/>
        </w:rPr>
        <w:t xml:space="preserve"> </w:t>
      </w:r>
      <w:r w:rsidRPr="00843F73">
        <w:rPr>
          <w:rFonts w:ascii="Times New Roman" w:hAnsi="Times New Roman" w:cs="Times New Roman"/>
          <w:lang w:val="en-US"/>
        </w:rPr>
        <w:t>Consultants</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for</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75"/>
          <w:w w:val="99"/>
          <w:lang w:val="en-US"/>
        </w:rPr>
        <w:t xml:space="preserve"> </w:t>
      </w:r>
      <w:r w:rsidRPr="00843F73">
        <w:rPr>
          <w:rFonts w:ascii="Times New Roman" w:hAnsi="Times New Roman" w:cs="Times New Roman"/>
          <w:lang w:val="en-US"/>
        </w:rPr>
        <w:t>assignment.</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In</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all cases, individual</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Consultants</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selected to</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employed</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by</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1"/>
          <w:lang w:val="en-US"/>
        </w:rPr>
        <w:t xml:space="preserve"> </w:t>
      </w:r>
      <w:r w:rsidRPr="00F94C4F">
        <w:rPr>
          <w:rFonts w:ascii="Times New Roman" w:hAnsi="Times New Roman" w:cs="Times New Roman"/>
          <w:lang w:val="en-US"/>
        </w:rPr>
        <w:t>Borrower</w:t>
      </w:r>
      <w:r w:rsidRPr="00843F73">
        <w:rPr>
          <w:rFonts w:ascii="Times New Roman" w:hAnsi="Times New Roman" w:cs="Times New Roman"/>
          <w:lang w:val="en-US"/>
        </w:rPr>
        <w:t xml:space="preserve"> shall</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76"/>
          <w:w w:val="99"/>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most</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experienced</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and</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best</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qualified</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among</w:t>
      </w:r>
      <w:r w:rsidRPr="00843F73">
        <w:rPr>
          <w:rFonts w:ascii="Times New Roman" w:hAnsi="Times New Roman" w:cs="Times New Roman"/>
          <w:spacing w:val="37"/>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candidates,</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and</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shall</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fully</w:t>
      </w:r>
      <w:r w:rsidRPr="00843F73">
        <w:rPr>
          <w:rFonts w:ascii="Times New Roman" w:hAnsi="Times New Roman" w:cs="Times New Roman"/>
          <w:spacing w:val="36"/>
          <w:lang w:val="en-US"/>
        </w:rPr>
        <w:t xml:space="preserve"> </w:t>
      </w:r>
      <w:r w:rsidRPr="00843F73">
        <w:rPr>
          <w:rFonts w:ascii="Times New Roman" w:hAnsi="Times New Roman" w:cs="Times New Roman"/>
          <w:lang w:val="en-US"/>
        </w:rPr>
        <w:t>capable</w:t>
      </w:r>
      <w:r w:rsidRPr="00843F73">
        <w:rPr>
          <w:rFonts w:ascii="Times New Roman" w:hAnsi="Times New Roman" w:cs="Times New Roman"/>
          <w:spacing w:val="37"/>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68"/>
          <w:lang w:val="en-US"/>
        </w:rPr>
        <w:t xml:space="preserve"> </w:t>
      </w:r>
      <w:r w:rsidRPr="00843F73">
        <w:rPr>
          <w:rFonts w:ascii="Times New Roman" w:hAnsi="Times New Roman" w:cs="Times New Roman"/>
          <w:lang w:val="en-US"/>
        </w:rPr>
        <w:t>carrying</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out</w:t>
      </w:r>
      <w:r w:rsidRPr="00843F73">
        <w:rPr>
          <w:rFonts w:ascii="Times New Roman" w:hAnsi="Times New Roman" w:cs="Times New Roman"/>
          <w:spacing w:val="29"/>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assignment.</w:t>
      </w:r>
      <w:r w:rsidRPr="00843F73">
        <w:rPr>
          <w:rFonts w:ascii="Times New Roman" w:hAnsi="Times New Roman" w:cs="Times New Roman"/>
          <w:spacing w:val="7"/>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8"/>
          <w:lang w:val="en-US"/>
        </w:rPr>
        <w:t xml:space="preserve"> </w:t>
      </w:r>
      <w:r w:rsidRPr="00843F73">
        <w:rPr>
          <w:rFonts w:ascii="Times New Roman" w:hAnsi="Times New Roman" w:cs="Times New Roman"/>
          <w:lang w:val="en-US"/>
        </w:rPr>
        <w:t>evaluation</w:t>
      </w:r>
      <w:r w:rsidRPr="00843F73">
        <w:rPr>
          <w:rFonts w:ascii="Times New Roman" w:hAnsi="Times New Roman" w:cs="Times New Roman"/>
          <w:spacing w:val="28"/>
          <w:lang w:val="en-US"/>
        </w:rPr>
        <w:t xml:space="preserve"> </w:t>
      </w:r>
      <w:r w:rsidRPr="00843F73">
        <w:rPr>
          <w:rFonts w:ascii="Times New Roman" w:hAnsi="Times New Roman" w:cs="Times New Roman"/>
          <w:lang w:val="en-US"/>
        </w:rPr>
        <w:t>shall</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28"/>
          <w:lang w:val="en-US"/>
        </w:rPr>
        <w:t xml:space="preserve"> </w:t>
      </w:r>
      <w:r w:rsidRPr="00843F73">
        <w:rPr>
          <w:rFonts w:ascii="Times New Roman" w:hAnsi="Times New Roman" w:cs="Times New Roman"/>
          <w:lang w:val="en-US"/>
        </w:rPr>
        <w:t>based</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on</w:t>
      </w:r>
      <w:r w:rsidRPr="00843F73">
        <w:rPr>
          <w:rFonts w:ascii="Times New Roman" w:hAnsi="Times New Roman" w:cs="Times New Roman"/>
          <w:spacing w:val="28"/>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relevant</w:t>
      </w:r>
      <w:r w:rsidRPr="00843F73">
        <w:rPr>
          <w:rFonts w:ascii="Times New Roman" w:hAnsi="Times New Roman" w:cs="Times New Roman"/>
          <w:spacing w:val="28"/>
          <w:lang w:val="en-US"/>
        </w:rPr>
        <w:t xml:space="preserve"> </w:t>
      </w:r>
      <w:r w:rsidRPr="00843F73">
        <w:rPr>
          <w:rFonts w:ascii="Times New Roman" w:hAnsi="Times New Roman" w:cs="Times New Roman"/>
          <w:lang w:val="en-US"/>
        </w:rPr>
        <w:t>qualifications</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and</w:t>
      </w:r>
      <w:r w:rsidRPr="00843F73">
        <w:rPr>
          <w:rFonts w:ascii="Times New Roman" w:hAnsi="Times New Roman" w:cs="Times New Roman"/>
          <w:spacing w:val="91"/>
          <w:lang w:val="en-US"/>
        </w:rPr>
        <w:t xml:space="preserve"> </w:t>
      </w:r>
      <w:r w:rsidRPr="00843F73">
        <w:rPr>
          <w:rFonts w:ascii="Times New Roman" w:hAnsi="Times New Roman" w:cs="Times New Roman"/>
          <w:lang w:val="en-US"/>
        </w:rPr>
        <w:t>experience</w:t>
      </w:r>
      <w:r w:rsidRPr="00843F73">
        <w:rPr>
          <w:rFonts w:ascii="Times New Roman" w:hAnsi="Times New Roman" w:cs="Times New Roman"/>
          <w:spacing w:val="-5"/>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individual</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Consultant.</w:t>
      </w:r>
    </w:p>
    <w:p w14:paraId="0906A303" w14:textId="575B0747" w:rsidR="00CA17E6" w:rsidRPr="00843F73" w:rsidRDefault="00CA17E6" w:rsidP="00665F55">
      <w:pPr>
        <w:pStyle w:val="Heading5"/>
        <w:jc w:val="both"/>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Open Competitive Selection of Individual Consultants</w:t>
      </w:r>
    </w:p>
    <w:p w14:paraId="5EA862E2" w14:textId="77777777" w:rsidR="00CA17E6" w:rsidRPr="00843F73" w:rsidRDefault="00CA17E6" w:rsidP="00665F55">
      <w:pPr>
        <w:pStyle w:val="Normal0"/>
        <w:spacing w:after="120" w:line="240" w:lineRule="auto"/>
        <w:jc w:val="both"/>
        <w:rPr>
          <w:rFonts w:ascii="Times New Roman" w:hAnsi="Times New Roman" w:cs="Times New Roman"/>
        </w:rPr>
      </w:pPr>
      <w:r w:rsidRPr="00843F73">
        <w:rPr>
          <w:rFonts w:ascii="Times New Roman" w:hAnsi="Times New Roman" w:cs="Times New Roman"/>
        </w:rPr>
        <w:t>Advertisement</w:t>
      </w:r>
      <w:r w:rsidRPr="00843F73">
        <w:rPr>
          <w:rFonts w:ascii="Times New Roman" w:hAnsi="Times New Roman" w:cs="Times New Roman"/>
          <w:spacing w:val="2"/>
        </w:rPr>
        <w:t xml:space="preserve"> </w:t>
      </w:r>
      <w:r w:rsidRPr="00843F73">
        <w:rPr>
          <w:rFonts w:ascii="Times New Roman" w:hAnsi="Times New Roman" w:cs="Times New Roman"/>
        </w:rPr>
        <w:t>through</w:t>
      </w:r>
      <w:r w:rsidRPr="00843F73">
        <w:rPr>
          <w:rFonts w:ascii="Times New Roman" w:hAnsi="Times New Roman" w:cs="Times New Roman"/>
          <w:spacing w:val="3"/>
        </w:rPr>
        <w:t xml:space="preserve"> </w:t>
      </w:r>
      <w:r w:rsidRPr="00843F73">
        <w:rPr>
          <w:rFonts w:ascii="Times New Roman" w:hAnsi="Times New Roman" w:cs="Times New Roman"/>
        </w:rPr>
        <w:t>REoIs</w:t>
      </w:r>
      <w:r w:rsidRPr="00843F73">
        <w:rPr>
          <w:rFonts w:ascii="Times New Roman" w:hAnsi="Times New Roman" w:cs="Times New Roman"/>
          <w:spacing w:val="2"/>
        </w:rPr>
        <w:t xml:space="preserve"> </w:t>
      </w:r>
      <w:r w:rsidRPr="00843F73">
        <w:rPr>
          <w:rFonts w:ascii="Times New Roman" w:hAnsi="Times New Roman" w:cs="Times New Roman"/>
        </w:rPr>
        <w:t>is</w:t>
      </w:r>
      <w:r w:rsidRPr="00843F73">
        <w:rPr>
          <w:rFonts w:ascii="Times New Roman" w:hAnsi="Times New Roman" w:cs="Times New Roman"/>
          <w:spacing w:val="3"/>
        </w:rPr>
        <w:t xml:space="preserve"> </w:t>
      </w:r>
      <w:r w:rsidRPr="00843F73">
        <w:rPr>
          <w:rFonts w:ascii="Times New Roman" w:hAnsi="Times New Roman" w:cs="Times New Roman"/>
        </w:rPr>
        <w:t>encouraged,</w:t>
      </w:r>
      <w:r w:rsidRPr="00843F73">
        <w:rPr>
          <w:rFonts w:ascii="Times New Roman" w:hAnsi="Times New Roman" w:cs="Times New Roman"/>
          <w:spacing w:val="3"/>
        </w:rPr>
        <w:t xml:space="preserve"> </w:t>
      </w:r>
      <w:r w:rsidRPr="00843F73">
        <w:rPr>
          <w:rFonts w:ascii="Times New Roman" w:hAnsi="Times New Roman" w:cs="Times New Roman"/>
        </w:rPr>
        <w:t>particularly</w:t>
      </w:r>
      <w:r w:rsidRPr="00843F73">
        <w:rPr>
          <w:rFonts w:ascii="Times New Roman" w:hAnsi="Times New Roman" w:cs="Times New Roman"/>
          <w:spacing w:val="2"/>
        </w:rPr>
        <w:t xml:space="preserve"> </w:t>
      </w:r>
      <w:r w:rsidRPr="00843F73">
        <w:rPr>
          <w:rFonts w:ascii="Times New Roman" w:hAnsi="Times New Roman" w:cs="Times New Roman"/>
        </w:rPr>
        <w:t>when</w:t>
      </w:r>
      <w:r w:rsidRPr="00843F73">
        <w:rPr>
          <w:rFonts w:ascii="Times New Roman" w:hAnsi="Times New Roman" w:cs="Times New Roman"/>
          <w:spacing w:val="3"/>
        </w:rPr>
        <w:t xml:space="preserve"> </w:t>
      </w:r>
      <w:r w:rsidRPr="00843F73">
        <w:rPr>
          <w:rFonts w:ascii="Times New Roman" w:hAnsi="Times New Roman" w:cs="Times New Roman"/>
        </w:rPr>
        <w:t>the</w:t>
      </w:r>
      <w:r w:rsidRPr="00843F73">
        <w:rPr>
          <w:rFonts w:ascii="Times New Roman" w:hAnsi="Times New Roman" w:cs="Times New Roman"/>
          <w:spacing w:val="2"/>
        </w:rPr>
        <w:t xml:space="preserve"> </w:t>
      </w:r>
      <w:r w:rsidRPr="00F94C4F">
        <w:rPr>
          <w:rFonts w:ascii="Times New Roman" w:hAnsi="Times New Roman" w:cs="Times New Roman"/>
        </w:rPr>
        <w:t>Borrower</w:t>
      </w:r>
      <w:r w:rsidRPr="00843F73">
        <w:rPr>
          <w:rFonts w:ascii="Times New Roman" w:hAnsi="Times New Roman" w:cs="Times New Roman"/>
          <w:spacing w:val="2"/>
        </w:rPr>
        <w:t xml:space="preserve"> </w:t>
      </w:r>
      <w:r w:rsidRPr="00843F73">
        <w:rPr>
          <w:rFonts w:ascii="Times New Roman" w:hAnsi="Times New Roman" w:cs="Times New Roman"/>
        </w:rPr>
        <w:t>does</w:t>
      </w:r>
      <w:r w:rsidRPr="00843F73">
        <w:rPr>
          <w:rFonts w:ascii="Times New Roman" w:hAnsi="Times New Roman" w:cs="Times New Roman"/>
          <w:spacing w:val="2"/>
        </w:rPr>
        <w:t xml:space="preserve"> </w:t>
      </w:r>
      <w:r w:rsidRPr="00843F73">
        <w:rPr>
          <w:rFonts w:ascii="Times New Roman" w:hAnsi="Times New Roman" w:cs="Times New Roman"/>
        </w:rPr>
        <w:t>not</w:t>
      </w:r>
      <w:r w:rsidRPr="00843F73">
        <w:rPr>
          <w:rFonts w:ascii="Times New Roman" w:hAnsi="Times New Roman" w:cs="Times New Roman"/>
          <w:spacing w:val="3"/>
        </w:rPr>
        <w:t xml:space="preserve"> </w:t>
      </w:r>
      <w:r w:rsidRPr="00843F73">
        <w:rPr>
          <w:rFonts w:ascii="Times New Roman" w:hAnsi="Times New Roman" w:cs="Times New Roman"/>
        </w:rPr>
        <w:t>have</w:t>
      </w:r>
      <w:r w:rsidRPr="00843F73">
        <w:rPr>
          <w:rFonts w:ascii="Times New Roman" w:hAnsi="Times New Roman" w:cs="Times New Roman"/>
          <w:spacing w:val="91"/>
          <w:w w:val="99"/>
        </w:rPr>
        <w:t xml:space="preserve"> </w:t>
      </w:r>
      <w:r w:rsidRPr="00843F73">
        <w:rPr>
          <w:rFonts w:ascii="Times New Roman" w:hAnsi="Times New Roman" w:cs="Times New Roman"/>
        </w:rPr>
        <w:t>knowledge</w:t>
      </w:r>
      <w:r w:rsidRPr="00843F73">
        <w:rPr>
          <w:rFonts w:ascii="Times New Roman" w:hAnsi="Times New Roman" w:cs="Times New Roman"/>
          <w:spacing w:val="2"/>
        </w:rPr>
        <w:t xml:space="preserve"> </w:t>
      </w:r>
      <w:r w:rsidRPr="00843F73">
        <w:rPr>
          <w:rFonts w:ascii="Times New Roman" w:hAnsi="Times New Roman" w:cs="Times New Roman"/>
        </w:rPr>
        <w:t>of</w:t>
      </w:r>
      <w:r w:rsidRPr="00843F73">
        <w:rPr>
          <w:rFonts w:ascii="Times New Roman" w:hAnsi="Times New Roman" w:cs="Times New Roman"/>
          <w:spacing w:val="2"/>
        </w:rPr>
        <w:t xml:space="preserve"> </w:t>
      </w:r>
      <w:r w:rsidRPr="00843F73">
        <w:rPr>
          <w:rFonts w:ascii="Times New Roman" w:hAnsi="Times New Roman" w:cs="Times New Roman"/>
        </w:rPr>
        <w:t>experienced</w:t>
      </w:r>
      <w:r w:rsidRPr="00843F73">
        <w:rPr>
          <w:rFonts w:ascii="Times New Roman" w:hAnsi="Times New Roman" w:cs="Times New Roman"/>
          <w:spacing w:val="2"/>
        </w:rPr>
        <w:t xml:space="preserve"> </w:t>
      </w:r>
      <w:r w:rsidRPr="00843F73">
        <w:rPr>
          <w:rFonts w:ascii="Times New Roman" w:hAnsi="Times New Roman" w:cs="Times New Roman"/>
        </w:rPr>
        <w:t>and</w:t>
      </w:r>
      <w:r w:rsidRPr="00843F73">
        <w:rPr>
          <w:rFonts w:ascii="Times New Roman" w:hAnsi="Times New Roman" w:cs="Times New Roman"/>
          <w:spacing w:val="1"/>
        </w:rPr>
        <w:t xml:space="preserve"> </w:t>
      </w:r>
      <w:r w:rsidRPr="00843F73">
        <w:rPr>
          <w:rFonts w:ascii="Times New Roman" w:hAnsi="Times New Roman" w:cs="Times New Roman"/>
        </w:rPr>
        <w:t>qualified</w:t>
      </w:r>
      <w:r w:rsidRPr="00843F73">
        <w:rPr>
          <w:rFonts w:ascii="Times New Roman" w:hAnsi="Times New Roman" w:cs="Times New Roman"/>
          <w:spacing w:val="2"/>
        </w:rPr>
        <w:t xml:space="preserve"> </w:t>
      </w:r>
      <w:r w:rsidRPr="00843F73">
        <w:rPr>
          <w:rFonts w:ascii="Times New Roman" w:hAnsi="Times New Roman" w:cs="Times New Roman"/>
        </w:rPr>
        <w:t>individuals,</w:t>
      </w:r>
      <w:r w:rsidRPr="00843F73">
        <w:rPr>
          <w:rFonts w:ascii="Times New Roman" w:hAnsi="Times New Roman" w:cs="Times New Roman"/>
          <w:spacing w:val="1"/>
        </w:rPr>
        <w:t xml:space="preserve"> </w:t>
      </w:r>
      <w:r w:rsidRPr="00843F73">
        <w:rPr>
          <w:rFonts w:ascii="Times New Roman" w:hAnsi="Times New Roman" w:cs="Times New Roman"/>
        </w:rPr>
        <w:t>or</w:t>
      </w:r>
      <w:r w:rsidRPr="00843F73">
        <w:rPr>
          <w:rFonts w:ascii="Times New Roman" w:hAnsi="Times New Roman" w:cs="Times New Roman"/>
          <w:spacing w:val="3"/>
        </w:rPr>
        <w:t xml:space="preserve"> </w:t>
      </w:r>
      <w:r w:rsidRPr="00843F73">
        <w:rPr>
          <w:rFonts w:ascii="Times New Roman" w:hAnsi="Times New Roman" w:cs="Times New Roman"/>
        </w:rPr>
        <w:t>of</w:t>
      </w:r>
      <w:r w:rsidRPr="00843F73">
        <w:rPr>
          <w:rFonts w:ascii="Times New Roman" w:hAnsi="Times New Roman" w:cs="Times New Roman"/>
          <w:spacing w:val="2"/>
        </w:rPr>
        <w:t xml:space="preserve"> </w:t>
      </w:r>
      <w:r w:rsidRPr="00843F73">
        <w:rPr>
          <w:rFonts w:ascii="Times New Roman" w:hAnsi="Times New Roman" w:cs="Times New Roman"/>
        </w:rPr>
        <w:t>their</w:t>
      </w:r>
      <w:r w:rsidRPr="00843F73">
        <w:rPr>
          <w:rFonts w:ascii="Times New Roman" w:hAnsi="Times New Roman" w:cs="Times New Roman"/>
          <w:spacing w:val="2"/>
        </w:rPr>
        <w:t xml:space="preserve"> </w:t>
      </w:r>
      <w:r w:rsidRPr="00843F73">
        <w:rPr>
          <w:rFonts w:ascii="Times New Roman" w:hAnsi="Times New Roman" w:cs="Times New Roman"/>
        </w:rPr>
        <w:t>availability,</w:t>
      </w:r>
      <w:r w:rsidRPr="00843F73">
        <w:rPr>
          <w:rFonts w:ascii="Times New Roman" w:hAnsi="Times New Roman" w:cs="Times New Roman"/>
          <w:spacing w:val="1"/>
        </w:rPr>
        <w:t xml:space="preserve"> </w:t>
      </w:r>
      <w:r w:rsidRPr="00843F73">
        <w:rPr>
          <w:rFonts w:ascii="Times New Roman" w:hAnsi="Times New Roman" w:cs="Times New Roman"/>
        </w:rPr>
        <w:t>the</w:t>
      </w:r>
      <w:r w:rsidRPr="00843F73">
        <w:rPr>
          <w:rFonts w:ascii="Times New Roman" w:hAnsi="Times New Roman" w:cs="Times New Roman"/>
          <w:spacing w:val="2"/>
        </w:rPr>
        <w:t xml:space="preserve"> </w:t>
      </w:r>
      <w:r w:rsidRPr="00843F73">
        <w:rPr>
          <w:rFonts w:ascii="Times New Roman" w:hAnsi="Times New Roman" w:cs="Times New Roman"/>
        </w:rPr>
        <w:t>services</w:t>
      </w:r>
      <w:r w:rsidRPr="00843F73">
        <w:rPr>
          <w:rFonts w:ascii="Times New Roman" w:hAnsi="Times New Roman" w:cs="Times New Roman"/>
          <w:spacing w:val="1"/>
        </w:rPr>
        <w:t xml:space="preserve"> </w:t>
      </w:r>
      <w:r w:rsidRPr="00843F73">
        <w:rPr>
          <w:rFonts w:ascii="Times New Roman" w:hAnsi="Times New Roman" w:cs="Times New Roman"/>
        </w:rPr>
        <w:t>are</w:t>
      </w:r>
      <w:r w:rsidRPr="00843F73">
        <w:rPr>
          <w:rFonts w:ascii="Times New Roman" w:hAnsi="Times New Roman" w:cs="Times New Roman"/>
          <w:spacing w:val="97"/>
          <w:w w:val="99"/>
        </w:rPr>
        <w:t xml:space="preserve"> </w:t>
      </w:r>
      <w:r w:rsidRPr="00843F73">
        <w:rPr>
          <w:rFonts w:ascii="Times New Roman" w:hAnsi="Times New Roman" w:cs="Times New Roman"/>
        </w:rPr>
        <w:t>complex,</w:t>
      </w:r>
      <w:r w:rsidRPr="00843F73">
        <w:rPr>
          <w:rFonts w:ascii="Times New Roman" w:hAnsi="Times New Roman" w:cs="Times New Roman"/>
          <w:spacing w:val="35"/>
        </w:rPr>
        <w:t xml:space="preserve"> </w:t>
      </w:r>
      <w:r w:rsidRPr="00843F73">
        <w:rPr>
          <w:rFonts w:ascii="Times New Roman" w:hAnsi="Times New Roman" w:cs="Times New Roman"/>
        </w:rPr>
        <w:t>there</w:t>
      </w:r>
      <w:r w:rsidRPr="00843F73">
        <w:rPr>
          <w:rFonts w:ascii="Times New Roman" w:hAnsi="Times New Roman" w:cs="Times New Roman"/>
          <w:spacing w:val="35"/>
        </w:rPr>
        <w:t xml:space="preserve"> </w:t>
      </w:r>
      <w:r w:rsidRPr="00843F73">
        <w:rPr>
          <w:rFonts w:ascii="Times New Roman" w:hAnsi="Times New Roman" w:cs="Times New Roman"/>
        </w:rPr>
        <w:t>is</w:t>
      </w:r>
      <w:r w:rsidRPr="00843F73">
        <w:rPr>
          <w:rFonts w:ascii="Times New Roman" w:hAnsi="Times New Roman" w:cs="Times New Roman"/>
          <w:spacing w:val="36"/>
        </w:rPr>
        <w:t xml:space="preserve"> </w:t>
      </w:r>
      <w:r w:rsidRPr="00843F73">
        <w:rPr>
          <w:rFonts w:ascii="Times New Roman" w:hAnsi="Times New Roman" w:cs="Times New Roman"/>
        </w:rPr>
        <w:t>potential</w:t>
      </w:r>
      <w:r w:rsidRPr="00843F73">
        <w:rPr>
          <w:rFonts w:ascii="Times New Roman" w:hAnsi="Times New Roman" w:cs="Times New Roman"/>
          <w:spacing w:val="35"/>
        </w:rPr>
        <w:t xml:space="preserve"> </w:t>
      </w:r>
      <w:r w:rsidRPr="00843F73">
        <w:rPr>
          <w:rFonts w:ascii="Times New Roman" w:hAnsi="Times New Roman" w:cs="Times New Roman"/>
        </w:rPr>
        <w:t>benefit</w:t>
      </w:r>
      <w:r w:rsidRPr="00843F73">
        <w:rPr>
          <w:rFonts w:ascii="Times New Roman" w:hAnsi="Times New Roman" w:cs="Times New Roman"/>
          <w:spacing w:val="35"/>
        </w:rPr>
        <w:t xml:space="preserve"> </w:t>
      </w:r>
      <w:r w:rsidRPr="00843F73">
        <w:rPr>
          <w:rFonts w:ascii="Times New Roman" w:hAnsi="Times New Roman" w:cs="Times New Roman"/>
        </w:rPr>
        <w:t>from</w:t>
      </w:r>
      <w:r w:rsidRPr="00843F73">
        <w:rPr>
          <w:rFonts w:ascii="Times New Roman" w:hAnsi="Times New Roman" w:cs="Times New Roman"/>
          <w:spacing w:val="35"/>
        </w:rPr>
        <w:t xml:space="preserve"> </w:t>
      </w:r>
      <w:r w:rsidRPr="00843F73">
        <w:rPr>
          <w:rFonts w:ascii="Times New Roman" w:hAnsi="Times New Roman" w:cs="Times New Roman"/>
        </w:rPr>
        <w:t>wider</w:t>
      </w:r>
      <w:r w:rsidRPr="00843F73">
        <w:rPr>
          <w:rFonts w:ascii="Times New Roman" w:hAnsi="Times New Roman" w:cs="Times New Roman"/>
          <w:spacing w:val="36"/>
        </w:rPr>
        <w:t xml:space="preserve"> </w:t>
      </w:r>
      <w:r w:rsidRPr="00843F73">
        <w:rPr>
          <w:rFonts w:ascii="Times New Roman" w:hAnsi="Times New Roman" w:cs="Times New Roman"/>
        </w:rPr>
        <w:t>advertising,</w:t>
      </w:r>
      <w:r w:rsidRPr="00843F73">
        <w:rPr>
          <w:rFonts w:ascii="Times New Roman" w:hAnsi="Times New Roman" w:cs="Times New Roman"/>
          <w:spacing w:val="35"/>
        </w:rPr>
        <w:t xml:space="preserve"> </w:t>
      </w:r>
      <w:r w:rsidRPr="00843F73">
        <w:rPr>
          <w:rFonts w:ascii="Times New Roman" w:hAnsi="Times New Roman" w:cs="Times New Roman"/>
        </w:rPr>
        <w:t>or</w:t>
      </w:r>
      <w:r w:rsidRPr="00843F73">
        <w:rPr>
          <w:rFonts w:ascii="Times New Roman" w:hAnsi="Times New Roman" w:cs="Times New Roman"/>
          <w:spacing w:val="35"/>
        </w:rPr>
        <w:t xml:space="preserve"> </w:t>
      </w:r>
      <w:r w:rsidRPr="00843F73">
        <w:rPr>
          <w:rFonts w:ascii="Times New Roman" w:hAnsi="Times New Roman" w:cs="Times New Roman"/>
        </w:rPr>
        <w:t>advertising</w:t>
      </w:r>
      <w:r w:rsidRPr="00843F73">
        <w:rPr>
          <w:rFonts w:ascii="Times New Roman" w:hAnsi="Times New Roman" w:cs="Times New Roman"/>
          <w:spacing w:val="36"/>
        </w:rPr>
        <w:t xml:space="preserve"> </w:t>
      </w:r>
      <w:r w:rsidRPr="00843F73">
        <w:rPr>
          <w:rFonts w:ascii="Times New Roman" w:hAnsi="Times New Roman" w:cs="Times New Roman"/>
        </w:rPr>
        <w:t>is</w:t>
      </w:r>
      <w:r w:rsidRPr="00843F73">
        <w:rPr>
          <w:rFonts w:ascii="Times New Roman" w:hAnsi="Times New Roman" w:cs="Times New Roman"/>
          <w:spacing w:val="35"/>
        </w:rPr>
        <w:t xml:space="preserve"> </w:t>
      </w:r>
      <w:r w:rsidRPr="00843F73">
        <w:rPr>
          <w:rFonts w:ascii="Times New Roman" w:hAnsi="Times New Roman" w:cs="Times New Roman"/>
        </w:rPr>
        <w:t>mandatory</w:t>
      </w:r>
      <w:r w:rsidRPr="00843F73">
        <w:rPr>
          <w:rFonts w:ascii="Times New Roman" w:hAnsi="Times New Roman" w:cs="Times New Roman"/>
          <w:spacing w:val="35"/>
        </w:rPr>
        <w:t xml:space="preserve"> </w:t>
      </w:r>
      <w:r w:rsidRPr="00843F73">
        <w:rPr>
          <w:rFonts w:ascii="Times New Roman" w:hAnsi="Times New Roman" w:cs="Times New Roman"/>
        </w:rPr>
        <w:t>under</w:t>
      </w:r>
      <w:r w:rsidRPr="00843F73">
        <w:rPr>
          <w:rFonts w:ascii="Times New Roman" w:hAnsi="Times New Roman" w:cs="Times New Roman"/>
          <w:spacing w:val="107"/>
          <w:w w:val="99"/>
        </w:rPr>
        <w:t xml:space="preserve"> </w:t>
      </w:r>
      <w:r w:rsidRPr="00843F73">
        <w:rPr>
          <w:rFonts w:ascii="Times New Roman" w:hAnsi="Times New Roman" w:cs="Times New Roman"/>
        </w:rPr>
        <w:t>national law.</w:t>
      </w:r>
    </w:p>
    <w:p w14:paraId="2ED06EF6" w14:textId="540E349A" w:rsidR="00CA17E6" w:rsidRPr="00843F73" w:rsidRDefault="00CA17E6" w:rsidP="00665F55">
      <w:pPr>
        <w:spacing w:after="120" w:line="240" w:lineRule="auto"/>
        <w:jc w:val="both"/>
        <w:rPr>
          <w:rFonts w:ascii="Times New Roman" w:eastAsia="Calibri" w:hAnsi="Times New Roman" w:cs="Times New Roman"/>
          <w:sz w:val="19"/>
          <w:szCs w:val="19"/>
          <w:lang w:val="en-US"/>
        </w:rPr>
      </w:pPr>
      <w:r w:rsidRPr="00843F73">
        <w:rPr>
          <w:rFonts w:ascii="Times New Roman" w:hAnsi="Times New Roman" w:cs="Times New Roman"/>
          <w:lang w:val="en-US"/>
        </w:rPr>
        <w:t>REoIs</w:t>
      </w:r>
      <w:r w:rsidRPr="00843F73">
        <w:rPr>
          <w:rFonts w:ascii="Times New Roman" w:hAnsi="Times New Roman" w:cs="Times New Roman"/>
          <w:spacing w:val="7"/>
          <w:lang w:val="en-US"/>
        </w:rPr>
        <w:t xml:space="preserve"> </w:t>
      </w:r>
      <w:r w:rsidRPr="00843F73">
        <w:rPr>
          <w:rFonts w:ascii="Times New Roman" w:hAnsi="Times New Roman" w:cs="Times New Roman"/>
          <w:lang w:val="en-US"/>
        </w:rPr>
        <w:t>shall</w:t>
      </w:r>
      <w:r w:rsidRPr="00843F73">
        <w:rPr>
          <w:rFonts w:ascii="Times New Roman" w:hAnsi="Times New Roman" w:cs="Times New Roman"/>
          <w:spacing w:val="6"/>
          <w:lang w:val="en-US"/>
        </w:rPr>
        <w:t xml:space="preserve"> </w:t>
      </w:r>
      <w:r w:rsidRPr="00843F73">
        <w:rPr>
          <w:rFonts w:ascii="Times New Roman" w:hAnsi="Times New Roman" w:cs="Times New Roman"/>
          <w:lang w:val="en-US"/>
        </w:rPr>
        <w:t>include</w:t>
      </w:r>
      <w:r w:rsidRPr="00843F73">
        <w:rPr>
          <w:rFonts w:ascii="Times New Roman" w:hAnsi="Times New Roman" w:cs="Times New Roman"/>
          <w:spacing w:val="7"/>
          <w:lang w:val="en-US"/>
        </w:rPr>
        <w:t xml:space="preserve"> </w:t>
      </w:r>
      <w:r w:rsidRPr="00843F73">
        <w:rPr>
          <w:rFonts w:ascii="Times New Roman" w:hAnsi="Times New Roman" w:cs="Times New Roman"/>
          <w:lang w:val="en-US"/>
        </w:rPr>
        <w:t>complete</w:t>
      </w:r>
      <w:r w:rsidRPr="00843F73">
        <w:rPr>
          <w:rFonts w:ascii="Times New Roman" w:hAnsi="Times New Roman" w:cs="Times New Roman"/>
          <w:spacing w:val="8"/>
          <w:lang w:val="en-US"/>
        </w:rPr>
        <w:t xml:space="preserve"> </w:t>
      </w:r>
      <w:r w:rsidR="005950B8" w:rsidRPr="00843F73">
        <w:rPr>
          <w:rFonts w:ascii="Times New Roman" w:hAnsi="Times New Roman" w:cs="Times New Roman"/>
          <w:lang w:val="en-US"/>
        </w:rPr>
        <w:t>T</w:t>
      </w:r>
      <w:r w:rsidR="005950B8">
        <w:rPr>
          <w:rFonts w:ascii="Times New Roman" w:hAnsi="Times New Roman" w:cs="Times New Roman"/>
          <w:lang w:val="en-US"/>
        </w:rPr>
        <w:t>o</w:t>
      </w:r>
      <w:r w:rsidR="005950B8" w:rsidRPr="00843F73">
        <w:rPr>
          <w:rFonts w:ascii="Times New Roman" w:hAnsi="Times New Roman" w:cs="Times New Roman"/>
          <w:lang w:val="en-US"/>
        </w:rPr>
        <w:t>R</w:t>
      </w:r>
      <w:r w:rsidRPr="00843F73">
        <w:rPr>
          <w:rFonts w:ascii="Times New Roman" w:hAnsi="Times New Roman" w:cs="Times New Roman"/>
          <w:lang w:val="en-US"/>
        </w:rPr>
        <w:t>.</w:t>
      </w:r>
      <w:r w:rsidRPr="00843F73">
        <w:rPr>
          <w:rFonts w:ascii="Times New Roman" w:hAnsi="Times New Roman" w:cs="Times New Roman"/>
          <w:spacing w:val="14"/>
          <w:lang w:val="en-US"/>
        </w:rPr>
        <w:t xml:space="preserve"> </w:t>
      </w:r>
      <w:r w:rsidRPr="00843F73">
        <w:rPr>
          <w:rFonts w:ascii="Times New Roman" w:hAnsi="Times New Roman" w:cs="Times New Roman"/>
          <w:lang w:val="en-US"/>
        </w:rPr>
        <w:t>Individual</w:t>
      </w:r>
      <w:r w:rsidRPr="00843F73">
        <w:rPr>
          <w:rFonts w:ascii="Times New Roman" w:hAnsi="Times New Roman" w:cs="Times New Roman"/>
          <w:spacing w:val="8"/>
          <w:lang w:val="en-US"/>
        </w:rPr>
        <w:t xml:space="preserve"> </w:t>
      </w:r>
      <w:r w:rsidRPr="00843F73">
        <w:rPr>
          <w:rFonts w:ascii="Times New Roman" w:hAnsi="Times New Roman" w:cs="Times New Roman"/>
          <w:lang w:val="en-US"/>
        </w:rPr>
        <w:t>Consultants</w:t>
      </w:r>
      <w:r w:rsidRPr="00843F73">
        <w:rPr>
          <w:rFonts w:ascii="Times New Roman" w:hAnsi="Times New Roman" w:cs="Times New Roman"/>
          <w:spacing w:val="6"/>
          <w:lang w:val="en-US"/>
        </w:rPr>
        <w:t xml:space="preserve"> </w:t>
      </w:r>
      <w:r w:rsidRPr="00843F73">
        <w:rPr>
          <w:rFonts w:ascii="Times New Roman" w:hAnsi="Times New Roman" w:cs="Times New Roman"/>
          <w:lang w:val="en-US"/>
        </w:rPr>
        <w:t>are</w:t>
      </w:r>
      <w:r w:rsidRPr="00843F73">
        <w:rPr>
          <w:rFonts w:ascii="Times New Roman" w:hAnsi="Times New Roman" w:cs="Times New Roman"/>
          <w:spacing w:val="7"/>
          <w:lang w:val="en-US"/>
        </w:rPr>
        <w:t xml:space="preserve"> </w:t>
      </w:r>
      <w:r w:rsidRPr="00843F73">
        <w:rPr>
          <w:rFonts w:ascii="Times New Roman" w:hAnsi="Times New Roman" w:cs="Times New Roman"/>
          <w:lang w:val="en-US"/>
        </w:rPr>
        <w:t>selected</w:t>
      </w:r>
      <w:r w:rsidRPr="00843F73">
        <w:rPr>
          <w:rFonts w:ascii="Times New Roman" w:hAnsi="Times New Roman" w:cs="Times New Roman"/>
          <w:spacing w:val="7"/>
          <w:lang w:val="en-US"/>
        </w:rPr>
        <w:t xml:space="preserve"> </w:t>
      </w:r>
      <w:r w:rsidRPr="00843F73">
        <w:rPr>
          <w:rFonts w:ascii="Times New Roman" w:hAnsi="Times New Roman" w:cs="Times New Roman"/>
          <w:lang w:val="en-US"/>
        </w:rPr>
        <w:t>from</w:t>
      </w:r>
      <w:r w:rsidRPr="00843F73">
        <w:rPr>
          <w:rFonts w:ascii="Times New Roman" w:hAnsi="Times New Roman" w:cs="Times New Roman"/>
          <w:spacing w:val="8"/>
          <w:lang w:val="en-US"/>
        </w:rPr>
        <w:t xml:space="preserve"> </w:t>
      </w:r>
      <w:r w:rsidRPr="00843F73">
        <w:rPr>
          <w:rFonts w:ascii="Times New Roman" w:hAnsi="Times New Roman" w:cs="Times New Roman"/>
          <w:lang w:val="en-US"/>
        </w:rPr>
        <w:t>those</w:t>
      </w:r>
      <w:r w:rsidRPr="00843F73">
        <w:rPr>
          <w:rFonts w:ascii="Times New Roman" w:hAnsi="Times New Roman" w:cs="Times New Roman"/>
          <w:spacing w:val="7"/>
          <w:lang w:val="en-US"/>
        </w:rPr>
        <w:t xml:space="preserve"> </w:t>
      </w:r>
      <w:r w:rsidRPr="00843F73">
        <w:rPr>
          <w:rFonts w:ascii="Times New Roman" w:hAnsi="Times New Roman" w:cs="Times New Roman"/>
          <w:lang w:val="en-US"/>
        </w:rPr>
        <w:t>that</w:t>
      </w:r>
      <w:r w:rsidRPr="00843F73">
        <w:rPr>
          <w:rFonts w:ascii="Times New Roman" w:hAnsi="Times New Roman" w:cs="Times New Roman"/>
          <w:spacing w:val="6"/>
          <w:lang w:val="en-US"/>
        </w:rPr>
        <w:t xml:space="preserve"> </w:t>
      </w:r>
      <w:r w:rsidRPr="00843F73">
        <w:rPr>
          <w:rFonts w:ascii="Times New Roman" w:hAnsi="Times New Roman" w:cs="Times New Roman"/>
          <w:lang w:val="en-US"/>
        </w:rPr>
        <w:t>expressed</w:t>
      </w:r>
      <w:r w:rsidRPr="00843F73">
        <w:rPr>
          <w:rFonts w:ascii="Times New Roman" w:hAnsi="Times New Roman" w:cs="Times New Roman"/>
          <w:spacing w:val="77"/>
          <w:lang w:val="en-US"/>
        </w:rPr>
        <w:t xml:space="preserve"> </w:t>
      </w:r>
      <w:r w:rsidRPr="00843F73">
        <w:rPr>
          <w:rFonts w:ascii="Times New Roman" w:hAnsi="Times New Roman" w:cs="Times New Roman"/>
          <w:lang w:val="en-US"/>
        </w:rPr>
        <w:t>interest</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in response to</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REoI.</w:t>
      </w:r>
    </w:p>
    <w:p w14:paraId="0D3D95D5" w14:textId="77777777" w:rsidR="00CA17E6" w:rsidRPr="00843F73" w:rsidRDefault="00CA17E6" w:rsidP="00665F55">
      <w:pPr>
        <w:pStyle w:val="Heading5"/>
        <w:jc w:val="both"/>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Limited Competitive Selection of Individual Consultants</w:t>
      </w:r>
    </w:p>
    <w:p w14:paraId="0EA9C447" w14:textId="653F9BAC" w:rsidR="00CA17E6" w:rsidRPr="00843F73" w:rsidRDefault="00CA17E6" w:rsidP="00665F55">
      <w:pPr>
        <w:spacing w:after="120" w:line="240" w:lineRule="auto"/>
        <w:jc w:val="both"/>
        <w:rPr>
          <w:rFonts w:ascii="Times New Roman" w:hAnsi="Times New Roman" w:cs="Times New Roman"/>
          <w:lang w:val="en-US"/>
        </w:rPr>
      </w:pPr>
      <w:r w:rsidRPr="00843F73">
        <w:rPr>
          <w:rFonts w:ascii="Times New Roman" w:hAnsi="Times New Roman" w:cs="Times New Roman"/>
          <w:lang w:val="en-US"/>
        </w:rPr>
        <w:t>When</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3"/>
          <w:lang w:val="en-US"/>
        </w:rPr>
        <w:t xml:space="preserve"> </w:t>
      </w:r>
      <w:r w:rsidRPr="00F94C4F">
        <w:rPr>
          <w:rFonts w:ascii="Times New Roman" w:hAnsi="Times New Roman" w:cs="Times New Roman"/>
          <w:lang w:val="en-US"/>
        </w:rPr>
        <w:t>Borrower</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has</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knowledge</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experienced</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and</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qualified</w:t>
      </w:r>
      <w:r w:rsidRPr="00843F73">
        <w:rPr>
          <w:rFonts w:ascii="Times New Roman" w:hAnsi="Times New Roman" w:cs="Times New Roman"/>
          <w:spacing w:val="3"/>
          <w:lang w:val="en-US"/>
        </w:rPr>
        <w:t xml:space="preserve"> </w:t>
      </w:r>
      <w:r w:rsidRPr="00843F73">
        <w:rPr>
          <w:rFonts w:ascii="Times New Roman" w:hAnsi="Times New Roman" w:cs="Times New Roman"/>
          <w:lang w:val="en-US"/>
        </w:rPr>
        <w:t>individuals</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and</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their</w:t>
      </w:r>
      <w:r w:rsidRPr="00843F73">
        <w:rPr>
          <w:rFonts w:ascii="Times New Roman" w:hAnsi="Times New Roman" w:cs="Times New Roman"/>
          <w:spacing w:val="1"/>
          <w:lang w:val="en-US"/>
        </w:rPr>
        <w:t xml:space="preserve"> </w:t>
      </w:r>
      <w:r w:rsidRPr="00843F73">
        <w:rPr>
          <w:rFonts w:ascii="Times New Roman" w:hAnsi="Times New Roman" w:cs="Times New Roman"/>
          <w:lang w:val="en-US"/>
        </w:rPr>
        <w:t>availability,</w:t>
      </w:r>
      <w:r w:rsidRPr="00843F73">
        <w:rPr>
          <w:rFonts w:ascii="Times New Roman" w:hAnsi="Times New Roman" w:cs="Times New Roman"/>
          <w:spacing w:val="89"/>
          <w:w w:val="99"/>
          <w:lang w:val="en-US"/>
        </w:rPr>
        <w:t xml:space="preserve"> </w:t>
      </w:r>
      <w:r w:rsidRPr="00843F73">
        <w:rPr>
          <w:rFonts w:ascii="Times New Roman" w:hAnsi="Times New Roman" w:cs="Times New Roman"/>
          <w:lang w:val="en-US"/>
        </w:rPr>
        <w:t>instead</w:t>
      </w:r>
      <w:r w:rsidRPr="00843F73">
        <w:rPr>
          <w:rFonts w:ascii="Times New Roman" w:hAnsi="Times New Roman" w:cs="Times New Roman"/>
          <w:spacing w:val="32"/>
          <w:lang w:val="en-US"/>
        </w:rPr>
        <w:t xml:space="preserve"> </w:t>
      </w:r>
      <w:r w:rsidRPr="00843F73">
        <w:rPr>
          <w:rFonts w:ascii="Times New Roman" w:hAnsi="Times New Roman" w:cs="Times New Roman"/>
          <w:lang w:val="en-US"/>
        </w:rPr>
        <w:t>of</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issuing</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a</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REoI,</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it</w:t>
      </w:r>
      <w:r w:rsidRPr="00843F73">
        <w:rPr>
          <w:rFonts w:ascii="Times New Roman" w:hAnsi="Times New Roman" w:cs="Times New Roman"/>
          <w:spacing w:val="32"/>
          <w:lang w:val="en-US"/>
        </w:rPr>
        <w:t xml:space="preserve"> </w:t>
      </w:r>
      <w:r w:rsidRPr="00843F73">
        <w:rPr>
          <w:rFonts w:ascii="Times New Roman" w:hAnsi="Times New Roman" w:cs="Times New Roman"/>
          <w:lang w:val="en-US"/>
        </w:rPr>
        <w:t>may</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invite</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those</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individual</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Consultants</w:t>
      </w:r>
      <w:r w:rsidRPr="00843F73">
        <w:rPr>
          <w:rFonts w:ascii="Times New Roman" w:hAnsi="Times New Roman" w:cs="Times New Roman"/>
          <w:spacing w:val="34"/>
          <w:lang w:val="en-US"/>
        </w:rPr>
        <w:t xml:space="preserve"> </w:t>
      </w:r>
      <w:r w:rsidRPr="00843F73">
        <w:rPr>
          <w:rFonts w:ascii="Times New Roman" w:hAnsi="Times New Roman" w:cs="Times New Roman"/>
          <w:lang w:val="en-US"/>
        </w:rPr>
        <w:t>that</w:t>
      </w:r>
      <w:r w:rsidRPr="00843F73">
        <w:rPr>
          <w:rFonts w:ascii="Times New Roman" w:hAnsi="Times New Roman" w:cs="Times New Roman"/>
          <w:spacing w:val="32"/>
          <w:lang w:val="en-US"/>
        </w:rPr>
        <w:t xml:space="preserve"> </w:t>
      </w:r>
      <w:r w:rsidRPr="00843F73">
        <w:rPr>
          <w:rFonts w:ascii="Times New Roman" w:hAnsi="Times New Roman" w:cs="Times New Roman"/>
          <w:lang w:val="en-US"/>
        </w:rPr>
        <w:t>it</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deems</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qualified</w:t>
      </w:r>
      <w:r w:rsidRPr="00843F73">
        <w:rPr>
          <w:rFonts w:ascii="Times New Roman" w:hAnsi="Times New Roman" w:cs="Times New Roman"/>
          <w:spacing w:val="33"/>
          <w:lang w:val="en-US"/>
        </w:rPr>
        <w:t xml:space="preserve"> </w:t>
      </w:r>
      <w:r w:rsidRPr="00843F73">
        <w:rPr>
          <w:rFonts w:ascii="Times New Roman" w:hAnsi="Times New Roman" w:cs="Times New Roman"/>
          <w:lang w:val="en-US"/>
        </w:rPr>
        <w:t>to</w:t>
      </w:r>
      <w:r w:rsidRPr="00843F73">
        <w:rPr>
          <w:rFonts w:ascii="Times New Roman" w:hAnsi="Times New Roman" w:cs="Times New Roman"/>
          <w:spacing w:val="57"/>
          <w:lang w:val="en-US"/>
        </w:rPr>
        <w:t xml:space="preserve"> </w:t>
      </w:r>
      <w:r w:rsidRPr="00843F73">
        <w:rPr>
          <w:rFonts w:ascii="Times New Roman" w:hAnsi="Times New Roman" w:cs="Times New Roman"/>
          <w:lang w:val="en-US"/>
        </w:rPr>
        <w:t>provide</w:t>
      </w:r>
      <w:r w:rsidRPr="00843F73">
        <w:rPr>
          <w:rFonts w:ascii="Times New Roman" w:hAnsi="Times New Roman" w:cs="Times New Roman"/>
          <w:spacing w:val="26"/>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required</w:t>
      </w:r>
      <w:r w:rsidRPr="00843F73">
        <w:rPr>
          <w:rFonts w:ascii="Times New Roman" w:hAnsi="Times New Roman" w:cs="Times New Roman"/>
          <w:spacing w:val="27"/>
          <w:lang w:val="en-US"/>
        </w:rPr>
        <w:t xml:space="preserve"> </w:t>
      </w:r>
      <w:r w:rsidR="005950B8">
        <w:rPr>
          <w:rFonts w:ascii="Times New Roman" w:hAnsi="Times New Roman" w:cs="Times New Roman"/>
          <w:lang w:val="en-US"/>
        </w:rPr>
        <w:t>c</w:t>
      </w:r>
      <w:r w:rsidR="005950B8" w:rsidRPr="00843F73">
        <w:rPr>
          <w:rFonts w:ascii="Times New Roman" w:hAnsi="Times New Roman" w:cs="Times New Roman"/>
          <w:lang w:val="en-US"/>
        </w:rPr>
        <w:t>onsulting</w:t>
      </w:r>
      <w:r w:rsidR="005950B8" w:rsidRPr="00843F73">
        <w:rPr>
          <w:rFonts w:ascii="Times New Roman" w:hAnsi="Times New Roman" w:cs="Times New Roman"/>
          <w:spacing w:val="26"/>
          <w:lang w:val="en-US"/>
        </w:rPr>
        <w:t xml:space="preserve"> </w:t>
      </w:r>
      <w:r w:rsidR="005950B8">
        <w:rPr>
          <w:rFonts w:ascii="Times New Roman" w:hAnsi="Times New Roman" w:cs="Times New Roman"/>
          <w:lang w:val="en-US"/>
        </w:rPr>
        <w:t>s</w:t>
      </w:r>
      <w:r w:rsidR="005950B8" w:rsidRPr="00843F73">
        <w:rPr>
          <w:rFonts w:ascii="Times New Roman" w:hAnsi="Times New Roman" w:cs="Times New Roman"/>
          <w:lang w:val="en-US"/>
        </w:rPr>
        <w:t>ervices</w:t>
      </w:r>
      <w:r w:rsidRPr="00843F73">
        <w:rPr>
          <w:rFonts w:ascii="Times New Roman" w:hAnsi="Times New Roman" w:cs="Times New Roman"/>
          <w:lang w:val="en-US"/>
        </w:rPr>
        <w:t>.</w:t>
      </w:r>
      <w:r w:rsidRPr="00843F73">
        <w:rPr>
          <w:rFonts w:ascii="Times New Roman" w:hAnsi="Times New Roman" w:cs="Times New Roman"/>
          <w:spacing w:val="4"/>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complete</w:t>
      </w:r>
      <w:r w:rsidRPr="00843F73">
        <w:rPr>
          <w:rFonts w:ascii="Times New Roman" w:hAnsi="Times New Roman" w:cs="Times New Roman"/>
          <w:spacing w:val="27"/>
          <w:lang w:val="en-US"/>
        </w:rPr>
        <w:t xml:space="preserve"> </w:t>
      </w:r>
      <w:r w:rsidR="005950B8" w:rsidRPr="00843F73">
        <w:rPr>
          <w:rFonts w:ascii="Times New Roman" w:hAnsi="Times New Roman" w:cs="Times New Roman"/>
          <w:lang w:val="en-US"/>
        </w:rPr>
        <w:t>T</w:t>
      </w:r>
      <w:r w:rsidR="005950B8">
        <w:rPr>
          <w:rFonts w:ascii="Times New Roman" w:hAnsi="Times New Roman" w:cs="Times New Roman"/>
          <w:lang w:val="en-US"/>
        </w:rPr>
        <w:t>o</w:t>
      </w:r>
      <w:r w:rsidR="005950B8" w:rsidRPr="00843F73">
        <w:rPr>
          <w:rFonts w:ascii="Times New Roman" w:hAnsi="Times New Roman" w:cs="Times New Roman"/>
          <w:lang w:val="en-US"/>
        </w:rPr>
        <w:t>R</w:t>
      </w:r>
      <w:r w:rsidR="005950B8" w:rsidRPr="00843F73">
        <w:rPr>
          <w:rFonts w:ascii="Times New Roman" w:hAnsi="Times New Roman" w:cs="Times New Roman"/>
          <w:spacing w:val="28"/>
          <w:lang w:val="en-US"/>
        </w:rPr>
        <w:t xml:space="preserve"> </w:t>
      </w:r>
      <w:r w:rsidRPr="00843F73">
        <w:rPr>
          <w:rFonts w:ascii="Times New Roman" w:hAnsi="Times New Roman" w:cs="Times New Roman"/>
          <w:lang w:val="en-US"/>
        </w:rPr>
        <w:t>shall</w:t>
      </w:r>
      <w:r w:rsidRPr="00843F73">
        <w:rPr>
          <w:rFonts w:ascii="Times New Roman" w:hAnsi="Times New Roman" w:cs="Times New Roman"/>
          <w:spacing w:val="26"/>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sent</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with</w:t>
      </w:r>
      <w:r w:rsidRPr="00843F73">
        <w:rPr>
          <w:rFonts w:ascii="Times New Roman" w:hAnsi="Times New Roman" w:cs="Times New Roman"/>
          <w:spacing w:val="26"/>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27"/>
          <w:lang w:val="en-US"/>
        </w:rPr>
        <w:t xml:space="preserve"> </w:t>
      </w:r>
      <w:r w:rsidRPr="00843F73">
        <w:rPr>
          <w:rFonts w:ascii="Times New Roman" w:hAnsi="Times New Roman" w:cs="Times New Roman"/>
          <w:lang w:val="en-US"/>
        </w:rPr>
        <w:t>invitation.</w:t>
      </w:r>
      <w:r w:rsidRPr="00843F73">
        <w:rPr>
          <w:rFonts w:ascii="Times New Roman" w:hAnsi="Times New Roman" w:cs="Times New Roman"/>
          <w:spacing w:val="79"/>
          <w:lang w:val="en-US"/>
        </w:rPr>
        <w:t xml:space="preserve"> </w:t>
      </w:r>
      <w:r w:rsidRPr="00843F73">
        <w:rPr>
          <w:rFonts w:ascii="Times New Roman" w:hAnsi="Times New Roman" w:cs="Times New Roman"/>
          <w:lang w:val="en-US"/>
        </w:rPr>
        <w:t>Individual</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Consultants</w:t>
      </w:r>
      <w:r w:rsidRPr="00843F73">
        <w:rPr>
          <w:rFonts w:ascii="Times New Roman" w:hAnsi="Times New Roman" w:cs="Times New Roman"/>
          <w:spacing w:val="31"/>
          <w:lang w:val="en-US"/>
        </w:rPr>
        <w:t xml:space="preserve"> </w:t>
      </w:r>
      <w:r w:rsidRPr="00843F73">
        <w:rPr>
          <w:rFonts w:ascii="Times New Roman" w:hAnsi="Times New Roman" w:cs="Times New Roman"/>
          <w:lang w:val="en-US"/>
        </w:rPr>
        <w:t>shall</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selected</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from</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those</w:t>
      </w:r>
      <w:r w:rsidRPr="00843F73">
        <w:rPr>
          <w:rFonts w:ascii="Times New Roman" w:hAnsi="Times New Roman" w:cs="Times New Roman"/>
          <w:spacing w:val="31"/>
          <w:lang w:val="en-US"/>
        </w:rPr>
        <w:t xml:space="preserve"> </w:t>
      </w:r>
      <w:r w:rsidRPr="00843F73">
        <w:rPr>
          <w:rFonts w:ascii="Times New Roman" w:hAnsi="Times New Roman" w:cs="Times New Roman"/>
          <w:lang w:val="en-US"/>
        </w:rPr>
        <w:t>that</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expressed</w:t>
      </w:r>
      <w:r w:rsidRPr="00843F73">
        <w:rPr>
          <w:rFonts w:ascii="Times New Roman" w:hAnsi="Times New Roman" w:cs="Times New Roman"/>
          <w:spacing w:val="29"/>
          <w:lang w:val="en-US"/>
        </w:rPr>
        <w:t xml:space="preserve"> </w:t>
      </w:r>
      <w:r w:rsidRPr="00843F73">
        <w:rPr>
          <w:rFonts w:ascii="Times New Roman" w:hAnsi="Times New Roman" w:cs="Times New Roman"/>
          <w:lang w:val="en-US"/>
        </w:rPr>
        <w:t>interest</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in</w:t>
      </w:r>
      <w:r w:rsidRPr="00843F73">
        <w:rPr>
          <w:rFonts w:ascii="Times New Roman" w:hAnsi="Times New Roman" w:cs="Times New Roman"/>
          <w:spacing w:val="30"/>
          <w:lang w:val="en-US"/>
        </w:rPr>
        <w:t xml:space="preserve"> </w:t>
      </w:r>
      <w:r w:rsidRPr="00843F73">
        <w:rPr>
          <w:rFonts w:ascii="Times New Roman" w:hAnsi="Times New Roman" w:cs="Times New Roman"/>
          <w:lang w:val="en-US"/>
        </w:rPr>
        <w:t>response</w:t>
      </w:r>
      <w:r w:rsidRPr="00843F73">
        <w:rPr>
          <w:rFonts w:ascii="Times New Roman" w:hAnsi="Times New Roman" w:cs="Times New Roman"/>
          <w:spacing w:val="31"/>
          <w:lang w:val="en-US"/>
        </w:rPr>
        <w:t xml:space="preserve"> </w:t>
      </w:r>
      <w:r w:rsidRPr="00843F73">
        <w:rPr>
          <w:rFonts w:ascii="Times New Roman" w:hAnsi="Times New Roman" w:cs="Times New Roman"/>
          <w:lang w:val="en-US"/>
        </w:rPr>
        <w:t>to</w:t>
      </w:r>
      <w:r w:rsidRPr="00843F73">
        <w:rPr>
          <w:rFonts w:ascii="Times New Roman" w:hAnsi="Times New Roman" w:cs="Times New Roman"/>
          <w:spacing w:val="31"/>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73"/>
          <w:w w:val="99"/>
          <w:lang w:val="en-US"/>
        </w:rPr>
        <w:t xml:space="preserve"> </w:t>
      </w:r>
      <w:r w:rsidRPr="00843F73">
        <w:rPr>
          <w:rFonts w:ascii="Times New Roman" w:hAnsi="Times New Roman" w:cs="Times New Roman"/>
          <w:lang w:val="en-US"/>
        </w:rPr>
        <w:t>invitation.</w:t>
      </w:r>
    </w:p>
    <w:p w14:paraId="01604660" w14:textId="77777777" w:rsidR="00CA17E6" w:rsidRPr="00843F73" w:rsidRDefault="00CA17E6" w:rsidP="00665F55">
      <w:pPr>
        <w:pStyle w:val="Heading5"/>
        <w:jc w:val="both"/>
        <w:rPr>
          <w:rFonts w:ascii="Times New Roman" w:hAnsi="Times New Roman" w:cs="Times New Roman"/>
          <w:color w:val="auto"/>
          <w:u w:val="single"/>
          <w:lang w:val="en-US"/>
        </w:rPr>
      </w:pPr>
      <w:r w:rsidRPr="00843F73">
        <w:rPr>
          <w:rFonts w:ascii="Times New Roman" w:hAnsi="Times New Roman" w:cs="Times New Roman"/>
          <w:color w:val="auto"/>
          <w:u w:val="single"/>
          <w:lang w:val="en-US"/>
        </w:rPr>
        <w:t>Direct Selection of Individual Consultants</w:t>
      </w:r>
    </w:p>
    <w:p w14:paraId="65788ED7" w14:textId="77777777" w:rsidR="00CA17E6" w:rsidRPr="00843F73" w:rsidRDefault="00CA17E6" w:rsidP="00665F55">
      <w:pPr>
        <w:spacing w:after="120" w:line="240" w:lineRule="auto"/>
        <w:jc w:val="both"/>
        <w:rPr>
          <w:rFonts w:ascii="Times New Roman" w:hAnsi="Times New Roman" w:cs="Times New Roman"/>
          <w:lang w:val="en-US"/>
        </w:rPr>
      </w:pPr>
      <w:r w:rsidRPr="00843F73">
        <w:rPr>
          <w:rFonts w:ascii="Times New Roman" w:hAnsi="Times New Roman" w:cs="Times New Roman"/>
          <w:lang w:val="en-US"/>
        </w:rPr>
        <w:t>Individual Consultants</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may</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be</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selected</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on direct selection basis, with</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due</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justifications, under</w:t>
      </w:r>
      <w:r w:rsidRPr="00843F73">
        <w:rPr>
          <w:rFonts w:ascii="Times New Roman" w:hAnsi="Times New Roman" w:cs="Times New Roman"/>
          <w:spacing w:val="-2"/>
          <w:lang w:val="en-US"/>
        </w:rPr>
        <w:t xml:space="preserve"> </w:t>
      </w:r>
      <w:r w:rsidRPr="00843F73">
        <w:rPr>
          <w:rFonts w:ascii="Times New Roman" w:hAnsi="Times New Roman" w:cs="Times New Roman"/>
          <w:lang w:val="en-US"/>
        </w:rPr>
        <w:t>the</w:t>
      </w:r>
      <w:r w:rsidRPr="00843F73">
        <w:rPr>
          <w:rFonts w:ascii="Times New Roman" w:hAnsi="Times New Roman" w:cs="Times New Roman"/>
          <w:spacing w:val="81"/>
          <w:w w:val="99"/>
          <w:lang w:val="en-US"/>
        </w:rPr>
        <w:t xml:space="preserve"> </w:t>
      </w:r>
      <w:r w:rsidRPr="00843F73">
        <w:rPr>
          <w:rFonts w:ascii="Times New Roman" w:hAnsi="Times New Roman" w:cs="Times New Roman"/>
          <w:lang w:val="en-US"/>
        </w:rPr>
        <w:t>following</w:t>
      </w:r>
      <w:r w:rsidRPr="00843F73">
        <w:rPr>
          <w:rFonts w:ascii="Times New Roman" w:hAnsi="Times New Roman" w:cs="Times New Roman"/>
          <w:spacing w:val="-9"/>
          <w:lang w:val="en-US"/>
        </w:rPr>
        <w:t xml:space="preserve"> </w:t>
      </w:r>
      <w:r w:rsidRPr="00843F73">
        <w:rPr>
          <w:rFonts w:ascii="Times New Roman" w:hAnsi="Times New Roman" w:cs="Times New Roman"/>
          <w:lang w:val="en-US"/>
        </w:rPr>
        <w:t>circumstances:</w:t>
      </w:r>
    </w:p>
    <w:p w14:paraId="5D0CB043" w14:textId="77777777" w:rsidR="00CA17E6" w:rsidRPr="00843F73" w:rsidRDefault="00CA17E6" w:rsidP="00665F55">
      <w:pPr>
        <w:numPr>
          <w:ilvl w:val="2"/>
          <w:numId w:val="697"/>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tasks that are a continuation of previous work that the individual Consultant has carried out after being selected competitively;</w:t>
      </w:r>
    </w:p>
    <w:p w14:paraId="4AD2DDB2" w14:textId="77777777" w:rsidR="00CA17E6" w:rsidRPr="00843F73" w:rsidRDefault="00CA17E6" w:rsidP="00665F55">
      <w:pPr>
        <w:numPr>
          <w:ilvl w:val="2"/>
          <w:numId w:val="697"/>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assignments with a total expected duration of less than six months;</w:t>
      </w:r>
    </w:p>
    <w:p w14:paraId="168FC9F6" w14:textId="77777777" w:rsidR="00CA17E6" w:rsidRPr="00843F73" w:rsidRDefault="00CA17E6" w:rsidP="00665F55">
      <w:pPr>
        <w:numPr>
          <w:ilvl w:val="2"/>
          <w:numId w:val="697"/>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urgent situations; or</w:t>
      </w:r>
    </w:p>
    <w:p w14:paraId="405CE21E" w14:textId="6482DB47" w:rsidR="00CA17E6" w:rsidRPr="00843F73" w:rsidRDefault="00CA17E6" w:rsidP="00665F55">
      <w:pPr>
        <w:numPr>
          <w:ilvl w:val="2"/>
          <w:numId w:val="697"/>
        </w:numPr>
        <w:spacing w:after="120" w:line="240" w:lineRule="auto"/>
        <w:ind w:left="709"/>
        <w:jc w:val="both"/>
        <w:rPr>
          <w:rFonts w:ascii="Times New Roman" w:hAnsi="Times New Roman" w:cs="Times New Roman"/>
          <w:lang w:val="en-US"/>
        </w:rPr>
      </w:pPr>
      <w:r w:rsidRPr="00843F73">
        <w:rPr>
          <w:rFonts w:ascii="Times New Roman" w:hAnsi="Times New Roman" w:cs="Times New Roman"/>
          <w:lang w:val="en-US"/>
        </w:rPr>
        <w:t>when an individual Consultant has relevant experience and qualifications of exceptional worth to the assignment.</w:t>
      </w:r>
    </w:p>
    <w:p w14:paraId="49834EC2" w14:textId="77777777" w:rsidR="00625580" w:rsidRPr="00843F73" w:rsidRDefault="00625580" w:rsidP="00665F55">
      <w:pPr>
        <w:pStyle w:val="Heading3"/>
        <w:numPr>
          <w:ilvl w:val="2"/>
          <w:numId w:val="330"/>
        </w:numPr>
        <w:spacing w:before="120" w:after="120" w:line="276" w:lineRule="auto"/>
        <w:jc w:val="both"/>
        <w:rPr>
          <w:rFonts w:ascii="Times New Roman" w:hAnsi="Times New Roman" w:cs="Times New Roman"/>
          <w:color w:val="auto"/>
        </w:rPr>
      </w:pPr>
      <w:bookmarkStart w:id="650" w:name="_Toc88732697"/>
      <w:bookmarkStart w:id="651" w:name="_Toc93342304"/>
      <w:r w:rsidRPr="00843F73">
        <w:rPr>
          <w:rFonts w:ascii="Times New Roman" w:hAnsi="Times New Roman" w:cs="Times New Roman"/>
          <w:color w:val="auto"/>
        </w:rPr>
        <w:t>Operating costs</w:t>
      </w:r>
      <w:bookmarkEnd w:id="650"/>
      <w:bookmarkEnd w:id="651"/>
    </w:p>
    <w:p w14:paraId="4D713B1F" w14:textId="5443FC5C" w:rsidR="00625580" w:rsidRPr="00843F73" w:rsidRDefault="00625580" w:rsidP="00665F55">
      <w:pPr>
        <w:spacing w:after="120" w:line="240" w:lineRule="auto"/>
        <w:jc w:val="both"/>
        <w:rPr>
          <w:rFonts w:ascii="Times New Roman" w:hAnsi="Times New Roman" w:cs="Times New Roman"/>
          <w:color w:val="000000" w:themeColor="text1"/>
        </w:rPr>
      </w:pPr>
      <w:r w:rsidRPr="00843F73">
        <w:rPr>
          <w:rFonts w:ascii="Times New Roman" w:hAnsi="Times New Roman" w:cs="Times New Roman"/>
          <w:color w:val="000000" w:themeColor="text1"/>
        </w:rPr>
        <w:t xml:space="preserve">These expenditures cover costs associated with the </w:t>
      </w:r>
      <w:r w:rsidR="00667DE5">
        <w:rPr>
          <w:rFonts w:ascii="Times New Roman" w:hAnsi="Times New Roman" w:cs="Times New Roman"/>
          <w:color w:val="000000" w:themeColor="text1"/>
        </w:rPr>
        <w:t>P</w:t>
      </w:r>
      <w:r w:rsidR="00667DE5" w:rsidRPr="00843F73">
        <w:rPr>
          <w:rFonts w:ascii="Times New Roman" w:hAnsi="Times New Roman" w:cs="Times New Roman"/>
          <w:color w:val="000000" w:themeColor="text1"/>
        </w:rPr>
        <w:t xml:space="preserve">roject </w:t>
      </w:r>
      <w:r w:rsidRPr="00843F73">
        <w:rPr>
          <w:rFonts w:ascii="Times New Roman" w:hAnsi="Times New Roman" w:cs="Times New Roman"/>
          <w:color w:val="000000" w:themeColor="text1"/>
        </w:rPr>
        <w:t>implementation as provided in the Loan Agreement. The Procurement Regulations do not apply for these expenditures.</w:t>
      </w:r>
    </w:p>
    <w:p w14:paraId="616858BE" w14:textId="77777777" w:rsidR="007539C6" w:rsidRPr="00843F73" w:rsidRDefault="00625580" w:rsidP="007539C6">
      <w:pPr>
        <w:spacing w:after="120" w:line="240" w:lineRule="auto"/>
        <w:jc w:val="both"/>
        <w:rPr>
          <w:rFonts w:ascii="Times New Roman" w:hAnsi="Times New Roman" w:cs="Times New Roman"/>
          <w:color w:val="7030A0"/>
        </w:rPr>
      </w:pPr>
      <w:r w:rsidRPr="00843F73">
        <w:rPr>
          <w:rFonts w:ascii="Times New Roman" w:hAnsi="Times New Roman" w:cs="Times New Roman"/>
          <w:color w:val="000000" w:themeColor="text1"/>
        </w:rPr>
        <w:t xml:space="preserve">Operating costs also include </w:t>
      </w:r>
      <w:r w:rsidR="005950B8">
        <w:rPr>
          <w:rFonts w:ascii="Times New Roman" w:hAnsi="Times New Roman" w:cs="Times New Roman"/>
          <w:color w:val="000000" w:themeColor="text1"/>
        </w:rPr>
        <w:t xml:space="preserve">the </w:t>
      </w:r>
      <w:r w:rsidRPr="00843F73">
        <w:rPr>
          <w:rFonts w:ascii="Times New Roman" w:hAnsi="Times New Roman" w:cs="Times New Roman"/>
          <w:color w:val="000000" w:themeColor="text1"/>
        </w:rPr>
        <w:t xml:space="preserve">CFU billing i.e. </w:t>
      </w:r>
      <w:r w:rsidR="005950B8">
        <w:rPr>
          <w:rFonts w:ascii="Times New Roman" w:hAnsi="Times New Roman" w:cs="Times New Roman"/>
          <w:color w:val="000000" w:themeColor="text1"/>
        </w:rPr>
        <w:t xml:space="preserve">the </w:t>
      </w:r>
      <w:r w:rsidRPr="00843F73">
        <w:rPr>
          <w:rFonts w:ascii="Times New Roman" w:hAnsi="Times New Roman" w:cs="Times New Roman"/>
          <w:color w:val="000000" w:themeColor="text1"/>
        </w:rPr>
        <w:t>CFU staff salaries in gross amount and reimbursable costs of possible official trips which will be shared between active projects based on defined rotation model agreed with the Bank</w:t>
      </w:r>
      <w:r w:rsidRPr="007539C6">
        <w:rPr>
          <w:rFonts w:ascii="Times New Roman" w:hAnsi="Times New Roman" w:cs="Times New Roman"/>
          <w:color w:val="000000" w:themeColor="text1"/>
        </w:rPr>
        <w:t>.</w:t>
      </w:r>
      <w:r w:rsidR="007539C6" w:rsidRPr="007539C6">
        <w:rPr>
          <w:rFonts w:ascii="Times New Roman" w:hAnsi="Times New Roman" w:cs="Times New Roman"/>
          <w:color w:val="000000" w:themeColor="text1"/>
        </w:rPr>
        <w:t xml:space="preserve"> </w:t>
      </w:r>
      <w:r w:rsidR="007539C6" w:rsidRPr="00A900A4">
        <w:t xml:space="preserve">Operating costs include </w:t>
      </w:r>
      <w:r w:rsidR="007539C6" w:rsidRPr="00A900A4">
        <w:rPr>
          <w:rFonts w:ascii="Times New Roman" w:hAnsi="Times New Roman" w:cs="Times New Roman"/>
          <w:color w:val="000000" w:themeColor="text1"/>
        </w:rPr>
        <w:t>training, conferences, study tours and seminars for PIU/CFU staff.</w:t>
      </w:r>
    </w:p>
    <w:p w14:paraId="76BEB5F7" w14:textId="7B214DEE" w:rsidR="00625580" w:rsidRPr="00843F73" w:rsidRDefault="00625580" w:rsidP="00665F55">
      <w:pPr>
        <w:spacing w:after="120" w:line="240" w:lineRule="auto"/>
        <w:jc w:val="both"/>
        <w:rPr>
          <w:rFonts w:ascii="Times New Roman" w:hAnsi="Times New Roman" w:cs="Times New Roman"/>
          <w:color w:val="7030A0"/>
        </w:rPr>
      </w:pPr>
    </w:p>
    <w:p w14:paraId="115DB079" w14:textId="77777777" w:rsidR="00BC151E" w:rsidRPr="00843F73" w:rsidRDefault="00BC151E" w:rsidP="00665F55">
      <w:pPr>
        <w:pStyle w:val="Heading3"/>
        <w:numPr>
          <w:ilvl w:val="2"/>
          <w:numId w:val="330"/>
        </w:numPr>
        <w:spacing w:before="120" w:after="120" w:line="276" w:lineRule="auto"/>
        <w:jc w:val="both"/>
        <w:rPr>
          <w:rFonts w:ascii="Times New Roman" w:hAnsi="Times New Roman" w:cs="Times New Roman"/>
          <w:color w:val="auto"/>
        </w:rPr>
      </w:pPr>
      <w:bookmarkStart w:id="652" w:name="_Toc93342305"/>
      <w:r w:rsidRPr="00843F73">
        <w:rPr>
          <w:rFonts w:ascii="Times New Roman" w:hAnsi="Times New Roman" w:cs="Times New Roman"/>
          <w:color w:val="auto"/>
        </w:rPr>
        <w:t>Post Review Ratio</w:t>
      </w:r>
      <w:bookmarkEnd w:id="652"/>
    </w:p>
    <w:p w14:paraId="24B638C9" w14:textId="36593816" w:rsidR="00BC151E" w:rsidRPr="00843F73" w:rsidRDefault="00625580" w:rsidP="005950B8">
      <w:pPr>
        <w:spacing w:after="120" w:line="276" w:lineRule="auto"/>
        <w:jc w:val="both"/>
        <w:rPr>
          <w:rFonts w:ascii="Times New Roman" w:hAnsi="Times New Roman" w:cs="Times New Roman"/>
        </w:rPr>
      </w:pPr>
      <w:r w:rsidRPr="00843F73">
        <w:rPr>
          <w:rFonts w:ascii="Times New Roman" w:hAnsi="Times New Roman" w:cs="Times New Roman"/>
        </w:rPr>
        <w:t xml:space="preserve">Contracts not subject to </w:t>
      </w:r>
      <w:r w:rsidR="005950B8">
        <w:rPr>
          <w:rFonts w:ascii="Times New Roman" w:hAnsi="Times New Roman" w:cs="Times New Roman"/>
        </w:rPr>
        <w:t xml:space="preserve">the </w:t>
      </w:r>
      <w:r w:rsidRPr="00843F73">
        <w:rPr>
          <w:rFonts w:ascii="Times New Roman" w:hAnsi="Times New Roman" w:cs="Times New Roman"/>
        </w:rPr>
        <w:t>Bank’s prior review would be subject to post review by the Bank’s procurement specialist. Post review of contracts will be carried out at least once per year.</w:t>
      </w:r>
    </w:p>
    <w:p w14:paraId="7DAD3AC0" w14:textId="77777777" w:rsidR="00BC151E" w:rsidRPr="00843F73" w:rsidRDefault="00BC151E" w:rsidP="006E346B">
      <w:pPr>
        <w:pStyle w:val="Heading3"/>
        <w:numPr>
          <w:ilvl w:val="2"/>
          <w:numId w:val="330"/>
        </w:numPr>
        <w:spacing w:before="120" w:after="120" w:line="276" w:lineRule="auto"/>
        <w:rPr>
          <w:rFonts w:ascii="Times New Roman" w:hAnsi="Times New Roman" w:cs="Times New Roman"/>
          <w:color w:val="auto"/>
        </w:rPr>
      </w:pPr>
      <w:bookmarkStart w:id="653" w:name="_Toc93342306"/>
      <w:r w:rsidRPr="00843F73">
        <w:rPr>
          <w:rFonts w:ascii="Times New Roman" w:hAnsi="Times New Roman" w:cs="Times New Roman"/>
          <w:color w:val="auto"/>
        </w:rPr>
        <w:t>Fraud and Corruption</w:t>
      </w:r>
      <w:bookmarkEnd w:id="653"/>
    </w:p>
    <w:p w14:paraId="79B3DFBE" w14:textId="1E4778AB" w:rsidR="00BC151E" w:rsidRPr="00843F73" w:rsidRDefault="00BC151E" w:rsidP="00EB381F">
      <w:pPr>
        <w:spacing w:after="120" w:line="276" w:lineRule="auto"/>
        <w:jc w:val="both"/>
        <w:rPr>
          <w:rFonts w:ascii="Times New Roman" w:hAnsi="Times New Roman" w:cs="Times New Roman"/>
        </w:rPr>
      </w:pPr>
      <w:r w:rsidRPr="00843F73">
        <w:rPr>
          <w:rFonts w:ascii="Times New Roman" w:hAnsi="Times New Roman" w:cs="Times New Roman"/>
        </w:rPr>
        <w:t>It is the Banks' policy to require that Borrowers (including beneficiaries of Bank loans), bidders, suppliers, contractors and their agents (whether declared or not) subcontractors, sub-consultants, service providers or suppliers, and any personnel thereof, observe the highest standard of ethics during the procurement and execution if Bank-financed contracts. In pursuance of this policy, the Bank may take actions as described in Section III</w:t>
      </w:r>
      <w:r w:rsidR="00667DE5">
        <w:rPr>
          <w:rFonts w:ascii="Times New Roman" w:hAnsi="Times New Roman" w:cs="Times New Roman"/>
        </w:rPr>
        <w:t xml:space="preserve"> </w:t>
      </w:r>
      <w:r w:rsidRPr="00843F73">
        <w:rPr>
          <w:rFonts w:ascii="Times New Roman" w:hAnsi="Times New Roman" w:cs="Times New Roman"/>
        </w:rPr>
        <w:t xml:space="preserve">- Fraud and Corruption and </w:t>
      </w:r>
      <w:r w:rsidR="00FA25E7" w:rsidRPr="00843F73">
        <w:rPr>
          <w:rFonts w:ascii="Times New Roman" w:hAnsi="Times New Roman" w:cs="Times New Roman"/>
        </w:rPr>
        <w:t xml:space="preserve">in </w:t>
      </w:r>
      <w:r w:rsidRPr="00843F73">
        <w:rPr>
          <w:rFonts w:ascii="Times New Roman" w:hAnsi="Times New Roman" w:cs="Times New Roman"/>
        </w:rPr>
        <w:t xml:space="preserve">Fraud and Corruption of the World Bank’s Procurement Regulations for IPF Borrowers. Date of applicable Regulations is incorporated in the </w:t>
      </w:r>
      <w:r w:rsidR="00667DE5">
        <w:rPr>
          <w:rFonts w:ascii="Times New Roman" w:hAnsi="Times New Roman" w:cs="Times New Roman"/>
        </w:rPr>
        <w:t>LA</w:t>
      </w:r>
      <w:r w:rsidRPr="00843F73">
        <w:rPr>
          <w:rFonts w:ascii="Times New Roman" w:hAnsi="Times New Roman" w:cs="Times New Roman"/>
        </w:rPr>
        <w:t xml:space="preserve">, in </w:t>
      </w:r>
      <w:r w:rsidR="005950B8">
        <w:rPr>
          <w:rFonts w:ascii="Times New Roman" w:hAnsi="Times New Roman" w:cs="Times New Roman"/>
        </w:rPr>
        <w:t>D</w:t>
      </w:r>
      <w:r w:rsidR="005950B8" w:rsidRPr="00843F73">
        <w:rPr>
          <w:rFonts w:ascii="Times New Roman" w:hAnsi="Times New Roman" w:cs="Times New Roman"/>
        </w:rPr>
        <w:t xml:space="preserve">efinitions </w:t>
      </w:r>
      <w:r w:rsidRPr="00843F73">
        <w:rPr>
          <w:rFonts w:ascii="Times New Roman" w:hAnsi="Times New Roman" w:cs="Times New Roman"/>
        </w:rPr>
        <w:t xml:space="preserve">annex, while </w:t>
      </w:r>
      <w:r w:rsidR="005950B8">
        <w:rPr>
          <w:rFonts w:ascii="Times New Roman" w:hAnsi="Times New Roman" w:cs="Times New Roman"/>
        </w:rPr>
        <w:t>PP</w:t>
      </w:r>
      <w:r w:rsidRPr="00843F73">
        <w:rPr>
          <w:rFonts w:ascii="Times New Roman" w:hAnsi="Times New Roman" w:cs="Times New Roman"/>
        </w:rPr>
        <w:t xml:space="preserve"> and Anti-Corruption Guidelines are incorporated in the General conditions for </w:t>
      </w:r>
      <w:r w:rsidR="005950B8">
        <w:rPr>
          <w:rFonts w:ascii="Times New Roman" w:hAnsi="Times New Roman" w:cs="Times New Roman"/>
        </w:rPr>
        <w:t xml:space="preserve">the </w:t>
      </w:r>
      <w:r w:rsidRPr="00843F73">
        <w:rPr>
          <w:rFonts w:ascii="Times New Roman" w:hAnsi="Times New Roman" w:cs="Times New Roman"/>
        </w:rPr>
        <w:t>IBRD Investment Projects Financing.</w:t>
      </w:r>
      <w:r w:rsidR="00373859" w:rsidRPr="00843F73">
        <w:rPr>
          <w:rFonts w:ascii="Times New Roman" w:hAnsi="Times New Roman" w:cs="Times New Roman"/>
        </w:rPr>
        <w:t xml:space="preserve"> </w:t>
      </w:r>
    </w:p>
    <w:p w14:paraId="049B6FF1" w14:textId="3B255219" w:rsidR="00BC151E" w:rsidRPr="00843F73" w:rsidRDefault="00BC151E" w:rsidP="00EB381F">
      <w:pPr>
        <w:spacing w:after="120" w:line="276" w:lineRule="auto"/>
        <w:jc w:val="both"/>
        <w:rPr>
          <w:rFonts w:ascii="Times New Roman" w:hAnsi="Times New Roman" w:cs="Times New Roman"/>
        </w:rPr>
      </w:pPr>
      <w:r w:rsidRPr="00843F73">
        <w:rPr>
          <w:rFonts w:ascii="Times New Roman" w:hAnsi="Times New Roman" w:cs="Times New Roman"/>
        </w:rPr>
        <w:t xml:space="preserve">The </w:t>
      </w:r>
      <w:r w:rsidR="005950B8">
        <w:rPr>
          <w:rFonts w:ascii="Times New Roman" w:hAnsi="Times New Roman" w:cs="Times New Roman"/>
        </w:rPr>
        <w:t>MCTI</w:t>
      </w:r>
      <w:r w:rsidRPr="00843F73">
        <w:rPr>
          <w:rFonts w:ascii="Times New Roman" w:hAnsi="Times New Roman" w:cs="Times New Roman"/>
        </w:rPr>
        <w:t xml:space="preserve"> shall ensure that the Project is carried out in accordance with the </w:t>
      </w:r>
      <w:r w:rsidR="00667DE5" w:rsidRPr="00843F73">
        <w:rPr>
          <w:rFonts w:ascii="Times New Roman" w:hAnsi="Times New Roman" w:cs="Times New Roman"/>
        </w:rPr>
        <w:t>Anti-Corruption</w:t>
      </w:r>
      <w:r w:rsidRPr="00843F73">
        <w:rPr>
          <w:rFonts w:ascii="Times New Roman" w:hAnsi="Times New Roman" w:cs="Times New Roman"/>
        </w:rPr>
        <w:t xml:space="preserve"> Guidelines e.g. The Bank’s Anti-Corruption Guidelines (“Guidelines on Preventing and Combating Fraud and Corruption in Projects Financed by IBRD Loans and IDA Credits and Grants”) dated October 15, 2006 and revised in January, 2011 as of July 1, 2016.</w:t>
      </w:r>
    </w:p>
    <w:p w14:paraId="71DBDD69" w14:textId="21CB5EBA" w:rsidR="00EB381F" w:rsidRPr="00843F73" w:rsidRDefault="00EB381F" w:rsidP="00EB381F">
      <w:pPr>
        <w:pStyle w:val="ListParagraph"/>
        <w:autoSpaceDE w:val="0"/>
        <w:autoSpaceDN w:val="0"/>
        <w:adjustRightInd w:val="0"/>
        <w:spacing w:after="120" w:line="240" w:lineRule="auto"/>
        <w:ind w:left="0"/>
        <w:contextualSpacing w:val="0"/>
        <w:rPr>
          <w:rFonts w:ascii="Times New Roman" w:hAnsi="Times New Roman" w:cs="Times New Roman"/>
        </w:rPr>
      </w:pPr>
      <w:r w:rsidRPr="00843F73">
        <w:rPr>
          <w:rFonts w:ascii="Times New Roman" w:hAnsi="Times New Roman" w:cs="Times New Roman"/>
        </w:rPr>
        <w:t>In pursuance of this policy, the Bank defines, for the purposes of this provision, the terms set forth below as follows:</w:t>
      </w:r>
    </w:p>
    <w:p w14:paraId="149B6FDB" w14:textId="77777777" w:rsidR="00EB381F" w:rsidRPr="00843F73" w:rsidRDefault="00EB381F" w:rsidP="00EB381F">
      <w:pPr>
        <w:numPr>
          <w:ilvl w:val="0"/>
          <w:numId w:val="503"/>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“corrupt practice” is the offering, giving, receiving, or soliciting, directly or indirectly, of anything of value to influence improperly the actions of another party;</w:t>
      </w:r>
    </w:p>
    <w:p w14:paraId="2A1EDF87" w14:textId="77777777" w:rsidR="00EB381F" w:rsidRPr="00843F73" w:rsidRDefault="00EB381F" w:rsidP="00EB381F">
      <w:pPr>
        <w:numPr>
          <w:ilvl w:val="0"/>
          <w:numId w:val="503"/>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“fraudulent practice” is any act or omission, including a misrepresentation, that knowingly or recklessly misleads, or attempts to mislead, a party to obtain a financial or other benefit or to avoid an obligation;</w:t>
      </w:r>
    </w:p>
    <w:p w14:paraId="7D721601" w14:textId="77777777" w:rsidR="00EB381F" w:rsidRPr="00843F73" w:rsidRDefault="00EB381F" w:rsidP="00EB381F">
      <w:pPr>
        <w:numPr>
          <w:ilvl w:val="0"/>
          <w:numId w:val="503"/>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“collusive practice” is an arrangement between two or more parties designed to achieve an improper purpose, including to influence improperly the actions of another party;</w:t>
      </w:r>
    </w:p>
    <w:p w14:paraId="1CC32E02" w14:textId="77777777" w:rsidR="00EB381F" w:rsidRPr="00843F73" w:rsidRDefault="00EB381F" w:rsidP="00EB381F">
      <w:pPr>
        <w:numPr>
          <w:ilvl w:val="0"/>
          <w:numId w:val="503"/>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“coercive practice” is impairing or harming, or threatening to impair or harm, directly or indirectly, any party or the property of the party to influence improperly the actions of a party;</w:t>
      </w:r>
    </w:p>
    <w:p w14:paraId="06C8D022" w14:textId="77777777" w:rsidR="00EB381F" w:rsidRPr="00843F73" w:rsidRDefault="00EB381F" w:rsidP="00EB381F">
      <w:pPr>
        <w:numPr>
          <w:ilvl w:val="0"/>
          <w:numId w:val="503"/>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“obstructive practice” is:</w:t>
      </w:r>
    </w:p>
    <w:p w14:paraId="60E54DD0" w14:textId="11FDD0A7" w:rsidR="00EB381F" w:rsidRPr="00843F73" w:rsidRDefault="00EB381F" w:rsidP="00EB381F">
      <w:pPr>
        <w:numPr>
          <w:ilvl w:val="0"/>
          <w:numId w:val="504"/>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w:t>
      </w:r>
    </w:p>
    <w:p w14:paraId="57E71DDF" w14:textId="513A4A4B" w:rsidR="00EB381F" w:rsidRPr="00843F73" w:rsidRDefault="00EB381F" w:rsidP="00EB381F">
      <w:pPr>
        <w:numPr>
          <w:ilvl w:val="0"/>
          <w:numId w:val="504"/>
        </w:numPr>
        <w:autoSpaceDE w:val="0"/>
        <w:autoSpaceDN w:val="0"/>
        <w:adjustRightInd w:val="0"/>
        <w:spacing w:after="120" w:line="240" w:lineRule="auto"/>
        <w:ind w:left="1434" w:hanging="357"/>
        <w:jc w:val="both"/>
        <w:rPr>
          <w:rFonts w:ascii="Times New Roman" w:eastAsia="Calibri" w:hAnsi="Times New Roman" w:cs="Times New Roman"/>
          <w:lang w:val="en-US"/>
        </w:rPr>
      </w:pPr>
      <w:r w:rsidRPr="00843F73">
        <w:rPr>
          <w:rFonts w:ascii="Times New Roman" w:eastAsia="Calibri" w:hAnsi="Times New Roman" w:cs="Times New Roman"/>
          <w:lang w:val="en-US"/>
        </w:rPr>
        <w:t>act intended to materially impede the exercise of the Bank’s inspection and audit rights.</w:t>
      </w:r>
    </w:p>
    <w:p w14:paraId="5871D0C6" w14:textId="77777777" w:rsidR="00EB381F" w:rsidRPr="00843F73" w:rsidRDefault="00EB381F" w:rsidP="00EB381F">
      <w:pPr>
        <w:autoSpaceDE w:val="0"/>
        <w:autoSpaceDN w:val="0"/>
        <w:adjustRightInd w:val="0"/>
        <w:spacing w:after="120" w:line="240" w:lineRule="auto"/>
        <w:jc w:val="both"/>
        <w:rPr>
          <w:rFonts w:ascii="Times New Roman" w:eastAsia="Calibri" w:hAnsi="Times New Roman" w:cs="Times New Roman"/>
          <w:lang w:val="en-US"/>
        </w:rPr>
      </w:pPr>
    </w:p>
    <w:p w14:paraId="216310D3" w14:textId="4440FEDB" w:rsidR="00EB381F" w:rsidRPr="00843F73" w:rsidRDefault="00EB381F" w:rsidP="00EB381F">
      <w:p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Additionally, the Bank:</w:t>
      </w:r>
    </w:p>
    <w:p w14:paraId="708940C5" w14:textId="77777777" w:rsidR="00EB381F" w:rsidRPr="00843F73" w:rsidRDefault="00EB381F" w:rsidP="00EB381F">
      <w:pPr>
        <w:numPr>
          <w:ilvl w:val="0"/>
          <w:numId w:val="505"/>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Rejects a proposal for award if it determines that the firm or individual recommended for award, any of its personnel, or its agents, or its sub-consultants, sub-contractors, service providers, suppliers and/or their employees, has, directly or indirectly, engaged in corrupt, fraudulent, collusive, coercive, or obstructive practices in competing for the contract in question;</w:t>
      </w:r>
    </w:p>
    <w:p w14:paraId="5C86C8C4" w14:textId="77777777" w:rsidR="00EB381F" w:rsidRPr="00843F73" w:rsidRDefault="00EB381F" w:rsidP="00EB381F">
      <w:pPr>
        <w:numPr>
          <w:ilvl w:val="0"/>
          <w:numId w:val="505"/>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 xml:space="preserve">In addition to the legal remedies set out in the relevant Legal Agreement, may take other appropriate actions, including declaring misprocurement, if the Bank determines at any time that representatives of the Borrower or of a recipient of any part of the proceeds of the loan engaged in corrupt, fraudulent, collusive, coercive, or obstructive practices during the procurement process, selection and/or execution of the contract in question, without the </w:t>
      </w:r>
      <w:r w:rsidRPr="00F94C4F">
        <w:rPr>
          <w:rFonts w:ascii="Times New Roman" w:eastAsia="Calibri" w:hAnsi="Times New Roman" w:cs="Times New Roman"/>
          <w:lang w:val="en-US"/>
        </w:rPr>
        <w:t>Borrower</w:t>
      </w:r>
      <w:r w:rsidRPr="00843F73">
        <w:rPr>
          <w:rFonts w:ascii="Times New Roman" w:eastAsia="Calibri" w:hAnsi="Times New Roman" w:cs="Times New Roman"/>
          <w:lang w:val="en-US"/>
        </w:rPr>
        <w:t xml:space="preserve"> having taken timely and appropriate action satisfactory to the Bank to address such practices when they occur, including by failing to inform the Bank in a timely manner at the time they knew of the practices;</w:t>
      </w:r>
    </w:p>
    <w:p w14:paraId="39D0E324" w14:textId="77777777" w:rsidR="00EB381F" w:rsidRPr="00843F73" w:rsidRDefault="00EB381F" w:rsidP="00EB381F">
      <w:pPr>
        <w:numPr>
          <w:ilvl w:val="0"/>
          <w:numId w:val="505"/>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Sanctions, pursuant to the Bank’s Anti-Corruption Guidelines and in accordance with its prevailing sanctions policies and procedures as set forth in the WBG’s Sanctions Framework any firm or individual – determined at any time by the Bank to have engaged in Fraud and Corruption in connection with the procurement process, selection and/or execution of a Bank-financed contract;</w:t>
      </w:r>
    </w:p>
    <w:p w14:paraId="1DA6B10D" w14:textId="77777777" w:rsidR="00EB381F" w:rsidRPr="00843F73" w:rsidRDefault="00EB381F" w:rsidP="00EB381F">
      <w:pPr>
        <w:numPr>
          <w:ilvl w:val="0"/>
          <w:numId w:val="505"/>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 xml:space="preserve">Requires that a clause be included in request for bids/request for proposals documents and in contracts financed by a Bank loan, requiring bidders (applicants/proposers), consultants, contractors, and suppliers; and their sub-contractors, sub-consultants, agents, personnel, consultants, service providers or suppliers, permit the Bank to inspect1 all accounts, records and other documents relating to the procurement process, selection and/or contract execution, and to have them audited by auditors appointed by the Bank; </w:t>
      </w:r>
    </w:p>
    <w:p w14:paraId="1EE2F274" w14:textId="39B84B12" w:rsidR="00EB381F" w:rsidRPr="001F5042" w:rsidRDefault="00EB381F" w:rsidP="00EB381F">
      <w:pPr>
        <w:numPr>
          <w:ilvl w:val="0"/>
          <w:numId w:val="505"/>
        </w:numPr>
        <w:autoSpaceDE w:val="0"/>
        <w:autoSpaceDN w:val="0"/>
        <w:adjustRightInd w:val="0"/>
        <w:spacing w:after="120" w:line="240" w:lineRule="auto"/>
        <w:jc w:val="both"/>
        <w:rPr>
          <w:rFonts w:ascii="Times New Roman" w:eastAsia="Calibri" w:hAnsi="Times New Roman" w:cs="Times New Roman"/>
          <w:lang w:val="en-US"/>
        </w:rPr>
      </w:pPr>
      <w:r w:rsidRPr="00843F73">
        <w:rPr>
          <w:rFonts w:ascii="Times New Roman" w:eastAsia="Calibri" w:hAnsi="Times New Roman" w:cs="Times New Roman"/>
          <w:lang w:val="en-US"/>
        </w:rPr>
        <w:t xml:space="preserve">Requires that, for Bank-financed operations to be implemented utilizing national procurement arrangements, as well as PPPs, agreed by the Bank, bidders (applicants/proposers) and consultants submitting bids/proposals will be required to accept the application of, and agree to comply with, the Anti-Corruption </w:t>
      </w:r>
      <w:r w:rsidRPr="001F5042">
        <w:rPr>
          <w:rFonts w:ascii="Times New Roman" w:eastAsia="Calibri" w:hAnsi="Times New Roman" w:cs="Times New Roman"/>
          <w:lang w:val="en-US"/>
        </w:rPr>
        <w:t>Guidelines during the procurement process, selection and/or contract execution, including the Bank’s right to sanction as set forth in paragraph 2.2 d</w:t>
      </w:r>
      <w:r w:rsidR="001F5042">
        <w:rPr>
          <w:rFonts w:ascii="Times New Roman" w:eastAsia="Calibri" w:hAnsi="Times New Roman" w:cs="Times New Roman"/>
          <w:lang w:val="en-US"/>
        </w:rPr>
        <w:t xml:space="preserve"> of said Gu</w:t>
      </w:r>
      <w:r w:rsidR="005950B8">
        <w:rPr>
          <w:rFonts w:ascii="Times New Roman" w:eastAsia="Calibri" w:hAnsi="Times New Roman" w:cs="Times New Roman"/>
          <w:lang w:val="en-US"/>
        </w:rPr>
        <w:t>i</w:t>
      </w:r>
      <w:r w:rsidR="001F5042">
        <w:rPr>
          <w:rFonts w:ascii="Times New Roman" w:eastAsia="Calibri" w:hAnsi="Times New Roman" w:cs="Times New Roman"/>
          <w:lang w:val="en-US"/>
        </w:rPr>
        <w:t>d</w:t>
      </w:r>
      <w:r w:rsidR="005950B8">
        <w:rPr>
          <w:rFonts w:ascii="Times New Roman" w:eastAsia="Calibri" w:hAnsi="Times New Roman" w:cs="Times New Roman"/>
          <w:lang w:val="en-US"/>
        </w:rPr>
        <w:t>e</w:t>
      </w:r>
      <w:r w:rsidR="001F5042">
        <w:rPr>
          <w:rFonts w:ascii="Times New Roman" w:eastAsia="Calibri" w:hAnsi="Times New Roman" w:cs="Times New Roman"/>
          <w:lang w:val="en-US"/>
        </w:rPr>
        <w:t>lines</w:t>
      </w:r>
      <w:r w:rsidRPr="001F5042">
        <w:rPr>
          <w:rFonts w:ascii="Times New Roman" w:eastAsia="Calibri" w:hAnsi="Times New Roman" w:cs="Times New Roman"/>
          <w:lang w:val="en-US"/>
        </w:rPr>
        <w:t xml:space="preserve">, and the Bank’s inspection and audit rights as set forth in paragraph 2.2 e. Borrowers shall consult and apply the </w:t>
      </w:r>
      <w:r w:rsidR="005950B8">
        <w:rPr>
          <w:rFonts w:ascii="Times New Roman" w:eastAsia="Calibri" w:hAnsi="Times New Roman" w:cs="Times New Roman"/>
          <w:lang w:val="en-US"/>
        </w:rPr>
        <w:t>WBG</w:t>
      </w:r>
      <w:r w:rsidRPr="001F5042">
        <w:rPr>
          <w:rFonts w:ascii="Times New Roman" w:eastAsia="Calibri" w:hAnsi="Times New Roman" w:cs="Times New Roman"/>
          <w:lang w:val="en-US"/>
        </w:rPr>
        <w:t xml:space="preserve">’s lists of firms and individuals suspended or debarred. In the event a Borrower signs a contract with a firm or an individual suspended or debarred by the </w:t>
      </w:r>
      <w:r w:rsidR="005950B8">
        <w:rPr>
          <w:rFonts w:ascii="Times New Roman" w:eastAsia="Calibri" w:hAnsi="Times New Roman" w:cs="Times New Roman"/>
          <w:lang w:val="en-US"/>
        </w:rPr>
        <w:t>WBG</w:t>
      </w:r>
      <w:r w:rsidRPr="001F5042">
        <w:rPr>
          <w:rFonts w:ascii="Times New Roman" w:eastAsia="Calibri" w:hAnsi="Times New Roman" w:cs="Times New Roman"/>
          <w:lang w:val="en-US"/>
        </w:rPr>
        <w:t>, the Bank does not finance the related expenditures and may apply other remedies as appropriate; and</w:t>
      </w:r>
    </w:p>
    <w:p w14:paraId="037BFE7F" w14:textId="43AED96F" w:rsidR="00EB381F" w:rsidRPr="00843F73" w:rsidRDefault="00EB381F" w:rsidP="00EB381F">
      <w:pPr>
        <w:numPr>
          <w:ilvl w:val="0"/>
          <w:numId w:val="505"/>
        </w:numPr>
        <w:autoSpaceDE w:val="0"/>
        <w:autoSpaceDN w:val="0"/>
        <w:adjustRightInd w:val="0"/>
        <w:spacing w:after="120" w:line="240" w:lineRule="auto"/>
        <w:jc w:val="both"/>
        <w:rPr>
          <w:rFonts w:ascii="Times New Roman" w:eastAsia="Calibri" w:hAnsi="Times New Roman" w:cs="Times New Roman"/>
          <w:lang w:val="en-US"/>
        </w:rPr>
      </w:pPr>
      <w:r w:rsidRPr="001F5042">
        <w:rPr>
          <w:rFonts w:ascii="Times New Roman" w:eastAsia="Calibri" w:hAnsi="Times New Roman" w:cs="Times New Roman"/>
          <w:lang w:val="en-US"/>
        </w:rPr>
        <w:t xml:space="preserve">Requires that, when a Borrower selects a UN agency to provide goods, works, non-consulting services and technical assistance services in accordance with paragraphs 6.47-6.48 and 7.27-7.28 of </w:t>
      </w:r>
      <w:r w:rsidR="005950B8">
        <w:rPr>
          <w:rFonts w:ascii="Times New Roman" w:eastAsia="Calibri" w:hAnsi="Times New Roman" w:cs="Times New Roman"/>
          <w:lang w:val="en-US"/>
        </w:rPr>
        <w:t>Bank’s</w:t>
      </w:r>
      <w:r w:rsidR="005950B8" w:rsidRPr="001F5042">
        <w:rPr>
          <w:rFonts w:ascii="Times New Roman" w:eastAsia="Calibri" w:hAnsi="Times New Roman" w:cs="Times New Roman"/>
          <w:lang w:val="en-US"/>
        </w:rPr>
        <w:t xml:space="preserve"> </w:t>
      </w:r>
      <w:r w:rsidRPr="001F5042">
        <w:rPr>
          <w:rFonts w:ascii="Times New Roman" w:eastAsia="Calibri" w:hAnsi="Times New Roman" w:cs="Times New Roman"/>
          <w:lang w:val="en-US"/>
        </w:rPr>
        <w:t xml:space="preserve">Procurement Regulations under an agreement signed between the Borrower and the UN agency, the above provisions of paragraph 2 of this annex regarding sanctions on Fraud and </w:t>
      </w:r>
      <w:r w:rsidRPr="00665F55">
        <w:rPr>
          <w:rFonts w:ascii="Times New Roman" w:eastAsia="Calibri" w:hAnsi="Times New Roman" w:cs="Times New Roman"/>
          <w:color w:val="000000" w:themeColor="text1"/>
          <w:lang w:val="en-US"/>
        </w:rPr>
        <w:t xml:space="preserve">Corruption shall apply in their entirety to all contractors, consultants, sub-contractors, sub-consultants, service providers, suppliers, and their employees, that signed contracts with the UN agency. As an exception to the foregoing, paragraphs 2.2 d. and 2.2 e. do not apply to the UN agency and its employees, and paragraph 2.2 e. does not apply to the contracts between the UN agency and its service providers and suppliers. In such cases, the UN agency applies its own rules and regulations for investigating allegations of Fraud and Corruption, subject to such terms and conditions as the Bank and the UN agency may agree, including an obligation to periodically inform the Bank of the decisions and actions taken. The Bank retains the right to require the Borrower to invoke remedies such as suspension or termination. UN agencies shall consult the World Bank Group’s lists of firms and individuals suspended or debarred. In the event a UN agency signs a contract or purchase order with a firm or an individual suspended or debarred by the </w:t>
      </w:r>
      <w:r w:rsidR="005950B8" w:rsidRPr="00665F55">
        <w:rPr>
          <w:rFonts w:ascii="Times New Roman" w:eastAsia="Calibri" w:hAnsi="Times New Roman" w:cs="Times New Roman"/>
          <w:color w:val="000000" w:themeColor="text1"/>
          <w:lang w:val="en-US"/>
        </w:rPr>
        <w:t>WBG</w:t>
      </w:r>
      <w:r w:rsidRPr="00665F55">
        <w:rPr>
          <w:rFonts w:ascii="Times New Roman" w:eastAsia="Calibri" w:hAnsi="Times New Roman" w:cs="Times New Roman"/>
          <w:color w:val="000000" w:themeColor="text1"/>
          <w:lang w:val="en-US"/>
        </w:rPr>
        <w:t>, the Bank does not finance the related expenditures and may apply other remedies as appropriate.</w:t>
      </w:r>
    </w:p>
    <w:p w14:paraId="46DF0403" w14:textId="77777777" w:rsidR="00EB381F" w:rsidRPr="00843F73" w:rsidRDefault="00EB381F" w:rsidP="00EB381F">
      <w:pPr>
        <w:autoSpaceDE w:val="0"/>
        <w:autoSpaceDN w:val="0"/>
        <w:adjustRightInd w:val="0"/>
        <w:spacing w:after="120" w:line="240" w:lineRule="auto"/>
        <w:ind w:left="720"/>
        <w:jc w:val="both"/>
        <w:rPr>
          <w:rFonts w:ascii="Times New Roman" w:eastAsia="Calibri" w:hAnsi="Times New Roman" w:cs="Times New Roman"/>
          <w:lang w:val="en-US"/>
        </w:rPr>
      </w:pPr>
    </w:p>
    <w:p w14:paraId="64C843BF" w14:textId="2C339F40" w:rsidR="00EB381F" w:rsidRPr="00843F73" w:rsidRDefault="00EB381F" w:rsidP="00BF5F41">
      <w:pPr>
        <w:spacing w:after="120" w:line="240" w:lineRule="auto"/>
        <w:jc w:val="both"/>
        <w:rPr>
          <w:rFonts w:ascii="Times New Roman" w:hAnsi="Times New Roman" w:cs="Times New Roman"/>
          <w:color w:val="000000" w:themeColor="text1"/>
        </w:rPr>
      </w:pPr>
      <w:r w:rsidRPr="00843F73">
        <w:rPr>
          <w:rFonts w:ascii="Times New Roman" w:eastAsia="Calibri" w:hAnsi="Times New Roman" w:cs="Times New Roman"/>
          <w:color w:val="000000" w:themeColor="text1"/>
          <w:lang w:val="en-US"/>
        </w:rPr>
        <w:t xml:space="preserve">With the specific agreement of the Bank, a </w:t>
      </w:r>
      <w:r w:rsidRPr="00F94C4F">
        <w:rPr>
          <w:rFonts w:ascii="Times New Roman" w:eastAsia="Calibri" w:hAnsi="Times New Roman" w:cs="Times New Roman"/>
          <w:color w:val="000000" w:themeColor="text1"/>
          <w:lang w:val="en-US"/>
        </w:rPr>
        <w:t>Borrower</w:t>
      </w:r>
      <w:r w:rsidRPr="00843F73">
        <w:rPr>
          <w:rFonts w:ascii="Times New Roman" w:eastAsia="Calibri" w:hAnsi="Times New Roman" w:cs="Times New Roman"/>
          <w:color w:val="000000" w:themeColor="text1"/>
          <w:lang w:val="en-US"/>
        </w:rPr>
        <w:t xml:space="preserve"> may introduce in to the request for bids/request for proposals document for contracts financed by the Bank, a requirement that the bidder or consultant include in the bid or proposal an undertaking of the bidder or consultant to observe, in the Procurement Process, the country’s laws against fraud and corruption (including bribery) as such laws have been identified in the request for bids/request for proposals documents. The Bank will accept the introduction of such a requirement at the request of the </w:t>
      </w:r>
      <w:r w:rsidRPr="00F94C4F">
        <w:rPr>
          <w:rFonts w:ascii="Times New Roman" w:eastAsia="Calibri" w:hAnsi="Times New Roman" w:cs="Times New Roman"/>
          <w:color w:val="000000" w:themeColor="text1"/>
          <w:lang w:val="en-US"/>
        </w:rPr>
        <w:t>Borrower</w:t>
      </w:r>
      <w:r w:rsidRPr="00843F73">
        <w:rPr>
          <w:rFonts w:ascii="Times New Roman" w:eastAsia="Calibri" w:hAnsi="Times New Roman" w:cs="Times New Roman"/>
          <w:color w:val="000000" w:themeColor="text1"/>
          <w:lang w:val="en-US"/>
        </w:rPr>
        <w:t>, provided the arrangements governing the undertaking are satisfactory to the Bank</w:t>
      </w:r>
      <w:r w:rsidR="00667DE5">
        <w:rPr>
          <w:rFonts w:ascii="Times New Roman" w:eastAsia="Calibri" w:hAnsi="Times New Roman" w:cs="Times New Roman"/>
          <w:color w:val="000000" w:themeColor="text1"/>
          <w:lang w:val="en-US"/>
        </w:rPr>
        <w:t>.</w:t>
      </w:r>
    </w:p>
    <w:p w14:paraId="6ACCF236" w14:textId="77777777" w:rsidR="00BC151E" w:rsidRPr="00843F73" w:rsidRDefault="00BC151E" w:rsidP="00BF5F41">
      <w:pPr>
        <w:spacing w:after="120" w:line="240" w:lineRule="auto"/>
        <w:jc w:val="both"/>
        <w:rPr>
          <w:rFonts w:ascii="Times New Roman" w:hAnsi="Times New Roman" w:cs="Times New Roman"/>
          <w:color w:val="000000" w:themeColor="text1"/>
        </w:rPr>
      </w:pPr>
      <w:r w:rsidRPr="00843F73">
        <w:rPr>
          <w:rFonts w:ascii="Times New Roman" w:hAnsi="Times New Roman" w:cs="Times New Roman"/>
          <w:color w:val="000000" w:themeColor="text1"/>
        </w:rPr>
        <w:t>The following measures will be applied to mitigate governance and corruption risks:</w:t>
      </w:r>
    </w:p>
    <w:p w14:paraId="5375015E" w14:textId="77777777"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Training of fiduciary staff starting from project launch and periodically thereafter; training will be customized to the procedures and methods required for the next 12-month periods. The relevant project staff shall attend relevant Regional Procurement Workshops periodically organized by the Bank.</w:t>
      </w:r>
    </w:p>
    <w:p w14:paraId="4AC267D0" w14:textId="79843E70"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Prior review: There will be close implementation support by the Bank’s operational and procurement accredited staff. This will include but is not limited to technical prior review of ToR, technical documentation for the first set of buildings to be retrofitted under the Project, all civil works contract amendments introducing new items or quality of materials, as well as other aspects, as reflected in the Governance and Accountability Action Plan and/or agreed with the Bank team during implementation of the project.</w:t>
      </w:r>
    </w:p>
    <w:p w14:paraId="1F156949" w14:textId="25D858CF"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 xml:space="preserve">Publication of Advertisements and Contracts: All publications for advertisements and contract awards will be published in local newspaper and on the </w:t>
      </w:r>
      <w:r w:rsidR="00417226" w:rsidRPr="00843F73">
        <w:rPr>
          <w:rFonts w:ascii="Times New Roman" w:eastAsia="Calibri" w:hAnsi="Times New Roman" w:cs="Times New Roman"/>
          <w:color w:val="000000" w:themeColor="text1"/>
        </w:rPr>
        <w:t>M</w:t>
      </w:r>
      <w:r w:rsidR="00417226">
        <w:rPr>
          <w:rFonts w:ascii="Times New Roman" w:eastAsia="Calibri" w:hAnsi="Times New Roman" w:cs="Times New Roman"/>
          <w:color w:val="000000" w:themeColor="text1"/>
        </w:rPr>
        <w:t>CTI</w:t>
      </w:r>
      <w:r w:rsidR="00417226" w:rsidRPr="00843F73">
        <w:rPr>
          <w:rFonts w:ascii="Times New Roman" w:eastAsia="Calibri" w:hAnsi="Times New Roman" w:cs="Times New Roman"/>
          <w:color w:val="000000" w:themeColor="text1"/>
        </w:rPr>
        <w:t xml:space="preserve">’s </w:t>
      </w:r>
      <w:r w:rsidRPr="00843F73">
        <w:rPr>
          <w:rFonts w:ascii="Times New Roman" w:eastAsia="Calibri" w:hAnsi="Times New Roman" w:cs="Times New Roman"/>
          <w:color w:val="000000" w:themeColor="text1"/>
        </w:rPr>
        <w:t>external website.</w:t>
      </w:r>
    </w:p>
    <w:p w14:paraId="1374DD61" w14:textId="77777777"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Debarred Firms: Appropriate attention will be given to ensuring that debarred firms or individuals (to be verified from the Bank’s external website) are not given opportunities to compete for Bank-financed contracts.</w:t>
      </w:r>
    </w:p>
    <w:p w14:paraId="055D8D23" w14:textId="77777777"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Temporarily suspended firms: Appropriate attention will be given to ensuring that temporarily suspended firms or individuals (to be verified through Client Connection) are not given opportunities to compete for Bank-financed contracts.</w:t>
      </w:r>
    </w:p>
    <w:p w14:paraId="70FC2259" w14:textId="10FC79B4"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 xml:space="preserve">Complaints: All complaints by bidders will be handled. A special protocol will be developed for the purpose of establishing and operating the Committee. The protocol, once agreed with the Bank and adopted by the </w:t>
      </w:r>
      <w:r w:rsidR="00417226" w:rsidRPr="00843F73">
        <w:rPr>
          <w:rFonts w:ascii="Times New Roman" w:eastAsia="Calibri" w:hAnsi="Times New Roman" w:cs="Times New Roman"/>
          <w:color w:val="000000" w:themeColor="text1"/>
        </w:rPr>
        <w:t>M</w:t>
      </w:r>
      <w:r w:rsidR="00417226">
        <w:rPr>
          <w:rFonts w:ascii="Times New Roman" w:eastAsia="Calibri" w:hAnsi="Times New Roman" w:cs="Times New Roman"/>
          <w:color w:val="000000" w:themeColor="text1"/>
        </w:rPr>
        <w:t>CTI</w:t>
      </w:r>
      <w:r w:rsidR="00417226" w:rsidRPr="00843F73">
        <w:rPr>
          <w:rFonts w:ascii="Times New Roman" w:eastAsia="Calibri" w:hAnsi="Times New Roman" w:cs="Times New Roman"/>
          <w:color w:val="000000" w:themeColor="text1"/>
        </w:rPr>
        <w:t xml:space="preserve"> </w:t>
      </w:r>
      <w:r w:rsidRPr="00843F73">
        <w:rPr>
          <w:rFonts w:ascii="Times New Roman" w:eastAsia="Calibri" w:hAnsi="Times New Roman" w:cs="Times New Roman"/>
          <w:color w:val="000000" w:themeColor="text1"/>
        </w:rPr>
        <w:t xml:space="preserve">is an integral part of </w:t>
      </w:r>
      <w:r w:rsidR="00417226" w:rsidRPr="00843F73">
        <w:rPr>
          <w:rFonts w:ascii="Times New Roman" w:eastAsia="Calibri" w:hAnsi="Times New Roman" w:cs="Times New Roman"/>
          <w:color w:val="000000" w:themeColor="text1"/>
        </w:rPr>
        <w:t>th</w:t>
      </w:r>
      <w:r w:rsidR="00417226">
        <w:rPr>
          <w:rFonts w:ascii="Times New Roman" w:eastAsia="Calibri" w:hAnsi="Times New Roman" w:cs="Times New Roman"/>
          <w:color w:val="000000" w:themeColor="text1"/>
        </w:rPr>
        <w:t>is</w:t>
      </w:r>
      <w:r w:rsidR="00417226" w:rsidRPr="00843F73">
        <w:rPr>
          <w:rFonts w:ascii="Times New Roman" w:eastAsia="Calibri" w:hAnsi="Times New Roman" w:cs="Times New Roman"/>
          <w:color w:val="000000" w:themeColor="text1"/>
        </w:rPr>
        <w:t xml:space="preserve"> </w:t>
      </w:r>
      <w:r w:rsidR="00FA52B8">
        <w:rPr>
          <w:rFonts w:ascii="Times New Roman" w:eastAsia="Calibri" w:hAnsi="Times New Roman" w:cs="Times New Roman"/>
          <w:color w:val="000000" w:themeColor="text1"/>
        </w:rPr>
        <w:t>Manual</w:t>
      </w:r>
      <w:r w:rsidRPr="00843F73">
        <w:rPr>
          <w:rFonts w:ascii="Times New Roman" w:eastAsia="Calibri" w:hAnsi="Times New Roman" w:cs="Times New Roman"/>
          <w:color w:val="000000" w:themeColor="text1"/>
        </w:rPr>
        <w:t>.</w:t>
      </w:r>
    </w:p>
    <w:p w14:paraId="13BE97BC" w14:textId="40D5962E"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 xml:space="preserve">Monitoring of contract awards: All contracts are required to be signed within the validity of the bids/proposals and, in case of contracts subject to prior review, promptly after the Bank’s “no objection” is issued. The </w:t>
      </w:r>
      <w:r w:rsidR="00417226">
        <w:rPr>
          <w:rFonts w:ascii="Times New Roman" w:eastAsia="Calibri" w:hAnsi="Times New Roman" w:cs="Times New Roman"/>
          <w:color w:val="000000" w:themeColor="text1"/>
        </w:rPr>
        <w:t>PP</w:t>
      </w:r>
      <w:r w:rsidRPr="00843F73">
        <w:rPr>
          <w:rFonts w:ascii="Times New Roman" w:eastAsia="Calibri" w:hAnsi="Times New Roman" w:cs="Times New Roman"/>
          <w:color w:val="000000" w:themeColor="text1"/>
        </w:rPr>
        <w:t xml:space="preserve"> format will include information on actual dates (of “no objections” and award) and will be monitored for undue delay which will be reviewed on a case-by-case basis to identify the reasons. The </w:t>
      </w:r>
      <w:r w:rsidR="00E17F4B" w:rsidRPr="00843F73">
        <w:rPr>
          <w:rFonts w:ascii="Times New Roman" w:eastAsia="Calibri" w:hAnsi="Times New Roman" w:cs="Times New Roman"/>
          <w:color w:val="000000" w:themeColor="text1"/>
        </w:rPr>
        <w:t>PIU/CFU</w:t>
      </w:r>
      <w:r w:rsidRPr="00843F73">
        <w:rPr>
          <w:rFonts w:ascii="Times New Roman" w:eastAsia="Calibri" w:hAnsi="Times New Roman" w:cs="Times New Roman"/>
          <w:color w:val="000000" w:themeColor="text1"/>
        </w:rPr>
        <w:t xml:space="preserve"> will maintain up-to-date procurement records available to </w:t>
      </w:r>
      <w:r w:rsidR="00417226">
        <w:rPr>
          <w:rFonts w:ascii="Times New Roman" w:eastAsia="Calibri" w:hAnsi="Times New Roman" w:cs="Times New Roman"/>
          <w:color w:val="000000" w:themeColor="text1"/>
        </w:rPr>
        <w:t xml:space="preserve">the </w:t>
      </w:r>
      <w:r w:rsidRPr="00843F73">
        <w:rPr>
          <w:rFonts w:ascii="Times New Roman" w:eastAsia="Calibri" w:hAnsi="Times New Roman" w:cs="Times New Roman"/>
          <w:color w:val="000000" w:themeColor="text1"/>
        </w:rPr>
        <w:t>Bank staff and auditors.</w:t>
      </w:r>
    </w:p>
    <w:p w14:paraId="11CFD440" w14:textId="393DC7C6"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 xml:space="preserve">Monitoring of payment against physical progress: Monitoring reports prepared for the Bank will be customized to include a form to monitor physical progress compared to payment </w:t>
      </w:r>
      <w:r w:rsidR="00E17F4B" w:rsidRPr="00843F73">
        <w:rPr>
          <w:rFonts w:ascii="Times New Roman" w:eastAsia="Calibri" w:hAnsi="Times New Roman" w:cs="Times New Roman"/>
          <w:color w:val="000000" w:themeColor="text1"/>
        </w:rPr>
        <w:t>instalments</w:t>
      </w:r>
      <w:r w:rsidRPr="00843F73">
        <w:rPr>
          <w:rFonts w:ascii="Times New Roman" w:eastAsia="Calibri" w:hAnsi="Times New Roman" w:cs="Times New Roman"/>
          <w:color w:val="000000" w:themeColor="text1"/>
        </w:rPr>
        <w:t>.</w:t>
      </w:r>
    </w:p>
    <w:p w14:paraId="6D0E63A1" w14:textId="09C6C707" w:rsidR="00BC151E" w:rsidRPr="00843F73" w:rsidRDefault="00BC151E" w:rsidP="00FA52B8">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843F73">
        <w:rPr>
          <w:rFonts w:ascii="Times New Roman" w:eastAsia="Calibri" w:hAnsi="Times New Roman" w:cs="Times New Roman"/>
          <w:color w:val="000000" w:themeColor="text1"/>
        </w:rPr>
        <w:t xml:space="preserve">Timeliness of payments: Payment to contractors, suppliers and consultants will be monitored through semi-annual </w:t>
      </w:r>
      <w:r w:rsidR="00DC34E4" w:rsidRPr="00843F73">
        <w:rPr>
          <w:rFonts w:ascii="Times New Roman" w:eastAsia="Calibri" w:hAnsi="Times New Roman" w:cs="Times New Roman"/>
          <w:color w:val="000000" w:themeColor="text1"/>
        </w:rPr>
        <w:t>Interim un-audited financial reports</w:t>
      </w:r>
      <w:r w:rsidRPr="00843F73">
        <w:rPr>
          <w:rFonts w:ascii="Times New Roman" w:eastAsia="Calibri" w:hAnsi="Times New Roman" w:cs="Times New Roman"/>
          <w:color w:val="000000" w:themeColor="text1"/>
        </w:rPr>
        <w:t xml:space="preserve"> to ensure timely payments. The </w:t>
      </w:r>
      <w:r w:rsidR="00E17F4B" w:rsidRPr="00843F73">
        <w:rPr>
          <w:rFonts w:ascii="Times New Roman" w:eastAsia="Calibri" w:hAnsi="Times New Roman" w:cs="Times New Roman"/>
          <w:color w:val="000000" w:themeColor="text1"/>
        </w:rPr>
        <w:t>PIU/CFU</w:t>
      </w:r>
      <w:r w:rsidR="009C3B24" w:rsidRPr="00843F73">
        <w:rPr>
          <w:rFonts w:ascii="Times New Roman" w:eastAsia="Calibri" w:hAnsi="Times New Roman" w:cs="Times New Roman"/>
          <w:color w:val="000000" w:themeColor="text1"/>
        </w:rPr>
        <w:t xml:space="preserve"> </w:t>
      </w:r>
      <w:r w:rsidRPr="00843F73">
        <w:rPr>
          <w:rFonts w:ascii="Times New Roman" w:eastAsia="Calibri" w:hAnsi="Times New Roman" w:cs="Times New Roman"/>
          <w:color w:val="000000" w:themeColor="text1"/>
        </w:rPr>
        <w:t>will maintain a system/database (acceptable to the Bank) covering procurement, contract administration and financial management to (a) monitor all commitments and unpaid obligations, (b) ensure sufficiency of uncommitted funds before entering into obligations, (c) track payments to ensure that payments to suppliers and contractors are paid without delay according to the conditions of the contract.</w:t>
      </w:r>
    </w:p>
    <w:p w14:paraId="5C110329" w14:textId="5CEF277E" w:rsidR="00BC151E" w:rsidRPr="00843F73" w:rsidRDefault="00BC151E" w:rsidP="00D01979">
      <w:pPr>
        <w:shd w:val="clear" w:color="auto" w:fill="FFFFFF"/>
        <w:spacing w:after="120" w:line="276" w:lineRule="auto"/>
        <w:jc w:val="both"/>
        <w:rPr>
          <w:rFonts w:ascii="Times New Roman" w:hAnsi="Times New Roman" w:cs="Times New Roman"/>
          <w:color w:val="000000" w:themeColor="text1"/>
        </w:rPr>
      </w:pPr>
      <w:r w:rsidRPr="00843F73">
        <w:rPr>
          <w:rFonts w:ascii="Times New Roman" w:hAnsi="Times New Roman" w:cs="Times New Roman"/>
          <w:color w:val="000000" w:themeColor="text1"/>
        </w:rPr>
        <w:t xml:space="preserve">As mentioned above a firm or an individual sanctioned in accordance with Fraud and Corruption of the World Bank’s Procurement Regulations for IPF Borrowers or in accordance with the </w:t>
      </w:r>
      <w:r w:rsidR="00417226">
        <w:rPr>
          <w:rFonts w:ascii="Times New Roman" w:hAnsi="Times New Roman" w:cs="Times New Roman"/>
          <w:color w:val="000000" w:themeColor="text1"/>
        </w:rPr>
        <w:t>WBG</w:t>
      </w:r>
      <w:r w:rsidRPr="00843F73">
        <w:rPr>
          <w:rFonts w:ascii="Times New Roman" w:hAnsi="Times New Roman" w:cs="Times New Roman"/>
          <w:color w:val="000000" w:themeColor="text1"/>
        </w:rPr>
        <w:t xml:space="preserve"> anti-corruption policies and as per sanctions procedures shall be ineligible to be awarded a Bank-financed contract, or to benefit from a Bank-financed contract, financially or in any other manner, during such period of time as the Bank shall determine. The supplier, contractor, consultant (firm or individual) selected following the procedure will be checked at list of temporarily sanctioned firms in the client connection and list of debarred firms at Bank’s external website</w:t>
      </w:r>
      <w:r w:rsidR="00373859" w:rsidRPr="00843F73">
        <w:rPr>
          <w:rFonts w:ascii="Times New Roman" w:hAnsi="Times New Roman" w:cs="Times New Roman"/>
          <w:color w:val="000000" w:themeColor="text1"/>
        </w:rPr>
        <w:t xml:space="preserve"> </w:t>
      </w:r>
      <w:hyperlink r:id="rId31" w:history="1">
        <w:r w:rsidRPr="00843F73">
          <w:rPr>
            <w:rFonts w:ascii="Times New Roman" w:hAnsi="Times New Roman" w:cs="Times New Roman"/>
            <w:color w:val="000000" w:themeColor="text1"/>
            <w:u w:val="single"/>
          </w:rPr>
          <w:t>http://www.worldbank.org/html/opr/procure/debarr.html</w:t>
        </w:r>
      </w:hyperlink>
    </w:p>
    <w:p w14:paraId="13B3167C" w14:textId="4B25C7CD" w:rsidR="00BC151E" w:rsidRPr="00843F73" w:rsidRDefault="00BC151E" w:rsidP="00D01979">
      <w:pPr>
        <w:shd w:val="clear" w:color="auto" w:fill="FFFFFF"/>
        <w:spacing w:after="120" w:line="276" w:lineRule="auto"/>
        <w:jc w:val="both"/>
        <w:rPr>
          <w:rFonts w:ascii="Times New Roman" w:hAnsi="Times New Roman" w:cs="Times New Roman"/>
          <w:color w:val="000000" w:themeColor="text1"/>
        </w:rPr>
      </w:pPr>
      <w:r w:rsidRPr="00843F73">
        <w:rPr>
          <w:rFonts w:ascii="Times New Roman" w:hAnsi="Times New Roman" w:cs="Times New Roman"/>
          <w:color w:val="000000" w:themeColor="text1"/>
        </w:rPr>
        <w:t xml:space="preserve">The </w:t>
      </w:r>
      <w:r w:rsidR="00625580" w:rsidRPr="00843F73">
        <w:rPr>
          <w:rFonts w:ascii="Times New Roman" w:hAnsi="Times New Roman" w:cs="Times New Roman"/>
          <w:color w:val="000000" w:themeColor="text1"/>
        </w:rPr>
        <w:t xml:space="preserve">CFU and </w:t>
      </w:r>
      <w:r w:rsidR="00417226">
        <w:rPr>
          <w:rFonts w:ascii="Times New Roman" w:hAnsi="Times New Roman" w:cs="Times New Roman"/>
          <w:color w:val="000000" w:themeColor="text1"/>
        </w:rPr>
        <w:t xml:space="preserve">the </w:t>
      </w:r>
      <w:r w:rsidR="00625580" w:rsidRPr="00843F73">
        <w:rPr>
          <w:rFonts w:ascii="Times New Roman" w:hAnsi="Times New Roman" w:cs="Times New Roman"/>
          <w:color w:val="000000" w:themeColor="text1"/>
        </w:rPr>
        <w:t>LSG</w:t>
      </w:r>
      <w:r w:rsidR="00417226">
        <w:rPr>
          <w:rFonts w:ascii="Times New Roman" w:hAnsi="Times New Roman" w:cs="Times New Roman"/>
          <w:color w:val="000000" w:themeColor="text1"/>
        </w:rPr>
        <w:t>s</w:t>
      </w:r>
      <w:r w:rsidRPr="00843F73">
        <w:rPr>
          <w:rFonts w:ascii="Times New Roman" w:hAnsi="Times New Roman" w:cs="Times New Roman"/>
          <w:color w:val="000000" w:themeColor="text1"/>
        </w:rPr>
        <w:t xml:space="preserve"> will observe the Bank’s anti-corruption measures and will not engage services of firms and individuals debarred by the Bank. </w:t>
      </w:r>
    </w:p>
    <w:p w14:paraId="58725DAD" w14:textId="772D1507" w:rsidR="00BC151E" w:rsidRPr="00921B17" w:rsidRDefault="00BC151E" w:rsidP="00D01979">
      <w:pPr>
        <w:pStyle w:val="Heading3"/>
        <w:numPr>
          <w:ilvl w:val="2"/>
          <w:numId w:val="330"/>
        </w:numPr>
        <w:spacing w:before="120" w:after="120" w:line="276" w:lineRule="auto"/>
        <w:rPr>
          <w:rFonts w:ascii="Times New Roman" w:hAnsi="Times New Roman" w:cs="Times New Roman"/>
          <w:smallCaps/>
          <w:color w:val="auto"/>
        </w:rPr>
      </w:pPr>
      <w:bookmarkStart w:id="654" w:name="_Toc93342307"/>
      <w:r w:rsidRPr="00921B17">
        <w:rPr>
          <w:rFonts w:ascii="Times New Roman" w:hAnsi="Times New Roman" w:cs="Times New Roman"/>
          <w:color w:val="auto"/>
        </w:rPr>
        <w:t xml:space="preserve">Eligibility and </w:t>
      </w:r>
      <w:r w:rsidR="00D8454A" w:rsidRPr="00921B17">
        <w:rPr>
          <w:rFonts w:ascii="Times New Roman" w:hAnsi="Times New Roman" w:cs="Times New Roman"/>
          <w:color w:val="auto"/>
        </w:rPr>
        <w:t xml:space="preserve">Mitigation of </w:t>
      </w:r>
      <w:r w:rsidRPr="00921B17">
        <w:rPr>
          <w:rFonts w:ascii="Times New Roman" w:hAnsi="Times New Roman" w:cs="Times New Roman"/>
          <w:color w:val="auto"/>
        </w:rPr>
        <w:t>Conflict of Interest</w:t>
      </w:r>
      <w:bookmarkEnd w:id="654"/>
    </w:p>
    <w:p w14:paraId="7C96AA4C" w14:textId="5DCB033C" w:rsidR="00BC151E" w:rsidRPr="00921B17" w:rsidRDefault="00BC151E" w:rsidP="00D01979">
      <w:pPr>
        <w:numPr>
          <w:ilvl w:val="12"/>
          <w:numId w:val="0"/>
        </w:num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Bank policy addresses eligibility (Section III) and noncompliance (Section III), as a basis for ineligibility, in the Bank’s Procurement Regulations for IPF Borrowers.</w:t>
      </w:r>
    </w:p>
    <w:p w14:paraId="5F9C021D" w14:textId="35E2D9B8" w:rsidR="00D8454A" w:rsidRPr="00921B17" w:rsidRDefault="00D8454A" w:rsidP="00D01979">
      <w:pPr>
        <w:widowControl w:val="0"/>
        <w:autoSpaceDE w:val="0"/>
        <w:autoSpaceDN w:val="0"/>
        <w:adjustRightInd w:val="0"/>
        <w:spacing w:after="120" w:line="276" w:lineRule="auto"/>
        <w:jc w:val="both"/>
        <w:rPr>
          <w:rFonts w:ascii="Times New Roman" w:hAnsi="Times New Roman" w:cs="Times New Roman"/>
          <w:b/>
          <w:color w:val="000000" w:themeColor="text1"/>
        </w:rPr>
      </w:pPr>
      <w:r w:rsidRPr="00921B17">
        <w:rPr>
          <w:rFonts w:ascii="Times New Roman" w:hAnsi="Times New Roman" w:cs="Times New Roman"/>
          <w:color w:val="000000" w:themeColor="text1"/>
        </w:rPr>
        <w:t xml:space="preserve">Each person serving as a member of the evaluation committee, or who is otherwise involved in a procurement process, shall disclose to the </w:t>
      </w:r>
      <w:r w:rsidR="00540A77" w:rsidRPr="00921B17">
        <w:rPr>
          <w:rFonts w:ascii="Times New Roman" w:hAnsi="Times New Roman" w:cs="Times New Roman"/>
          <w:color w:val="000000" w:themeColor="text1"/>
        </w:rPr>
        <w:t xml:space="preserve">Head of </w:t>
      </w:r>
      <w:r w:rsidR="00417226">
        <w:rPr>
          <w:rFonts w:ascii="Times New Roman" w:hAnsi="Times New Roman" w:cs="Times New Roman"/>
          <w:color w:val="000000" w:themeColor="text1"/>
        </w:rPr>
        <w:t xml:space="preserve">the </w:t>
      </w:r>
      <w:r w:rsidR="00540A77" w:rsidRPr="00921B17">
        <w:rPr>
          <w:rFonts w:ascii="Times New Roman" w:hAnsi="Times New Roman" w:cs="Times New Roman"/>
          <w:color w:val="000000" w:themeColor="text1"/>
        </w:rPr>
        <w:t>PIU</w:t>
      </w:r>
      <w:r w:rsidRPr="00921B17">
        <w:rPr>
          <w:rFonts w:ascii="Times New Roman" w:hAnsi="Times New Roman" w:cs="Times New Roman"/>
          <w:color w:val="000000" w:themeColor="text1"/>
        </w:rPr>
        <w:t xml:space="preserve"> if they, or any of their immediate family members, are related or otherwise connected to any of the members of the boards of directors or commissioners of the bidders and/or consultants participating in any of the procurement packages (“Interested Member”). Any Interested Member shall exempt himself or herself from further participation in the evaluation process, and any Interested Member who is an official shall refuse himself or herself from any decisions relating to the evaluation process or contract award. </w:t>
      </w:r>
    </w:p>
    <w:p w14:paraId="7F09EEFE" w14:textId="0A951220" w:rsidR="00D8454A" w:rsidRPr="00921B17" w:rsidRDefault="00D8454A" w:rsidP="00D01979">
      <w:pPr>
        <w:widowControl w:val="0"/>
        <w:autoSpaceDE w:val="0"/>
        <w:autoSpaceDN w:val="0"/>
        <w:adjustRightInd w:val="0"/>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Each Member of the Evaluation </w:t>
      </w:r>
      <w:r w:rsidR="00417226">
        <w:rPr>
          <w:rFonts w:ascii="Times New Roman" w:hAnsi="Times New Roman" w:cs="Times New Roman"/>
          <w:color w:val="000000" w:themeColor="text1"/>
        </w:rPr>
        <w:t>C</w:t>
      </w:r>
      <w:r w:rsidR="00417226" w:rsidRPr="00921B17">
        <w:rPr>
          <w:rFonts w:ascii="Times New Roman" w:hAnsi="Times New Roman" w:cs="Times New Roman"/>
          <w:color w:val="000000" w:themeColor="text1"/>
        </w:rPr>
        <w:t xml:space="preserve">ommittee </w:t>
      </w:r>
      <w:r w:rsidRPr="00921B17">
        <w:rPr>
          <w:rFonts w:ascii="Times New Roman" w:hAnsi="Times New Roman" w:cs="Times New Roman"/>
          <w:color w:val="000000" w:themeColor="text1"/>
        </w:rPr>
        <w:t xml:space="preserve">before the evaluation process starts, will sign a Declaration of </w:t>
      </w:r>
      <w:r w:rsidR="00417226">
        <w:rPr>
          <w:rFonts w:ascii="Times New Roman" w:hAnsi="Times New Roman" w:cs="Times New Roman"/>
          <w:color w:val="000000" w:themeColor="text1"/>
        </w:rPr>
        <w:t>I</w:t>
      </w:r>
      <w:r w:rsidR="00417226" w:rsidRPr="00921B17">
        <w:rPr>
          <w:rFonts w:ascii="Times New Roman" w:hAnsi="Times New Roman" w:cs="Times New Roman"/>
          <w:color w:val="000000" w:themeColor="text1"/>
        </w:rPr>
        <w:t xml:space="preserve">mpartiality </w:t>
      </w:r>
      <w:r w:rsidRPr="00921B17">
        <w:rPr>
          <w:rFonts w:ascii="Times New Roman" w:hAnsi="Times New Roman" w:cs="Times New Roman"/>
          <w:color w:val="000000" w:themeColor="text1"/>
        </w:rPr>
        <w:t xml:space="preserve">and </w:t>
      </w:r>
      <w:r w:rsidR="00417226">
        <w:rPr>
          <w:rFonts w:ascii="Times New Roman" w:hAnsi="Times New Roman" w:cs="Times New Roman"/>
          <w:color w:val="000000" w:themeColor="text1"/>
        </w:rPr>
        <w:t>C</w:t>
      </w:r>
      <w:r w:rsidR="00417226" w:rsidRPr="00921B17">
        <w:rPr>
          <w:rFonts w:ascii="Times New Roman" w:hAnsi="Times New Roman" w:cs="Times New Roman"/>
          <w:color w:val="000000" w:themeColor="text1"/>
        </w:rPr>
        <w:t>onfidentiality</w:t>
      </w:r>
      <w:r w:rsidRPr="00921B17">
        <w:rPr>
          <w:rFonts w:ascii="Times New Roman" w:hAnsi="Times New Roman" w:cs="Times New Roman"/>
          <w:color w:val="000000" w:themeColor="text1"/>
        </w:rPr>
        <w:t>.</w:t>
      </w:r>
    </w:p>
    <w:p w14:paraId="3B101ADF" w14:textId="1723293E" w:rsidR="00BC151E" w:rsidRPr="00921B17" w:rsidRDefault="00BC151E" w:rsidP="00D01979">
      <w:pPr>
        <w:pStyle w:val="Heading3"/>
        <w:numPr>
          <w:ilvl w:val="2"/>
          <w:numId w:val="330"/>
        </w:numPr>
        <w:spacing w:before="120" w:after="120" w:line="276" w:lineRule="auto"/>
        <w:rPr>
          <w:rFonts w:ascii="Times New Roman" w:hAnsi="Times New Roman" w:cs="Times New Roman"/>
          <w:smallCaps/>
          <w:color w:val="auto"/>
        </w:rPr>
      </w:pPr>
      <w:bookmarkStart w:id="655" w:name="_Toc93342308"/>
      <w:r w:rsidRPr="00921B17">
        <w:rPr>
          <w:rFonts w:ascii="Times New Roman" w:hAnsi="Times New Roman" w:cs="Times New Roman"/>
          <w:color w:val="auto"/>
        </w:rPr>
        <w:t xml:space="preserve">Retention of Procurement </w:t>
      </w:r>
      <w:r w:rsidR="00D8454A" w:rsidRPr="00921B17">
        <w:rPr>
          <w:rFonts w:ascii="Times New Roman" w:hAnsi="Times New Roman" w:cs="Times New Roman"/>
          <w:color w:val="auto"/>
        </w:rPr>
        <w:t>and Record Keeping</w:t>
      </w:r>
      <w:bookmarkEnd w:id="655"/>
      <w:r w:rsidR="00D8454A" w:rsidRPr="00921B17">
        <w:rPr>
          <w:rFonts w:ascii="Times New Roman" w:hAnsi="Times New Roman" w:cs="Times New Roman"/>
          <w:color w:val="auto"/>
        </w:rPr>
        <w:t xml:space="preserve"> </w:t>
      </w:r>
    </w:p>
    <w:p w14:paraId="73E3C130" w14:textId="34AFDAAC" w:rsidR="00BC151E" w:rsidRPr="00921B17" w:rsidRDefault="00BC151E" w:rsidP="006E346B">
      <w:pPr>
        <w:widowControl w:val="0"/>
        <w:autoSpaceDE w:val="0"/>
        <w:autoSpaceDN w:val="0"/>
        <w:adjustRightInd w:val="0"/>
        <w:spacing w:after="120" w:line="240"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The PIU shall maintain the procurement documentation depending on the procurement method, as following: copies of all public advertisements, pre-qualification documents (if used), evaluation reports, bidding documents, bid opening minutes, evaluation report (that shall include a detailed record of the reasons used to accept or reject each bid, original Bids/Proposals; all documents and correspondence related to the procurement and execution of the contract, including those in support of the evaluation of Bids/Proposals; and the recommendation for award made, complaints against procedures or recommendation for award, signed copy of the contract and all subsequent amendments or addenda, securities, payment invoices or certificates, as well as the certificates for the inspection, delivery, completion, and acceptance of </w:t>
      </w:r>
      <w:r w:rsidR="00417226">
        <w:rPr>
          <w:rFonts w:ascii="Times New Roman" w:hAnsi="Times New Roman" w:cs="Times New Roman"/>
          <w:color w:val="000000" w:themeColor="text1"/>
        </w:rPr>
        <w:t>g</w:t>
      </w:r>
      <w:r w:rsidR="00417226" w:rsidRPr="00921B17">
        <w:rPr>
          <w:rFonts w:ascii="Times New Roman" w:hAnsi="Times New Roman" w:cs="Times New Roman"/>
          <w:color w:val="000000" w:themeColor="text1"/>
        </w:rPr>
        <w:t>oods</w:t>
      </w:r>
      <w:r w:rsidRPr="00921B17">
        <w:rPr>
          <w:rFonts w:ascii="Times New Roman" w:hAnsi="Times New Roman" w:cs="Times New Roman"/>
          <w:color w:val="000000" w:themeColor="text1"/>
        </w:rPr>
        <w:t xml:space="preserve">, </w:t>
      </w:r>
      <w:r w:rsidR="00417226">
        <w:rPr>
          <w:rFonts w:ascii="Times New Roman" w:hAnsi="Times New Roman" w:cs="Times New Roman"/>
          <w:color w:val="000000" w:themeColor="text1"/>
        </w:rPr>
        <w:t>w</w:t>
      </w:r>
      <w:r w:rsidR="00417226" w:rsidRPr="00921B17">
        <w:rPr>
          <w:rFonts w:ascii="Times New Roman" w:hAnsi="Times New Roman" w:cs="Times New Roman"/>
          <w:color w:val="000000" w:themeColor="text1"/>
        </w:rPr>
        <w:t>orks</w:t>
      </w:r>
      <w:r w:rsidRPr="00921B17">
        <w:rPr>
          <w:rFonts w:ascii="Times New Roman" w:hAnsi="Times New Roman" w:cs="Times New Roman"/>
          <w:color w:val="000000" w:themeColor="text1"/>
        </w:rPr>
        <w:t xml:space="preserve">, and </w:t>
      </w:r>
      <w:r w:rsidR="00417226">
        <w:rPr>
          <w:rFonts w:ascii="Times New Roman" w:hAnsi="Times New Roman" w:cs="Times New Roman"/>
          <w:color w:val="000000" w:themeColor="text1"/>
        </w:rPr>
        <w:t>n</w:t>
      </w:r>
      <w:r w:rsidR="00417226" w:rsidRPr="00921B17">
        <w:rPr>
          <w:rFonts w:ascii="Times New Roman" w:hAnsi="Times New Roman" w:cs="Times New Roman"/>
          <w:color w:val="000000" w:themeColor="text1"/>
        </w:rPr>
        <w:t>on</w:t>
      </w:r>
      <w:r w:rsidRPr="00921B17">
        <w:rPr>
          <w:rFonts w:ascii="Times New Roman" w:hAnsi="Times New Roman" w:cs="Times New Roman"/>
          <w:color w:val="000000" w:themeColor="text1"/>
        </w:rPr>
        <w:t xml:space="preserve">-consulting </w:t>
      </w:r>
      <w:r w:rsidR="00417226">
        <w:rPr>
          <w:rFonts w:ascii="Times New Roman" w:hAnsi="Times New Roman" w:cs="Times New Roman"/>
          <w:color w:val="000000" w:themeColor="text1"/>
        </w:rPr>
        <w:t>s</w:t>
      </w:r>
      <w:r w:rsidR="00417226" w:rsidRPr="00921B17">
        <w:rPr>
          <w:rFonts w:ascii="Times New Roman" w:hAnsi="Times New Roman" w:cs="Times New Roman"/>
          <w:color w:val="000000" w:themeColor="text1"/>
        </w:rPr>
        <w:t>ervices</w:t>
      </w:r>
      <w:r w:rsidRPr="00921B17">
        <w:rPr>
          <w:rFonts w:ascii="Times New Roman" w:hAnsi="Times New Roman" w:cs="Times New Roman"/>
          <w:color w:val="000000" w:themeColor="text1"/>
        </w:rPr>
        <w:t xml:space="preserve">, for contracts awarded on the basis of direct procurement (the documentation shall include justifications for using the method etc.). </w:t>
      </w:r>
    </w:p>
    <w:p w14:paraId="217C069C" w14:textId="434EC776" w:rsidR="003D0F0A" w:rsidRDefault="00417226" w:rsidP="006E346B">
      <w:pPr>
        <w:spacing w:after="120" w:line="240" w:lineRule="auto"/>
        <w:jc w:val="both"/>
        <w:rPr>
          <w:rFonts w:ascii="Times New Roman" w:hAnsi="Times New Roman" w:cs="Times New Roman"/>
          <w:color w:val="FF0000"/>
        </w:rPr>
      </w:pPr>
      <w:r>
        <w:rPr>
          <w:rFonts w:ascii="Times New Roman" w:hAnsi="Times New Roman" w:cs="Times New Roman"/>
          <w:color w:val="000000" w:themeColor="text1"/>
        </w:rPr>
        <w:t xml:space="preserve">The </w:t>
      </w:r>
      <w:r w:rsidR="007D1ABD" w:rsidRPr="00921B17">
        <w:rPr>
          <w:rFonts w:ascii="Times New Roman" w:hAnsi="Times New Roman" w:cs="Times New Roman"/>
          <w:color w:val="000000" w:themeColor="text1"/>
        </w:rPr>
        <w:t>CFU</w:t>
      </w:r>
      <w:r w:rsidR="00D8454A" w:rsidRPr="00921B17" w:rsidDel="004641D0">
        <w:rPr>
          <w:rFonts w:ascii="Times New Roman" w:hAnsi="Times New Roman" w:cs="Times New Roman"/>
          <w:color w:val="000000" w:themeColor="text1"/>
        </w:rPr>
        <w:t xml:space="preserve"> </w:t>
      </w:r>
      <w:r w:rsidR="00D8454A" w:rsidRPr="00921B17">
        <w:rPr>
          <w:rFonts w:ascii="Times New Roman" w:hAnsi="Times New Roman" w:cs="Times New Roman"/>
          <w:b/>
          <w:color w:val="000000" w:themeColor="text1"/>
        </w:rPr>
        <w:t>shall</w:t>
      </w:r>
      <w:r w:rsidR="00D8454A" w:rsidRPr="00921B17">
        <w:rPr>
          <w:rFonts w:ascii="Times New Roman" w:hAnsi="Times New Roman" w:cs="Times New Roman"/>
          <w:color w:val="000000" w:themeColor="text1"/>
        </w:rPr>
        <w:t xml:space="preserve"> maintain systematically the records of the entire procurement process. The documentation with respect to each contract not subject to prior review during Project implementation and up to two years after the closing date of the Project should be kept on file. This documentation would include: (i) signed original of each contract and all subsequent amendments or addendums; (ii) all documents and correspondence related to the procurement and implementation of the contract; and (iii) payment invoices or certificates, as well as the certificates for the inspection, delivery, completion and acceptance of goods, works, and non-consulting services etc. All valuable documents i.e. all kinds of securities, financial proposals, etc. shall be kept in secured place</w:t>
      </w:r>
      <w:r w:rsidR="00D8454A" w:rsidRPr="00921B17">
        <w:rPr>
          <w:rFonts w:ascii="Times New Roman" w:hAnsi="Times New Roman" w:cs="Times New Roman"/>
          <w:color w:val="FF0000"/>
        </w:rPr>
        <w:t>.</w:t>
      </w:r>
    </w:p>
    <w:p w14:paraId="61B39312" w14:textId="3D3F1751" w:rsidR="00E17F4B" w:rsidRDefault="00417226" w:rsidP="00E17F4B">
      <w:pPr>
        <w:spacing w:after="120" w:line="240" w:lineRule="auto"/>
        <w:jc w:val="both"/>
        <w:rPr>
          <w:rFonts w:ascii="Times New Roman" w:hAnsi="Times New Roman" w:cs="Times New Roman"/>
          <w:color w:val="FF0000"/>
        </w:rPr>
      </w:pPr>
      <w:r>
        <w:rPr>
          <w:rFonts w:ascii="Times New Roman" w:hAnsi="Times New Roman" w:cs="Times New Roman"/>
          <w:color w:val="000000" w:themeColor="text1"/>
        </w:rPr>
        <w:t xml:space="preserve">The </w:t>
      </w:r>
      <w:r w:rsidR="00E17F4B" w:rsidRPr="00E17F4B">
        <w:rPr>
          <w:rFonts w:ascii="Times New Roman" w:hAnsi="Times New Roman" w:cs="Times New Roman"/>
          <w:color w:val="000000" w:themeColor="text1"/>
        </w:rPr>
        <w:t>LSG</w:t>
      </w:r>
      <w:r>
        <w:rPr>
          <w:rFonts w:ascii="Times New Roman" w:hAnsi="Times New Roman" w:cs="Times New Roman"/>
          <w:color w:val="000000" w:themeColor="text1"/>
        </w:rPr>
        <w:t>s</w:t>
      </w:r>
      <w:r w:rsidR="00E17F4B">
        <w:rPr>
          <w:rFonts w:ascii="Times New Roman" w:hAnsi="Times New Roman" w:cs="Times New Roman"/>
          <w:color w:val="FF0000"/>
        </w:rPr>
        <w:t xml:space="preserve"> </w:t>
      </w:r>
      <w:r w:rsidR="00E17F4B" w:rsidRPr="00921B17">
        <w:rPr>
          <w:rFonts w:ascii="Times New Roman" w:hAnsi="Times New Roman" w:cs="Times New Roman"/>
          <w:b/>
          <w:color w:val="000000" w:themeColor="text1"/>
        </w:rPr>
        <w:t>shall</w:t>
      </w:r>
      <w:r w:rsidR="00E17F4B" w:rsidRPr="00921B17">
        <w:rPr>
          <w:rFonts w:ascii="Times New Roman" w:hAnsi="Times New Roman" w:cs="Times New Roman"/>
          <w:color w:val="000000" w:themeColor="text1"/>
        </w:rPr>
        <w:t xml:space="preserve"> maintain systematically the records of the entire procurement process</w:t>
      </w:r>
      <w:r w:rsidR="00E17F4B">
        <w:rPr>
          <w:rFonts w:ascii="Times New Roman" w:hAnsi="Times New Roman" w:cs="Times New Roman"/>
          <w:color w:val="000000" w:themeColor="text1"/>
        </w:rPr>
        <w:t xml:space="preserve"> related to </w:t>
      </w:r>
      <w:r w:rsidR="009C3B24">
        <w:rPr>
          <w:rFonts w:ascii="Times New Roman" w:hAnsi="Times New Roman" w:cs="Times New Roman"/>
          <w:color w:val="000000" w:themeColor="text1"/>
        </w:rPr>
        <w:t>infrastructure</w:t>
      </w:r>
      <w:r w:rsidR="00E17F4B">
        <w:rPr>
          <w:rFonts w:ascii="Times New Roman" w:hAnsi="Times New Roman" w:cs="Times New Roman"/>
          <w:color w:val="000000" w:themeColor="text1"/>
        </w:rPr>
        <w:t xml:space="preserve"> investments and service contracts (if relevant)</w:t>
      </w:r>
      <w:r w:rsidR="00E17F4B" w:rsidRPr="00921B17">
        <w:rPr>
          <w:rFonts w:ascii="Times New Roman" w:hAnsi="Times New Roman" w:cs="Times New Roman"/>
          <w:color w:val="000000" w:themeColor="text1"/>
        </w:rPr>
        <w:t>. The documentation with respect to each contract not subject to prior review during Project implementation and up to two years after the closing date of the Project should be kept on file. This documentation would include: (i) signed original of each contract and all subsequent amendments or addendums; (ii) all documents and correspondence related to the procurement and implementation of the contract; and (iii) payment invoices or certificates, as well as the certificates for the inspection, delivery, completion and acceptance of goods, works, and non-consulting services etc. All valuable documents i.e. all kinds of securities, financial proposals, etc. shall be kept in secure place</w:t>
      </w:r>
      <w:r w:rsidR="00BF5F41">
        <w:rPr>
          <w:rFonts w:ascii="Times New Roman" w:hAnsi="Times New Roman" w:cs="Times New Roman"/>
          <w:color w:val="000000" w:themeColor="text1"/>
        </w:rPr>
        <w:t>s</w:t>
      </w:r>
      <w:r w:rsidR="00E17F4B" w:rsidRPr="00665F55">
        <w:rPr>
          <w:rFonts w:ascii="Times New Roman" w:hAnsi="Times New Roman" w:cs="Times New Roman"/>
          <w:color w:val="000000" w:themeColor="text1"/>
        </w:rPr>
        <w:t>.</w:t>
      </w:r>
    </w:p>
    <w:p w14:paraId="55586BB3" w14:textId="411E079C" w:rsidR="00E17F4B" w:rsidRPr="00921B17" w:rsidRDefault="00E17F4B" w:rsidP="006E346B">
      <w:pPr>
        <w:spacing w:after="120" w:line="240" w:lineRule="auto"/>
        <w:jc w:val="both"/>
        <w:rPr>
          <w:rFonts w:ascii="Times New Roman" w:hAnsi="Times New Roman" w:cs="Times New Roman"/>
          <w:b/>
          <w:color w:val="FF0000"/>
        </w:rPr>
      </w:pPr>
    </w:p>
    <w:p w14:paraId="03774906" w14:textId="77777777" w:rsidR="00BC151E" w:rsidRPr="00921B17" w:rsidRDefault="00BC151E" w:rsidP="00D01979">
      <w:pPr>
        <w:pStyle w:val="Heading3"/>
        <w:numPr>
          <w:ilvl w:val="2"/>
          <w:numId w:val="330"/>
        </w:numPr>
        <w:spacing w:before="120" w:after="120" w:line="276" w:lineRule="auto"/>
        <w:rPr>
          <w:rFonts w:ascii="Times New Roman" w:hAnsi="Times New Roman" w:cs="Times New Roman"/>
          <w:smallCaps/>
          <w:color w:val="auto"/>
        </w:rPr>
      </w:pPr>
      <w:bookmarkStart w:id="656" w:name="_Toc93342309"/>
      <w:r w:rsidRPr="00921B17">
        <w:rPr>
          <w:rFonts w:ascii="Times New Roman" w:hAnsi="Times New Roman" w:cs="Times New Roman"/>
          <w:color w:val="auto"/>
        </w:rPr>
        <w:t>Advertisements</w:t>
      </w:r>
      <w:bookmarkEnd w:id="656"/>
      <w:r w:rsidRPr="00921B17">
        <w:rPr>
          <w:rFonts w:ascii="Times New Roman" w:hAnsi="Times New Roman" w:cs="Times New Roman"/>
          <w:color w:val="auto"/>
        </w:rPr>
        <w:t xml:space="preserve"> </w:t>
      </w:r>
    </w:p>
    <w:p w14:paraId="7AADE3A2" w14:textId="5964CAC1" w:rsidR="00804CB8" w:rsidRPr="00921B17" w:rsidRDefault="00BC151E" w:rsidP="00D01979">
      <w:pPr>
        <w:widowControl w:val="0"/>
        <w:autoSpaceDE w:val="0"/>
        <w:autoSpaceDN w:val="0"/>
        <w:adjustRightInd w:val="0"/>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For international procedures, the procurement notices will be published automatically through </w:t>
      </w:r>
      <w:r w:rsidR="00417226">
        <w:rPr>
          <w:rFonts w:ascii="Times New Roman" w:hAnsi="Times New Roman" w:cs="Times New Roman"/>
          <w:color w:val="000000" w:themeColor="text1"/>
        </w:rPr>
        <w:t xml:space="preserve">the </w:t>
      </w:r>
      <w:r w:rsidRPr="00921B17">
        <w:rPr>
          <w:rFonts w:ascii="Times New Roman" w:hAnsi="Times New Roman" w:cs="Times New Roman"/>
          <w:color w:val="000000" w:themeColor="text1"/>
        </w:rPr>
        <w:t xml:space="preserve">STEP on the Bank’s external website and </w:t>
      </w:r>
      <w:r w:rsidR="00417226">
        <w:rPr>
          <w:rFonts w:ascii="Times New Roman" w:hAnsi="Times New Roman" w:cs="Times New Roman"/>
          <w:color w:val="000000" w:themeColor="text1"/>
        </w:rPr>
        <w:t xml:space="preserve">the </w:t>
      </w:r>
      <w:r w:rsidRPr="00921B17">
        <w:rPr>
          <w:rFonts w:ascii="Times New Roman" w:hAnsi="Times New Roman" w:cs="Times New Roman"/>
          <w:color w:val="000000" w:themeColor="text1"/>
        </w:rPr>
        <w:t xml:space="preserve">UNDB, as well as locally on the </w:t>
      </w:r>
      <w:r w:rsidR="00417226" w:rsidRPr="00921B17">
        <w:rPr>
          <w:rFonts w:ascii="Times New Roman" w:hAnsi="Times New Roman" w:cs="Times New Roman"/>
          <w:color w:val="000000" w:themeColor="text1"/>
        </w:rPr>
        <w:t>M</w:t>
      </w:r>
      <w:r w:rsidR="00417226">
        <w:rPr>
          <w:rFonts w:ascii="Times New Roman" w:hAnsi="Times New Roman" w:cs="Times New Roman"/>
          <w:color w:val="000000" w:themeColor="text1"/>
        </w:rPr>
        <w:t>CTI</w:t>
      </w:r>
      <w:r w:rsidR="00417226" w:rsidRPr="00921B17">
        <w:rPr>
          <w:rFonts w:ascii="Times New Roman" w:hAnsi="Times New Roman" w:cs="Times New Roman"/>
          <w:color w:val="000000" w:themeColor="text1"/>
        </w:rPr>
        <w:t xml:space="preserve">’s </w:t>
      </w:r>
      <w:r w:rsidRPr="00921B17">
        <w:rPr>
          <w:rFonts w:ascii="Times New Roman" w:hAnsi="Times New Roman" w:cs="Times New Roman"/>
          <w:color w:val="000000" w:themeColor="text1"/>
        </w:rPr>
        <w:t>website</w:t>
      </w:r>
      <w:r w:rsidR="00804CB8" w:rsidRPr="00921B17">
        <w:rPr>
          <w:rFonts w:ascii="Times New Roman" w:hAnsi="Times New Roman" w:cs="Times New Roman"/>
          <w:color w:val="000000" w:themeColor="text1"/>
        </w:rPr>
        <w:t>.</w:t>
      </w:r>
    </w:p>
    <w:p w14:paraId="26C26599" w14:textId="5B6608D7" w:rsidR="00BC151E" w:rsidRPr="00921B17" w:rsidRDefault="00BC151E" w:rsidP="00D01979">
      <w:pPr>
        <w:pStyle w:val="Heading3"/>
        <w:numPr>
          <w:ilvl w:val="2"/>
          <w:numId w:val="330"/>
        </w:numPr>
        <w:spacing w:before="120" w:after="120" w:line="276" w:lineRule="auto"/>
        <w:rPr>
          <w:rFonts w:ascii="Times New Roman" w:hAnsi="Times New Roman" w:cs="Times New Roman"/>
          <w:smallCaps/>
          <w:color w:val="auto"/>
        </w:rPr>
      </w:pPr>
      <w:bookmarkStart w:id="657" w:name="_Toc93342310"/>
      <w:r w:rsidRPr="00921B17">
        <w:rPr>
          <w:rFonts w:ascii="Times New Roman" w:hAnsi="Times New Roman" w:cs="Times New Roman"/>
          <w:color w:val="auto"/>
        </w:rPr>
        <w:t>Evaluation Committees</w:t>
      </w:r>
      <w:bookmarkEnd w:id="657"/>
      <w:r w:rsidRPr="00921B17">
        <w:rPr>
          <w:rFonts w:ascii="Times New Roman" w:hAnsi="Times New Roman" w:cs="Times New Roman"/>
          <w:color w:val="auto"/>
        </w:rPr>
        <w:t xml:space="preserve"> </w:t>
      </w:r>
    </w:p>
    <w:p w14:paraId="6BE9F6D3" w14:textId="26BA2230" w:rsidR="006E40A8" w:rsidRDefault="00BC151E" w:rsidP="006E346B">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 xml:space="preserve">The </w:t>
      </w:r>
      <w:r w:rsidR="006E40A8">
        <w:rPr>
          <w:rFonts w:ascii="Times New Roman" w:hAnsi="Times New Roman" w:cs="Times New Roman"/>
          <w:color w:val="000000" w:themeColor="text1"/>
        </w:rPr>
        <w:t xml:space="preserve">PIU (under the guidance of the CFU) </w:t>
      </w:r>
      <w:r w:rsidRPr="006F115D">
        <w:rPr>
          <w:rFonts w:ascii="Times New Roman" w:hAnsi="Times New Roman" w:cs="Times New Roman"/>
          <w:color w:val="000000" w:themeColor="text1"/>
        </w:rPr>
        <w:t>needs to ensure that qualified bid/proposal evaluation committees are formed in a manner acceptable to the Bank.</w:t>
      </w:r>
      <w:r w:rsidR="006E40A8" w:rsidRPr="006E40A8">
        <w:rPr>
          <w:rFonts w:ascii="Times New Roman" w:hAnsi="Times New Roman" w:cs="Times New Roman"/>
          <w:color w:val="000000" w:themeColor="text1"/>
        </w:rPr>
        <w:t xml:space="preserve"> </w:t>
      </w:r>
      <w:r w:rsidR="006E40A8">
        <w:rPr>
          <w:rFonts w:ascii="Times New Roman" w:hAnsi="Times New Roman" w:cs="Times New Roman"/>
          <w:color w:val="000000" w:themeColor="text1"/>
        </w:rPr>
        <w:t xml:space="preserve">The </w:t>
      </w:r>
      <w:r w:rsidR="006E40A8" w:rsidRPr="006E40A8">
        <w:rPr>
          <w:rFonts w:ascii="Times New Roman" w:hAnsi="Times New Roman" w:cs="Times New Roman"/>
          <w:color w:val="000000" w:themeColor="text1"/>
        </w:rPr>
        <w:t>LSG</w:t>
      </w:r>
      <w:r w:rsidR="006E40A8">
        <w:rPr>
          <w:rFonts w:ascii="Times New Roman" w:hAnsi="Times New Roman" w:cs="Times New Roman"/>
          <w:color w:val="000000" w:themeColor="text1"/>
        </w:rPr>
        <w:t xml:space="preserve">s will ensure the same </w:t>
      </w:r>
      <w:r w:rsidR="006E40A8" w:rsidRPr="006E40A8">
        <w:rPr>
          <w:rFonts w:ascii="Times New Roman" w:hAnsi="Times New Roman" w:cs="Times New Roman"/>
          <w:color w:val="000000" w:themeColor="text1"/>
        </w:rPr>
        <w:t>for infrastructure investments</w:t>
      </w:r>
      <w:r w:rsidR="003737AD">
        <w:rPr>
          <w:rFonts w:ascii="Times New Roman" w:hAnsi="Times New Roman" w:cs="Times New Roman"/>
          <w:color w:val="000000" w:themeColor="text1"/>
        </w:rPr>
        <w:t>/civil works</w:t>
      </w:r>
      <w:r w:rsidR="006E40A8" w:rsidRPr="006E40A8">
        <w:rPr>
          <w:rFonts w:ascii="Times New Roman" w:hAnsi="Times New Roman" w:cs="Times New Roman"/>
          <w:color w:val="000000" w:themeColor="text1"/>
        </w:rPr>
        <w:t xml:space="preserve"> and </w:t>
      </w:r>
      <w:r w:rsidR="003737AD">
        <w:rPr>
          <w:rFonts w:ascii="Times New Roman" w:hAnsi="Times New Roman" w:cs="Times New Roman"/>
          <w:color w:val="000000" w:themeColor="text1"/>
        </w:rPr>
        <w:t xml:space="preserve">works </w:t>
      </w:r>
      <w:r w:rsidR="006E40A8" w:rsidRPr="006E40A8">
        <w:rPr>
          <w:rFonts w:ascii="Times New Roman" w:hAnsi="Times New Roman" w:cs="Times New Roman"/>
          <w:color w:val="000000" w:themeColor="text1"/>
        </w:rPr>
        <w:t>related service contracts</w:t>
      </w:r>
      <w:r w:rsidR="006E40A8">
        <w:rPr>
          <w:rFonts w:ascii="Times New Roman" w:hAnsi="Times New Roman" w:cs="Times New Roman"/>
          <w:color w:val="000000" w:themeColor="text1"/>
        </w:rPr>
        <w:t>.</w:t>
      </w:r>
    </w:p>
    <w:p w14:paraId="73FD5649" w14:textId="135DEC5D" w:rsidR="006E40A8" w:rsidRPr="006F115D" w:rsidRDefault="00BC151E" w:rsidP="006E346B">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The Evaluation Committee</w:t>
      </w:r>
      <w:r w:rsidR="006E40A8">
        <w:rPr>
          <w:rFonts w:ascii="Times New Roman" w:hAnsi="Times New Roman" w:cs="Times New Roman"/>
          <w:color w:val="000000" w:themeColor="text1"/>
        </w:rPr>
        <w:t xml:space="preserve"> of the LSGs is</w:t>
      </w:r>
      <w:r w:rsidRPr="006F115D">
        <w:rPr>
          <w:rFonts w:ascii="Times New Roman" w:hAnsi="Times New Roman" w:cs="Times New Roman"/>
          <w:color w:val="000000" w:themeColor="text1"/>
        </w:rPr>
        <w:t xml:space="preserve"> responsible for evaluation of bids for civil works</w:t>
      </w:r>
      <w:r w:rsidR="006E40A8">
        <w:rPr>
          <w:rFonts w:ascii="Times New Roman" w:hAnsi="Times New Roman" w:cs="Times New Roman"/>
          <w:color w:val="000000" w:themeColor="text1"/>
        </w:rPr>
        <w:t xml:space="preserve"> and</w:t>
      </w:r>
      <w:r w:rsidR="007539C6">
        <w:rPr>
          <w:rFonts w:ascii="Times New Roman" w:hAnsi="Times New Roman" w:cs="Times New Roman"/>
          <w:color w:val="000000" w:themeColor="text1"/>
        </w:rPr>
        <w:t xml:space="preserve"> EoIs </w:t>
      </w:r>
      <w:r w:rsidRPr="006F115D">
        <w:rPr>
          <w:rFonts w:ascii="Times New Roman" w:hAnsi="Times New Roman" w:cs="Times New Roman"/>
          <w:color w:val="000000" w:themeColor="text1"/>
        </w:rPr>
        <w:t>for services</w:t>
      </w:r>
      <w:r w:rsidR="006E40A8">
        <w:rPr>
          <w:rFonts w:ascii="Times New Roman" w:hAnsi="Times New Roman" w:cs="Times New Roman"/>
          <w:color w:val="000000" w:themeColor="text1"/>
        </w:rPr>
        <w:t xml:space="preserve"> respectively</w:t>
      </w:r>
      <w:r w:rsidRPr="006F115D">
        <w:rPr>
          <w:rFonts w:ascii="Times New Roman" w:hAnsi="Times New Roman" w:cs="Times New Roman"/>
          <w:color w:val="000000" w:themeColor="text1"/>
        </w:rPr>
        <w:t xml:space="preserve">, including technical and financial proposals for consultant services and preparing recommendations on contract award for the best evaluated bid or proposal. </w:t>
      </w:r>
      <w:r w:rsidR="006E40A8">
        <w:rPr>
          <w:rFonts w:ascii="Times New Roman" w:hAnsi="Times New Roman" w:cs="Times New Roman"/>
          <w:color w:val="000000" w:themeColor="text1"/>
        </w:rPr>
        <w:t xml:space="preserve">The Evaluation Committees established by the PIU will be </w:t>
      </w:r>
      <w:r w:rsidR="006E40A8" w:rsidRPr="003E26C3">
        <w:rPr>
          <w:rFonts w:ascii="Times New Roman" w:hAnsi="Times New Roman" w:cs="Times New Roman"/>
          <w:color w:val="000000" w:themeColor="text1"/>
        </w:rPr>
        <w:t>responsible for evaluation</w:t>
      </w:r>
      <w:r w:rsidR="006E40A8">
        <w:rPr>
          <w:rFonts w:ascii="Times New Roman" w:hAnsi="Times New Roman" w:cs="Times New Roman"/>
          <w:color w:val="000000" w:themeColor="text1"/>
        </w:rPr>
        <w:t xml:space="preserve"> of bids for goods and </w:t>
      </w:r>
      <w:r w:rsidR="006E40A8" w:rsidRPr="003E26C3">
        <w:rPr>
          <w:rFonts w:ascii="Times New Roman" w:hAnsi="Times New Roman" w:cs="Times New Roman"/>
          <w:color w:val="000000" w:themeColor="text1"/>
        </w:rPr>
        <w:t>EoI</w:t>
      </w:r>
      <w:r w:rsidR="006E40A8">
        <w:rPr>
          <w:rFonts w:ascii="Times New Roman" w:hAnsi="Times New Roman" w:cs="Times New Roman"/>
          <w:color w:val="000000" w:themeColor="text1"/>
        </w:rPr>
        <w:t>s</w:t>
      </w:r>
      <w:r w:rsidR="006E40A8" w:rsidRPr="003E26C3">
        <w:rPr>
          <w:rFonts w:ascii="Times New Roman" w:hAnsi="Times New Roman" w:cs="Times New Roman"/>
          <w:color w:val="000000" w:themeColor="text1"/>
        </w:rPr>
        <w:t xml:space="preserve"> for services, including technical and financial proposals for consultant services and preparing recommendations on contract award for the best evaluated bid or proposal</w:t>
      </w:r>
      <w:r w:rsidR="006E40A8">
        <w:rPr>
          <w:rFonts w:ascii="Times New Roman" w:hAnsi="Times New Roman" w:cs="Times New Roman"/>
          <w:color w:val="000000" w:themeColor="text1"/>
        </w:rPr>
        <w:t xml:space="preserve">. </w:t>
      </w:r>
      <w:r w:rsidR="006E40A8" w:rsidRPr="006E40A8">
        <w:rPr>
          <w:rFonts w:ascii="Times New Roman" w:hAnsi="Times New Roman" w:cs="Times New Roman"/>
          <w:color w:val="000000" w:themeColor="text1"/>
        </w:rPr>
        <w:t>The CFU will support the PIU in approving the LSG procurements, bidding documents, bid evaluation reports, and amendments to the contracts submitted by the LSGs</w:t>
      </w:r>
      <w:r w:rsidR="006E40A8">
        <w:rPr>
          <w:rFonts w:ascii="Times New Roman" w:hAnsi="Times New Roman" w:cs="Times New Roman"/>
          <w:color w:val="000000" w:themeColor="text1"/>
        </w:rPr>
        <w:t>.</w:t>
      </w:r>
    </w:p>
    <w:p w14:paraId="3DB48491" w14:textId="77777777" w:rsidR="007539C6" w:rsidRPr="006F115D" w:rsidRDefault="00BC151E" w:rsidP="007539C6">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 xml:space="preserve">The Evaluation Committee will consist of three to five (odd number due to the voting rights) qualified members, depending on the size and complexity of assignment, including a </w:t>
      </w:r>
      <w:r w:rsidRPr="007539C6">
        <w:rPr>
          <w:rFonts w:ascii="Times New Roman" w:hAnsi="Times New Roman" w:cs="Times New Roman"/>
          <w:color w:val="000000" w:themeColor="text1"/>
        </w:rPr>
        <w:t>chairperson.</w:t>
      </w:r>
      <w:r w:rsidR="007539C6" w:rsidRPr="007539C6">
        <w:rPr>
          <w:rFonts w:ascii="Times New Roman" w:hAnsi="Times New Roman" w:cs="Times New Roman"/>
          <w:color w:val="000000" w:themeColor="text1"/>
        </w:rPr>
        <w:t xml:space="preserve"> </w:t>
      </w:r>
      <w:r w:rsidR="007539C6" w:rsidRPr="00A900A4">
        <w:rPr>
          <w:rFonts w:ascii="Times New Roman" w:hAnsi="Times New Roman" w:cs="Times New Roman"/>
          <w:color w:val="000000" w:themeColor="text1"/>
        </w:rPr>
        <w:t>Each Committee will include at least one deputy member who can replace any absent voting member.</w:t>
      </w:r>
    </w:p>
    <w:p w14:paraId="121298DA" w14:textId="514E70B0" w:rsidR="00BC151E" w:rsidRPr="006F115D" w:rsidRDefault="00BC151E" w:rsidP="006E346B">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 xml:space="preserve"> </w:t>
      </w:r>
    </w:p>
    <w:p w14:paraId="6E7EAAAD" w14:textId="66810902" w:rsidR="00BC151E" w:rsidRPr="006F115D" w:rsidRDefault="00BC151E" w:rsidP="006E346B">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 xml:space="preserve">If required, the Bank will review qualifications and experience of proposed members of </w:t>
      </w:r>
      <w:r w:rsidR="00417226" w:rsidRPr="006F115D">
        <w:rPr>
          <w:rFonts w:ascii="Times New Roman" w:hAnsi="Times New Roman" w:cs="Times New Roman"/>
          <w:color w:val="000000" w:themeColor="text1"/>
        </w:rPr>
        <w:t>Evaluation Committee</w:t>
      </w:r>
      <w:r w:rsidRPr="006F115D">
        <w:rPr>
          <w:rFonts w:ascii="Times New Roman" w:hAnsi="Times New Roman" w:cs="Times New Roman"/>
          <w:color w:val="000000" w:themeColor="text1"/>
        </w:rPr>
        <w:t xml:space="preserve"> to avoid nomination of unqualified or biased candidates. Once an activity has commenced all information is considered confidential and no communication with interested consultants, contractors may take place. Prior to commencing the selection process/bidding process each </w:t>
      </w:r>
      <w:r w:rsidR="00417226" w:rsidRPr="006F115D">
        <w:rPr>
          <w:rFonts w:ascii="Times New Roman" w:hAnsi="Times New Roman" w:cs="Times New Roman"/>
          <w:color w:val="000000" w:themeColor="text1"/>
        </w:rPr>
        <w:t xml:space="preserve">Committee </w:t>
      </w:r>
      <w:r w:rsidRPr="006F115D">
        <w:rPr>
          <w:rFonts w:ascii="Times New Roman" w:hAnsi="Times New Roman" w:cs="Times New Roman"/>
          <w:color w:val="000000" w:themeColor="text1"/>
        </w:rPr>
        <w:t xml:space="preserve">member is expected to sign Declaration of </w:t>
      </w:r>
      <w:r w:rsidR="00417226" w:rsidRPr="006F115D">
        <w:rPr>
          <w:rFonts w:ascii="Times New Roman" w:hAnsi="Times New Roman" w:cs="Times New Roman"/>
          <w:color w:val="000000" w:themeColor="text1"/>
        </w:rPr>
        <w:t xml:space="preserve">Confidentiality </w:t>
      </w:r>
      <w:r w:rsidRPr="006F115D">
        <w:rPr>
          <w:rFonts w:ascii="Times New Roman" w:hAnsi="Times New Roman" w:cs="Times New Roman"/>
          <w:color w:val="000000" w:themeColor="text1"/>
        </w:rPr>
        <w:t xml:space="preserve">and </w:t>
      </w:r>
      <w:r w:rsidR="00417226" w:rsidRPr="006F115D">
        <w:rPr>
          <w:rFonts w:ascii="Times New Roman" w:hAnsi="Times New Roman" w:cs="Times New Roman"/>
          <w:color w:val="000000" w:themeColor="text1"/>
        </w:rPr>
        <w:t>Impartiality</w:t>
      </w:r>
      <w:r w:rsidRPr="006F115D">
        <w:rPr>
          <w:rFonts w:ascii="Times New Roman" w:hAnsi="Times New Roman" w:cs="Times New Roman"/>
          <w:color w:val="000000" w:themeColor="text1"/>
        </w:rPr>
        <w:t>. The process of evaluation of proposals in selection of consultant's services as well as evaluation of bids in procurement of goods</w:t>
      </w:r>
      <w:r w:rsidR="006E40A8">
        <w:rPr>
          <w:rFonts w:ascii="Times New Roman" w:hAnsi="Times New Roman" w:cs="Times New Roman"/>
          <w:color w:val="000000" w:themeColor="text1"/>
        </w:rPr>
        <w:t xml:space="preserve"> </w:t>
      </w:r>
      <w:r w:rsidRPr="006F115D">
        <w:rPr>
          <w:rFonts w:ascii="Times New Roman" w:hAnsi="Times New Roman" w:cs="Times New Roman"/>
          <w:color w:val="000000" w:themeColor="text1"/>
        </w:rPr>
        <w:t xml:space="preserve">shall be confidential and will be conducted in accordance to Evaluation Criteria of the World Bank’s Procurement Regulations for IPF Borrowers. If the </w:t>
      </w:r>
      <w:r w:rsidR="00417226" w:rsidRPr="006F115D">
        <w:rPr>
          <w:rFonts w:ascii="Times New Roman" w:hAnsi="Times New Roman" w:cs="Times New Roman"/>
          <w:color w:val="000000" w:themeColor="text1"/>
        </w:rPr>
        <w:t xml:space="preserve">MCTI </w:t>
      </w:r>
      <w:r w:rsidRPr="006F115D">
        <w:rPr>
          <w:rFonts w:ascii="Times New Roman" w:hAnsi="Times New Roman" w:cs="Times New Roman"/>
          <w:color w:val="000000" w:themeColor="text1"/>
        </w:rPr>
        <w:t xml:space="preserve">lacks the expertise to carry out the evaluation, it </w:t>
      </w:r>
      <w:r w:rsidR="00B800F8" w:rsidRPr="006F115D">
        <w:rPr>
          <w:rFonts w:ascii="Times New Roman" w:hAnsi="Times New Roman" w:cs="Times New Roman"/>
          <w:color w:val="000000" w:themeColor="text1"/>
        </w:rPr>
        <w:t xml:space="preserve">may </w:t>
      </w:r>
      <w:r w:rsidRPr="006F115D">
        <w:rPr>
          <w:rFonts w:ascii="Times New Roman" w:hAnsi="Times New Roman" w:cs="Times New Roman"/>
          <w:color w:val="000000" w:themeColor="text1"/>
        </w:rPr>
        <w:t xml:space="preserve">hire an independent consultant to assist the </w:t>
      </w:r>
      <w:r w:rsidR="00417226" w:rsidRPr="006F115D">
        <w:rPr>
          <w:rFonts w:ascii="Times New Roman" w:hAnsi="Times New Roman" w:cs="Times New Roman"/>
          <w:color w:val="000000" w:themeColor="text1"/>
        </w:rPr>
        <w:t>Evaluation Committee</w:t>
      </w:r>
      <w:r w:rsidRPr="006F115D">
        <w:rPr>
          <w:rFonts w:ascii="Times New Roman" w:hAnsi="Times New Roman" w:cs="Times New Roman"/>
          <w:color w:val="000000" w:themeColor="text1"/>
        </w:rPr>
        <w:t xml:space="preserve">. </w:t>
      </w:r>
    </w:p>
    <w:p w14:paraId="0C6693A1" w14:textId="2E7B6906" w:rsidR="00BC151E" w:rsidRPr="006F115D" w:rsidRDefault="00BC151E" w:rsidP="006E346B">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 xml:space="preserve">Evaluation reports and award recommendations made by the </w:t>
      </w:r>
      <w:r w:rsidR="008C64E2" w:rsidRPr="006F115D">
        <w:rPr>
          <w:rFonts w:ascii="Times New Roman" w:hAnsi="Times New Roman" w:cs="Times New Roman"/>
          <w:color w:val="000000" w:themeColor="text1"/>
        </w:rPr>
        <w:t xml:space="preserve">Evaluation Committee </w:t>
      </w:r>
      <w:r w:rsidRPr="006F115D">
        <w:rPr>
          <w:rFonts w:ascii="Times New Roman" w:hAnsi="Times New Roman" w:cs="Times New Roman"/>
          <w:color w:val="000000" w:themeColor="text1"/>
        </w:rPr>
        <w:t xml:space="preserve">shall be furnished to the Bank for no objection if the contract is subject to its prior review, or for review and award for contract subject to post review. </w:t>
      </w:r>
      <w:r w:rsidR="006E40A8">
        <w:rPr>
          <w:rFonts w:ascii="Times New Roman" w:hAnsi="Times New Roman" w:cs="Times New Roman"/>
          <w:color w:val="000000" w:themeColor="text1"/>
        </w:rPr>
        <w:t>Subsequently the</w:t>
      </w:r>
      <w:r w:rsidRPr="006F115D">
        <w:rPr>
          <w:rFonts w:ascii="Times New Roman" w:hAnsi="Times New Roman" w:cs="Times New Roman"/>
          <w:color w:val="000000" w:themeColor="text1"/>
        </w:rPr>
        <w:t xml:space="preserve"> designated decision-making authority, the </w:t>
      </w:r>
      <w:r w:rsidR="00804CB8" w:rsidRPr="006F115D">
        <w:rPr>
          <w:rFonts w:ascii="Times New Roman" w:hAnsi="Times New Roman" w:cs="Times New Roman"/>
          <w:color w:val="000000" w:themeColor="text1"/>
        </w:rPr>
        <w:t xml:space="preserve">PIU </w:t>
      </w:r>
      <w:r w:rsidRPr="006F115D">
        <w:rPr>
          <w:rFonts w:ascii="Times New Roman" w:hAnsi="Times New Roman" w:cs="Times New Roman"/>
          <w:color w:val="000000" w:themeColor="text1"/>
        </w:rPr>
        <w:t xml:space="preserve">will sign contracts for procurement of goods and services. </w:t>
      </w:r>
      <w:r w:rsidR="006E40A8">
        <w:rPr>
          <w:rFonts w:ascii="Times New Roman" w:hAnsi="Times New Roman" w:cs="Times New Roman"/>
          <w:color w:val="000000" w:themeColor="text1"/>
        </w:rPr>
        <w:t xml:space="preserve">The LSGU will sign contracts for procurement of works and works related services. </w:t>
      </w:r>
    </w:p>
    <w:p w14:paraId="563A46CD" w14:textId="77777777" w:rsidR="00BC151E" w:rsidRPr="006F115D" w:rsidRDefault="00BC151E" w:rsidP="006E346B">
      <w:pPr>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In case of rebidding, the call for bids in a repeated procurement process shall be made only after obtaining the Bank’s approval. Any act of nonconformity by any of the parties participating in the process shall be regulated in accordance with the respective provisions of the World Bank’s Procurement Regulations for IPF Borrowers.</w:t>
      </w:r>
    </w:p>
    <w:p w14:paraId="6E913AE3" w14:textId="4E4B5C1D" w:rsidR="00BC151E" w:rsidRPr="00921B17" w:rsidRDefault="00BC151E" w:rsidP="006E346B">
      <w:pPr>
        <w:widowControl w:val="0"/>
        <w:autoSpaceDE w:val="0"/>
        <w:autoSpaceDN w:val="0"/>
        <w:adjustRightInd w:val="0"/>
        <w:spacing w:after="120" w:line="240" w:lineRule="auto"/>
        <w:jc w:val="both"/>
        <w:rPr>
          <w:rFonts w:ascii="Times New Roman" w:hAnsi="Times New Roman" w:cs="Times New Roman"/>
          <w:color w:val="000000" w:themeColor="text1"/>
        </w:rPr>
      </w:pPr>
      <w:r w:rsidRPr="006F115D">
        <w:rPr>
          <w:rFonts w:ascii="Times New Roman" w:hAnsi="Times New Roman" w:cs="Times New Roman"/>
          <w:color w:val="000000" w:themeColor="text1"/>
        </w:rPr>
        <w:t xml:space="preserve">. </w:t>
      </w:r>
    </w:p>
    <w:p w14:paraId="033B333B" w14:textId="5BA76DEC" w:rsidR="00BC151E" w:rsidRPr="006E346B" w:rsidRDefault="00BC151E"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658" w:name="_Toc518469575"/>
      <w:bookmarkStart w:id="659" w:name="_Toc93342311"/>
      <w:r w:rsidRPr="00921B17">
        <w:rPr>
          <w:rFonts w:ascii="Times New Roman" w:hAnsi="Times New Roman" w:cs="Times New Roman"/>
          <w:smallCaps w:val="0"/>
          <w:color w:val="auto"/>
          <w:sz w:val="24"/>
        </w:rPr>
        <w:t>Complaints management and dispute resolution systems</w:t>
      </w:r>
      <w:bookmarkEnd w:id="658"/>
      <w:bookmarkEnd w:id="659"/>
    </w:p>
    <w:p w14:paraId="386672B3" w14:textId="466F69F0" w:rsidR="0077740F" w:rsidRPr="00921B17" w:rsidRDefault="0077740F"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Procedure for administration and handling procurement complaints shall be in accordance with Procurement-related Complains of the Applicable Procurement Regulations</w:t>
      </w:r>
      <w:r w:rsidR="00FA25E7" w:rsidRPr="00921B17">
        <w:rPr>
          <w:rFonts w:ascii="Times New Roman" w:hAnsi="Times New Roman" w:cs="Times New Roman"/>
          <w:color w:val="000000" w:themeColor="text1"/>
        </w:rPr>
        <w:t>.</w:t>
      </w:r>
      <w:r w:rsidRPr="00921B17" w:rsidDel="0077740F">
        <w:rPr>
          <w:rFonts w:ascii="Times New Roman" w:hAnsi="Times New Roman" w:cs="Times New Roman"/>
          <w:color w:val="000000" w:themeColor="text1"/>
        </w:rPr>
        <w:t xml:space="preserve"> </w:t>
      </w:r>
    </w:p>
    <w:p w14:paraId="504C5D99" w14:textId="1ECB2D92" w:rsidR="00E36E69" w:rsidRPr="006E346B" w:rsidRDefault="00BC151E"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660" w:name="_Toc518469576"/>
      <w:bookmarkStart w:id="661" w:name="_Toc522527687"/>
      <w:bookmarkStart w:id="662" w:name="_Toc93342312"/>
      <w:r w:rsidRPr="00921B17">
        <w:rPr>
          <w:rFonts w:ascii="Times New Roman" w:hAnsi="Times New Roman" w:cs="Times New Roman"/>
          <w:smallCaps w:val="0"/>
          <w:color w:val="auto"/>
          <w:sz w:val="24"/>
        </w:rPr>
        <w:t>Misprocurement</w:t>
      </w:r>
      <w:bookmarkEnd w:id="660"/>
      <w:bookmarkEnd w:id="661"/>
      <w:bookmarkEnd w:id="662"/>
      <w:r w:rsidRPr="00921B17">
        <w:rPr>
          <w:rFonts w:ascii="Times New Roman" w:hAnsi="Times New Roman" w:cs="Times New Roman"/>
          <w:smallCaps w:val="0"/>
          <w:color w:val="auto"/>
          <w:sz w:val="24"/>
        </w:rPr>
        <w:t xml:space="preserve"> </w:t>
      </w:r>
    </w:p>
    <w:p w14:paraId="2A55B68D" w14:textId="011B518F" w:rsidR="003D0F0A" w:rsidRPr="00921B17" w:rsidRDefault="00BC151E"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Misprocurement, if occurred, may be declared in accordance to Section–Noncompliance. </w:t>
      </w:r>
    </w:p>
    <w:p w14:paraId="7924E239" w14:textId="36524735" w:rsidR="00BC151E" w:rsidRPr="00921B17" w:rsidRDefault="00BC151E" w:rsidP="00D01979">
      <w:pPr>
        <w:pStyle w:val="Heading2"/>
        <w:numPr>
          <w:ilvl w:val="1"/>
          <w:numId w:val="330"/>
        </w:numPr>
        <w:spacing w:before="240" w:after="120" w:line="276" w:lineRule="auto"/>
        <w:ind w:left="578" w:hanging="578"/>
        <w:rPr>
          <w:rFonts w:ascii="Times New Roman" w:hAnsi="Times New Roman" w:cs="Times New Roman"/>
          <w:color w:val="auto"/>
          <w:sz w:val="24"/>
        </w:rPr>
      </w:pPr>
      <w:bookmarkStart w:id="663" w:name="_Toc518469578"/>
      <w:bookmarkStart w:id="664" w:name="_Toc522527689"/>
      <w:bookmarkStart w:id="665" w:name="_Toc93342313"/>
      <w:bookmarkStart w:id="666" w:name="_Toc312402508"/>
      <w:bookmarkStart w:id="667" w:name="_Toc312404640"/>
      <w:bookmarkStart w:id="668" w:name="_Toc313957958"/>
      <w:bookmarkStart w:id="669" w:name="_Toc377570863"/>
      <w:bookmarkStart w:id="670" w:name="_Toc377715786"/>
      <w:r w:rsidRPr="00921B17">
        <w:rPr>
          <w:rFonts w:ascii="Times New Roman" w:hAnsi="Times New Roman" w:cs="Times New Roman"/>
          <w:smallCaps w:val="0"/>
          <w:color w:val="auto"/>
          <w:sz w:val="24"/>
        </w:rPr>
        <w:t>The World Bank standard sample Procurement Documents</w:t>
      </w:r>
      <w:bookmarkEnd w:id="663"/>
      <w:bookmarkEnd w:id="664"/>
      <w:bookmarkEnd w:id="665"/>
      <w:r w:rsidRPr="00921B17">
        <w:rPr>
          <w:rFonts w:ascii="Times New Roman" w:hAnsi="Times New Roman" w:cs="Times New Roman"/>
          <w:smallCaps w:val="0"/>
          <w:color w:val="auto"/>
          <w:sz w:val="24"/>
        </w:rPr>
        <w:t xml:space="preserve"> </w:t>
      </w:r>
      <w:bookmarkEnd w:id="666"/>
      <w:bookmarkEnd w:id="667"/>
      <w:bookmarkEnd w:id="668"/>
      <w:bookmarkEnd w:id="669"/>
      <w:bookmarkEnd w:id="670"/>
    </w:p>
    <w:p w14:paraId="419B7636" w14:textId="41307444" w:rsidR="0077740F" w:rsidRPr="00921B17" w:rsidRDefault="00D8454A" w:rsidP="006E346B">
      <w:pPr>
        <w:spacing w:after="120" w:line="276" w:lineRule="auto"/>
        <w:jc w:val="both"/>
        <w:rPr>
          <w:rFonts w:ascii="Times New Roman" w:hAnsi="Times New Roman" w:cs="Times New Roman"/>
          <w:color w:val="000000" w:themeColor="text1"/>
        </w:rPr>
      </w:pPr>
      <w:r w:rsidRPr="00921B17">
        <w:rPr>
          <w:rStyle w:val="s23"/>
          <w:rFonts w:ascii="Times New Roman" w:hAnsi="Times New Roman" w:cs="Times New Roman"/>
          <w:color w:val="000000" w:themeColor="text1"/>
        </w:rPr>
        <w:t>The most recent Standard procurement documents applicable to the Procurement regulations, available on its external website at </w:t>
      </w:r>
      <w:hyperlink r:id="rId32" w:history="1">
        <w:r w:rsidRPr="00921B17">
          <w:rPr>
            <w:rStyle w:val="Hyperlink"/>
            <w:rFonts w:ascii="Times New Roman" w:hAnsi="Times New Roman" w:cs="Times New Roman"/>
            <w:color w:val="000000" w:themeColor="text1"/>
          </w:rPr>
          <w:t>www.worldbank.org/procurement/standarddocuments</w:t>
        </w:r>
      </w:hyperlink>
      <w:r w:rsidRPr="00921B17">
        <w:rPr>
          <w:rStyle w:val="s197"/>
          <w:rFonts w:ascii="Times New Roman" w:hAnsi="Times New Roman" w:cs="Times New Roman"/>
          <w:color w:val="000000" w:themeColor="text1"/>
        </w:rPr>
        <w:t> </w:t>
      </w:r>
      <w:r w:rsidR="00403AC5" w:rsidRPr="00921B17">
        <w:rPr>
          <w:rFonts w:ascii="Times New Roman" w:hAnsi="Times New Roman" w:cs="Times New Roman"/>
          <w:color w:val="000000" w:themeColor="text1"/>
          <w:u w:val="single"/>
        </w:rPr>
        <w:t>www.worldbank.org/procurement/standarddocuments</w:t>
      </w:r>
      <w:r w:rsidR="00403AC5" w:rsidRPr="00921B17">
        <w:rPr>
          <w:rStyle w:val="s23"/>
          <w:rFonts w:ascii="Times New Roman" w:hAnsi="Times New Roman" w:cs="Times New Roman"/>
          <w:color w:val="000000" w:themeColor="text1"/>
        </w:rPr>
        <w:t xml:space="preserve"> </w:t>
      </w:r>
      <w:r w:rsidRPr="00921B17">
        <w:rPr>
          <w:rStyle w:val="s23"/>
          <w:rFonts w:ascii="Times New Roman" w:hAnsi="Times New Roman" w:cs="Times New Roman"/>
          <w:color w:val="000000" w:themeColor="text1"/>
        </w:rPr>
        <w:t>shall be used for all the procurements under the Project,</w:t>
      </w:r>
      <w:r w:rsidR="00F73A15">
        <w:rPr>
          <w:rStyle w:val="s23"/>
          <w:rFonts w:ascii="Times New Roman" w:hAnsi="Times New Roman" w:cs="Times New Roman"/>
          <w:color w:val="000000" w:themeColor="text1"/>
        </w:rPr>
        <w:t xml:space="preserve"> except for civil works,</w:t>
      </w:r>
      <w:r w:rsidRPr="00921B17">
        <w:rPr>
          <w:rStyle w:val="s23"/>
          <w:rFonts w:ascii="Times New Roman" w:hAnsi="Times New Roman" w:cs="Times New Roman"/>
          <w:color w:val="000000" w:themeColor="text1"/>
        </w:rPr>
        <w:t xml:space="preserve"> irrespective of their value. </w:t>
      </w:r>
      <w:r w:rsidR="00F73A15">
        <w:rPr>
          <w:rStyle w:val="s23"/>
          <w:rFonts w:ascii="Times New Roman" w:hAnsi="Times New Roman" w:cs="Times New Roman"/>
          <w:color w:val="000000" w:themeColor="text1"/>
        </w:rPr>
        <w:t xml:space="preserve">For civil works a model bidding </w:t>
      </w:r>
      <w:r w:rsidR="006E40A8">
        <w:rPr>
          <w:rStyle w:val="s23"/>
          <w:rFonts w:ascii="Times New Roman" w:hAnsi="Times New Roman" w:cs="Times New Roman"/>
          <w:color w:val="000000" w:themeColor="text1"/>
        </w:rPr>
        <w:t xml:space="preserve">document (BDs) </w:t>
      </w:r>
      <w:r w:rsidR="00F73A15">
        <w:t>will be used</w:t>
      </w:r>
      <w:r w:rsidR="006E40A8">
        <w:t>. T</w:t>
      </w:r>
      <w:r w:rsidR="00F73A15">
        <w:t xml:space="preserve">hese are BDs used in the country with 3 additional clauses from the bank on anticorruption, audit, and </w:t>
      </w:r>
      <w:r w:rsidR="006E40A8">
        <w:t>ESHS</w:t>
      </w:r>
      <w:r w:rsidR="00F73A15">
        <w:t>.</w:t>
      </w:r>
      <w:r w:rsidR="00F73A15">
        <w:rPr>
          <w:rStyle w:val="s23"/>
          <w:rFonts w:ascii="Times New Roman" w:hAnsi="Times New Roman" w:cs="Times New Roman"/>
          <w:color w:val="000000" w:themeColor="text1"/>
        </w:rPr>
        <w:t xml:space="preserve"> </w:t>
      </w:r>
      <w:r w:rsidRPr="00921B17">
        <w:rPr>
          <w:rStyle w:val="s23"/>
          <w:rFonts w:ascii="Times New Roman" w:hAnsi="Times New Roman" w:cs="Times New Roman"/>
          <w:color w:val="000000" w:themeColor="text1"/>
        </w:rPr>
        <w:t>In exceptional cases and for small value procurements, altered bidding documents can be used based on prior approval from the World Bank.</w:t>
      </w:r>
    </w:p>
    <w:p w14:paraId="0C0BE122" w14:textId="77777777" w:rsidR="00467B86" w:rsidRPr="00921B17" w:rsidRDefault="00467B86" w:rsidP="00D01979">
      <w:pPr>
        <w:widowControl w:val="0"/>
        <w:autoSpaceDE w:val="0"/>
        <w:autoSpaceDN w:val="0"/>
        <w:adjustRightInd w:val="0"/>
        <w:spacing w:after="120" w:line="276" w:lineRule="auto"/>
        <w:jc w:val="both"/>
        <w:rPr>
          <w:rFonts w:ascii="Times New Roman" w:hAnsi="Times New Roman" w:cs="Times New Roman"/>
          <w:color w:val="FF0000"/>
        </w:rPr>
        <w:sectPr w:rsidR="00467B86" w:rsidRPr="00921B17" w:rsidSect="002D62FD">
          <w:footerReference w:type="default" r:id="rId33"/>
          <w:pgSz w:w="11905" w:h="16837" w:code="9"/>
          <w:pgMar w:top="1134" w:right="1134" w:bottom="1134" w:left="1418" w:header="510" w:footer="340" w:gutter="0"/>
          <w:cols w:space="720"/>
          <w:titlePg/>
        </w:sectPr>
      </w:pPr>
    </w:p>
    <w:bookmarkEnd w:id="12"/>
    <w:bookmarkEnd w:id="13"/>
    <w:bookmarkEnd w:id="485"/>
    <w:bookmarkEnd w:id="486"/>
    <w:bookmarkEnd w:id="487"/>
    <w:bookmarkEnd w:id="488"/>
    <w:bookmarkEnd w:id="489"/>
    <w:bookmarkEnd w:id="490"/>
    <w:p w14:paraId="20973081" w14:textId="77777777" w:rsidR="003607FB" w:rsidRPr="00921B17" w:rsidRDefault="003607FB" w:rsidP="00D01979">
      <w:pPr>
        <w:spacing w:line="276" w:lineRule="auto"/>
        <w:rPr>
          <w:rFonts w:ascii="Times New Roman" w:hAnsi="Times New Roman" w:cs="Times New Roman"/>
          <w:smallCaps/>
          <w:color w:val="0066FF"/>
          <w:sz w:val="28"/>
          <w:szCs w:val="30"/>
        </w:rPr>
      </w:pPr>
      <w:r w:rsidRPr="00921B17">
        <w:rPr>
          <w:rFonts w:ascii="Times New Roman" w:hAnsi="Times New Roman" w:cs="Times New Roman"/>
          <w:smallCaps/>
          <w:color w:val="0066FF"/>
          <w:sz w:val="28"/>
          <w:szCs w:val="30"/>
        </w:rPr>
        <w:br w:type="page"/>
      </w:r>
    </w:p>
    <w:p w14:paraId="2A656F81" w14:textId="45149C6E" w:rsidR="00EA3F08" w:rsidRPr="00921B17" w:rsidRDefault="00EA3F08" w:rsidP="00C26C7D">
      <w:pPr>
        <w:pStyle w:val="Heading1"/>
        <w:numPr>
          <w:ilvl w:val="0"/>
          <w:numId w:val="330"/>
        </w:numPr>
        <w:pBdr>
          <w:bottom w:val="none" w:sz="0" w:space="0" w:color="auto"/>
        </w:pBdr>
        <w:spacing w:line="276" w:lineRule="auto"/>
        <w:ind w:left="431" w:hanging="431"/>
        <w:rPr>
          <w:rFonts w:ascii="Times New Roman" w:hAnsi="Times New Roman" w:cs="Times New Roman"/>
          <w:smallCaps w:val="0"/>
          <w:sz w:val="22"/>
          <w:szCs w:val="22"/>
        </w:rPr>
      </w:pPr>
      <w:bookmarkStart w:id="671" w:name="_Toc93342314"/>
      <w:r w:rsidRPr="00921B17">
        <w:rPr>
          <w:rFonts w:ascii="Times New Roman" w:hAnsi="Times New Roman" w:cs="Times New Roman"/>
          <w:smallCaps w:val="0"/>
          <w:sz w:val="22"/>
          <w:szCs w:val="22"/>
        </w:rPr>
        <w:t>STAKEHOLDER ENGAGEMENT AND GRIEVANCE MANAGEMENT</w:t>
      </w:r>
      <w:bookmarkEnd w:id="671"/>
      <w:r w:rsidRPr="00921B17">
        <w:rPr>
          <w:rFonts w:ascii="Times New Roman" w:hAnsi="Times New Roman" w:cs="Times New Roman"/>
          <w:smallCaps w:val="0"/>
          <w:sz w:val="22"/>
          <w:szCs w:val="22"/>
        </w:rPr>
        <w:t xml:space="preserve"> </w:t>
      </w:r>
    </w:p>
    <w:p w14:paraId="7A39A517" w14:textId="63FC7267"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 xml:space="preserve">For the Project a Standalone </w:t>
      </w:r>
      <w:r w:rsidR="008C64E2" w:rsidRPr="00921B17">
        <w:rPr>
          <w:rFonts w:ascii="Times New Roman" w:hAnsi="Times New Roman" w:cs="Times New Roman"/>
          <w:color w:val="000000" w:themeColor="text1"/>
          <w:lang w:eastAsia="ja-JP"/>
        </w:rPr>
        <w:t>Stakeholder Engagement Plan</w:t>
      </w:r>
      <w:r w:rsidR="008C64E2" w:rsidRPr="00921B17" w:rsidDel="008C64E2">
        <w:rPr>
          <w:rFonts w:ascii="Times New Roman" w:hAnsi="Times New Roman" w:cs="Times New Roman"/>
          <w:color w:val="000000" w:themeColor="text1"/>
          <w:lang w:eastAsia="ja-JP"/>
        </w:rPr>
        <w:t xml:space="preserve"> </w:t>
      </w:r>
      <w:r w:rsidR="008C64E2">
        <w:rPr>
          <w:rFonts w:ascii="Times New Roman" w:hAnsi="Times New Roman" w:cs="Times New Roman"/>
          <w:color w:val="000000" w:themeColor="text1"/>
          <w:lang w:eastAsia="ja-JP"/>
        </w:rPr>
        <w:t>(</w:t>
      </w:r>
      <w:r w:rsidR="008C64E2" w:rsidRPr="00921B17">
        <w:rPr>
          <w:rFonts w:ascii="Times New Roman" w:hAnsi="Times New Roman" w:cs="Times New Roman"/>
          <w:color w:val="000000" w:themeColor="text1"/>
          <w:lang w:eastAsia="ja-JP"/>
        </w:rPr>
        <w:t>S</w:t>
      </w:r>
      <w:r w:rsidR="008C64E2">
        <w:rPr>
          <w:rFonts w:ascii="Times New Roman" w:hAnsi="Times New Roman" w:cs="Times New Roman"/>
          <w:color w:val="000000" w:themeColor="text1"/>
          <w:lang w:eastAsia="ja-JP"/>
        </w:rPr>
        <w:t>EP)</w:t>
      </w:r>
      <w:r w:rsidR="008C64E2" w:rsidRPr="00921B17">
        <w:rPr>
          <w:rFonts w:ascii="Times New Roman" w:hAnsi="Times New Roman" w:cs="Times New Roman"/>
          <w:color w:val="000000" w:themeColor="text1"/>
          <w:lang w:eastAsia="ja-JP"/>
        </w:rPr>
        <w:t xml:space="preserve"> </w:t>
      </w:r>
      <w:r w:rsidRPr="00921B17">
        <w:rPr>
          <w:rFonts w:ascii="Times New Roman" w:hAnsi="Times New Roman" w:cs="Times New Roman"/>
          <w:color w:val="000000" w:themeColor="text1"/>
          <w:lang w:eastAsia="ja-JP"/>
        </w:rPr>
        <w:t xml:space="preserve">has been adopted. The objective of this SEP is to identify different stakeholder groups and provide a strategic framework for their engagement throughout the Project lifecycle. A specific </w:t>
      </w:r>
      <w:r w:rsidR="008C64E2">
        <w:rPr>
          <w:rFonts w:ascii="Times New Roman" w:hAnsi="Times New Roman" w:cs="Times New Roman"/>
          <w:color w:val="000000" w:themeColor="text1"/>
          <w:lang w:eastAsia="ja-JP"/>
        </w:rPr>
        <w:t>SEP</w:t>
      </w:r>
      <w:r w:rsidRPr="00921B17">
        <w:rPr>
          <w:rFonts w:ascii="Times New Roman" w:hAnsi="Times New Roman" w:cs="Times New Roman"/>
          <w:color w:val="000000" w:themeColor="text1"/>
          <w:lang w:eastAsia="ja-JP"/>
        </w:rPr>
        <w:t>, that will propose concrete action plans for each project activity will be prepared as soon as details of the activities are available.</w:t>
      </w:r>
    </w:p>
    <w:p w14:paraId="023DB526" w14:textId="1BAEA1CF"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 xml:space="preserve">The SEP thus presents how the PIU plans to communicate with stakeholders who may be affected by or will be interested in the </w:t>
      </w:r>
      <w:r w:rsidR="008C64E2" w:rsidRPr="00921B17">
        <w:rPr>
          <w:rFonts w:ascii="Times New Roman" w:hAnsi="Times New Roman" w:cs="Times New Roman"/>
          <w:color w:val="000000" w:themeColor="text1"/>
          <w:lang w:eastAsia="ja-JP"/>
        </w:rPr>
        <w:t>Pro</w:t>
      </w:r>
      <w:r w:rsidR="008C64E2">
        <w:rPr>
          <w:rFonts w:ascii="Times New Roman" w:hAnsi="Times New Roman" w:cs="Times New Roman"/>
          <w:color w:val="000000" w:themeColor="text1"/>
          <w:lang w:eastAsia="ja-JP"/>
        </w:rPr>
        <w:t>ject</w:t>
      </w:r>
      <w:r w:rsidR="008C64E2" w:rsidRPr="00921B17">
        <w:rPr>
          <w:rFonts w:ascii="Times New Roman" w:hAnsi="Times New Roman" w:cs="Times New Roman"/>
          <w:color w:val="000000" w:themeColor="text1"/>
          <w:lang w:eastAsia="ja-JP"/>
        </w:rPr>
        <w:t xml:space="preserve"> </w:t>
      </w:r>
      <w:r w:rsidRPr="00921B17">
        <w:rPr>
          <w:rFonts w:ascii="Times New Roman" w:hAnsi="Times New Roman" w:cs="Times New Roman"/>
          <w:color w:val="000000" w:themeColor="text1"/>
          <w:lang w:eastAsia="ja-JP"/>
        </w:rPr>
        <w:t xml:space="preserve">throughout its whole life cycle. It also describes a grievance mechanism, which is a </w:t>
      </w:r>
      <w:r w:rsidR="005C5EE1" w:rsidRPr="00921B17">
        <w:rPr>
          <w:rFonts w:ascii="Times New Roman" w:hAnsi="Times New Roman" w:cs="Times New Roman"/>
          <w:color w:val="000000" w:themeColor="text1"/>
          <w:lang w:eastAsia="ja-JP"/>
        </w:rPr>
        <w:t>process stakeholder</w:t>
      </w:r>
      <w:r w:rsidRPr="00921B17">
        <w:rPr>
          <w:rFonts w:ascii="Times New Roman" w:hAnsi="Times New Roman" w:cs="Times New Roman"/>
          <w:color w:val="000000" w:themeColor="text1"/>
          <w:lang w:eastAsia="ja-JP"/>
        </w:rPr>
        <w:t xml:space="preserve"> may use to raise any concerns about the Project providing their opinions that may influence the Project implementation and its results.</w:t>
      </w:r>
    </w:p>
    <w:p w14:paraId="145B21B6" w14:textId="3FF5D826"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 xml:space="preserve">The purpose of the </w:t>
      </w:r>
      <w:r w:rsidR="008C64E2">
        <w:rPr>
          <w:rFonts w:ascii="Times New Roman" w:hAnsi="Times New Roman" w:cs="Times New Roman"/>
          <w:color w:val="000000" w:themeColor="text1"/>
          <w:lang w:eastAsia="ja-JP"/>
        </w:rPr>
        <w:t>P</w:t>
      </w:r>
      <w:r w:rsidR="008C64E2" w:rsidRPr="00921B17">
        <w:rPr>
          <w:rFonts w:ascii="Times New Roman" w:hAnsi="Times New Roman" w:cs="Times New Roman"/>
          <w:color w:val="000000" w:themeColor="text1"/>
          <w:lang w:eastAsia="ja-JP"/>
        </w:rPr>
        <w:t>roject</w:t>
      </w:r>
      <w:r w:rsidRPr="00921B17">
        <w:rPr>
          <w:rFonts w:ascii="Times New Roman" w:hAnsi="Times New Roman" w:cs="Times New Roman"/>
          <w:color w:val="000000" w:themeColor="text1"/>
          <w:lang w:eastAsia="ja-JP"/>
        </w:rPr>
        <w:t xml:space="preserve">-level SEP is, therefore, to enhance stakeholder engagement throughout the Project, and lay out a framework which will enable stakeholder engagement in line with the laws of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 xml:space="preserve">Republic of Serbia, as well as the requirements of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 xml:space="preserve">Bank. </w:t>
      </w:r>
    </w:p>
    <w:p w14:paraId="05E0E335" w14:textId="77777777" w:rsidR="009B5280" w:rsidRPr="00921B17" w:rsidRDefault="009B5280" w:rsidP="00C26C7D">
      <w:pPr>
        <w:pStyle w:val="Heading2"/>
        <w:numPr>
          <w:ilvl w:val="1"/>
          <w:numId w:val="330"/>
        </w:numPr>
        <w:spacing w:before="240" w:after="120" w:line="276" w:lineRule="auto"/>
        <w:ind w:left="578" w:hanging="578"/>
        <w:rPr>
          <w:rFonts w:ascii="Times New Roman" w:hAnsi="Times New Roman" w:cs="Times New Roman"/>
          <w:smallCaps w:val="0"/>
          <w:sz w:val="22"/>
          <w:szCs w:val="22"/>
        </w:rPr>
      </w:pPr>
      <w:bookmarkStart w:id="672" w:name="_Toc93342315"/>
      <w:r w:rsidRPr="00921B17">
        <w:rPr>
          <w:rFonts w:ascii="Times New Roman" w:hAnsi="Times New Roman" w:cs="Times New Roman"/>
          <w:smallCaps w:val="0"/>
          <w:sz w:val="22"/>
          <w:szCs w:val="22"/>
        </w:rPr>
        <w:t>Project Grievance Mechanism</w:t>
      </w:r>
      <w:bookmarkEnd w:id="672"/>
      <w:r w:rsidRPr="00921B17">
        <w:rPr>
          <w:rFonts w:ascii="Times New Roman" w:hAnsi="Times New Roman" w:cs="Times New Roman"/>
          <w:smallCaps w:val="0"/>
          <w:sz w:val="22"/>
          <w:szCs w:val="22"/>
        </w:rPr>
        <w:t xml:space="preserve"> </w:t>
      </w:r>
    </w:p>
    <w:p w14:paraId="12307F3E" w14:textId="77777777"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A Project level Grievance Mechanism (GM) shall be established by the MCTI/PIU, consisting of Central Feedback Desk (CFD) administered by the PIU and sub-project specific Local Grievance Admission Desks (LGAD) (collectively referred to as Grievance Mechanism (GM)).</w:t>
      </w:r>
    </w:p>
    <w:p w14:paraId="698E38AD" w14:textId="512AAFF8"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The Central Feedback Desk (CFD) shall be established prior to commencement of any activities under the Project to manage and appropriately answer complaints during its different phases while the LG</w:t>
      </w:r>
      <w:r w:rsidR="008C5BF9">
        <w:rPr>
          <w:rFonts w:ascii="Times New Roman" w:hAnsi="Times New Roman" w:cs="Times New Roman"/>
          <w:color w:val="000000" w:themeColor="text1"/>
          <w:lang w:eastAsia="ja-JP"/>
        </w:rPr>
        <w:t>A</w:t>
      </w:r>
      <w:r w:rsidRPr="00921B17">
        <w:rPr>
          <w:rFonts w:ascii="Times New Roman" w:hAnsi="Times New Roman" w:cs="Times New Roman"/>
          <w:color w:val="000000" w:themeColor="text1"/>
          <w:lang w:eastAsia="ja-JP"/>
        </w:rPr>
        <w:t xml:space="preserve">D shall be effective upon decision on each new </w:t>
      </w:r>
      <w:r w:rsidR="008C64E2">
        <w:rPr>
          <w:rFonts w:ascii="Times New Roman" w:hAnsi="Times New Roman" w:cs="Times New Roman"/>
          <w:color w:val="000000" w:themeColor="text1"/>
          <w:lang w:eastAsia="ja-JP"/>
        </w:rPr>
        <w:t>s</w:t>
      </w:r>
      <w:r w:rsidR="008C64E2" w:rsidRPr="00921B17">
        <w:rPr>
          <w:rFonts w:ascii="Times New Roman" w:hAnsi="Times New Roman" w:cs="Times New Roman"/>
          <w:color w:val="000000" w:themeColor="text1"/>
          <w:lang w:eastAsia="ja-JP"/>
        </w:rPr>
        <w:t xml:space="preserve">ubproject </w:t>
      </w:r>
      <w:r w:rsidRPr="00921B17">
        <w:rPr>
          <w:rFonts w:ascii="Times New Roman" w:hAnsi="Times New Roman" w:cs="Times New Roman"/>
          <w:color w:val="000000" w:themeColor="text1"/>
          <w:lang w:eastAsia="ja-JP"/>
        </w:rPr>
        <w:t xml:space="preserve">has been taken.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CFD shall be responsible for overall grievance administration, while the LG</w:t>
      </w:r>
      <w:r w:rsidR="008C64E2">
        <w:rPr>
          <w:rFonts w:ascii="Times New Roman" w:hAnsi="Times New Roman" w:cs="Times New Roman"/>
          <w:color w:val="000000" w:themeColor="text1"/>
          <w:lang w:eastAsia="ja-JP"/>
        </w:rPr>
        <w:t>A</w:t>
      </w:r>
      <w:r w:rsidRPr="00921B17">
        <w:rPr>
          <w:rFonts w:ascii="Times New Roman" w:hAnsi="Times New Roman" w:cs="Times New Roman"/>
          <w:color w:val="000000" w:themeColor="text1"/>
          <w:lang w:eastAsia="ja-JP"/>
        </w:rPr>
        <w:t xml:space="preserve">D shall serve as local admission point for uptake of grievances and acknowledgment of grievance receipt through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 xml:space="preserve">local avenues, established and administered by the local governments with representatives from the key stakeholders (i.e.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 xml:space="preserve">PIU representative, </w:t>
      </w:r>
      <w:r w:rsidR="008C64E2">
        <w:rPr>
          <w:rFonts w:ascii="Times New Roman" w:hAnsi="Times New Roman" w:cs="Times New Roman"/>
          <w:color w:val="000000" w:themeColor="text1"/>
          <w:lang w:eastAsia="ja-JP"/>
        </w:rPr>
        <w:t>LSG’s</w:t>
      </w:r>
      <w:r w:rsidR="008C64E2" w:rsidRPr="00921B17">
        <w:rPr>
          <w:rFonts w:ascii="Times New Roman" w:hAnsi="Times New Roman" w:cs="Times New Roman"/>
          <w:color w:val="000000" w:themeColor="text1"/>
          <w:lang w:eastAsia="ja-JP"/>
        </w:rPr>
        <w:t xml:space="preserve"> </w:t>
      </w:r>
      <w:r w:rsidRPr="00921B17">
        <w:rPr>
          <w:rFonts w:ascii="Times New Roman" w:hAnsi="Times New Roman" w:cs="Times New Roman"/>
          <w:color w:val="000000" w:themeColor="text1"/>
          <w:lang w:eastAsia="ja-JP"/>
        </w:rPr>
        <w:t xml:space="preserve">representative and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representative of the local communities). In addition to the GM, legal remedies available under the national legislation are also available (courts, inspections, administrative authorities etc.).</w:t>
      </w:r>
    </w:p>
    <w:p w14:paraId="102125CF" w14:textId="6DAD97D4"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 xml:space="preserve">To ensure GM access, communities, and other stakeholders may submit grievances through channels as outlined below. The GM will provide the opportunity for continued feedback on the </w:t>
      </w:r>
      <w:r w:rsidR="008C64E2">
        <w:rPr>
          <w:rFonts w:ascii="Times New Roman" w:hAnsi="Times New Roman" w:cs="Times New Roman"/>
          <w:color w:val="000000" w:themeColor="text1"/>
          <w:lang w:eastAsia="ja-JP"/>
        </w:rPr>
        <w:t>s</w:t>
      </w:r>
      <w:r w:rsidR="008C64E2" w:rsidRPr="00921B17">
        <w:rPr>
          <w:rFonts w:ascii="Times New Roman" w:hAnsi="Times New Roman" w:cs="Times New Roman"/>
          <w:color w:val="000000" w:themeColor="text1"/>
          <w:lang w:eastAsia="ja-JP"/>
        </w:rPr>
        <w:t xml:space="preserve">ubprojects </w:t>
      </w:r>
      <w:r w:rsidRPr="00921B17">
        <w:rPr>
          <w:rFonts w:ascii="Times New Roman" w:hAnsi="Times New Roman" w:cs="Times New Roman"/>
          <w:color w:val="000000" w:themeColor="text1"/>
          <w:lang w:eastAsia="ja-JP"/>
        </w:rPr>
        <w:t xml:space="preserve">and resolution of individual grievances during implementation. Procedures related to complaints handling will be posted on the MCTI website to ensure full transparency. </w:t>
      </w:r>
    </w:p>
    <w:p w14:paraId="62B42B52" w14:textId="37A69EF2"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 xml:space="preserve">The GM shall serve as both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 xml:space="preserve">Project level information </w:t>
      </w:r>
      <w:r w:rsidR="003F425C" w:rsidRPr="00921B17">
        <w:rPr>
          <w:rFonts w:ascii="Times New Roman" w:hAnsi="Times New Roman" w:cs="Times New Roman"/>
          <w:color w:val="000000" w:themeColor="text1"/>
          <w:lang w:eastAsia="ja-JP"/>
        </w:rPr>
        <w:t>centre</w:t>
      </w:r>
      <w:r w:rsidRPr="00921B17">
        <w:rPr>
          <w:rFonts w:ascii="Times New Roman" w:hAnsi="Times New Roman" w:cs="Times New Roman"/>
          <w:color w:val="000000" w:themeColor="text1"/>
          <w:lang w:eastAsia="ja-JP"/>
        </w:rPr>
        <w:t xml:space="preserve"> and grievance mechanism, available to those affected by implementation of all Project subcomponents and be applicable to all Project activities and relevant to all local communities affected by project activities. The GM shall be responsible for receiving and responding to grievances and comments of the following groups:</w:t>
      </w:r>
    </w:p>
    <w:p w14:paraId="34EEE0AD" w14:textId="0E2C785E" w:rsidR="00804CB8" w:rsidRPr="00921B1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bCs/>
          <w:color w:val="000000" w:themeColor="text1"/>
        </w:rPr>
      </w:pPr>
      <w:r w:rsidRPr="00921B17">
        <w:rPr>
          <w:rFonts w:ascii="Times New Roman" w:hAnsi="Times New Roman" w:cs="Times New Roman"/>
          <w:color w:val="000000" w:themeColor="text1"/>
        </w:rPr>
        <w:t xml:space="preserve">A person/legal entity directly affected by the </w:t>
      </w:r>
      <w:r w:rsidR="008C64E2">
        <w:rPr>
          <w:rFonts w:ascii="Times New Roman" w:hAnsi="Times New Roman" w:cs="Times New Roman"/>
          <w:color w:val="000000" w:themeColor="text1"/>
        </w:rPr>
        <w:t>P</w:t>
      </w:r>
      <w:r w:rsidR="008C64E2" w:rsidRPr="00921B17">
        <w:rPr>
          <w:rFonts w:ascii="Times New Roman" w:hAnsi="Times New Roman" w:cs="Times New Roman"/>
          <w:color w:val="000000" w:themeColor="text1"/>
        </w:rPr>
        <w:t>roject</w:t>
      </w:r>
      <w:r w:rsidRPr="00921B17">
        <w:rPr>
          <w:rFonts w:ascii="Times New Roman" w:hAnsi="Times New Roman" w:cs="Times New Roman"/>
          <w:color w:val="000000" w:themeColor="text1"/>
        </w:rPr>
        <w:t>,</w:t>
      </w:r>
    </w:p>
    <w:p w14:paraId="4B2E184D" w14:textId="5B126871" w:rsidR="00804CB8" w:rsidRPr="00921B1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bCs/>
          <w:color w:val="000000" w:themeColor="text1"/>
        </w:rPr>
      </w:pPr>
      <w:r w:rsidRPr="00921B17">
        <w:rPr>
          <w:rFonts w:ascii="Times New Roman" w:hAnsi="Times New Roman" w:cs="Times New Roman"/>
          <w:color w:val="000000" w:themeColor="text1"/>
        </w:rPr>
        <w:t xml:space="preserve">A person/legal entity directly affected by the </w:t>
      </w:r>
      <w:r w:rsidR="008C64E2">
        <w:rPr>
          <w:rFonts w:ascii="Times New Roman" w:hAnsi="Times New Roman" w:cs="Times New Roman"/>
          <w:color w:val="000000" w:themeColor="text1"/>
        </w:rPr>
        <w:t>P</w:t>
      </w:r>
      <w:r w:rsidR="008C64E2" w:rsidRPr="00921B17">
        <w:rPr>
          <w:rFonts w:ascii="Times New Roman" w:hAnsi="Times New Roman" w:cs="Times New Roman"/>
          <w:color w:val="000000" w:themeColor="text1"/>
        </w:rPr>
        <w:t xml:space="preserve">roject </w:t>
      </w:r>
      <w:r w:rsidRPr="00921B17">
        <w:rPr>
          <w:rFonts w:ascii="Times New Roman" w:hAnsi="Times New Roman" w:cs="Times New Roman"/>
          <w:color w:val="000000" w:themeColor="text1"/>
        </w:rPr>
        <w:t>through land acquisition and resettlement,</w:t>
      </w:r>
    </w:p>
    <w:p w14:paraId="42671871" w14:textId="6C3D9D07" w:rsidR="00804CB8" w:rsidRPr="00921B1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bCs/>
          <w:color w:val="000000" w:themeColor="text1"/>
        </w:rPr>
      </w:pPr>
      <w:r w:rsidRPr="00921B17">
        <w:rPr>
          <w:rFonts w:ascii="Times New Roman" w:hAnsi="Times New Roman" w:cs="Times New Roman"/>
          <w:color w:val="000000" w:themeColor="text1"/>
        </w:rPr>
        <w:t xml:space="preserve">People interested in the </w:t>
      </w:r>
      <w:r w:rsidR="008C64E2">
        <w:rPr>
          <w:rFonts w:ascii="Times New Roman" w:hAnsi="Times New Roman" w:cs="Times New Roman"/>
          <w:color w:val="000000" w:themeColor="text1"/>
        </w:rPr>
        <w:t>P</w:t>
      </w:r>
      <w:r w:rsidR="008C64E2" w:rsidRPr="00921B17">
        <w:rPr>
          <w:rFonts w:ascii="Times New Roman" w:hAnsi="Times New Roman" w:cs="Times New Roman"/>
          <w:color w:val="000000" w:themeColor="text1"/>
        </w:rPr>
        <w:t>roject</w:t>
      </w:r>
      <w:r w:rsidRPr="00921B17">
        <w:rPr>
          <w:rFonts w:ascii="Times New Roman" w:hAnsi="Times New Roman" w:cs="Times New Roman"/>
          <w:color w:val="000000" w:themeColor="text1"/>
        </w:rPr>
        <w:t>, and</w:t>
      </w:r>
    </w:p>
    <w:p w14:paraId="0821720F" w14:textId="12BDF78D" w:rsidR="00804CB8" w:rsidRPr="00921B1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bCs/>
          <w:color w:val="000000" w:themeColor="text1"/>
        </w:rPr>
      </w:pPr>
      <w:r w:rsidRPr="00921B17">
        <w:rPr>
          <w:rFonts w:ascii="Times New Roman" w:hAnsi="Times New Roman" w:cs="Times New Roman"/>
          <w:color w:val="000000" w:themeColor="text1"/>
        </w:rPr>
        <w:t xml:space="preserve">Residents/communities interested in and/or affected by </w:t>
      </w:r>
      <w:r w:rsidR="008C64E2">
        <w:rPr>
          <w:rFonts w:ascii="Times New Roman" w:hAnsi="Times New Roman" w:cs="Times New Roman"/>
          <w:color w:val="000000" w:themeColor="text1"/>
        </w:rPr>
        <w:t>P</w:t>
      </w:r>
      <w:r w:rsidR="008C64E2" w:rsidRPr="00921B17">
        <w:rPr>
          <w:rFonts w:ascii="Times New Roman" w:hAnsi="Times New Roman" w:cs="Times New Roman"/>
          <w:color w:val="000000" w:themeColor="text1"/>
        </w:rPr>
        <w:t xml:space="preserve">roject </w:t>
      </w:r>
      <w:r w:rsidRPr="00921B17">
        <w:rPr>
          <w:rFonts w:ascii="Times New Roman" w:hAnsi="Times New Roman" w:cs="Times New Roman"/>
          <w:color w:val="000000" w:themeColor="text1"/>
        </w:rPr>
        <w:t>activities.</w:t>
      </w:r>
    </w:p>
    <w:p w14:paraId="0621561C" w14:textId="384004AE" w:rsidR="00804CB8" w:rsidRPr="00921B17" w:rsidRDefault="00804CB8" w:rsidP="008E4F97">
      <w:pPr>
        <w:spacing w:before="240" w:line="276" w:lineRule="auto"/>
        <w:jc w:val="both"/>
        <w:rPr>
          <w:rFonts w:ascii="Times New Roman" w:hAnsi="Times New Roman" w:cs="Times New Roman"/>
          <w:color w:val="000000" w:themeColor="text1"/>
          <w:lang w:eastAsia="ja-JP"/>
        </w:rPr>
      </w:pPr>
      <w:r w:rsidRPr="00921B17">
        <w:rPr>
          <w:rFonts w:ascii="Times New Roman" w:hAnsi="Times New Roman" w:cs="Times New Roman"/>
          <w:color w:val="000000" w:themeColor="text1"/>
          <w:lang w:eastAsia="ja-JP"/>
        </w:rPr>
        <w:t xml:space="preserve">The MCTI/PIU will cooperate with </w:t>
      </w:r>
      <w:r w:rsidR="008C64E2">
        <w:rPr>
          <w:rFonts w:ascii="Times New Roman" w:hAnsi="Times New Roman" w:cs="Times New Roman"/>
          <w:color w:val="000000" w:themeColor="text1"/>
          <w:lang w:eastAsia="ja-JP"/>
        </w:rPr>
        <w:t xml:space="preserve">the </w:t>
      </w:r>
      <w:r w:rsidRPr="00921B17">
        <w:rPr>
          <w:rFonts w:ascii="Times New Roman" w:hAnsi="Times New Roman" w:cs="Times New Roman"/>
          <w:color w:val="000000" w:themeColor="text1"/>
          <w:lang w:eastAsia="ja-JP"/>
        </w:rPr>
        <w:t>LSGs in joint efforts to establishing functioning GM and informing stakeholders about the GM role and function, the contact persons, admission channels, and the procedures to submit a complaint in the affected areas. Information on the GM will be available:</w:t>
      </w:r>
    </w:p>
    <w:p w14:paraId="47F12D8A" w14:textId="77777777" w:rsidR="00804CB8" w:rsidRPr="008E4F9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color w:val="000000" w:themeColor="text1"/>
        </w:rPr>
      </w:pPr>
      <w:r w:rsidRPr="008E4F97">
        <w:rPr>
          <w:rFonts w:ascii="Times New Roman" w:hAnsi="Times New Roman" w:cs="Times New Roman"/>
          <w:color w:val="000000" w:themeColor="text1"/>
        </w:rPr>
        <w:t>On the website of the MCTI (http://www.mgsi.gov.rs/)</w:t>
      </w:r>
    </w:p>
    <w:p w14:paraId="0A6CD7E9" w14:textId="48D9F0AF" w:rsidR="00804CB8" w:rsidRPr="008E4F9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color w:val="000000" w:themeColor="text1"/>
        </w:rPr>
      </w:pPr>
      <w:r w:rsidRPr="008E4F97">
        <w:rPr>
          <w:rFonts w:ascii="Times New Roman" w:hAnsi="Times New Roman" w:cs="Times New Roman"/>
          <w:color w:val="000000" w:themeColor="text1"/>
        </w:rPr>
        <w:t xml:space="preserve">On the notice boards and websites of </w:t>
      </w:r>
      <w:r w:rsidR="008C64E2">
        <w:rPr>
          <w:rFonts w:ascii="Times New Roman" w:hAnsi="Times New Roman" w:cs="Times New Roman"/>
          <w:color w:val="000000" w:themeColor="text1"/>
        </w:rPr>
        <w:t xml:space="preserve">the </w:t>
      </w:r>
      <w:r w:rsidRPr="008E4F97">
        <w:rPr>
          <w:rFonts w:ascii="Times New Roman" w:hAnsi="Times New Roman" w:cs="Times New Roman"/>
          <w:color w:val="000000" w:themeColor="text1"/>
        </w:rPr>
        <w:t>L</w:t>
      </w:r>
      <w:r w:rsidR="008E4F97">
        <w:rPr>
          <w:rFonts w:ascii="Times New Roman" w:hAnsi="Times New Roman" w:cs="Times New Roman"/>
          <w:color w:val="000000" w:themeColor="text1"/>
        </w:rPr>
        <w:t>SG</w:t>
      </w:r>
      <w:r w:rsidRPr="008E4F97">
        <w:rPr>
          <w:rFonts w:ascii="Times New Roman" w:hAnsi="Times New Roman" w:cs="Times New Roman"/>
          <w:color w:val="000000" w:themeColor="text1"/>
        </w:rPr>
        <w:t>s</w:t>
      </w:r>
    </w:p>
    <w:p w14:paraId="0CA3B1C8" w14:textId="77777777" w:rsidR="00804CB8" w:rsidRPr="008E4F97" w:rsidRDefault="00804CB8" w:rsidP="008E4F97">
      <w:pPr>
        <w:pStyle w:val="ListParagraph"/>
        <w:widowControl w:val="0"/>
        <w:numPr>
          <w:ilvl w:val="0"/>
          <w:numId w:val="587"/>
        </w:numPr>
        <w:pBdr>
          <w:top w:val="nil"/>
          <w:left w:val="nil"/>
          <w:bottom w:val="nil"/>
          <w:right w:val="nil"/>
          <w:between w:val="nil"/>
          <w:bar w:val="nil"/>
        </w:pBdr>
        <w:autoSpaceDE w:val="0"/>
        <w:autoSpaceDN w:val="0"/>
        <w:adjustRightInd w:val="0"/>
        <w:spacing w:after="60" w:line="276" w:lineRule="auto"/>
        <w:rPr>
          <w:rFonts w:ascii="Times New Roman" w:hAnsi="Times New Roman" w:cs="Times New Roman"/>
          <w:color w:val="000000" w:themeColor="text1"/>
        </w:rPr>
      </w:pPr>
      <w:r w:rsidRPr="008E4F97">
        <w:rPr>
          <w:rFonts w:ascii="Times New Roman" w:hAnsi="Times New Roman" w:cs="Times New Roman"/>
          <w:color w:val="000000" w:themeColor="text1"/>
        </w:rPr>
        <w:t>Through social media campaigns.</w:t>
      </w:r>
    </w:p>
    <w:p w14:paraId="7EE7F89B" w14:textId="3EC9F0E7" w:rsidR="00804CB8" w:rsidRPr="00921B17" w:rsidRDefault="00804CB8" w:rsidP="008E4F97">
      <w:pPr>
        <w:spacing w:before="120" w:line="276" w:lineRule="auto"/>
        <w:contextualSpacing/>
        <w:jc w:val="both"/>
        <w:rPr>
          <w:rFonts w:ascii="Times New Roman" w:eastAsia="SimSun" w:hAnsi="Times New Roman" w:cs="Times New Roman"/>
          <w:color w:val="000000" w:themeColor="text1"/>
          <w:lang w:eastAsia="ja-JP"/>
        </w:rPr>
      </w:pPr>
      <w:r w:rsidRPr="00921B17">
        <w:rPr>
          <w:rFonts w:ascii="Times New Roman" w:eastAsia="SimSun" w:hAnsi="Times New Roman" w:cs="Times New Roman"/>
          <w:color w:val="000000" w:themeColor="text1"/>
          <w:lang w:eastAsia="ja-JP"/>
        </w:rPr>
        <w:t>Although the Project’s Sexual Exploitation and Abuse/Sexual Harassment risk was assessed as low (because of (i) the expected local employment and (ii) expected low number of workers on construction sites) the GM will, on a precautionary base, be enabled to recognize SEA/SH grievances. Such grievances will be managed separately by a trained expert, but will use the same process value chain and timeframes. The necessary training for the appointed staff member who is to deal with such grievances will be provided.</w:t>
      </w:r>
    </w:p>
    <w:p w14:paraId="04D05F1C" w14:textId="77777777" w:rsidR="009B5280" w:rsidRPr="00921B17" w:rsidRDefault="009B5280" w:rsidP="009B5280">
      <w:pPr>
        <w:rPr>
          <w:rFonts w:ascii="Times New Roman" w:hAnsi="Times New Roman" w:cs="Times New Roman"/>
          <w:color w:val="000000" w:themeColor="text1"/>
        </w:rPr>
      </w:pPr>
    </w:p>
    <w:p w14:paraId="48DD5F5B" w14:textId="77777777" w:rsidR="009B5280" w:rsidRPr="00921B17" w:rsidRDefault="009B5280" w:rsidP="009B5280">
      <w:pPr>
        <w:pStyle w:val="Heading2"/>
        <w:numPr>
          <w:ilvl w:val="1"/>
          <w:numId w:val="330"/>
        </w:numPr>
        <w:spacing w:before="240" w:after="120" w:line="276" w:lineRule="auto"/>
        <w:ind w:left="578" w:hanging="578"/>
        <w:rPr>
          <w:rFonts w:ascii="Times New Roman" w:hAnsi="Times New Roman" w:cs="Times New Roman"/>
          <w:smallCaps w:val="0"/>
          <w:sz w:val="24"/>
        </w:rPr>
      </w:pPr>
      <w:bookmarkStart w:id="673" w:name="_Toc93342316"/>
      <w:r w:rsidRPr="00921B17">
        <w:rPr>
          <w:rFonts w:ascii="Times New Roman" w:hAnsi="Times New Roman" w:cs="Times New Roman"/>
          <w:smallCaps w:val="0"/>
          <w:sz w:val="24"/>
        </w:rPr>
        <w:t>World Bank Grievance Redress Services</w:t>
      </w:r>
      <w:bookmarkEnd w:id="673"/>
    </w:p>
    <w:p w14:paraId="6FA00A03" w14:textId="488F8195" w:rsidR="009B5280" w:rsidRPr="00921B17" w:rsidRDefault="009B5280" w:rsidP="009B5280">
      <w:pPr>
        <w:widowControl w:val="0"/>
        <w:tabs>
          <w:tab w:val="left" w:pos="284"/>
        </w:tabs>
        <w:autoSpaceDE w:val="0"/>
        <w:autoSpaceDN w:val="0"/>
        <w:adjustRightInd w:val="0"/>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Communities and individuals who believe that they are adversely affected by a Bank supported project may submit complaints to existing project-level grievance redress mechanisms or the WB’s Grievance Redress Service (GRS). The GRS ensures that complaints received are promptly reviewed in order to address project-related concerns. Project affected communities and individuals may submit their complaint to the </w:t>
      </w:r>
      <w:r w:rsidR="0083163F">
        <w:rPr>
          <w:rFonts w:ascii="Times New Roman" w:hAnsi="Times New Roman" w:cs="Times New Roman"/>
          <w:color w:val="000000" w:themeColor="text1"/>
        </w:rPr>
        <w:t>Bank</w:t>
      </w:r>
      <w:r w:rsidR="0083163F" w:rsidRPr="00921B17">
        <w:rPr>
          <w:rFonts w:ascii="Times New Roman" w:hAnsi="Times New Roman" w:cs="Times New Roman"/>
          <w:color w:val="000000" w:themeColor="text1"/>
        </w:rPr>
        <w:t xml:space="preserve">’s </w:t>
      </w:r>
      <w:r w:rsidRPr="00921B17">
        <w:rPr>
          <w:rFonts w:ascii="Times New Roman" w:hAnsi="Times New Roman" w:cs="Times New Roman"/>
          <w:color w:val="000000" w:themeColor="text1"/>
        </w:rPr>
        <w:t xml:space="preserve">independent Inspection Panel which determines whether harm occurred, or could occur, as a result of </w:t>
      </w:r>
      <w:r w:rsidR="0083163F">
        <w:rPr>
          <w:rFonts w:ascii="Times New Roman" w:hAnsi="Times New Roman" w:cs="Times New Roman"/>
          <w:color w:val="000000" w:themeColor="text1"/>
        </w:rPr>
        <w:t>the Bank’s</w:t>
      </w:r>
      <w:r w:rsidR="0083163F" w:rsidRPr="00921B17">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 xml:space="preserve">non-compliance with its policies and procedures. Complaints may be submitted at any time after concerns have been brought directly to the Bank's attention, and </w:t>
      </w:r>
      <w:r w:rsidR="0083163F">
        <w:rPr>
          <w:rFonts w:ascii="Times New Roman" w:hAnsi="Times New Roman" w:cs="Times New Roman"/>
          <w:color w:val="000000" w:themeColor="text1"/>
        </w:rPr>
        <w:t xml:space="preserve">the </w:t>
      </w:r>
      <w:r w:rsidRPr="00921B17">
        <w:rPr>
          <w:rFonts w:ascii="Times New Roman" w:hAnsi="Times New Roman" w:cs="Times New Roman"/>
          <w:color w:val="000000" w:themeColor="text1"/>
        </w:rPr>
        <w:t xml:space="preserve">Bank Management has been given an opportunity to respond. </w:t>
      </w:r>
      <w:r w:rsidR="0083163F">
        <w:rPr>
          <w:rFonts w:ascii="Times New Roman" w:hAnsi="Times New Roman" w:cs="Times New Roman"/>
          <w:color w:val="000000" w:themeColor="text1"/>
        </w:rPr>
        <w:t>The i</w:t>
      </w:r>
      <w:r w:rsidRPr="00921B17">
        <w:rPr>
          <w:rFonts w:ascii="Times New Roman" w:hAnsi="Times New Roman" w:cs="Times New Roman"/>
          <w:color w:val="000000" w:themeColor="text1"/>
        </w:rPr>
        <w:t xml:space="preserve">nformation on how to submit complaints to the Bank’s corporate Grievance Redress Service (GRS), </w:t>
      </w:r>
      <w:r w:rsidR="0083163F">
        <w:rPr>
          <w:rFonts w:ascii="Times New Roman" w:hAnsi="Times New Roman" w:cs="Times New Roman"/>
          <w:color w:val="000000" w:themeColor="text1"/>
        </w:rPr>
        <w:t>is available at:</w:t>
      </w:r>
      <w:r w:rsidRPr="00921B17">
        <w:rPr>
          <w:rFonts w:ascii="Times New Roman" w:hAnsi="Times New Roman" w:cs="Times New Roman"/>
          <w:color w:val="000000" w:themeColor="text1"/>
        </w:rPr>
        <w:t xml:space="preserve"> </w:t>
      </w:r>
      <w:hyperlink r:id="rId34" w:history="1">
        <w:r w:rsidRPr="00921B17">
          <w:rPr>
            <w:rFonts w:ascii="Times New Roman" w:hAnsi="Times New Roman" w:cs="Times New Roman"/>
            <w:color w:val="000000" w:themeColor="text1"/>
          </w:rPr>
          <w:t>http://www.worldbank.org/en/projects-operations/products-and-services/grievance-redress-service</w:t>
        </w:r>
      </w:hyperlink>
      <w:r w:rsidRPr="00921B17">
        <w:rPr>
          <w:rFonts w:ascii="Times New Roman" w:hAnsi="Times New Roman" w:cs="Times New Roman"/>
          <w:color w:val="000000" w:themeColor="text1"/>
        </w:rPr>
        <w:t xml:space="preserve">. </w:t>
      </w:r>
      <w:r w:rsidR="0083163F">
        <w:rPr>
          <w:rFonts w:ascii="Times New Roman" w:hAnsi="Times New Roman" w:cs="Times New Roman"/>
          <w:color w:val="000000" w:themeColor="text1"/>
        </w:rPr>
        <w:t>The</w:t>
      </w:r>
      <w:r w:rsidR="0083163F" w:rsidRPr="00921B17">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information on how to submit complaints to the Bank Inspection Panel</w:t>
      </w:r>
      <w:r w:rsidR="0083163F">
        <w:rPr>
          <w:rFonts w:ascii="Times New Roman" w:hAnsi="Times New Roman" w:cs="Times New Roman"/>
          <w:color w:val="000000" w:themeColor="text1"/>
        </w:rPr>
        <w:t xml:space="preserve"> is available at: </w:t>
      </w:r>
      <w:hyperlink r:id="rId35" w:history="1">
        <w:r w:rsidRPr="00921B17">
          <w:rPr>
            <w:rFonts w:ascii="Times New Roman" w:hAnsi="Times New Roman" w:cs="Times New Roman"/>
            <w:color w:val="000000" w:themeColor="text1"/>
          </w:rPr>
          <w:t>www.inspectionpanel.org</w:t>
        </w:r>
      </w:hyperlink>
      <w:r w:rsidRPr="00921B17">
        <w:rPr>
          <w:rFonts w:ascii="Times New Roman" w:hAnsi="Times New Roman" w:cs="Times New Roman"/>
          <w:color w:val="000000" w:themeColor="text1"/>
        </w:rPr>
        <w:t>.</w:t>
      </w:r>
    </w:p>
    <w:p w14:paraId="69ACFAC4" w14:textId="77777777" w:rsidR="009B5280" w:rsidRPr="00921B17" w:rsidRDefault="009B5280" w:rsidP="009B5280">
      <w:pPr>
        <w:pStyle w:val="num"/>
        <w:spacing w:before="0" w:after="120" w:line="276" w:lineRule="auto"/>
        <w:jc w:val="both"/>
        <w:rPr>
          <w:rFonts w:ascii="Times New Roman" w:hAnsi="Times New Roman" w:cs="Times New Roman"/>
          <w:color w:val="FF0000"/>
          <w:sz w:val="24"/>
        </w:rPr>
      </w:pPr>
    </w:p>
    <w:p w14:paraId="0C3FC2C4" w14:textId="77777777" w:rsidR="00695481" w:rsidRPr="00921B17" w:rsidRDefault="00695481" w:rsidP="00D01979">
      <w:pPr>
        <w:spacing w:line="276" w:lineRule="auto"/>
        <w:rPr>
          <w:rFonts w:ascii="Times New Roman" w:hAnsi="Times New Roman" w:cs="Times New Roman"/>
        </w:rPr>
      </w:pPr>
    </w:p>
    <w:p w14:paraId="051FA0C3" w14:textId="77777777" w:rsidR="00695481" w:rsidRPr="00921B17" w:rsidRDefault="00695481" w:rsidP="00D01979">
      <w:pPr>
        <w:spacing w:line="276" w:lineRule="auto"/>
        <w:rPr>
          <w:rFonts w:ascii="Times New Roman" w:hAnsi="Times New Roman" w:cs="Times New Roman"/>
        </w:rPr>
      </w:pPr>
    </w:p>
    <w:p w14:paraId="29671E3A" w14:textId="77777777" w:rsidR="00695481" w:rsidRPr="00921B17" w:rsidRDefault="00695481" w:rsidP="00D01979">
      <w:pPr>
        <w:spacing w:line="276" w:lineRule="auto"/>
        <w:rPr>
          <w:rFonts w:ascii="Times New Roman" w:hAnsi="Times New Roman" w:cs="Times New Roman"/>
          <w:smallCaps/>
        </w:rPr>
      </w:pPr>
    </w:p>
    <w:p w14:paraId="2500E158" w14:textId="77777777" w:rsidR="00695481" w:rsidRPr="00921B17" w:rsidRDefault="00695481" w:rsidP="00D01979">
      <w:pPr>
        <w:spacing w:line="276" w:lineRule="auto"/>
        <w:rPr>
          <w:rFonts w:ascii="Times New Roman" w:eastAsiaTheme="majorEastAsia" w:hAnsi="Times New Roman" w:cs="Times New Roman"/>
          <w:b/>
          <w:bCs/>
          <w:sz w:val="30"/>
          <w:szCs w:val="30"/>
        </w:rPr>
      </w:pPr>
      <w:r w:rsidRPr="00921B17">
        <w:rPr>
          <w:rFonts w:ascii="Times New Roman" w:hAnsi="Times New Roman" w:cs="Times New Roman"/>
          <w:smallCaps/>
          <w:sz w:val="30"/>
          <w:szCs w:val="30"/>
        </w:rPr>
        <w:br w:type="page"/>
      </w:r>
    </w:p>
    <w:p w14:paraId="14C7C583" w14:textId="72586D37" w:rsidR="0027439D" w:rsidRPr="00921B17" w:rsidRDefault="0027439D" w:rsidP="00D01979">
      <w:pPr>
        <w:pStyle w:val="Heading1"/>
        <w:numPr>
          <w:ilvl w:val="0"/>
          <w:numId w:val="330"/>
        </w:numPr>
        <w:pBdr>
          <w:bottom w:val="none" w:sz="0" w:space="0" w:color="auto"/>
        </w:pBdr>
        <w:spacing w:line="276" w:lineRule="auto"/>
        <w:ind w:left="431" w:hanging="431"/>
        <w:rPr>
          <w:rFonts w:ascii="Times New Roman" w:hAnsi="Times New Roman" w:cs="Times New Roman"/>
          <w:smallCaps w:val="0"/>
          <w:color w:val="auto"/>
          <w:sz w:val="30"/>
          <w:szCs w:val="30"/>
        </w:rPr>
      </w:pPr>
      <w:bookmarkStart w:id="674" w:name="_Toc93342317"/>
      <w:r w:rsidRPr="00921B17">
        <w:rPr>
          <w:rFonts w:ascii="Times New Roman" w:hAnsi="Times New Roman" w:cs="Times New Roman"/>
          <w:smallCaps w:val="0"/>
          <w:color w:val="auto"/>
          <w:sz w:val="30"/>
          <w:szCs w:val="30"/>
        </w:rPr>
        <w:t xml:space="preserve">Document Management </w:t>
      </w:r>
      <w:r w:rsidR="007C3FAC" w:rsidRPr="00921B17">
        <w:rPr>
          <w:rFonts w:ascii="Times New Roman" w:hAnsi="Times New Roman" w:cs="Times New Roman"/>
          <w:smallCaps w:val="0"/>
          <w:color w:val="auto"/>
          <w:sz w:val="30"/>
          <w:szCs w:val="30"/>
        </w:rPr>
        <w:t>System</w:t>
      </w:r>
      <w:bookmarkEnd w:id="674"/>
    </w:p>
    <w:p w14:paraId="01098FD6" w14:textId="004CCCB7" w:rsidR="0027439D" w:rsidRPr="00921B17" w:rsidRDefault="00FA7752"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675" w:name="_Toc61565115"/>
      <w:bookmarkStart w:id="676" w:name="_Toc61610219"/>
      <w:bookmarkStart w:id="677" w:name="_Toc90070719"/>
      <w:bookmarkStart w:id="678" w:name="_Toc90070869"/>
      <w:bookmarkStart w:id="679" w:name="_Toc90071547"/>
      <w:bookmarkStart w:id="680" w:name="_Toc90227378"/>
      <w:bookmarkStart w:id="681" w:name="_Toc90227522"/>
      <w:bookmarkStart w:id="682" w:name="_Toc61565116"/>
      <w:bookmarkStart w:id="683" w:name="_Toc61610220"/>
      <w:bookmarkStart w:id="684" w:name="_Toc90070720"/>
      <w:bookmarkStart w:id="685" w:name="_Toc90070870"/>
      <w:bookmarkStart w:id="686" w:name="_Toc90071548"/>
      <w:bookmarkStart w:id="687" w:name="_Toc90227379"/>
      <w:bookmarkStart w:id="688" w:name="_Toc90227523"/>
      <w:bookmarkStart w:id="689" w:name="_Toc93342318"/>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Pr="00921B17">
        <w:rPr>
          <w:rFonts w:ascii="Times New Roman" w:hAnsi="Times New Roman" w:cs="Times New Roman"/>
          <w:smallCaps w:val="0"/>
          <w:color w:val="auto"/>
          <w:sz w:val="24"/>
        </w:rPr>
        <w:t>Type of Documents</w:t>
      </w:r>
      <w:bookmarkEnd w:id="689"/>
      <w:r w:rsidRPr="00921B17">
        <w:rPr>
          <w:rFonts w:ascii="Times New Roman" w:hAnsi="Times New Roman" w:cs="Times New Roman"/>
          <w:smallCaps w:val="0"/>
          <w:color w:val="auto"/>
          <w:sz w:val="24"/>
        </w:rPr>
        <w:t xml:space="preserve"> </w:t>
      </w:r>
    </w:p>
    <w:p w14:paraId="732C49F0" w14:textId="0018BB0A" w:rsidR="00FA7752" w:rsidRPr="00921B17" w:rsidRDefault="00FA7752" w:rsidP="00665F55">
      <w:pPr>
        <w:spacing w:line="276" w:lineRule="auto"/>
        <w:jc w:val="both"/>
        <w:rPr>
          <w:rFonts w:ascii="Times New Roman" w:hAnsi="Times New Roman" w:cs="Times New Roman"/>
        </w:rPr>
      </w:pPr>
      <w:r w:rsidRPr="00921B17">
        <w:rPr>
          <w:rFonts w:ascii="Times New Roman" w:hAnsi="Times New Roman" w:cs="Times New Roman"/>
        </w:rPr>
        <w:t xml:space="preserve">Records must be accurate, authentic, reliable, complete, and accessible, and they must have integrity if they are to perform their role in documenting the Performance of the Project, inclusive </w:t>
      </w:r>
      <w:r w:rsidR="00B73A37" w:rsidRPr="00921B17">
        <w:rPr>
          <w:rFonts w:ascii="Times New Roman" w:hAnsi="Times New Roman" w:cs="Times New Roman"/>
        </w:rPr>
        <w:t>of</w:t>
      </w:r>
      <w:r w:rsidRPr="00921B17">
        <w:rPr>
          <w:rFonts w:ascii="Times New Roman" w:hAnsi="Times New Roman" w:cs="Times New Roman"/>
        </w:rPr>
        <w:t xml:space="preserve"> decisions, processes, activities and transaction and in serving as a trusted source of information to support future decision making.</w:t>
      </w:r>
    </w:p>
    <w:p w14:paraId="253EA316" w14:textId="1A98E069" w:rsidR="00763174" w:rsidRPr="00921B17" w:rsidRDefault="00763174" w:rsidP="00665F55">
      <w:pPr>
        <w:spacing w:line="276" w:lineRule="auto"/>
        <w:jc w:val="both"/>
        <w:rPr>
          <w:rFonts w:ascii="Times New Roman" w:hAnsi="Times New Roman" w:cs="Times New Roman"/>
        </w:rPr>
      </w:pPr>
      <w:r w:rsidRPr="00921B17">
        <w:rPr>
          <w:rFonts w:ascii="Times New Roman" w:hAnsi="Times New Roman" w:cs="Times New Roman"/>
        </w:rPr>
        <w:t xml:space="preserve">Documents in the meaning as assigned in </w:t>
      </w:r>
      <w:r w:rsidR="00055081" w:rsidRPr="00921B17">
        <w:rPr>
          <w:rFonts w:ascii="Times New Roman" w:hAnsi="Times New Roman" w:cs="Times New Roman"/>
        </w:rPr>
        <w:t>this</w:t>
      </w:r>
      <w:r w:rsidRPr="00921B17">
        <w:rPr>
          <w:rFonts w:ascii="Times New Roman" w:hAnsi="Times New Roman" w:cs="Times New Roman"/>
        </w:rPr>
        <w:t xml:space="preserve"> Manual can be: </w:t>
      </w:r>
    </w:p>
    <w:p w14:paraId="6F035722" w14:textId="77777777" w:rsidR="00763174" w:rsidRPr="008E4F97" w:rsidRDefault="00763174" w:rsidP="00665F55">
      <w:pPr>
        <w:pStyle w:val="ListParagraph"/>
        <w:numPr>
          <w:ilvl w:val="0"/>
          <w:numId w:val="588"/>
        </w:numPr>
        <w:spacing w:line="276" w:lineRule="auto"/>
        <w:ind w:left="426"/>
        <w:jc w:val="both"/>
        <w:rPr>
          <w:rFonts w:ascii="Times New Roman" w:hAnsi="Times New Roman" w:cs="Times New Roman"/>
        </w:rPr>
      </w:pPr>
      <w:r w:rsidRPr="008E4F97">
        <w:rPr>
          <w:rFonts w:ascii="Times New Roman" w:hAnsi="Times New Roman" w:cs="Times New Roman"/>
        </w:rPr>
        <w:t xml:space="preserve">Paper records, </w:t>
      </w:r>
    </w:p>
    <w:p w14:paraId="4C17CE1F" w14:textId="77777777" w:rsidR="00763174" w:rsidRPr="008E4F97" w:rsidRDefault="00763174" w:rsidP="00665F55">
      <w:pPr>
        <w:pStyle w:val="ListParagraph"/>
        <w:numPr>
          <w:ilvl w:val="0"/>
          <w:numId w:val="588"/>
        </w:numPr>
        <w:spacing w:line="276" w:lineRule="auto"/>
        <w:ind w:left="426"/>
        <w:jc w:val="both"/>
        <w:rPr>
          <w:rFonts w:ascii="Times New Roman" w:hAnsi="Times New Roman" w:cs="Times New Roman"/>
        </w:rPr>
      </w:pPr>
      <w:r w:rsidRPr="008E4F97">
        <w:rPr>
          <w:rFonts w:ascii="Times New Roman" w:hAnsi="Times New Roman" w:cs="Times New Roman"/>
        </w:rPr>
        <w:t>Electronic records</w:t>
      </w:r>
    </w:p>
    <w:p w14:paraId="09A9980F" w14:textId="578B350B" w:rsidR="00763174" w:rsidRPr="00665F55" w:rsidRDefault="00763174" w:rsidP="00665F55">
      <w:pPr>
        <w:pStyle w:val="ListParagraph"/>
        <w:numPr>
          <w:ilvl w:val="0"/>
          <w:numId w:val="588"/>
        </w:numPr>
        <w:spacing w:line="276" w:lineRule="auto"/>
        <w:ind w:left="426"/>
        <w:jc w:val="both"/>
        <w:rPr>
          <w:rFonts w:ascii="Times New Roman" w:hAnsi="Times New Roman" w:cs="Times New Roman"/>
        </w:rPr>
      </w:pPr>
      <w:r w:rsidRPr="008E4F97">
        <w:rPr>
          <w:rFonts w:ascii="Times New Roman" w:hAnsi="Times New Roman" w:cs="Times New Roman"/>
        </w:rPr>
        <w:t>Social Media Records</w:t>
      </w:r>
      <w:r w:rsidR="0083163F">
        <w:rPr>
          <w:rFonts w:ascii="Times New Roman" w:hAnsi="Times New Roman" w:cs="Times New Roman"/>
        </w:rPr>
        <w:t>.</w:t>
      </w:r>
    </w:p>
    <w:p w14:paraId="66DFB837" w14:textId="127ECD47"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 xml:space="preserve">During Project implementation different types of the documents will be produced, which can </w:t>
      </w:r>
      <w:r w:rsidR="00763174" w:rsidRPr="00921B17">
        <w:rPr>
          <w:rFonts w:ascii="Times New Roman" w:hAnsi="Times New Roman" w:cs="Times New Roman"/>
        </w:rPr>
        <w:t>fall in either of the above three main categories:</w:t>
      </w:r>
    </w:p>
    <w:p w14:paraId="2FAB0E05" w14:textId="6C0572ED" w:rsidR="0027439D" w:rsidRPr="00921B17" w:rsidRDefault="0027439D" w:rsidP="0083163F">
      <w:pPr>
        <w:pStyle w:val="ListParagraph"/>
        <w:numPr>
          <w:ilvl w:val="0"/>
          <w:numId w:val="281"/>
        </w:numPr>
        <w:spacing w:after="240" w:line="276" w:lineRule="auto"/>
        <w:ind w:left="709"/>
        <w:jc w:val="both"/>
        <w:rPr>
          <w:rFonts w:ascii="Times New Roman" w:hAnsi="Times New Roman" w:cs="Times New Roman"/>
        </w:rPr>
      </w:pPr>
      <w:r w:rsidRPr="00921B17">
        <w:rPr>
          <w:rFonts w:ascii="Times New Roman" w:hAnsi="Times New Roman" w:cs="Times New Roman"/>
        </w:rPr>
        <w:t>Technical documen</w:t>
      </w:r>
      <w:r w:rsidR="00763174" w:rsidRPr="00921B17">
        <w:rPr>
          <w:rFonts w:ascii="Times New Roman" w:hAnsi="Times New Roman" w:cs="Times New Roman"/>
        </w:rPr>
        <w:t>ts</w:t>
      </w:r>
      <w:r w:rsidRPr="00921B17">
        <w:rPr>
          <w:rFonts w:ascii="Times New Roman" w:hAnsi="Times New Roman" w:cs="Times New Roman"/>
        </w:rPr>
        <w:t xml:space="preserve"> - includes but </w:t>
      </w:r>
      <w:r w:rsidR="00763174" w:rsidRPr="00921B17">
        <w:rPr>
          <w:rFonts w:ascii="Times New Roman" w:hAnsi="Times New Roman" w:cs="Times New Roman"/>
        </w:rPr>
        <w:t xml:space="preserve">is </w:t>
      </w:r>
      <w:r w:rsidRPr="00921B17">
        <w:rPr>
          <w:rFonts w:ascii="Times New Roman" w:hAnsi="Times New Roman" w:cs="Times New Roman"/>
        </w:rPr>
        <w:t xml:space="preserve">not limited to: </w:t>
      </w:r>
      <w:r w:rsidR="00763174" w:rsidRPr="00921B17">
        <w:rPr>
          <w:rFonts w:ascii="Times New Roman" w:hAnsi="Times New Roman" w:cs="Times New Roman"/>
        </w:rPr>
        <w:t xml:space="preserve">ESA, Screening reports, </w:t>
      </w:r>
      <w:r w:rsidRPr="00921B17">
        <w:rPr>
          <w:rFonts w:ascii="Times New Roman" w:hAnsi="Times New Roman" w:cs="Times New Roman"/>
        </w:rPr>
        <w:t>studies, designs, ToRs, tender documents, tender evaluation</w:t>
      </w:r>
      <w:r w:rsidR="00763174" w:rsidRPr="00921B17">
        <w:rPr>
          <w:rFonts w:ascii="Times New Roman" w:hAnsi="Times New Roman" w:cs="Times New Roman"/>
        </w:rPr>
        <w:t xml:space="preserve"> reports</w:t>
      </w:r>
      <w:r w:rsidRPr="00921B17">
        <w:rPr>
          <w:rFonts w:ascii="Times New Roman" w:hAnsi="Times New Roman" w:cs="Times New Roman"/>
        </w:rPr>
        <w:t>, drawings, etc.;</w:t>
      </w:r>
    </w:p>
    <w:p w14:paraId="2816D98C" w14:textId="5C6EB116" w:rsidR="00763174" w:rsidRPr="00921B17" w:rsidRDefault="00763174" w:rsidP="0083163F">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 xml:space="preserve">Contractual documents – include but are not limited to: Contracts for Construction works, Consultancy Contracts, </w:t>
      </w:r>
      <w:r w:rsidR="00DA08FD" w:rsidRPr="006D4327">
        <w:rPr>
          <w:rFonts w:ascii="Times New Roman" w:hAnsi="Times New Roman" w:cs="Times New Roman"/>
        </w:rPr>
        <w:t>FA</w:t>
      </w:r>
      <w:r w:rsidRPr="00921B17">
        <w:rPr>
          <w:rFonts w:ascii="Times New Roman" w:hAnsi="Times New Roman" w:cs="Times New Roman"/>
        </w:rPr>
        <w:t xml:space="preserve"> and </w:t>
      </w:r>
      <w:r w:rsidR="006913CC" w:rsidRPr="006D4327">
        <w:rPr>
          <w:rFonts w:ascii="Times New Roman" w:hAnsi="Times New Roman" w:cs="Times New Roman"/>
        </w:rPr>
        <w:t>GA</w:t>
      </w:r>
      <w:r w:rsidRPr="00921B17">
        <w:rPr>
          <w:rFonts w:ascii="Times New Roman" w:hAnsi="Times New Roman" w:cs="Times New Roman"/>
        </w:rPr>
        <w:t xml:space="preserve">, Project </w:t>
      </w:r>
      <w:r w:rsidR="00B73A37" w:rsidRPr="00921B17">
        <w:rPr>
          <w:rFonts w:ascii="Times New Roman" w:hAnsi="Times New Roman" w:cs="Times New Roman"/>
        </w:rPr>
        <w:t>workers</w:t>
      </w:r>
      <w:r w:rsidR="008C5BF9">
        <w:rPr>
          <w:rFonts w:ascii="Times New Roman" w:hAnsi="Times New Roman" w:cs="Times New Roman"/>
        </w:rPr>
        <w:t xml:space="preserve"> contracts</w:t>
      </w:r>
      <w:r w:rsidRPr="00921B17">
        <w:rPr>
          <w:rFonts w:ascii="Times New Roman" w:hAnsi="Times New Roman" w:cs="Times New Roman"/>
        </w:rPr>
        <w:t xml:space="preserve"> </w:t>
      </w:r>
    </w:p>
    <w:p w14:paraId="5045944E" w14:textId="4AB3D629" w:rsidR="0027439D" w:rsidRPr="00921B17" w:rsidRDefault="0027439D"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 xml:space="preserve">Monitoring documents - they are result of the PIU activities and include: project progress reports, project monitoring reports and completion report. The main purpose of this type of document is to inform the IBRD, </w:t>
      </w:r>
      <w:r w:rsidR="0083163F">
        <w:rPr>
          <w:rFonts w:ascii="Times New Roman" w:hAnsi="Times New Roman" w:cs="Times New Roman"/>
        </w:rPr>
        <w:t xml:space="preserve">the </w:t>
      </w:r>
      <w:r w:rsidRPr="00921B17">
        <w:rPr>
          <w:rFonts w:ascii="Times New Roman" w:hAnsi="Times New Roman" w:cs="Times New Roman"/>
        </w:rPr>
        <w:t xml:space="preserve">AFD, </w:t>
      </w:r>
      <w:r w:rsidR="0083163F">
        <w:rPr>
          <w:rFonts w:ascii="Times New Roman" w:hAnsi="Times New Roman" w:cs="Times New Roman"/>
        </w:rPr>
        <w:t xml:space="preserve">the </w:t>
      </w:r>
      <w:r w:rsidRPr="00921B17">
        <w:rPr>
          <w:rFonts w:ascii="Times New Roman" w:hAnsi="Times New Roman" w:cs="Times New Roman"/>
        </w:rPr>
        <w:t>MCTI and</w:t>
      </w:r>
      <w:r w:rsidR="0083163F">
        <w:rPr>
          <w:rFonts w:ascii="Times New Roman" w:hAnsi="Times New Roman" w:cs="Times New Roman"/>
        </w:rPr>
        <w:t xml:space="preserve"> the</w:t>
      </w:r>
      <w:r w:rsidRPr="00921B17">
        <w:rPr>
          <w:rFonts w:ascii="Times New Roman" w:hAnsi="Times New Roman" w:cs="Times New Roman"/>
        </w:rPr>
        <w:t xml:space="preserve"> </w:t>
      </w:r>
      <w:r w:rsidR="00C26ABA">
        <w:rPr>
          <w:rFonts w:ascii="Times New Roman" w:hAnsi="Times New Roman" w:cs="Times New Roman"/>
        </w:rPr>
        <w:t xml:space="preserve">Steering </w:t>
      </w:r>
      <w:r w:rsidR="00D560A9">
        <w:rPr>
          <w:rFonts w:ascii="Times New Roman" w:hAnsi="Times New Roman" w:cs="Times New Roman"/>
        </w:rPr>
        <w:t>Committee</w:t>
      </w:r>
      <w:r w:rsidRPr="00921B17">
        <w:rPr>
          <w:rFonts w:ascii="Times New Roman" w:hAnsi="Times New Roman" w:cs="Times New Roman"/>
        </w:rPr>
        <w:t xml:space="preserve"> as well as other interested parties, about the Project progress.</w:t>
      </w:r>
    </w:p>
    <w:p w14:paraId="185760E9" w14:textId="01FD8011" w:rsidR="0027439D" w:rsidRPr="00921B17" w:rsidRDefault="0027439D"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 xml:space="preserve">Meeting documents - minutes of the meeting, as well as agenda, should be prepared and submitted to all participants, for all meetings-either regular meeting or ad hoc meetings, </w:t>
      </w:r>
      <w:r w:rsidR="0083163F">
        <w:rPr>
          <w:rFonts w:ascii="Times New Roman" w:hAnsi="Times New Roman" w:cs="Times New Roman"/>
        </w:rPr>
        <w:t xml:space="preserve">the </w:t>
      </w:r>
      <w:r w:rsidR="00D560A9">
        <w:rPr>
          <w:rFonts w:ascii="Times New Roman" w:hAnsi="Times New Roman" w:cs="Times New Roman"/>
        </w:rPr>
        <w:t>Steering Committee</w:t>
      </w:r>
      <w:r w:rsidRPr="00921B17">
        <w:rPr>
          <w:rFonts w:ascii="Times New Roman" w:hAnsi="Times New Roman" w:cs="Times New Roman"/>
        </w:rPr>
        <w:t xml:space="preserve"> sessions, etc. This type of documents also includes: trainings, workshops, slide shows and other means of presentation prepared for such meetings;</w:t>
      </w:r>
    </w:p>
    <w:p w14:paraId="6B2D85B0" w14:textId="0745DD75" w:rsidR="0027439D" w:rsidRPr="00921B17" w:rsidRDefault="0027439D"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Data - during project preparation and implementation a number of data will be collected and processe</w:t>
      </w:r>
      <w:r w:rsidR="00792B6B">
        <w:rPr>
          <w:rFonts w:ascii="Times New Roman" w:hAnsi="Times New Roman" w:cs="Times New Roman"/>
        </w:rPr>
        <w:t>d</w:t>
      </w:r>
      <w:r w:rsidRPr="00921B17">
        <w:rPr>
          <w:rFonts w:ascii="Times New Roman" w:hAnsi="Times New Roman" w:cs="Times New Roman"/>
        </w:rPr>
        <w:t xml:space="preserve">. In that context it is recommended to </w:t>
      </w:r>
      <w:r w:rsidR="0083163F">
        <w:rPr>
          <w:rFonts w:ascii="Times New Roman" w:hAnsi="Times New Roman" w:cs="Times New Roman"/>
        </w:rPr>
        <w:t xml:space="preserve">the </w:t>
      </w:r>
      <w:r w:rsidRPr="00921B17">
        <w:rPr>
          <w:rFonts w:ascii="Times New Roman" w:hAnsi="Times New Roman" w:cs="Times New Roman"/>
        </w:rPr>
        <w:t xml:space="preserve">PIU to organize </w:t>
      </w:r>
      <w:r w:rsidR="0083163F">
        <w:rPr>
          <w:rFonts w:ascii="Times New Roman" w:hAnsi="Times New Roman" w:cs="Times New Roman"/>
        </w:rPr>
        <w:t xml:space="preserve">a </w:t>
      </w:r>
      <w:r w:rsidRPr="00921B17">
        <w:rPr>
          <w:rFonts w:ascii="Times New Roman" w:hAnsi="Times New Roman" w:cs="Times New Roman"/>
        </w:rPr>
        <w:t>sort of Project library where all these collected data, either raw or processed, will be kept;</w:t>
      </w:r>
      <w:r w:rsidR="00921B17">
        <w:rPr>
          <w:rFonts w:ascii="Times New Roman" w:hAnsi="Times New Roman" w:cs="Times New Roman"/>
        </w:rPr>
        <w:t xml:space="preserve"> </w:t>
      </w:r>
    </w:p>
    <w:p w14:paraId="6C74DC1D" w14:textId="1D242711" w:rsidR="00055081" w:rsidRPr="00921B17" w:rsidRDefault="0027439D"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 xml:space="preserve">Project management documents - during </w:t>
      </w:r>
      <w:r w:rsidR="0083163F">
        <w:rPr>
          <w:rFonts w:ascii="Times New Roman" w:hAnsi="Times New Roman" w:cs="Times New Roman"/>
        </w:rPr>
        <w:t xml:space="preserve">the </w:t>
      </w:r>
      <w:r w:rsidRPr="00921B17">
        <w:rPr>
          <w:rFonts w:ascii="Times New Roman" w:hAnsi="Times New Roman" w:cs="Times New Roman"/>
        </w:rPr>
        <w:t>Project implementation different documents for project management will be produced, such as: financial plans, financial reports, procurement strategy, procurement plan, procurement reports, project implementation plans, budgets, accounts, contracts and contract amendments, if any, invoices, disbursement requests, payment requests, etc.</w:t>
      </w:r>
    </w:p>
    <w:p w14:paraId="48923D3F" w14:textId="77777777" w:rsidR="0027439D" w:rsidRPr="00921B17" w:rsidRDefault="0027439D"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Communication documents - includes correspondence and mails;</w:t>
      </w:r>
    </w:p>
    <w:p w14:paraId="2D446E8F" w14:textId="552C3170" w:rsidR="0027439D" w:rsidRPr="00921B17" w:rsidRDefault="0027439D"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 xml:space="preserve">Quality management documents - </w:t>
      </w:r>
      <w:r w:rsidR="008C5BF9">
        <w:rPr>
          <w:rFonts w:ascii="Times New Roman" w:hAnsi="Times New Roman" w:cs="Times New Roman"/>
        </w:rPr>
        <w:t>POGM</w:t>
      </w:r>
      <w:r w:rsidRPr="00921B17">
        <w:rPr>
          <w:rFonts w:ascii="Times New Roman" w:hAnsi="Times New Roman" w:cs="Times New Roman"/>
        </w:rPr>
        <w:t xml:space="preserve">, and its </w:t>
      </w:r>
      <w:r w:rsidR="00695481" w:rsidRPr="00921B17">
        <w:rPr>
          <w:rFonts w:ascii="Times New Roman" w:hAnsi="Times New Roman" w:cs="Times New Roman"/>
        </w:rPr>
        <w:t>annexes</w:t>
      </w:r>
      <w:r w:rsidRPr="00921B17">
        <w:rPr>
          <w:rFonts w:ascii="Times New Roman" w:hAnsi="Times New Roman" w:cs="Times New Roman"/>
        </w:rPr>
        <w:t>, if any, audits, etc.;</w:t>
      </w:r>
    </w:p>
    <w:p w14:paraId="3552212B" w14:textId="68329CD4" w:rsidR="0027439D" w:rsidRPr="00921B17" w:rsidRDefault="00C26ABA" w:rsidP="00D01979">
      <w:pPr>
        <w:pStyle w:val="ListParagraph"/>
        <w:numPr>
          <w:ilvl w:val="0"/>
          <w:numId w:val="281"/>
        </w:numPr>
        <w:spacing w:after="240" w:line="276" w:lineRule="auto"/>
        <w:jc w:val="both"/>
        <w:rPr>
          <w:rFonts w:ascii="Times New Roman" w:hAnsi="Times New Roman" w:cs="Times New Roman"/>
        </w:rPr>
      </w:pPr>
      <w:r w:rsidRPr="00921B17">
        <w:rPr>
          <w:rFonts w:ascii="Times New Roman" w:hAnsi="Times New Roman" w:cs="Times New Roman"/>
        </w:rPr>
        <w:t>Visibility</w:t>
      </w:r>
      <w:r w:rsidR="0027439D" w:rsidRPr="00921B17">
        <w:rPr>
          <w:rFonts w:ascii="Times New Roman" w:hAnsi="Times New Roman" w:cs="Times New Roman"/>
        </w:rPr>
        <w:t xml:space="preserve"> - includes newsletter, press releases, web news;</w:t>
      </w:r>
    </w:p>
    <w:p w14:paraId="2ACF3175" w14:textId="7B6CFE52"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 xml:space="preserve">The person authorized by the Head of </w:t>
      </w:r>
      <w:r w:rsidR="0083163F">
        <w:rPr>
          <w:rFonts w:ascii="Times New Roman" w:hAnsi="Times New Roman" w:cs="Times New Roman"/>
        </w:rPr>
        <w:t xml:space="preserve">the </w:t>
      </w:r>
      <w:r w:rsidRPr="00921B17">
        <w:rPr>
          <w:rFonts w:ascii="Times New Roman" w:hAnsi="Times New Roman" w:cs="Times New Roman"/>
        </w:rPr>
        <w:t>PIU will be responsible for ensuring the backup copies of all above mentioned documents which shall be stored in a safe place outside the Project office, and he/she will be responsible for weekly backup, which should be done on Friday on a reliable media (</w:t>
      </w:r>
      <w:r w:rsidR="003F425C" w:rsidRPr="00921B17">
        <w:rPr>
          <w:rFonts w:ascii="Times New Roman" w:hAnsi="Times New Roman" w:cs="Times New Roman"/>
        </w:rPr>
        <w:t>e.g.,</w:t>
      </w:r>
      <w:r w:rsidRPr="00921B17">
        <w:rPr>
          <w:rFonts w:ascii="Times New Roman" w:hAnsi="Times New Roman" w:cs="Times New Roman"/>
        </w:rPr>
        <w:t xml:space="preserve"> a separate hard disc).</w:t>
      </w:r>
    </w:p>
    <w:p w14:paraId="69A9303D" w14:textId="1B045B41" w:rsidR="0027439D" w:rsidRPr="00921B17" w:rsidRDefault="0027439D"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690" w:name="_Toc61610222"/>
      <w:bookmarkStart w:id="691" w:name="_Toc93342319"/>
      <w:r w:rsidRPr="00921B17">
        <w:rPr>
          <w:rFonts w:ascii="Times New Roman" w:hAnsi="Times New Roman" w:cs="Times New Roman"/>
          <w:smallCaps w:val="0"/>
          <w:color w:val="auto"/>
          <w:sz w:val="24"/>
        </w:rPr>
        <w:t>Identification of Documents</w:t>
      </w:r>
      <w:bookmarkEnd w:id="690"/>
      <w:bookmarkEnd w:id="691"/>
    </w:p>
    <w:p w14:paraId="1AAC9317" w14:textId="58B4DD71" w:rsidR="0027439D" w:rsidRPr="00921B17" w:rsidRDefault="00055081" w:rsidP="00665F55">
      <w:pPr>
        <w:spacing w:line="276" w:lineRule="auto"/>
        <w:jc w:val="both"/>
        <w:rPr>
          <w:rFonts w:ascii="Times New Roman" w:hAnsi="Times New Roman" w:cs="Times New Roman"/>
        </w:rPr>
      </w:pPr>
      <w:r w:rsidRPr="00921B17">
        <w:rPr>
          <w:rFonts w:ascii="Times New Roman" w:hAnsi="Times New Roman" w:cs="Times New Roman"/>
        </w:rPr>
        <w:t xml:space="preserve">Paper records must be placed physically in the appropriate folder within a shared-unit paper filing system. Units should contact the Archives if they need help in structuring their filing </w:t>
      </w:r>
      <w:r w:rsidR="00B73A37" w:rsidRPr="00921B17">
        <w:rPr>
          <w:rFonts w:ascii="Times New Roman" w:hAnsi="Times New Roman" w:cs="Times New Roman"/>
        </w:rPr>
        <w:t>systems. In</w:t>
      </w:r>
      <w:r w:rsidR="0027439D" w:rsidRPr="00921B17">
        <w:rPr>
          <w:rFonts w:ascii="Times New Roman" w:hAnsi="Times New Roman" w:cs="Times New Roman"/>
        </w:rPr>
        <w:t xml:space="preserve"> order to facilitate easy and unique identification of all documents and versions of documents relating to the Project, </w:t>
      </w:r>
      <w:r w:rsidR="000A2DF6" w:rsidRPr="00921B17">
        <w:rPr>
          <w:rFonts w:ascii="Times New Roman" w:hAnsi="Times New Roman" w:cs="Times New Roman"/>
        </w:rPr>
        <w:t>the following guidelines should be followed</w:t>
      </w:r>
      <w:r w:rsidR="0027439D" w:rsidRPr="00921B17">
        <w:rPr>
          <w:rFonts w:ascii="Times New Roman" w:hAnsi="Times New Roman" w:cs="Times New Roman"/>
        </w:rPr>
        <w:t>:</w:t>
      </w:r>
    </w:p>
    <w:p w14:paraId="4C07C3D0" w14:textId="38129C2E" w:rsidR="000A2DF6" w:rsidRPr="00921B17" w:rsidRDefault="000A2DF6" w:rsidP="00D01979">
      <w:pPr>
        <w:pStyle w:val="BodyText"/>
        <w:spacing w:line="276" w:lineRule="auto"/>
        <w:rPr>
          <w:rFonts w:ascii="Times New Roman" w:hAnsi="Times New Roman"/>
          <w:lang w:val="en-GB" w:bidi="ps-AF"/>
        </w:rPr>
      </w:pPr>
      <w:r w:rsidRPr="00921B17">
        <w:rPr>
          <w:rFonts w:ascii="Times New Roman" w:hAnsi="Times New Roman"/>
          <w:lang w:val="en-GB" w:bidi="ps-AF"/>
        </w:rPr>
        <w:t>Documents classification building blocks:</w:t>
      </w:r>
    </w:p>
    <w:p w14:paraId="3EE68A33" w14:textId="17183077" w:rsidR="000A2DF6" w:rsidRPr="00921B17" w:rsidRDefault="00C26ABA" w:rsidP="00D01979">
      <w:pPr>
        <w:spacing w:line="276" w:lineRule="auto"/>
        <w:rPr>
          <w:rFonts w:ascii="Times New Roman" w:hAnsi="Times New Roman" w:cs="Times New Roman"/>
        </w:rPr>
      </w:pPr>
      <w:r>
        <w:rPr>
          <w:rFonts w:ascii="Times New Roman" w:hAnsi="Times New Roman" w:cs="Times New Roman"/>
          <w:noProof/>
          <w:lang w:val="en-US"/>
        </w:rPr>
        <w:drawing>
          <wp:inline distT="0" distB="0" distL="0" distR="0" wp14:anchorId="1607F27D" wp14:editId="19DF203C">
            <wp:extent cx="5952380" cy="429260"/>
            <wp:effectExtent l="19050" t="0" r="29845" b="279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7"/>
        <w:gridCol w:w="1557"/>
        <w:gridCol w:w="1557"/>
        <w:gridCol w:w="1557"/>
        <w:gridCol w:w="1557"/>
        <w:gridCol w:w="1558"/>
      </w:tblGrid>
      <w:tr w:rsidR="00FA5AB1" w:rsidRPr="00C72FF6" w14:paraId="4482319F" w14:textId="77777777" w:rsidTr="001C2BA4">
        <w:tc>
          <w:tcPr>
            <w:tcW w:w="1557" w:type="dxa"/>
          </w:tcPr>
          <w:p w14:paraId="4D571AC5" w14:textId="79796822" w:rsidR="00FA5AB1" w:rsidRPr="00C72FF6" w:rsidRDefault="00FA5AB1" w:rsidP="00D01979">
            <w:pPr>
              <w:spacing w:line="276" w:lineRule="auto"/>
              <w:rPr>
                <w:rFonts w:ascii="Times New Roman" w:hAnsi="Times New Roman" w:cs="Times New Roman"/>
                <w:sz w:val="18"/>
                <w:szCs w:val="18"/>
              </w:rPr>
            </w:pPr>
            <w:r w:rsidRPr="00C72FF6">
              <w:rPr>
                <w:rFonts w:ascii="Times New Roman" w:hAnsi="Times New Roman" w:cs="Times New Roman"/>
                <w:sz w:val="18"/>
                <w:szCs w:val="18"/>
              </w:rPr>
              <w:t>LIIDS P 174251</w:t>
            </w:r>
          </w:p>
        </w:tc>
        <w:tc>
          <w:tcPr>
            <w:tcW w:w="1557" w:type="dxa"/>
          </w:tcPr>
          <w:p w14:paraId="21AADCF2" w14:textId="4FE1A8C4" w:rsidR="00FA5AB1" w:rsidRPr="00C72FF6" w:rsidRDefault="00FA5AB1" w:rsidP="00D01979">
            <w:pPr>
              <w:spacing w:line="276" w:lineRule="auto"/>
              <w:rPr>
                <w:rFonts w:ascii="Times New Roman" w:hAnsi="Times New Roman" w:cs="Times New Roman"/>
                <w:sz w:val="18"/>
                <w:szCs w:val="18"/>
              </w:rPr>
            </w:pPr>
            <w:r w:rsidRPr="00C72FF6">
              <w:rPr>
                <w:rFonts w:ascii="Times New Roman" w:hAnsi="Times New Roman" w:cs="Times New Roman"/>
                <w:sz w:val="18"/>
                <w:szCs w:val="18"/>
              </w:rPr>
              <w:t>Number Given in the PP</w:t>
            </w:r>
          </w:p>
        </w:tc>
        <w:tc>
          <w:tcPr>
            <w:tcW w:w="1557" w:type="dxa"/>
          </w:tcPr>
          <w:p w14:paraId="32EB008A" w14:textId="4B401B52" w:rsidR="00FA5AB1" w:rsidRPr="00C72FF6" w:rsidRDefault="00D560A9" w:rsidP="00D01979">
            <w:pPr>
              <w:spacing w:line="276" w:lineRule="auto"/>
              <w:rPr>
                <w:rFonts w:ascii="Times New Roman" w:hAnsi="Times New Roman" w:cs="Times New Roman"/>
                <w:sz w:val="18"/>
                <w:szCs w:val="18"/>
              </w:rPr>
            </w:pPr>
            <w:r>
              <w:rPr>
                <w:rFonts w:ascii="Times New Roman" w:hAnsi="Times New Roman" w:cs="Times New Roman"/>
                <w:noProof/>
                <w:sz w:val="18"/>
                <w:szCs w:val="18"/>
                <w:lang w:val="en-US"/>
              </w:rPr>
              <mc:AlternateContent>
                <mc:Choice Requires="wps">
                  <w:drawing>
                    <wp:anchor distT="0" distB="0" distL="114300" distR="114300" simplePos="0" relativeHeight="251667456" behindDoc="0" locked="0" layoutInCell="1" allowOverlap="1" wp14:anchorId="7564F612" wp14:editId="639A5DC1">
                      <wp:simplePos x="0" y="0"/>
                      <wp:positionH relativeFrom="column">
                        <wp:posOffset>173198</wp:posOffset>
                      </wp:positionH>
                      <wp:positionV relativeFrom="paragraph">
                        <wp:posOffset>732677</wp:posOffset>
                      </wp:positionV>
                      <wp:extent cx="515344" cy="2408222"/>
                      <wp:effectExtent l="57150" t="38100" r="0" b="106680"/>
                      <wp:wrapNone/>
                      <wp:docPr id="2" name="Arrow: Down 2"/>
                      <wp:cNvGraphicFramePr/>
                      <a:graphic xmlns:a="http://schemas.openxmlformats.org/drawingml/2006/main">
                        <a:graphicData uri="http://schemas.microsoft.com/office/word/2010/wordprocessingShape">
                          <wps:wsp>
                            <wps:cNvSpPr/>
                            <wps:spPr>
                              <a:xfrm>
                                <a:off x="0" y="0"/>
                                <a:ext cx="515344" cy="2408222"/>
                              </a:xfrm>
                              <a:prstGeom prst="downArrow">
                                <a:avLst/>
                              </a:prstGeom>
                              <a:ln/>
                            </wps:spPr>
                            <wps:style>
                              <a:lnRef idx="0">
                                <a:schemeClr val="accent6"/>
                              </a:lnRef>
                              <a:fillRef idx="3">
                                <a:schemeClr val="accent6"/>
                              </a:fillRef>
                              <a:effectRef idx="3">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A306D8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 o:spid="_x0000_s1026" type="#_x0000_t67" style="position:absolute;margin-left:13.65pt;margin-top:57.7pt;width:40.6pt;height:189.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" adj="19289" fillcolor="#f79646 [3209]" stroked="f">
                      <v:fill color2="#fbcaa2 [1625]" rotate="t" angle="180" focus="100%" type="gradient">
                        <o:fill v:ext="view" type="gradientUnscaled"/>
                      </v:fill>
                      <v:shadow on="t" color="black" opacity="22937f" origin=",.5" offset="0,.63889mm"/>
                    </v:shape>
                  </w:pict>
                </mc:Fallback>
              </mc:AlternateContent>
            </w:r>
            <w:r w:rsidR="00C72FF6" w:rsidRPr="00C72FF6">
              <w:rPr>
                <w:rFonts w:ascii="Times New Roman" w:hAnsi="Times New Roman" w:cs="Times New Roman"/>
                <w:sz w:val="18"/>
                <w:szCs w:val="18"/>
              </w:rPr>
              <w:t>Defines the document as per classification below</w:t>
            </w:r>
          </w:p>
        </w:tc>
        <w:tc>
          <w:tcPr>
            <w:tcW w:w="1557" w:type="dxa"/>
          </w:tcPr>
          <w:p w14:paraId="7C8072B0" w14:textId="3448F674" w:rsidR="00FA5AB1" w:rsidRPr="00C72FF6" w:rsidRDefault="00E46D84" w:rsidP="00D01979">
            <w:pPr>
              <w:spacing w:line="276" w:lineRule="auto"/>
              <w:rPr>
                <w:rFonts w:ascii="Times New Roman" w:hAnsi="Times New Roman" w:cs="Times New Roman"/>
                <w:sz w:val="18"/>
                <w:szCs w:val="18"/>
              </w:rPr>
            </w:pPr>
            <w:r w:rsidRPr="00E46D84">
              <w:rPr>
                <w:rFonts w:ascii="Times New Roman" w:hAnsi="Times New Roman" w:cs="Times New Roman"/>
                <w:sz w:val="18"/>
                <w:szCs w:val="18"/>
              </w:rPr>
              <w:t>short description of the document and it should be an intuitive description, which clearly describes the content of the document;</w:t>
            </w:r>
          </w:p>
        </w:tc>
        <w:tc>
          <w:tcPr>
            <w:tcW w:w="1557" w:type="dxa"/>
          </w:tcPr>
          <w:p w14:paraId="66BCD1DB" w14:textId="694233EC" w:rsidR="00FA5AB1" w:rsidRPr="00C72FF6" w:rsidRDefault="00E46D84" w:rsidP="00D01979">
            <w:pPr>
              <w:spacing w:line="276" w:lineRule="auto"/>
              <w:rPr>
                <w:rFonts w:ascii="Times New Roman" w:hAnsi="Times New Roman" w:cs="Times New Roman"/>
                <w:sz w:val="18"/>
                <w:szCs w:val="18"/>
              </w:rPr>
            </w:pPr>
            <w:r w:rsidRPr="00E46D84">
              <w:rPr>
                <w:rFonts w:ascii="Times New Roman" w:hAnsi="Times New Roman" w:cs="Times New Roman"/>
                <w:sz w:val="18"/>
                <w:szCs w:val="18"/>
              </w:rPr>
              <w:t xml:space="preserve">Issue Number - distinguish between the different versions of the same </w:t>
            </w:r>
            <w:r w:rsidR="00D560A9" w:rsidRPr="00E46D84">
              <w:rPr>
                <w:rFonts w:ascii="Times New Roman" w:hAnsi="Times New Roman" w:cs="Times New Roman"/>
                <w:sz w:val="18"/>
                <w:szCs w:val="18"/>
              </w:rPr>
              <w:t>document</w:t>
            </w:r>
            <w:r w:rsidR="00D560A9">
              <w:rPr>
                <w:rFonts w:ascii="Times New Roman" w:hAnsi="Times New Roman" w:cs="Times New Roman"/>
                <w:sz w:val="18"/>
                <w:szCs w:val="18"/>
              </w:rPr>
              <w:t xml:space="preserve">. </w:t>
            </w:r>
            <w:r w:rsidR="00D560A9" w:rsidRPr="00E46D84">
              <w:rPr>
                <w:rFonts w:ascii="Times New Roman" w:hAnsi="Times New Roman" w:cs="Times New Roman"/>
                <w:sz w:val="18"/>
                <w:szCs w:val="18"/>
              </w:rPr>
              <w:t>Files</w:t>
            </w:r>
            <w:r w:rsidRPr="00E46D84">
              <w:rPr>
                <w:rFonts w:ascii="Times New Roman" w:hAnsi="Times New Roman" w:cs="Times New Roman"/>
                <w:sz w:val="18"/>
                <w:szCs w:val="18"/>
              </w:rPr>
              <w:t xml:space="preserve"> containing final version of the documents which are officially submitted will be identified by the numbers (1, 2, 3...). Zero ("0"</w:t>
            </w:r>
            <w:r w:rsidR="003F425C" w:rsidRPr="00E46D84">
              <w:rPr>
                <w:rFonts w:ascii="Times New Roman" w:hAnsi="Times New Roman" w:cs="Times New Roman"/>
                <w:sz w:val="18"/>
                <w:szCs w:val="18"/>
              </w:rPr>
              <w:t>),</w:t>
            </w:r>
            <w:r w:rsidRPr="00E46D84">
              <w:rPr>
                <w:rFonts w:ascii="Times New Roman" w:hAnsi="Times New Roman" w:cs="Times New Roman"/>
                <w:sz w:val="18"/>
                <w:szCs w:val="18"/>
              </w:rPr>
              <w:t xml:space="preserve"> Letters will be used for the different version of same documents (0a, 0b, 0</w:t>
            </w:r>
            <w:r w:rsidR="003F425C" w:rsidRPr="00E46D84">
              <w:rPr>
                <w:rFonts w:ascii="Times New Roman" w:hAnsi="Times New Roman" w:cs="Times New Roman"/>
                <w:sz w:val="18"/>
                <w:szCs w:val="18"/>
              </w:rPr>
              <w:t>c,</w:t>
            </w:r>
            <w:r w:rsidRPr="00E46D84">
              <w:rPr>
                <w:rFonts w:ascii="Times New Roman" w:hAnsi="Times New Roman" w:cs="Times New Roman"/>
                <w:sz w:val="18"/>
                <w:szCs w:val="18"/>
              </w:rPr>
              <w:t>)</w:t>
            </w:r>
          </w:p>
        </w:tc>
        <w:tc>
          <w:tcPr>
            <w:tcW w:w="1558" w:type="dxa"/>
          </w:tcPr>
          <w:p w14:paraId="2800C228" w14:textId="77777777" w:rsidR="00E46D84" w:rsidRPr="00E46D84" w:rsidRDefault="00E46D84" w:rsidP="00E46D84">
            <w:pPr>
              <w:spacing w:line="276" w:lineRule="auto"/>
              <w:rPr>
                <w:rFonts w:ascii="Times New Roman" w:hAnsi="Times New Roman" w:cs="Times New Roman"/>
                <w:sz w:val="18"/>
                <w:szCs w:val="18"/>
              </w:rPr>
            </w:pPr>
            <w:r w:rsidRPr="00E46D84">
              <w:rPr>
                <w:rFonts w:ascii="Times New Roman" w:hAnsi="Times New Roman" w:cs="Times New Roman"/>
                <w:sz w:val="18"/>
                <w:szCs w:val="18"/>
              </w:rPr>
              <w:t>EN</w:t>
            </w:r>
            <w:r w:rsidRPr="00E46D84">
              <w:rPr>
                <w:rFonts w:ascii="Times New Roman" w:hAnsi="Times New Roman" w:cs="Times New Roman"/>
                <w:sz w:val="18"/>
                <w:szCs w:val="18"/>
              </w:rPr>
              <w:tab/>
              <w:t>English</w:t>
            </w:r>
          </w:p>
          <w:p w14:paraId="402532D3" w14:textId="77777777" w:rsidR="00E46D84" w:rsidRPr="00E46D84" w:rsidRDefault="00E46D84" w:rsidP="00E46D84">
            <w:pPr>
              <w:spacing w:line="276" w:lineRule="auto"/>
              <w:rPr>
                <w:rFonts w:ascii="Times New Roman" w:hAnsi="Times New Roman" w:cs="Times New Roman"/>
                <w:sz w:val="18"/>
                <w:szCs w:val="18"/>
              </w:rPr>
            </w:pPr>
            <w:r w:rsidRPr="00E46D84">
              <w:rPr>
                <w:rFonts w:ascii="Times New Roman" w:hAnsi="Times New Roman" w:cs="Times New Roman"/>
                <w:sz w:val="18"/>
                <w:szCs w:val="18"/>
              </w:rPr>
              <w:t>SRB</w:t>
            </w:r>
            <w:r w:rsidRPr="00E46D84">
              <w:rPr>
                <w:rFonts w:ascii="Times New Roman" w:hAnsi="Times New Roman" w:cs="Times New Roman"/>
                <w:sz w:val="18"/>
                <w:szCs w:val="18"/>
              </w:rPr>
              <w:tab/>
              <w:t>Serbian</w:t>
            </w:r>
          </w:p>
          <w:p w14:paraId="74CBAB94" w14:textId="77777777" w:rsidR="00FA5AB1" w:rsidRPr="00C72FF6" w:rsidRDefault="00FA5AB1" w:rsidP="00D01979">
            <w:pPr>
              <w:spacing w:line="276" w:lineRule="auto"/>
              <w:rPr>
                <w:rFonts w:ascii="Times New Roman" w:hAnsi="Times New Roman" w:cs="Times New Roman"/>
                <w:sz w:val="18"/>
                <w:szCs w:val="18"/>
              </w:rPr>
            </w:pPr>
          </w:p>
        </w:tc>
      </w:tr>
    </w:tbl>
    <w:tbl>
      <w:tblPr>
        <w:tblStyle w:val="TableGrid"/>
        <w:tblpPr w:leftFromText="180" w:rightFromText="180" w:vertAnchor="text" w:horzAnchor="page" w:tblpX="3783" w:tblpY="2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7"/>
        <w:gridCol w:w="2693"/>
      </w:tblGrid>
      <w:tr w:rsidR="00D560A9" w:rsidRPr="003B426C" w14:paraId="7CD823F4" w14:textId="77777777" w:rsidTr="00D560A9">
        <w:trPr>
          <w:trHeight w:val="387"/>
        </w:trPr>
        <w:tc>
          <w:tcPr>
            <w:tcW w:w="1447" w:type="dxa"/>
          </w:tcPr>
          <w:p w14:paraId="7E9C90E7" w14:textId="77777777" w:rsidR="00D560A9" w:rsidRPr="00665F55" w:rsidRDefault="00D560A9" w:rsidP="00D560A9">
            <w:pPr>
              <w:spacing w:line="276" w:lineRule="auto"/>
              <w:rPr>
                <w:rFonts w:ascii="Times New Roman" w:hAnsi="Times New Roman" w:cs="Times New Roman"/>
                <w:u w:val="single"/>
              </w:rPr>
            </w:pPr>
            <w:r w:rsidRPr="00665F55">
              <w:rPr>
                <w:rFonts w:ascii="Times New Roman" w:hAnsi="Times New Roman" w:cs="Times New Roman"/>
                <w:u w:val="single"/>
              </w:rPr>
              <w:t>Abbreviation</w:t>
            </w:r>
          </w:p>
        </w:tc>
        <w:tc>
          <w:tcPr>
            <w:tcW w:w="2693" w:type="dxa"/>
          </w:tcPr>
          <w:p w14:paraId="576FF35D" w14:textId="77777777" w:rsidR="00D560A9" w:rsidRPr="00665F55" w:rsidRDefault="00D560A9" w:rsidP="00D560A9">
            <w:pPr>
              <w:spacing w:line="276" w:lineRule="auto"/>
              <w:rPr>
                <w:rFonts w:ascii="Times New Roman" w:hAnsi="Times New Roman" w:cs="Times New Roman"/>
                <w:u w:val="single"/>
              </w:rPr>
            </w:pPr>
            <w:r w:rsidRPr="00665F55">
              <w:rPr>
                <w:rFonts w:ascii="Times New Roman" w:hAnsi="Times New Roman" w:cs="Times New Roman"/>
                <w:u w:val="single"/>
              </w:rPr>
              <w:t>Document Type</w:t>
            </w:r>
          </w:p>
        </w:tc>
      </w:tr>
      <w:tr w:rsidR="00D560A9" w:rsidRPr="003B426C" w14:paraId="1A2B630B" w14:textId="77777777" w:rsidTr="00D560A9">
        <w:trPr>
          <w:trHeight w:val="387"/>
        </w:trPr>
        <w:tc>
          <w:tcPr>
            <w:tcW w:w="1447" w:type="dxa"/>
          </w:tcPr>
          <w:p w14:paraId="0AE83A6F"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TEC</w:t>
            </w:r>
          </w:p>
        </w:tc>
        <w:tc>
          <w:tcPr>
            <w:tcW w:w="2693" w:type="dxa"/>
          </w:tcPr>
          <w:p w14:paraId="0A16724B"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Technical reports</w:t>
            </w:r>
          </w:p>
        </w:tc>
      </w:tr>
      <w:tr w:rsidR="003F425C" w:rsidRPr="003B426C" w14:paraId="35920529" w14:textId="77777777" w:rsidTr="00D560A9">
        <w:trPr>
          <w:trHeight w:val="387"/>
        </w:trPr>
        <w:tc>
          <w:tcPr>
            <w:tcW w:w="1447" w:type="dxa"/>
          </w:tcPr>
          <w:p w14:paraId="45933770" w14:textId="3911C097" w:rsidR="003F425C" w:rsidRPr="003B426C" w:rsidRDefault="003F425C" w:rsidP="003F425C">
            <w:pPr>
              <w:spacing w:line="276" w:lineRule="auto"/>
              <w:rPr>
                <w:rFonts w:ascii="Times New Roman" w:hAnsi="Times New Roman" w:cs="Times New Roman"/>
              </w:rPr>
            </w:pPr>
            <w:r w:rsidRPr="003B426C">
              <w:rPr>
                <w:rFonts w:ascii="Times New Roman" w:hAnsi="Times New Roman" w:cs="Times New Roman"/>
              </w:rPr>
              <w:t xml:space="preserve">CD </w:t>
            </w:r>
          </w:p>
        </w:tc>
        <w:tc>
          <w:tcPr>
            <w:tcW w:w="2693" w:type="dxa"/>
          </w:tcPr>
          <w:p w14:paraId="3BC2A71E" w14:textId="0285C4D6" w:rsidR="003F425C" w:rsidRPr="003B426C" w:rsidRDefault="003F425C" w:rsidP="003F425C">
            <w:pPr>
              <w:spacing w:line="276" w:lineRule="auto"/>
              <w:rPr>
                <w:rFonts w:ascii="Times New Roman" w:hAnsi="Times New Roman" w:cs="Times New Roman"/>
              </w:rPr>
            </w:pPr>
            <w:r w:rsidRPr="003B426C">
              <w:rPr>
                <w:rFonts w:ascii="Times New Roman" w:hAnsi="Times New Roman" w:cs="Times New Roman"/>
              </w:rPr>
              <w:t xml:space="preserve">Contractual documents </w:t>
            </w:r>
          </w:p>
        </w:tc>
      </w:tr>
      <w:tr w:rsidR="00D560A9" w:rsidRPr="003B426C" w14:paraId="18784FB9" w14:textId="77777777" w:rsidTr="00D560A9">
        <w:trPr>
          <w:trHeight w:val="376"/>
        </w:trPr>
        <w:tc>
          <w:tcPr>
            <w:tcW w:w="1447" w:type="dxa"/>
          </w:tcPr>
          <w:p w14:paraId="0D834E87"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MON</w:t>
            </w:r>
          </w:p>
        </w:tc>
        <w:tc>
          <w:tcPr>
            <w:tcW w:w="2693" w:type="dxa"/>
          </w:tcPr>
          <w:p w14:paraId="016846FF"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Monitoring reports</w:t>
            </w:r>
          </w:p>
        </w:tc>
      </w:tr>
      <w:tr w:rsidR="00D560A9" w:rsidRPr="003B426C" w14:paraId="619AC1A4" w14:textId="77777777" w:rsidTr="00D560A9">
        <w:trPr>
          <w:trHeight w:val="387"/>
        </w:trPr>
        <w:tc>
          <w:tcPr>
            <w:tcW w:w="1447" w:type="dxa"/>
          </w:tcPr>
          <w:p w14:paraId="5A9730B1"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MEET</w:t>
            </w:r>
          </w:p>
        </w:tc>
        <w:tc>
          <w:tcPr>
            <w:tcW w:w="2693" w:type="dxa"/>
          </w:tcPr>
          <w:p w14:paraId="7533DC63"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Meeting documents</w:t>
            </w:r>
          </w:p>
        </w:tc>
      </w:tr>
      <w:tr w:rsidR="00D560A9" w:rsidRPr="003B426C" w14:paraId="1C3F6D06" w14:textId="77777777" w:rsidTr="00D560A9">
        <w:trPr>
          <w:trHeight w:val="387"/>
        </w:trPr>
        <w:tc>
          <w:tcPr>
            <w:tcW w:w="1447" w:type="dxa"/>
          </w:tcPr>
          <w:p w14:paraId="09039E34"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DATA</w:t>
            </w:r>
          </w:p>
        </w:tc>
        <w:tc>
          <w:tcPr>
            <w:tcW w:w="2693" w:type="dxa"/>
          </w:tcPr>
          <w:p w14:paraId="6AD8DA66"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Data</w:t>
            </w:r>
          </w:p>
        </w:tc>
      </w:tr>
      <w:tr w:rsidR="00D560A9" w:rsidRPr="003B426C" w14:paraId="26BF1742" w14:textId="77777777" w:rsidTr="00D560A9">
        <w:trPr>
          <w:trHeight w:val="387"/>
        </w:trPr>
        <w:tc>
          <w:tcPr>
            <w:tcW w:w="1447" w:type="dxa"/>
          </w:tcPr>
          <w:p w14:paraId="48463D4C"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PM</w:t>
            </w:r>
          </w:p>
        </w:tc>
        <w:tc>
          <w:tcPr>
            <w:tcW w:w="2693" w:type="dxa"/>
          </w:tcPr>
          <w:p w14:paraId="49AA5657"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Project management documents</w:t>
            </w:r>
          </w:p>
        </w:tc>
      </w:tr>
      <w:tr w:rsidR="00D560A9" w:rsidRPr="003B426C" w14:paraId="12755741" w14:textId="77777777" w:rsidTr="00D560A9">
        <w:trPr>
          <w:trHeight w:val="387"/>
        </w:trPr>
        <w:tc>
          <w:tcPr>
            <w:tcW w:w="1447" w:type="dxa"/>
          </w:tcPr>
          <w:p w14:paraId="0BEBF5AD"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COM</w:t>
            </w:r>
          </w:p>
        </w:tc>
        <w:tc>
          <w:tcPr>
            <w:tcW w:w="2693" w:type="dxa"/>
          </w:tcPr>
          <w:p w14:paraId="763CB840"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Communication documents</w:t>
            </w:r>
          </w:p>
        </w:tc>
      </w:tr>
      <w:tr w:rsidR="00D560A9" w:rsidRPr="003B426C" w14:paraId="14DDD760" w14:textId="77777777" w:rsidTr="00D560A9">
        <w:trPr>
          <w:trHeight w:val="387"/>
        </w:trPr>
        <w:tc>
          <w:tcPr>
            <w:tcW w:w="1447" w:type="dxa"/>
          </w:tcPr>
          <w:p w14:paraId="3AA11096"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QM</w:t>
            </w:r>
          </w:p>
        </w:tc>
        <w:tc>
          <w:tcPr>
            <w:tcW w:w="2693" w:type="dxa"/>
          </w:tcPr>
          <w:p w14:paraId="50061844"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 xml:space="preserve">Quality Management </w:t>
            </w:r>
          </w:p>
        </w:tc>
      </w:tr>
      <w:tr w:rsidR="00D560A9" w:rsidRPr="003B426C" w14:paraId="6FEEB8AE" w14:textId="77777777" w:rsidTr="00D560A9">
        <w:trPr>
          <w:trHeight w:val="387"/>
        </w:trPr>
        <w:tc>
          <w:tcPr>
            <w:tcW w:w="1447" w:type="dxa"/>
          </w:tcPr>
          <w:p w14:paraId="1D9C3C38"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 xml:space="preserve">VD </w:t>
            </w:r>
          </w:p>
        </w:tc>
        <w:tc>
          <w:tcPr>
            <w:tcW w:w="2693" w:type="dxa"/>
          </w:tcPr>
          <w:p w14:paraId="0DBEE89E" w14:textId="77777777" w:rsidR="00D560A9" w:rsidRPr="003B426C" w:rsidRDefault="00D560A9" w:rsidP="00D560A9">
            <w:pPr>
              <w:spacing w:line="276" w:lineRule="auto"/>
              <w:rPr>
                <w:rFonts w:ascii="Times New Roman" w:hAnsi="Times New Roman" w:cs="Times New Roman"/>
              </w:rPr>
            </w:pPr>
            <w:r w:rsidRPr="003B426C">
              <w:rPr>
                <w:rFonts w:ascii="Times New Roman" w:hAnsi="Times New Roman" w:cs="Times New Roman"/>
              </w:rPr>
              <w:t>Visibility document</w:t>
            </w:r>
          </w:p>
        </w:tc>
      </w:tr>
    </w:tbl>
    <w:p w14:paraId="18E78E8F" w14:textId="7EFFCCC2" w:rsidR="00C72FF6" w:rsidRDefault="00C72FF6" w:rsidP="00D01979">
      <w:pPr>
        <w:spacing w:line="276" w:lineRule="auto"/>
        <w:rPr>
          <w:rFonts w:ascii="Times New Roman" w:hAnsi="Times New Roman" w:cs="Times New Roman"/>
        </w:rPr>
      </w:pPr>
    </w:p>
    <w:p w14:paraId="214B2665" w14:textId="77777777" w:rsidR="00805410" w:rsidRPr="00921B17" w:rsidRDefault="00805410" w:rsidP="00D01979">
      <w:pPr>
        <w:spacing w:line="276" w:lineRule="auto"/>
        <w:rPr>
          <w:rFonts w:ascii="Times New Roman" w:hAnsi="Times New Roman" w:cs="Times New Roman"/>
        </w:rPr>
      </w:pPr>
    </w:p>
    <w:p w14:paraId="0916A878" w14:textId="61A88447" w:rsidR="000A2DF6" w:rsidRPr="00921B17" w:rsidRDefault="000A2DF6" w:rsidP="00D01979">
      <w:pPr>
        <w:spacing w:line="276" w:lineRule="auto"/>
        <w:rPr>
          <w:rFonts w:ascii="Times New Roman" w:hAnsi="Times New Roman" w:cs="Times New Roman"/>
        </w:rPr>
      </w:pPr>
    </w:p>
    <w:p w14:paraId="3B063C6C" w14:textId="533D0B92" w:rsidR="000A2DF6" w:rsidRPr="00921B17" w:rsidRDefault="000A2DF6" w:rsidP="00D01979">
      <w:pPr>
        <w:spacing w:line="276" w:lineRule="auto"/>
        <w:rPr>
          <w:rFonts w:ascii="Times New Roman" w:hAnsi="Times New Roman" w:cs="Times New Roman"/>
        </w:rPr>
      </w:pPr>
    </w:p>
    <w:p w14:paraId="7AAA257E" w14:textId="77777777" w:rsidR="000A2DF6" w:rsidRPr="00921B17" w:rsidRDefault="000A2DF6" w:rsidP="00D01979">
      <w:pPr>
        <w:spacing w:line="276" w:lineRule="auto"/>
        <w:rPr>
          <w:rFonts w:ascii="Times New Roman" w:hAnsi="Times New Roman" w:cs="Times New Roman"/>
        </w:rPr>
      </w:pPr>
    </w:p>
    <w:p w14:paraId="38BED673" w14:textId="77777777" w:rsidR="000A2DF6" w:rsidRPr="00921B17" w:rsidRDefault="000A2DF6" w:rsidP="00D01979">
      <w:pPr>
        <w:spacing w:line="276" w:lineRule="auto"/>
        <w:rPr>
          <w:rFonts w:ascii="Times New Roman" w:hAnsi="Times New Roman" w:cs="Times New Roman"/>
        </w:rPr>
      </w:pPr>
    </w:p>
    <w:p w14:paraId="04890E2A" w14:textId="77777777" w:rsidR="000A2DF6" w:rsidRPr="00921B17" w:rsidRDefault="000A2DF6" w:rsidP="00D01979">
      <w:pPr>
        <w:spacing w:line="276" w:lineRule="auto"/>
        <w:rPr>
          <w:rFonts w:ascii="Times New Roman" w:hAnsi="Times New Roman" w:cs="Times New Roman"/>
        </w:rPr>
      </w:pPr>
    </w:p>
    <w:p w14:paraId="032952B5" w14:textId="513A2F45" w:rsidR="0027439D" w:rsidRDefault="0027439D" w:rsidP="00D01979">
      <w:pPr>
        <w:spacing w:line="276" w:lineRule="auto"/>
        <w:rPr>
          <w:rFonts w:ascii="Times New Roman" w:hAnsi="Times New Roman" w:cs="Times New Roman"/>
        </w:rPr>
      </w:pPr>
    </w:p>
    <w:p w14:paraId="40345D4E" w14:textId="77777777" w:rsidR="00C72FF6" w:rsidRDefault="00C72FF6" w:rsidP="00D01979">
      <w:pPr>
        <w:spacing w:line="276" w:lineRule="auto"/>
        <w:rPr>
          <w:rFonts w:ascii="Times New Roman" w:hAnsi="Times New Roman" w:cs="Times New Roman"/>
        </w:rPr>
      </w:pPr>
    </w:p>
    <w:p w14:paraId="2D041D7D" w14:textId="6BF2AFA6" w:rsidR="00C72FF6" w:rsidRDefault="00C72FF6" w:rsidP="00D01979">
      <w:pPr>
        <w:spacing w:line="276" w:lineRule="auto"/>
        <w:rPr>
          <w:rFonts w:ascii="Times New Roman" w:hAnsi="Times New Roman" w:cs="Times New Roman"/>
        </w:rPr>
      </w:pPr>
    </w:p>
    <w:p w14:paraId="584952E9" w14:textId="77777777" w:rsidR="00E46D84" w:rsidRPr="00921B17" w:rsidRDefault="00E46D84" w:rsidP="00D01979">
      <w:pPr>
        <w:spacing w:line="276" w:lineRule="auto"/>
        <w:rPr>
          <w:rFonts w:ascii="Times New Roman" w:hAnsi="Times New Roman" w:cs="Times New Roman"/>
        </w:rPr>
      </w:pPr>
    </w:p>
    <w:p w14:paraId="1DB3394C" w14:textId="77777777" w:rsidR="00E46D84" w:rsidRDefault="00E46D84" w:rsidP="00D01979">
      <w:pPr>
        <w:spacing w:before="120" w:line="276" w:lineRule="auto"/>
        <w:rPr>
          <w:rFonts w:ascii="Times New Roman" w:hAnsi="Times New Roman" w:cs="Times New Roman"/>
        </w:rPr>
      </w:pPr>
    </w:p>
    <w:p w14:paraId="6CC603E2" w14:textId="77777777" w:rsidR="00E46D84" w:rsidRDefault="00E46D84" w:rsidP="00D01979">
      <w:pPr>
        <w:spacing w:before="120" w:line="276" w:lineRule="auto"/>
        <w:rPr>
          <w:rFonts w:ascii="Times New Roman" w:hAnsi="Times New Roman" w:cs="Times New Roman"/>
        </w:rPr>
      </w:pPr>
    </w:p>
    <w:p w14:paraId="319BDF82" w14:textId="14EA4156" w:rsidR="0027439D" w:rsidRPr="00921B17" w:rsidRDefault="0027439D"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692" w:name="_Toc61610223"/>
      <w:bookmarkStart w:id="693" w:name="_Toc93342320"/>
      <w:r w:rsidRPr="00921B17">
        <w:rPr>
          <w:rFonts w:ascii="Times New Roman" w:hAnsi="Times New Roman" w:cs="Times New Roman"/>
          <w:smallCaps w:val="0"/>
          <w:color w:val="auto"/>
          <w:sz w:val="24"/>
        </w:rPr>
        <w:t>Registration and Distribution of Reports and Minutes</w:t>
      </w:r>
      <w:bookmarkEnd w:id="692"/>
      <w:bookmarkEnd w:id="693"/>
    </w:p>
    <w:p w14:paraId="43DA3958" w14:textId="1FA4ED14"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 xml:space="preserve">The person appointed by the Head of </w:t>
      </w:r>
      <w:r w:rsidR="0083163F">
        <w:rPr>
          <w:rFonts w:ascii="Times New Roman" w:hAnsi="Times New Roman" w:cs="Times New Roman"/>
        </w:rPr>
        <w:t xml:space="preserve">the </w:t>
      </w:r>
      <w:r w:rsidRPr="00921B17">
        <w:rPr>
          <w:rFonts w:ascii="Times New Roman" w:hAnsi="Times New Roman" w:cs="Times New Roman"/>
        </w:rPr>
        <w:t xml:space="preserve">PIU will be responsible for </w:t>
      </w:r>
      <w:r w:rsidR="00D560A9">
        <w:rPr>
          <w:rFonts w:ascii="Times New Roman" w:hAnsi="Times New Roman" w:cs="Times New Roman"/>
        </w:rPr>
        <w:t xml:space="preserve">filing </w:t>
      </w:r>
      <w:r w:rsidR="00D560A9" w:rsidRPr="00921B17">
        <w:rPr>
          <w:rFonts w:ascii="Times New Roman" w:hAnsi="Times New Roman" w:cs="Times New Roman"/>
        </w:rPr>
        <w:t>and</w:t>
      </w:r>
      <w:r w:rsidRPr="00921B17">
        <w:rPr>
          <w:rFonts w:ascii="Times New Roman" w:hAnsi="Times New Roman" w:cs="Times New Roman"/>
        </w:rPr>
        <w:t xml:space="preserve"> distribution of the documents</w:t>
      </w:r>
      <w:r w:rsidR="00D560A9">
        <w:rPr>
          <w:rFonts w:ascii="Times New Roman" w:hAnsi="Times New Roman" w:cs="Times New Roman"/>
        </w:rPr>
        <w:t>.</w:t>
      </w:r>
    </w:p>
    <w:p w14:paraId="25D6CAE0" w14:textId="2AD60D50" w:rsidR="0027439D" w:rsidRPr="00921B17" w:rsidRDefault="0027439D"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694" w:name="_Toc61610224"/>
      <w:bookmarkStart w:id="695" w:name="_Toc93342321"/>
      <w:r w:rsidRPr="00921B17">
        <w:rPr>
          <w:rFonts w:ascii="Times New Roman" w:hAnsi="Times New Roman" w:cs="Times New Roman"/>
          <w:smallCaps w:val="0"/>
          <w:color w:val="auto"/>
          <w:sz w:val="24"/>
        </w:rPr>
        <w:t>Handling of Communication Documents</w:t>
      </w:r>
      <w:bookmarkEnd w:id="694"/>
      <w:bookmarkEnd w:id="695"/>
    </w:p>
    <w:p w14:paraId="3C31A80D" w14:textId="230D798A" w:rsidR="0027439D" w:rsidRPr="00921B17" w:rsidRDefault="00D560A9" w:rsidP="00665F55">
      <w:pPr>
        <w:spacing w:line="276" w:lineRule="auto"/>
        <w:jc w:val="both"/>
        <w:rPr>
          <w:rFonts w:ascii="Times New Roman" w:hAnsi="Times New Roman" w:cs="Times New Roman"/>
        </w:rPr>
      </w:pPr>
      <w:r>
        <w:rPr>
          <w:rFonts w:ascii="Times New Roman" w:hAnsi="Times New Roman" w:cs="Times New Roman"/>
        </w:rPr>
        <w:t>C</w:t>
      </w:r>
      <w:r w:rsidR="0027439D" w:rsidRPr="00921B17">
        <w:rPr>
          <w:rFonts w:ascii="Times New Roman" w:hAnsi="Times New Roman" w:cs="Times New Roman"/>
        </w:rPr>
        <w:t>ommunication documents cover:</w:t>
      </w:r>
    </w:p>
    <w:p w14:paraId="5808C8CC" w14:textId="77777777" w:rsidR="0027439D" w:rsidRPr="00921B17" w:rsidRDefault="0027439D" w:rsidP="0083163F">
      <w:pPr>
        <w:pStyle w:val="ListParagraph"/>
        <w:numPr>
          <w:ilvl w:val="0"/>
          <w:numId w:val="282"/>
        </w:numPr>
        <w:spacing w:after="240" w:line="276" w:lineRule="auto"/>
        <w:jc w:val="both"/>
        <w:rPr>
          <w:rFonts w:ascii="Times New Roman" w:hAnsi="Times New Roman" w:cs="Times New Roman"/>
        </w:rPr>
      </w:pPr>
      <w:r w:rsidRPr="00921B17">
        <w:rPr>
          <w:rFonts w:ascii="Times New Roman" w:hAnsi="Times New Roman" w:cs="Times New Roman"/>
        </w:rPr>
        <w:t xml:space="preserve">Correspondence, defined as formal written communication with other stakeholders, </w:t>
      </w:r>
    </w:p>
    <w:p w14:paraId="640C1E49" w14:textId="77777777" w:rsidR="0027439D" w:rsidRPr="00921B17" w:rsidRDefault="0027439D" w:rsidP="00665F55">
      <w:pPr>
        <w:pStyle w:val="ListParagraph"/>
        <w:spacing w:line="276" w:lineRule="auto"/>
        <w:jc w:val="both"/>
        <w:rPr>
          <w:rFonts w:ascii="Times New Roman" w:hAnsi="Times New Roman" w:cs="Times New Roman"/>
        </w:rPr>
      </w:pPr>
      <w:r w:rsidRPr="00921B17">
        <w:rPr>
          <w:rFonts w:ascii="Times New Roman" w:hAnsi="Times New Roman" w:cs="Times New Roman"/>
        </w:rPr>
        <w:t xml:space="preserve">and </w:t>
      </w:r>
    </w:p>
    <w:p w14:paraId="3FF2D11A" w14:textId="0C7B9482" w:rsidR="0027439D" w:rsidRPr="00921B17" w:rsidRDefault="0027439D" w:rsidP="0083163F">
      <w:pPr>
        <w:pStyle w:val="ListParagraph"/>
        <w:numPr>
          <w:ilvl w:val="0"/>
          <w:numId w:val="282"/>
        </w:numPr>
        <w:spacing w:after="240" w:line="276" w:lineRule="auto"/>
        <w:jc w:val="both"/>
        <w:rPr>
          <w:rFonts w:ascii="Times New Roman" w:hAnsi="Times New Roman" w:cs="Times New Roman"/>
        </w:rPr>
      </w:pPr>
      <w:r w:rsidRPr="00921B17">
        <w:rPr>
          <w:rFonts w:ascii="Times New Roman" w:hAnsi="Times New Roman" w:cs="Times New Roman"/>
        </w:rPr>
        <w:t xml:space="preserve">Mail, which covers internal communication documents exchanged between members of the </w:t>
      </w:r>
      <w:r w:rsidR="008E4F97" w:rsidRPr="00921B17">
        <w:rPr>
          <w:rFonts w:ascii="Times New Roman" w:hAnsi="Times New Roman" w:cs="Times New Roman"/>
        </w:rPr>
        <w:t>PIU, as</w:t>
      </w:r>
      <w:r w:rsidRPr="00921B17">
        <w:rPr>
          <w:rFonts w:ascii="Times New Roman" w:hAnsi="Times New Roman" w:cs="Times New Roman"/>
        </w:rPr>
        <w:t xml:space="preserve"> well as informal documents between the members of the PIU and other Project stakeholders.</w:t>
      </w:r>
    </w:p>
    <w:p w14:paraId="614CB294" w14:textId="1931D875"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All communication documents will be</w:t>
      </w:r>
      <w:r w:rsidR="00D560A9">
        <w:rPr>
          <w:rFonts w:ascii="Times New Roman" w:hAnsi="Times New Roman" w:cs="Times New Roman"/>
        </w:rPr>
        <w:t xml:space="preserve"> in</w:t>
      </w:r>
      <w:r w:rsidRPr="00921B17">
        <w:rPr>
          <w:rFonts w:ascii="Times New Roman" w:hAnsi="Times New Roman" w:cs="Times New Roman"/>
        </w:rPr>
        <w:t xml:space="preserve"> English and/or Serbian, wherever required by the PIU.</w:t>
      </w:r>
    </w:p>
    <w:p w14:paraId="566BB354" w14:textId="6047A4AB"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 xml:space="preserve">The responsibility for recording </w:t>
      </w:r>
      <w:r w:rsidR="00FB7282">
        <w:rPr>
          <w:rFonts w:ascii="Times New Roman" w:hAnsi="Times New Roman" w:cs="Times New Roman"/>
        </w:rPr>
        <w:t xml:space="preserve">and referencing including labelling </w:t>
      </w:r>
      <w:r w:rsidRPr="00921B17">
        <w:rPr>
          <w:rFonts w:ascii="Times New Roman" w:hAnsi="Times New Roman" w:cs="Times New Roman"/>
        </w:rPr>
        <w:t>of the incoming and out</w:t>
      </w:r>
      <w:r w:rsidR="00FB7282">
        <w:rPr>
          <w:rFonts w:ascii="Times New Roman" w:hAnsi="Times New Roman" w:cs="Times New Roman"/>
        </w:rPr>
        <w:t>going</w:t>
      </w:r>
      <w:r w:rsidRPr="00921B17">
        <w:rPr>
          <w:rFonts w:ascii="Times New Roman" w:hAnsi="Times New Roman" w:cs="Times New Roman"/>
        </w:rPr>
        <w:t xml:space="preserve"> correspondence by numbering them </w:t>
      </w:r>
      <w:r w:rsidR="00FB7282">
        <w:rPr>
          <w:rFonts w:ascii="Times New Roman" w:hAnsi="Times New Roman" w:cs="Times New Roman"/>
        </w:rPr>
        <w:t xml:space="preserve">is the </w:t>
      </w:r>
      <w:r w:rsidR="00566DCF">
        <w:rPr>
          <w:rFonts w:ascii="Times New Roman" w:hAnsi="Times New Roman" w:cs="Times New Roman"/>
        </w:rPr>
        <w:t>responsibility</w:t>
      </w:r>
      <w:r w:rsidR="00FB7282">
        <w:rPr>
          <w:rFonts w:ascii="Times New Roman" w:hAnsi="Times New Roman" w:cs="Times New Roman"/>
        </w:rPr>
        <w:t xml:space="preserve"> of</w:t>
      </w:r>
      <w:r w:rsidRPr="00921B17">
        <w:rPr>
          <w:rFonts w:ascii="Times New Roman" w:hAnsi="Times New Roman" w:cs="Times New Roman"/>
        </w:rPr>
        <w:t xml:space="preserve"> </w:t>
      </w:r>
      <w:r w:rsidRPr="00FB7282">
        <w:rPr>
          <w:rFonts w:ascii="Times New Roman" w:hAnsi="Times New Roman" w:cs="Times New Roman"/>
        </w:rPr>
        <w:t xml:space="preserve">the </w:t>
      </w:r>
      <w:r w:rsidR="00420737" w:rsidRPr="00FB7282">
        <w:rPr>
          <w:rFonts w:ascii="Times New Roman" w:hAnsi="Times New Roman" w:cs="Times New Roman"/>
        </w:rPr>
        <w:t>Administrative</w:t>
      </w:r>
      <w:r w:rsidRPr="00FB7282">
        <w:rPr>
          <w:rFonts w:ascii="Times New Roman" w:hAnsi="Times New Roman" w:cs="Times New Roman"/>
        </w:rPr>
        <w:t xml:space="preserve"> Assistant.</w:t>
      </w:r>
    </w:p>
    <w:p w14:paraId="7CCB7601" w14:textId="14D3AA35" w:rsidR="0027439D" w:rsidRPr="00921B17" w:rsidRDefault="0027439D" w:rsidP="00665F55">
      <w:pPr>
        <w:pStyle w:val="Heading2"/>
        <w:numPr>
          <w:ilvl w:val="1"/>
          <w:numId w:val="330"/>
        </w:numPr>
        <w:spacing w:before="240" w:after="120" w:line="276" w:lineRule="auto"/>
        <w:ind w:left="578" w:hanging="578"/>
        <w:jc w:val="both"/>
        <w:rPr>
          <w:rFonts w:ascii="Times New Roman" w:hAnsi="Times New Roman" w:cs="Times New Roman"/>
          <w:smallCaps w:val="0"/>
          <w:color w:val="auto"/>
          <w:sz w:val="24"/>
        </w:rPr>
      </w:pPr>
      <w:bookmarkStart w:id="696" w:name="_Toc61610225"/>
      <w:bookmarkStart w:id="697" w:name="_Toc93342322"/>
      <w:r w:rsidRPr="00921B17">
        <w:rPr>
          <w:rFonts w:ascii="Times New Roman" w:hAnsi="Times New Roman" w:cs="Times New Roman"/>
          <w:smallCaps w:val="0"/>
          <w:color w:val="auto"/>
          <w:sz w:val="24"/>
        </w:rPr>
        <w:t>Handling of Visibility Documents</w:t>
      </w:r>
      <w:bookmarkEnd w:id="696"/>
      <w:bookmarkEnd w:id="697"/>
    </w:p>
    <w:p w14:paraId="247AF20F" w14:textId="77777777"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 xml:space="preserve">Public communication, social and citizen engagement specialist will ensure the visibility of the Project documents with aim to disseminate information about the Project activities, outputs, etc. to wide audience. The visibility of the documents may be in printed form and/or in the form of information posted on the MCTI/Project web site. </w:t>
      </w:r>
    </w:p>
    <w:p w14:paraId="1BA5004B" w14:textId="2F53E0AA" w:rsidR="0027439D" w:rsidRPr="00921B17" w:rsidRDefault="0027439D" w:rsidP="00665F55">
      <w:pPr>
        <w:spacing w:line="276" w:lineRule="auto"/>
        <w:jc w:val="both"/>
        <w:rPr>
          <w:rFonts w:ascii="Times New Roman" w:hAnsi="Times New Roman" w:cs="Times New Roman"/>
        </w:rPr>
      </w:pPr>
      <w:r w:rsidRPr="00921B17">
        <w:rPr>
          <w:rFonts w:ascii="Times New Roman" w:hAnsi="Times New Roman" w:cs="Times New Roman"/>
        </w:rPr>
        <w:t xml:space="preserve">Having in mind this, it is recommended to the MCTI/PIU to establish </w:t>
      </w:r>
      <w:r w:rsidR="0083163F">
        <w:rPr>
          <w:rFonts w:ascii="Times New Roman" w:hAnsi="Times New Roman" w:cs="Times New Roman"/>
        </w:rPr>
        <w:t xml:space="preserve">the </w:t>
      </w:r>
      <w:r w:rsidRPr="00921B17">
        <w:rPr>
          <w:rFonts w:ascii="Times New Roman" w:hAnsi="Times New Roman" w:cs="Times New Roman"/>
        </w:rPr>
        <w:t>Project web site, and nominate the person responsible for its keeping and updating, in order to ensure informing and announcing of the interested parties regarding:</w:t>
      </w:r>
    </w:p>
    <w:p w14:paraId="240904BB" w14:textId="77777777" w:rsidR="0027439D" w:rsidRPr="00921B17" w:rsidRDefault="0027439D" w:rsidP="00D01979">
      <w:pPr>
        <w:pStyle w:val="ListParagraph"/>
        <w:numPr>
          <w:ilvl w:val="0"/>
          <w:numId w:val="283"/>
        </w:numPr>
        <w:spacing w:after="240" w:line="276" w:lineRule="auto"/>
        <w:jc w:val="both"/>
        <w:rPr>
          <w:rFonts w:ascii="Times New Roman" w:hAnsi="Times New Roman" w:cs="Times New Roman"/>
        </w:rPr>
      </w:pPr>
      <w:r w:rsidRPr="00921B17">
        <w:rPr>
          <w:rFonts w:ascii="Times New Roman" w:hAnsi="Times New Roman" w:cs="Times New Roman"/>
        </w:rPr>
        <w:t xml:space="preserve">Project (general information), </w:t>
      </w:r>
    </w:p>
    <w:p w14:paraId="0907385A" w14:textId="77777777" w:rsidR="0027439D" w:rsidRPr="00921B17" w:rsidRDefault="0027439D" w:rsidP="00D01979">
      <w:pPr>
        <w:pStyle w:val="ListParagraph"/>
        <w:numPr>
          <w:ilvl w:val="0"/>
          <w:numId w:val="283"/>
        </w:numPr>
        <w:spacing w:after="240" w:line="276" w:lineRule="auto"/>
        <w:jc w:val="both"/>
        <w:rPr>
          <w:rFonts w:ascii="Times New Roman" w:hAnsi="Times New Roman" w:cs="Times New Roman"/>
        </w:rPr>
      </w:pPr>
      <w:r w:rsidRPr="00921B17">
        <w:rPr>
          <w:rFonts w:ascii="Times New Roman" w:hAnsi="Times New Roman" w:cs="Times New Roman"/>
        </w:rPr>
        <w:t>Tender awards,</w:t>
      </w:r>
    </w:p>
    <w:p w14:paraId="750993EF" w14:textId="77777777" w:rsidR="0027439D" w:rsidRPr="00921B17" w:rsidRDefault="0027439D" w:rsidP="00D01979">
      <w:pPr>
        <w:pStyle w:val="ListParagraph"/>
        <w:numPr>
          <w:ilvl w:val="0"/>
          <w:numId w:val="283"/>
        </w:numPr>
        <w:spacing w:after="240" w:line="276" w:lineRule="auto"/>
        <w:jc w:val="both"/>
        <w:rPr>
          <w:rFonts w:ascii="Times New Roman" w:hAnsi="Times New Roman" w:cs="Times New Roman"/>
        </w:rPr>
      </w:pPr>
      <w:r w:rsidRPr="00921B17">
        <w:rPr>
          <w:rFonts w:ascii="Times New Roman" w:hAnsi="Times New Roman" w:cs="Times New Roman"/>
        </w:rPr>
        <w:t>Progress of the Project,</w:t>
      </w:r>
    </w:p>
    <w:p w14:paraId="0B7D1D5B" w14:textId="77777777" w:rsidR="0027439D" w:rsidRPr="00921B17" w:rsidRDefault="0027439D" w:rsidP="00D01979">
      <w:pPr>
        <w:pStyle w:val="ListParagraph"/>
        <w:numPr>
          <w:ilvl w:val="0"/>
          <w:numId w:val="283"/>
        </w:numPr>
        <w:spacing w:after="240" w:line="276" w:lineRule="auto"/>
        <w:jc w:val="both"/>
        <w:rPr>
          <w:rFonts w:ascii="Times New Roman" w:hAnsi="Times New Roman" w:cs="Times New Roman"/>
        </w:rPr>
      </w:pPr>
      <w:r w:rsidRPr="00921B17">
        <w:rPr>
          <w:rFonts w:ascii="Times New Roman" w:hAnsi="Times New Roman" w:cs="Times New Roman"/>
        </w:rPr>
        <w:t>And other important information regarding the Project.</w:t>
      </w:r>
    </w:p>
    <w:p w14:paraId="59DBE454" w14:textId="77777777" w:rsidR="0027439D" w:rsidRPr="00921B17" w:rsidRDefault="0027439D" w:rsidP="00D01979">
      <w:pPr>
        <w:spacing w:line="276" w:lineRule="auto"/>
        <w:rPr>
          <w:rFonts w:ascii="Times New Roman" w:hAnsi="Times New Roman" w:cs="Times New Roman"/>
        </w:rPr>
      </w:pPr>
    </w:p>
    <w:p w14:paraId="61B0E522" w14:textId="77777777" w:rsidR="0027439D" w:rsidRPr="00921B17" w:rsidRDefault="0027439D" w:rsidP="00D01979">
      <w:pPr>
        <w:spacing w:line="276" w:lineRule="auto"/>
        <w:rPr>
          <w:rFonts w:ascii="Times New Roman" w:hAnsi="Times New Roman" w:cs="Times New Roman"/>
          <w:smallCaps/>
        </w:rPr>
      </w:pPr>
    </w:p>
    <w:p w14:paraId="5E330504" w14:textId="77777777" w:rsidR="00695481" w:rsidRPr="00921B17" w:rsidRDefault="00695481" w:rsidP="00D01979">
      <w:pPr>
        <w:spacing w:line="276" w:lineRule="auto"/>
        <w:rPr>
          <w:rFonts w:ascii="Times New Roman" w:eastAsiaTheme="majorEastAsia" w:hAnsi="Times New Roman" w:cs="Times New Roman"/>
          <w:b/>
          <w:bCs/>
          <w:sz w:val="30"/>
          <w:szCs w:val="30"/>
        </w:rPr>
      </w:pPr>
      <w:r w:rsidRPr="00921B17">
        <w:rPr>
          <w:rFonts w:ascii="Times New Roman" w:hAnsi="Times New Roman" w:cs="Times New Roman"/>
          <w:smallCaps/>
          <w:sz w:val="30"/>
          <w:szCs w:val="30"/>
        </w:rPr>
        <w:br w:type="page"/>
      </w:r>
    </w:p>
    <w:p w14:paraId="3E50F34C" w14:textId="3C8E842A" w:rsidR="003607FB" w:rsidRPr="00921B17" w:rsidRDefault="003607FB" w:rsidP="00D01979">
      <w:pPr>
        <w:pStyle w:val="Heading1"/>
        <w:numPr>
          <w:ilvl w:val="0"/>
          <w:numId w:val="330"/>
        </w:numPr>
        <w:pBdr>
          <w:bottom w:val="none" w:sz="0" w:space="0" w:color="auto"/>
        </w:pBdr>
        <w:spacing w:line="276" w:lineRule="auto"/>
        <w:ind w:left="431" w:hanging="431"/>
        <w:rPr>
          <w:rFonts w:ascii="Times New Roman" w:hAnsi="Times New Roman" w:cs="Times New Roman"/>
          <w:smallCaps w:val="0"/>
          <w:color w:val="auto"/>
          <w:sz w:val="30"/>
          <w:szCs w:val="30"/>
        </w:rPr>
      </w:pPr>
      <w:bookmarkStart w:id="698" w:name="_Toc93342323"/>
      <w:r w:rsidRPr="00921B17">
        <w:rPr>
          <w:rFonts w:ascii="Times New Roman" w:hAnsi="Times New Roman" w:cs="Times New Roman"/>
          <w:smallCaps w:val="0"/>
          <w:color w:val="auto"/>
          <w:sz w:val="30"/>
          <w:szCs w:val="30"/>
        </w:rPr>
        <w:t>PROJECT MONITORING</w:t>
      </w:r>
      <w:r w:rsidR="00081FE8" w:rsidRPr="00921B17">
        <w:rPr>
          <w:rFonts w:ascii="Times New Roman" w:hAnsi="Times New Roman" w:cs="Times New Roman"/>
          <w:smallCaps w:val="0"/>
          <w:color w:val="auto"/>
          <w:sz w:val="30"/>
          <w:szCs w:val="30"/>
        </w:rPr>
        <w:t xml:space="preserve">, </w:t>
      </w:r>
      <w:r w:rsidRPr="00921B17">
        <w:rPr>
          <w:rFonts w:ascii="Times New Roman" w:hAnsi="Times New Roman" w:cs="Times New Roman"/>
          <w:smallCaps w:val="0"/>
          <w:color w:val="auto"/>
          <w:sz w:val="30"/>
          <w:szCs w:val="30"/>
        </w:rPr>
        <w:t>REPORTING</w:t>
      </w:r>
      <w:r w:rsidR="00081FE8" w:rsidRPr="00921B17">
        <w:rPr>
          <w:rFonts w:ascii="Times New Roman" w:hAnsi="Times New Roman" w:cs="Times New Roman"/>
          <w:smallCaps w:val="0"/>
          <w:color w:val="auto"/>
          <w:sz w:val="30"/>
          <w:szCs w:val="30"/>
        </w:rPr>
        <w:t xml:space="preserve"> AND EVALUATION</w:t>
      </w:r>
      <w:bookmarkEnd w:id="698"/>
    </w:p>
    <w:p w14:paraId="387C0CF8" w14:textId="4271204A" w:rsidR="00E966DD" w:rsidRPr="00921B17" w:rsidRDefault="00E966DD" w:rsidP="00D01979">
      <w:pPr>
        <w:pStyle w:val="Heading2"/>
        <w:numPr>
          <w:ilvl w:val="1"/>
          <w:numId w:val="330"/>
        </w:numPr>
        <w:spacing w:before="240" w:after="120" w:line="276" w:lineRule="auto"/>
        <w:ind w:left="578" w:hanging="578"/>
        <w:rPr>
          <w:rFonts w:ascii="Times New Roman" w:hAnsi="Times New Roman" w:cs="Times New Roman"/>
          <w:color w:val="auto"/>
          <w:sz w:val="24"/>
        </w:rPr>
      </w:pPr>
      <w:bookmarkStart w:id="699" w:name="_Toc93342324"/>
      <w:r w:rsidRPr="00921B17">
        <w:rPr>
          <w:rFonts w:ascii="Times New Roman" w:hAnsi="Times New Roman" w:cs="Times New Roman"/>
          <w:smallCaps w:val="0"/>
          <w:color w:val="auto"/>
          <w:sz w:val="24"/>
        </w:rPr>
        <w:t>Project Result Monitoring and Evaluation Arrangements</w:t>
      </w:r>
      <w:bookmarkEnd w:id="699"/>
    </w:p>
    <w:p w14:paraId="25CCB31D" w14:textId="1B717ED0" w:rsidR="00E966DD" w:rsidRPr="00921B17" w:rsidRDefault="00E966DD"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Project results monitoring and evaluation will be carried out by </w:t>
      </w:r>
      <w:r w:rsidR="0083163F">
        <w:rPr>
          <w:rFonts w:ascii="Times New Roman" w:hAnsi="Times New Roman" w:cs="Times New Roman"/>
          <w:color w:val="000000" w:themeColor="text1"/>
        </w:rPr>
        <w:t xml:space="preserve">the </w:t>
      </w:r>
      <w:r w:rsidRPr="00921B17">
        <w:rPr>
          <w:rFonts w:ascii="Times New Roman" w:hAnsi="Times New Roman" w:cs="Times New Roman"/>
          <w:color w:val="000000" w:themeColor="text1"/>
        </w:rPr>
        <w:t xml:space="preserve">PIU, which will be ultimately responsible for all </w:t>
      </w:r>
      <w:r w:rsidR="0083163F">
        <w:rPr>
          <w:rFonts w:ascii="Times New Roman" w:hAnsi="Times New Roman" w:cs="Times New Roman"/>
          <w:color w:val="000000" w:themeColor="text1"/>
        </w:rPr>
        <w:t>P</w:t>
      </w:r>
      <w:r w:rsidR="0083163F" w:rsidRPr="00921B17">
        <w:rPr>
          <w:rFonts w:ascii="Times New Roman" w:hAnsi="Times New Roman" w:cs="Times New Roman"/>
          <w:color w:val="000000" w:themeColor="text1"/>
        </w:rPr>
        <w:t xml:space="preserve">roject </w:t>
      </w:r>
      <w:r w:rsidRPr="00921B17">
        <w:rPr>
          <w:rFonts w:ascii="Times New Roman" w:hAnsi="Times New Roman" w:cs="Times New Roman"/>
          <w:color w:val="000000" w:themeColor="text1"/>
        </w:rPr>
        <w:t xml:space="preserve">data collection. </w:t>
      </w:r>
    </w:p>
    <w:p w14:paraId="746E5F69" w14:textId="77777777" w:rsidR="0083163F" w:rsidRPr="00665F55" w:rsidRDefault="00803749" w:rsidP="00D01979">
      <w:pPr>
        <w:spacing w:after="120" w:line="276" w:lineRule="auto"/>
        <w:jc w:val="both"/>
        <w:rPr>
          <w:rFonts w:ascii="Times New Roman" w:hAnsi="Times New Roman" w:cs="Times New Roman"/>
          <w:b/>
          <w:color w:val="000000" w:themeColor="text1"/>
        </w:rPr>
      </w:pPr>
      <w:r w:rsidRPr="00665F55">
        <w:rPr>
          <w:rFonts w:ascii="Times New Roman" w:hAnsi="Times New Roman" w:cs="Times New Roman"/>
          <w:b/>
          <w:color w:val="000000" w:themeColor="text1"/>
        </w:rPr>
        <w:t xml:space="preserve">The monitoring procedure </w:t>
      </w:r>
    </w:p>
    <w:p w14:paraId="46652E63" w14:textId="5A112A90" w:rsidR="00557FEF" w:rsidRPr="00921B17" w:rsidRDefault="00803749"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Once the project document is approved, an operational plan for the entire </w:t>
      </w:r>
      <w:r w:rsidR="0083163F">
        <w:rPr>
          <w:rFonts w:ascii="Times New Roman" w:hAnsi="Times New Roman" w:cs="Times New Roman"/>
          <w:color w:val="000000" w:themeColor="text1"/>
        </w:rPr>
        <w:t>P</w:t>
      </w:r>
      <w:r w:rsidR="0083163F" w:rsidRPr="00921B17">
        <w:rPr>
          <w:rFonts w:ascii="Times New Roman" w:hAnsi="Times New Roman" w:cs="Times New Roman"/>
          <w:color w:val="000000" w:themeColor="text1"/>
        </w:rPr>
        <w:t xml:space="preserve">roject </w:t>
      </w:r>
      <w:r w:rsidRPr="00921B17">
        <w:rPr>
          <w:rFonts w:ascii="Times New Roman" w:hAnsi="Times New Roman" w:cs="Times New Roman"/>
          <w:color w:val="000000" w:themeColor="text1"/>
        </w:rPr>
        <w:t>period must be elaborated. By this is meant that activities necessary for achieving expected results are outlined indicating the sequence and timing of and defining dates when stated results are to be achieved.</w:t>
      </w:r>
      <w:r w:rsidR="00921B17">
        <w:rPr>
          <w:rFonts w:ascii="Times New Roman" w:hAnsi="Times New Roman" w:cs="Times New Roman"/>
          <w:color w:val="000000" w:themeColor="text1"/>
        </w:rPr>
        <w:t xml:space="preserve"> </w:t>
      </w:r>
      <w:r w:rsidR="00892998" w:rsidRPr="00921B17">
        <w:rPr>
          <w:rFonts w:ascii="Times New Roman" w:hAnsi="Times New Roman" w:cs="Times New Roman"/>
          <w:color w:val="000000" w:themeColor="text1"/>
        </w:rPr>
        <w:t>The</w:t>
      </w:r>
      <w:r w:rsidR="005E50C7" w:rsidRPr="00921B17">
        <w:rPr>
          <w:rFonts w:ascii="Times New Roman" w:hAnsi="Times New Roman" w:cs="Times New Roman"/>
          <w:color w:val="000000" w:themeColor="text1"/>
        </w:rPr>
        <w:t xml:space="preserve"> M&amp;E Specialist will be hired to develop, in collaboration with the MCTI, a detailed M&amp;E mechanism for each of the </w:t>
      </w:r>
      <w:r w:rsidR="0083163F">
        <w:rPr>
          <w:rFonts w:ascii="Times New Roman" w:hAnsi="Times New Roman" w:cs="Times New Roman"/>
          <w:color w:val="000000" w:themeColor="text1"/>
        </w:rPr>
        <w:t>P</w:t>
      </w:r>
      <w:r w:rsidR="0083163F" w:rsidRPr="00921B17">
        <w:rPr>
          <w:rFonts w:ascii="Times New Roman" w:hAnsi="Times New Roman" w:cs="Times New Roman"/>
          <w:color w:val="000000" w:themeColor="text1"/>
        </w:rPr>
        <w:t xml:space="preserve">roject </w:t>
      </w:r>
      <w:r w:rsidR="00F3348B" w:rsidRPr="00921B17">
        <w:rPr>
          <w:rFonts w:ascii="Times New Roman" w:hAnsi="Times New Roman" w:cs="Times New Roman"/>
          <w:color w:val="000000" w:themeColor="text1"/>
        </w:rPr>
        <w:t>components including</w:t>
      </w:r>
      <w:r w:rsidR="00892998" w:rsidRPr="00921B17">
        <w:rPr>
          <w:rFonts w:ascii="Times New Roman" w:hAnsi="Times New Roman" w:cs="Times New Roman"/>
          <w:color w:val="000000" w:themeColor="text1"/>
        </w:rPr>
        <w:t xml:space="preserve"> the infrastructure investments </w:t>
      </w:r>
      <w:r w:rsidR="005E50C7" w:rsidRPr="00921B17">
        <w:rPr>
          <w:rFonts w:ascii="Times New Roman" w:hAnsi="Times New Roman" w:cs="Times New Roman"/>
          <w:color w:val="000000" w:themeColor="text1"/>
        </w:rPr>
        <w:t>based on the Project Results Framework</w:t>
      </w:r>
      <w:r w:rsidR="00F3348B" w:rsidRPr="00921B17">
        <w:rPr>
          <w:rFonts w:ascii="Times New Roman" w:hAnsi="Times New Roman" w:cs="Times New Roman"/>
          <w:color w:val="000000" w:themeColor="text1"/>
        </w:rPr>
        <w:t>.</w:t>
      </w:r>
    </w:p>
    <w:p w14:paraId="39A048D5" w14:textId="505E2C0F" w:rsidR="00DB1D6D" w:rsidRPr="00921B17" w:rsidRDefault="00557FEF" w:rsidP="00D01979">
      <w:pPr>
        <w:spacing w:after="120" w:line="276" w:lineRule="auto"/>
        <w:jc w:val="both"/>
        <w:rPr>
          <w:rFonts w:ascii="Times New Roman" w:hAnsi="Times New Roman" w:cs="Times New Roman"/>
        </w:rPr>
      </w:pPr>
      <w:r w:rsidRPr="00921B17">
        <w:rPr>
          <w:rFonts w:ascii="Times New Roman" w:hAnsi="Times New Roman" w:cs="Times New Roman"/>
        </w:rPr>
        <w:t xml:space="preserve">The M&amp;E plan </w:t>
      </w:r>
      <w:r w:rsidR="00803749" w:rsidRPr="00921B17">
        <w:rPr>
          <w:rFonts w:ascii="Times New Roman" w:hAnsi="Times New Roman" w:cs="Times New Roman"/>
        </w:rPr>
        <w:t xml:space="preserve">should address the expected results level, </w:t>
      </w:r>
      <w:r w:rsidR="008E4F97" w:rsidRPr="00921B17">
        <w:rPr>
          <w:rFonts w:ascii="Times New Roman" w:hAnsi="Times New Roman" w:cs="Times New Roman"/>
        </w:rPr>
        <w:t>i.e.,</w:t>
      </w:r>
      <w:r w:rsidR="00803749" w:rsidRPr="00921B17">
        <w:rPr>
          <w:rFonts w:ascii="Times New Roman" w:hAnsi="Times New Roman" w:cs="Times New Roman"/>
        </w:rPr>
        <w:t xml:space="preserve"> when, whether or to what extent expected results are being achieved. At the task and the activity levels, performance will be checked against the calendar of activities and the budget. No other indicators are needed.</w:t>
      </w:r>
      <w:r w:rsidRPr="00921B17">
        <w:rPr>
          <w:rFonts w:ascii="Times New Roman" w:hAnsi="Times New Roman" w:cs="Times New Roman"/>
        </w:rPr>
        <w:t xml:space="preserve"> The</w:t>
      </w:r>
      <w:r w:rsidR="00803749" w:rsidRPr="00921B17">
        <w:rPr>
          <w:rFonts w:ascii="Times New Roman" w:hAnsi="Times New Roman" w:cs="Times New Roman"/>
        </w:rPr>
        <w:t xml:space="preserve"> monitoring plan </w:t>
      </w:r>
      <w:r w:rsidRPr="00921B17">
        <w:rPr>
          <w:rFonts w:ascii="Times New Roman" w:hAnsi="Times New Roman" w:cs="Times New Roman"/>
        </w:rPr>
        <w:t xml:space="preserve">will </w:t>
      </w:r>
      <w:r w:rsidR="00803749" w:rsidRPr="00921B17">
        <w:rPr>
          <w:rFonts w:ascii="Times New Roman" w:hAnsi="Times New Roman" w:cs="Times New Roman"/>
        </w:rPr>
        <w:t xml:space="preserve">plan, manage and document the data collection process. It ensures that comparable data will be collected on a regular and timely basis. It identifies the indicators to be tracked, specifies the source, method and schedule of data collection and assigns </w:t>
      </w:r>
      <w:r w:rsidRPr="00921B17">
        <w:rPr>
          <w:rFonts w:ascii="Times New Roman" w:hAnsi="Times New Roman" w:cs="Times New Roman"/>
        </w:rPr>
        <w:t>responsibilities. The</w:t>
      </w:r>
      <w:r w:rsidR="00803749" w:rsidRPr="00921B17">
        <w:rPr>
          <w:rFonts w:ascii="Times New Roman" w:hAnsi="Times New Roman" w:cs="Times New Roman"/>
        </w:rPr>
        <w:t xml:space="preserve"> plan will help keeping the monitoring system on track and ensure that data are reported regularly to project management. The elaboration of such plan should preferably be undertaken with participation of all the stakeholders of the </w:t>
      </w:r>
      <w:r w:rsidR="0083163F">
        <w:rPr>
          <w:rFonts w:ascii="Times New Roman" w:hAnsi="Times New Roman" w:cs="Times New Roman"/>
        </w:rPr>
        <w:t>P</w:t>
      </w:r>
      <w:r w:rsidR="0083163F" w:rsidRPr="00921B17">
        <w:rPr>
          <w:rFonts w:ascii="Times New Roman" w:hAnsi="Times New Roman" w:cs="Times New Roman"/>
        </w:rPr>
        <w:t>roject</w:t>
      </w:r>
      <w:r w:rsidR="00803749" w:rsidRPr="00921B17">
        <w:rPr>
          <w:rFonts w:ascii="Times New Roman" w:hAnsi="Times New Roman" w:cs="Times New Roman"/>
        </w:rPr>
        <w:t xml:space="preserve">, </w:t>
      </w:r>
      <w:r w:rsidR="00DB1D6D" w:rsidRPr="00921B17">
        <w:rPr>
          <w:rFonts w:ascii="Times New Roman" w:hAnsi="Times New Roman" w:cs="Times New Roman"/>
        </w:rPr>
        <w:t>especially representatives</w:t>
      </w:r>
      <w:r w:rsidR="00803749" w:rsidRPr="00921B17">
        <w:rPr>
          <w:rFonts w:ascii="Times New Roman" w:hAnsi="Times New Roman" w:cs="Times New Roman"/>
        </w:rPr>
        <w:t xml:space="preserve"> of the </w:t>
      </w:r>
      <w:r w:rsidR="001F4367">
        <w:rPr>
          <w:rFonts w:ascii="Times New Roman" w:hAnsi="Times New Roman" w:cs="Times New Roman"/>
        </w:rPr>
        <w:t>LSG</w:t>
      </w:r>
      <w:r w:rsidR="00DB1D6D" w:rsidRPr="00921B17">
        <w:rPr>
          <w:rFonts w:ascii="Times New Roman" w:hAnsi="Times New Roman" w:cs="Times New Roman"/>
        </w:rPr>
        <w:t>s</w:t>
      </w:r>
      <w:r w:rsidR="00803749" w:rsidRPr="00921B17">
        <w:rPr>
          <w:rFonts w:ascii="Times New Roman" w:hAnsi="Times New Roman" w:cs="Times New Roman"/>
        </w:rPr>
        <w:t>,</w:t>
      </w:r>
      <w:r w:rsidR="00DB1D6D" w:rsidRPr="00921B17">
        <w:rPr>
          <w:rFonts w:ascii="Times New Roman" w:hAnsi="Times New Roman" w:cs="Times New Roman"/>
        </w:rPr>
        <w:t xml:space="preserve"> and shall be submitted to the Bank for information. </w:t>
      </w:r>
    </w:p>
    <w:p w14:paraId="6BCDEC8E" w14:textId="77777777" w:rsidR="00DB1D6D" w:rsidRPr="00921B17" w:rsidRDefault="00803749" w:rsidP="00D01979">
      <w:pPr>
        <w:spacing w:after="120" w:line="276" w:lineRule="auto"/>
        <w:jc w:val="both"/>
        <w:rPr>
          <w:rFonts w:ascii="Times New Roman" w:hAnsi="Times New Roman" w:cs="Times New Roman"/>
        </w:rPr>
      </w:pPr>
      <w:r w:rsidRPr="00921B17">
        <w:rPr>
          <w:rFonts w:ascii="Times New Roman" w:hAnsi="Times New Roman" w:cs="Times New Roman"/>
        </w:rPr>
        <w:t xml:space="preserve">The following elements should be included in the monitoring plan: </w:t>
      </w:r>
    </w:p>
    <w:p w14:paraId="046B5723"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Performance indicators and their definitions </w:t>
      </w:r>
    </w:p>
    <w:p w14:paraId="3CAB0F97"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Baseline data </w:t>
      </w:r>
    </w:p>
    <w:p w14:paraId="5A490329"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Performance targets </w:t>
      </w:r>
    </w:p>
    <w:p w14:paraId="4BA0CFB5"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Data Source </w:t>
      </w:r>
    </w:p>
    <w:p w14:paraId="74808032"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Method of data collection </w:t>
      </w:r>
    </w:p>
    <w:p w14:paraId="5285BAD4"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Frequency and Schedule of data collection </w:t>
      </w:r>
    </w:p>
    <w:p w14:paraId="64A6C483"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xml:space="preserve">• Responsibilities for acquiring data </w:t>
      </w:r>
    </w:p>
    <w:p w14:paraId="45D435D7" w14:textId="77777777"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Data analysis plans</w:t>
      </w:r>
    </w:p>
    <w:p w14:paraId="35AC75E3" w14:textId="34335CC2" w:rsidR="00DB1D6D" w:rsidRPr="00921B17"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Identifying needs for complementary evaluation</w:t>
      </w:r>
    </w:p>
    <w:p w14:paraId="25D13F1A" w14:textId="77777777" w:rsidR="0083163F" w:rsidRDefault="00803749" w:rsidP="00665F55">
      <w:pPr>
        <w:spacing w:after="120" w:line="276" w:lineRule="auto"/>
        <w:ind w:left="340"/>
        <w:jc w:val="both"/>
        <w:rPr>
          <w:rFonts w:ascii="Times New Roman" w:hAnsi="Times New Roman" w:cs="Times New Roman"/>
        </w:rPr>
      </w:pPr>
      <w:r w:rsidRPr="00921B17">
        <w:rPr>
          <w:rFonts w:ascii="Times New Roman" w:hAnsi="Times New Roman" w:cs="Times New Roman"/>
        </w:rPr>
        <w:t>• Plans for communication and using monitoring information</w:t>
      </w:r>
    </w:p>
    <w:p w14:paraId="492930C9" w14:textId="47CD13CA" w:rsidR="00803749" w:rsidRPr="00921B17" w:rsidRDefault="00803749" w:rsidP="00AD0FD1">
      <w:pPr>
        <w:spacing w:after="120" w:line="276" w:lineRule="auto"/>
        <w:jc w:val="both"/>
        <w:rPr>
          <w:rFonts w:ascii="Times New Roman" w:hAnsi="Times New Roman" w:cs="Times New Roman"/>
        </w:rPr>
      </w:pPr>
      <w:r w:rsidRPr="00921B17">
        <w:rPr>
          <w:rFonts w:ascii="Times New Roman" w:hAnsi="Times New Roman" w:cs="Times New Roman"/>
        </w:rPr>
        <w:t>Each one of these elements is explained below and some advice offered.</w:t>
      </w:r>
      <w:r w:rsidR="00921B17">
        <w:rPr>
          <w:rFonts w:ascii="Times New Roman" w:hAnsi="Times New Roman" w:cs="Times New Roman"/>
        </w:rPr>
        <w:t xml:space="preserve"> </w:t>
      </w:r>
    </w:p>
    <w:p w14:paraId="5C72A921" w14:textId="77777777" w:rsidR="00AD0FD1" w:rsidRDefault="00AD0FD1" w:rsidP="00D01979">
      <w:pPr>
        <w:spacing w:after="120" w:line="276" w:lineRule="auto"/>
        <w:jc w:val="both"/>
        <w:rPr>
          <w:rFonts w:ascii="Times New Roman" w:hAnsi="Times New Roman" w:cs="Times New Roman"/>
        </w:rPr>
      </w:pPr>
    </w:p>
    <w:p w14:paraId="686E4787" w14:textId="77777777" w:rsidR="00773F68" w:rsidRPr="00921B17" w:rsidRDefault="00803749" w:rsidP="00D01979">
      <w:pPr>
        <w:spacing w:after="120" w:line="276" w:lineRule="auto"/>
        <w:jc w:val="both"/>
        <w:rPr>
          <w:rFonts w:ascii="Times New Roman" w:hAnsi="Times New Roman" w:cs="Times New Roman"/>
        </w:rPr>
      </w:pPr>
      <w:r w:rsidRPr="00921B17">
        <w:rPr>
          <w:rFonts w:ascii="Times New Roman" w:hAnsi="Times New Roman" w:cs="Times New Roman"/>
        </w:rPr>
        <w:t>Good indicators start with a clear statement of objectives or expected results. Each indicator needs a detailed definition specifying quantity, quality and time.</w:t>
      </w:r>
    </w:p>
    <w:p w14:paraId="438D175B" w14:textId="471B7B61" w:rsidR="00773F68" w:rsidRPr="00921B17" w:rsidRDefault="00803749" w:rsidP="00D01979">
      <w:pPr>
        <w:spacing w:after="120" w:line="276" w:lineRule="auto"/>
        <w:jc w:val="both"/>
        <w:rPr>
          <w:rFonts w:ascii="Times New Roman" w:hAnsi="Times New Roman" w:cs="Times New Roman"/>
        </w:rPr>
      </w:pPr>
      <w:r w:rsidRPr="00921B17">
        <w:rPr>
          <w:rFonts w:ascii="Times New Roman" w:hAnsi="Times New Roman" w:cs="Times New Roman"/>
        </w:rPr>
        <w:t xml:space="preserve">When selecting </w:t>
      </w:r>
      <w:r w:rsidR="005E50C7" w:rsidRPr="00921B17">
        <w:rPr>
          <w:rFonts w:ascii="Times New Roman" w:hAnsi="Times New Roman" w:cs="Times New Roman"/>
        </w:rPr>
        <w:t>indicators,</w:t>
      </w:r>
      <w:r w:rsidRPr="00921B17">
        <w:rPr>
          <w:rFonts w:ascii="Times New Roman" w:hAnsi="Times New Roman" w:cs="Times New Roman"/>
        </w:rPr>
        <w:t xml:space="preserve"> the most important characteristics are the following: </w:t>
      </w:r>
    </w:p>
    <w:p w14:paraId="2A93A610" w14:textId="77777777" w:rsidR="00773F68" w:rsidRPr="00921B17" w:rsidRDefault="00803749" w:rsidP="00665F55">
      <w:pPr>
        <w:spacing w:after="120" w:line="276" w:lineRule="auto"/>
        <w:ind w:left="170"/>
        <w:jc w:val="both"/>
        <w:rPr>
          <w:rFonts w:ascii="Times New Roman" w:hAnsi="Times New Roman" w:cs="Times New Roman"/>
        </w:rPr>
      </w:pPr>
      <w:r w:rsidRPr="00921B17">
        <w:rPr>
          <w:rFonts w:ascii="Times New Roman" w:hAnsi="Times New Roman" w:cs="Times New Roman"/>
        </w:rPr>
        <w:t xml:space="preserve">• Validity – that the indicator actually measures what is purported to measure, </w:t>
      </w:r>
    </w:p>
    <w:p w14:paraId="79FB6E90" w14:textId="77777777" w:rsidR="00773F68" w:rsidRPr="00921B17" w:rsidRDefault="00803749" w:rsidP="00665F55">
      <w:pPr>
        <w:spacing w:after="120" w:line="276" w:lineRule="auto"/>
        <w:ind w:left="170"/>
        <w:jc w:val="both"/>
        <w:rPr>
          <w:rFonts w:ascii="Times New Roman" w:hAnsi="Times New Roman" w:cs="Times New Roman"/>
        </w:rPr>
      </w:pPr>
      <w:r w:rsidRPr="00921B17">
        <w:rPr>
          <w:rFonts w:ascii="Times New Roman" w:hAnsi="Times New Roman" w:cs="Times New Roman"/>
        </w:rPr>
        <w:t xml:space="preserve">• Reliability – that repeated measurements will give the same results, </w:t>
      </w:r>
    </w:p>
    <w:p w14:paraId="12CEAA1D" w14:textId="77777777" w:rsidR="00773F68" w:rsidRPr="00921B17" w:rsidRDefault="00803749" w:rsidP="00665F55">
      <w:pPr>
        <w:spacing w:after="120" w:line="276" w:lineRule="auto"/>
        <w:ind w:left="170"/>
        <w:jc w:val="both"/>
        <w:rPr>
          <w:rFonts w:ascii="Times New Roman" w:hAnsi="Times New Roman" w:cs="Times New Roman"/>
        </w:rPr>
      </w:pPr>
      <w:r w:rsidRPr="00921B17">
        <w:rPr>
          <w:rFonts w:ascii="Times New Roman" w:hAnsi="Times New Roman" w:cs="Times New Roman"/>
        </w:rPr>
        <w:t xml:space="preserve">• Sensibility – that the indicator will be responsive to changes, and </w:t>
      </w:r>
    </w:p>
    <w:p w14:paraId="290515A6" w14:textId="77777777" w:rsidR="00773F68" w:rsidRPr="00921B17" w:rsidRDefault="00803749" w:rsidP="00665F55">
      <w:pPr>
        <w:spacing w:after="120" w:line="276" w:lineRule="auto"/>
        <w:ind w:left="170"/>
        <w:jc w:val="both"/>
        <w:rPr>
          <w:rFonts w:ascii="Times New Roman" w:hAnsi="Times New Roman" w:cs="Times New Roman"/>
        </w:rPr>
      </w:pPr>
      <w:r w:rsidRPr="00921B17">
        <w:rPr>
          <w:rFonts w:ascii="Times New Roman" w:hAnsi="Times New Roman" w:cs="Times New Roman"/>
        </w:rPr>
        <w:t xml:space="preserve">• Specificity – that the indicator measures only those changes related to the project intervention in question. </w:t>
      </w:r>
    </w:p>
    <w:p w14:paraId="0A0A45B6" w14:textId="39F93989" w:rsidR="00E966DD" w:rsidRPr="00665F55" w:rsidRDefault="00892998" w:rsidP="00665F55">
      <w:pPr>
        <w:spacing w:after="120" w:line="276" w:lineRule="auto"/>
        <w:jc w:val="both"/>
        <w:rPr>
          <w:rFonts w:ascii="Times New Roman" w:hAnsi="Times New Roman" w:cs="Times New Roman"/>
          <w:color w:val="000000" w:themeColor="text1"/>
        </w:rPr>
      </w:pPr>
      <w:r w:rsidRPr="00665F55">
        <w:rPr>
          <w:rFonts w:ascii="Times New Roman" w:hAnsi="Times New Roman" w:cs="Times New Roman"/>
          <w:color w:val="000000" w:themeColor="text1"/>
        </w:rPr>
        <w:t xml:space="preserve">For infrastructure investments </w:t>
      </w:r>
      <w:r w:rsidR="00AD0FD1" w:rsidRPr="00665F55">
        <w:rPr>
          <w:rFonts w:ascii="Times New Roman" w:hAnsi="Times New Roman" w:cs="Times New Roman"/>
          <w:color w:val="000000" w:themeColor="text1"/>
        </w:rPr>
        <w:t xml:space="preserve">the </w:t>
      </w:r>
      <w:r w:rsidRPr="00665F55">
        <w:rPr>
          <w:rFonts w:ascii="Times New Roman" w:hAnsi="Times New Roman" w:cs="Times New Roman"/>
          <w:color w:val="000000" w:themeColor="text1"/>
        </w:rPr>
        <w:t>L</w:t>
      </w:r>
      <w:r w:rsidR="00E966DD" w:rsidRPr="00665F55">
        <w:rPr>
          <w:rFonts w:ascii="Times New Roman" w:hAnsi="Times New Roman" w:cs="Times New Roman"/>
          <w:color w:val="000000" w:themeColor="text1"/>
        </w:rPr>
        <w:t>SGs will be responsible to provide the required data and information to the PIU.</w:t>
      </w:r>
      <w:r w:rsidR="00921B17" w:rsidRPr="00665F55">
        <w:rPr>
          <w:rFonts w:ascii="Times New Roman" w:hAnsi="Times New Roman" w:cs="Times New Roman"/>
          <w:color w:val="000000" w:themeColor="text1"/>
        </w:rPr>
        <w:t xml:space="preserve"> </w:t>
      </w:r>
      <w:r w:rsidR="00E966DD" w:rsidRPr="00665F55">
        <w:rPr>
          <w:rFonts w:ascii="Times New Roman" w:hAnsi="Times New Roman" w:cs="Times New Roman"/>
          <w:color w:val="000000" w:themeColor="text1"/>
        </w:rPr>
        <w:t xml:space="preserve">The LSGs will collaborate with the PIU by sharing information to monitor the project outcomes. The M&amp;E system will be designed to ensure that the Project is implemented in accordance with its objectives and expected results, including provisions to mitigate the </w:t>
      </w:r>
      <w:r w:rsidR="008C5BF9" w:rsidRPr="00665F55">
        <w:rPr>
          <w:rFonts w:ascii="Times New Roman" w:hAnsi="Times New Roman" w:cs="Times New Roman"/>
          <w:color w:val="000000" w:themeColor="text1"/>
        </w:rPr>
        <w:t>C</w:t>
      </w:r>
      <w:r w:rsidR="008C5BF9">
        <w:rPr>
          <w:rFonts w:ascii="Times New Roman" w:hAnsi="Times New Roman" w:cs="Times New Roman"/>
          <w:color w:val="000000" w:themeColor="text1"/>
        </w:rPr>
        <w:t>ovid</w:t>
      </w:r>
      <w:r w:rsidR="00E966DD" w:rsidRPr="00665F55">
        <w:rPr>
          <w:rFonts w:ascii="Times New Roman" w:hAnsi="Times New Roman" w:cs="Times New Roman"/>
          <w:color w:val="000000" w:themeColor="text1"/>
        </w:rPr>
        <w:t>-19 impact on the project. The Bank team will maintain regular interactions with the PIU and carry out field visits</w:t>
      </w:r>
      <w:r w:rsidRPr="00665F55">
        <w:rPr>
          <w:rFonts w:ascii="Times New Roman" w:hAnsi="Times New Roman" w:cs="Times New Roman"/>
          <w:color w:val="000000" w:themeColor="text1"/>
        </w:rPr>
        <w:t xml:space="preserve"> </w:t>
      </w:r>
      <w:r w:rsidR="00AD0FD1" w:rsidRPr="00665F55">
        <w:rPr>
          <w:rFonts w:ascii="Times New Roman" w:hAnsi="Times New Roman" w:cs="Times New Roman"/>
          <w:color w:val="000000" w:themeColor="text1"/>
        </w:rPr>
        <w:t>(</w:t>
      </w:r>
      <w:r w:rsidRPr="00665F55">
        <w:rPr>
          <w:rFonts w:ascii="Times New Roman" w:hAnsi="Times New Roman" w:cs="Times New Roman"/>
          <w:color w:val="000000" w:themeColor="text1"/>
        </w:rPr>
        <w:t xml:space="preserve">subject these are allowed given the fluidity of the </w:t>
      </w:r>
      <w:r w:rsidR="008C5BF9" w:rsidRPr="00665F55">
        <w:rPr>
          <w:rFonts w:ascii="Times New Roman" w:hAnsi="Times New Roman" w:cs="Times New Roman"/>
          <w:color w:val="000000" w:themeColor="text1"/>
        </w:rPr>
        <w:t>C</w:t>
      </w:r>
      <w:r w:rsidR="008C5BF9">
        <w:rPr>
          <w:rFonts w:ascii="Times New Roman" w:hAnsi="Times New Roman" w:cs="Times New Roman"/>
          <w:color w:val="000000" w:themeColor="text1"/>
        </w:rPr>
        <w:t>ovid</w:t>
      </w:r>
      <w:r w:rsidRPr="00665F55">
        <w:rPr>
          <w:rFonts w:ascii="Times New Roman" w:hAnsi="Times New Roman" w:cs="Times New Roman"/>
          <w:color w:val="000000" w:themeColor="text1"/>
        </w:rPr>
        <w:t>-19 pandemic)</w:t>
      </w:r>
      <w:r w:rsidR="00E966DD" w:rsidRPr="00665F55">
        <w:rPr>
          <w:rFonts w:ascii="Times New Roman" w:hAnsi="Times New Roman" w:cs="Times New Roman"/>
          <w:color w:val="000000" w:themeColor="text1"/>
        </w:rPr>
        <w:t>. This will allow the Bank to undertake continuous monitoring and verification over and above its periodic formal implementation support missions.</w:t>
      </w:r>
    </w:p>
    <w:p w14:paraId="472112C3" w14:textId="77777777" w:rsidR="00E966DD" w:rsidRPr="00665F55" w:rsidRDefault="00E966DD" w:rsidP="00665F55">
      <w:pPr>
        <w:spacing w:after="120" w:line="276" w:lineRule="auto"/>
        <w:jc w:val="both"/>
        <w:rPr>
          <w:rFonts w:ascii="Times New Roman" w:hAnsi="Times New Roman" w:cs="Times New Roman"/>
          <w:color w:val="000000" w:themeColor="text1"/>
        </w:rPr>
      </w:pPr>
      <w:r w:rsidRPr="00665F55">
        <w:rPr>
          <w:rFonts w:ascii="Times New Roman" w:hAnsi="Times New Roman" w:cs="Times New Roman"/>
          <w:color w:val="000000" w:themeColor="text1"/>
        </w:rPr>
        <w:t>The PIU will regularly monitor, assess, and report on the Project’s implementation progress and results by delivering four quarterly implementation reports each year and one comprehensive annual monitoring and evaluation report. Quarterly reports will summarize progress and issues related to procurement, FM, implementation of activities, social and environmental risk and impact management, and results monitoring. The focus of the quarterly reports is to enable communication that supports problem identification and resolution. The format of the quarterly reports will be defined by the PIU and will include updates on project results indicators and further updates when such information is readily available. The PIU will file an annual progress review report (a) outlining yearly implementation progress of the project and whether project implementation progress is satisfactory; (b) identifying risks, lessons, and changes to improve implementation; (c) summarizing progress toward achievement of the Results Framework and PDOs; (d) outlining a prospective view of the likelihood of achieving the outcomes and PDOs by the Project closing; and (e) outlining steps to improve the Project’s impact and sustainability.</w:t>
      </w:r>
    </w:p>
    <w:p w14:paraId="42927DDB" w14:textId="07F6110B" w:rsidR="003607FB" w:rsidRPr="00921B17" w:rsidRDefault="00E966DD" w:rsidP="00044A47">
      <w:pPr>
        <w:spacing w:after="120" w:line="240" w:lineRule="auto"/>
        <w:jc w:val="both"/>
        <w:rPr>
          <w:rFonts w:ascii="Times New Roman" w:hAnsi="Times New Roman" w:cs="Times New Roman"/>
        </w:rPr>
      </w:pPr>
      <w:r w:rsidRPr="00921B17">
        <w:rPr>
          <w:rFonts w:ascii="Times New Roman" w:hAnsi="Times New Roman" w:cs="Times New Roman"/>
        </w:rPr>
        <w:t xml:space="preserve">The Monitoring and </w:t>
      </w:r>
      <w:r w:rsidR="00892998" w:rsidRPr="00921B17">
        <w:rPr>
          <w:rFonts w:ascii="Times New Roman" w:hAnsi="Times New Roman" w:cs="Times New Roman"/>
        </w:rPr>
        <w:t xml:space="preserve">Evaluation </w:t>
      </w:r>
      <w:r w:rsidR="002C1F6E" w:rsidRPr="00921B17">
        <w:rPr>
          <w:rFonts w:ascii="Times New Roman" w:hAnsi="Times New Roman" w:cs="Times New Roman"/>
        </w:rPr>
        <w:t>P</w:t>
      </w:r>
      <w:r w:rsidRPr="00921B17">
        <w:rPr>
          <w:rFonts w:ascii="Times New Roman" w:hAnsi="Times New Roman" w:cs="Times New Roman"/>
        </w:rPr>
        <w:t>lan</w:t>
      </w:r>
      <w:r w:rsidR="002C1F6E" w:rsidRPr="00921B17">
        <w:rPr>
          <w:rFonts w:ascii="Times New Roman" w:hAnsi="Times New Roman" w:cs="Times New Roman"/>
        </w:rPr>
        <w:t xml:space="preserve"> of PDO indicators</w:t>
      </w:r>
      <w:r w:rsidRPr="00921B17">
        <w:rPr>
          <w:rFonts w:ascii="Times New Roman" w:hAnsi="Times New Roman" w:cs="Times New Roman"/>
        </w:rPr>
        <w:t xml:space="preserve"> is given as </w:t>
      </w:r>
      <w:r w:rsidR="00AD0FD1">
        <w:rPr>
          <w:rFonts w:ascii="Times New Roman" w:hAnsi="Times New Roman" w:cs="Times New Roman"/>
        </w:rPr>
        <w:t xml:space="preserve">the </w:t>
      </w:r>
      <w:r w:rsidRPr="00921B17">
        <w:rPr>
          <w:rFonts w:ascii="Times New Roman" w:hAnsi="Times New Roman" w:cs="Times New Roman"/>
        </w:rPr>
        <w:t>Annex 2</w:t>
      </w:r>
      <w:r w:rsidR="00AD0FD1">
        <w:rPr>
          <w:rFonts w:ascii="Times New Roman" w:hAnsi="Times New Roman" w:cs="Times New Roman"/>
        </w:rPr>
        <w:t>.</w:t>
      </w:r>
    </w:p>
    <w:p w14:paraId="08F30CD5" w14:textId="77777777" w:rsidR="003607FB" w:rsidRPr="00921B17" w:rsidRDefault="003607FB" w:rsidP="00D01979">
      <w:pPr>
        <w:pStyle w:val="Heading2"/>
        <w:numPr>
          <w:ilvl w:val="1"/>
          <w:numId w:val="330"/>
        </w:numPr>
        <w:spacing w:before="240" w:after="120" w:line="276" w:lineRule="auto"/>
        <w:ind w:left="578" w:hanging="578"/>
        <w:rPr>
          <w:rFonts w:ascii="Times New Roman" w:hAnsi="Times New Roman" w:cs="Times New Roman"/>
          <w:smallCaps w:val="0"/>
          <w:color w:val="auto"/>
          <w:sz w:val="24"/>
        </w:rPr>
      </w:pPr>
      <w:bookmarkStart w:id="700" w:name="_Toc93342325"/>
      <w:r w:rsidRPr="00921B17">
        <w:rPr>
          <w:rFonts w:ascii="Times New Roman" w:hAnsi="Times New Roman" w:cs="Times New Roman"/>
          <w:smallCaps w:val="0"/>
          <w:color w:val="auto"/>
          <w:sz w:val="24"/>
        </w:rPr>
        <w:t>Monitoring of Works Contracts</w:t>
      </w:r>
      <w:bookmarkEnd w:id="700"/>
    </w:p>
    <w:p w14:paraId="6F400BC9" w14:textId="77777777" w:rsidR="003607FB" w:rsidRPr="00921B17" w:rsidRDefault="003607FB" w:rsidP="00D01979">
      <w:pPr>
        <w:pStyle w:val="Heading3"/>
        <w:numPr>
          <w:ilvl w:val="2"/>
          <w:numId w:val="330"/>
        </w:numPr>
        <w:spacing w:before="120" w:after="120" w:line="276" w:lineRule="auto"/>
        <w:rPr>
          <w:rFonts w:ascii="Times New Roman" w:hAnsi="Times New Roman" w:cs="Times New Roman"/>
          <w:smallCaps/>
          <w:color w:val="auto"/>
        </w:rPr>
      </w:pPr>
      <w:bookmarkStart w:id="701" w:name="_Toc93342326"/>
      <w:r w:rsidRPr="00921B17">
        <w:rPr>
          <w:rFonts w:ascii="Times New Roman" w:hAnsi="Times New Roman" w:cs="Times New Roman"/>
          <w:color w:val="auto"/>
        </w:rPr>
        <w:t>Possession of Site</w:t>
      </w:r>
      <w:bookmarkEnd w:id="701"/>
    </w:p>
    <w:p w14:paraId="07111802" w14:textId="2920FFC2"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Before </w:t>
      </w:r>
      <w:r w:rsidR="00AD0FD1">
        <w:rPr>
          <w:rFonts w:ascii="Times New Roman" w:hAnsi="Times New Roman" w:cs="Times New Roman"/>
          <w:color w:val="000000" w:themeColor="text1"/>
        </w:rPr>
        <w:t>signing</w:t>
      </w:r>
      <w:r w:rsidRPr="00921B17">
        <w:rPr>
          <w:rFonts w:ascii="Times New Roman" w:hAnsi="Times New Roman" w:cs="Times New Roman"/>
          <w:color w:val="000000" w:themeColor="text1"/>
        </w:rPr>
        <w:t xml:space="preserve"> of the works contract, the MCTI (PIU) and the </w:t>
      </w:r>
      <w:r w:rsidR="00662BB9" w:rsidRPr="00921B17">
        <w:rPr>
          <w:rFonts w:ascii="Times New Roman" w:hAnsi="Times New Roman" w:cs="Times New Roman"/>
          <w:color w:val="000000" w:themeColor="text1"/>
        </w:rPr>
        <w:t>Participating LSG</w:t>
      </w:r>
      <w:r w:rsidR="00AD0FD1">
        <w:rPr>
          <w:rFonts w:ascii="Times New Roman" w:hAnsi="Times New Roman" w:cs="Times New Roman"/>
          <w:color w:val="000000" w:themeColor="text1"/>
        </w:rPr>
        <w:t>s</w:t>
      </w:r>
      <w:r w:rsidRPr="00921B17">
        <w:rPr>
          <w:rFonts w:ascii="Times New Roman" w:hAnsi="Times New Roman" w:cs="Times New Roman"/>
          <w:color w:val="000000" w:themeColor="text1"/>
        </w:rPr>
        <w:t xml:space="preserve"> have to take all necessary measures in order to ensure the possession and the access to the site for the Contractor. The output of these activities is Title Deed, proofing the legal ownership over the construction land.</w:t>
      </w:r>
    </w:p>
    <w:p w14:paraId="35D2AD1D" w14:textId="77777777" w:rsidR="003607FB" w:rsidRPr="00921B17" w:rsidRDefault="003607FB" w:rsidP="00D01979">
      <w:pPr>
        <w:pStyle w:val="Heading3"/>
        <w:numPr>
          <w:ilvl w:val="2"/>
          <w:numId w:val="330"/>
        </w:numPr>
        <w:spacing w:before="120" w:after="120" w:line="276" w:lineRule="auto"/>
        <w:rPr>
          <w:rFonts w:ascii="Times New Roman" w:hAnsi="Times New Roman" w:cs="Times New Roman"/>
          <w:smallCaps/>
          <w:color w:val="auto"/>
        </w:rPr>
      </w:pPr>
      <w:bookmarkStart w:id="702" w:name="_Toc93342327"/>
      <w:r w:rsidRPr="00921B17">
        <w:rPr>
          <w:rFonts w:ascii="Times New Roman" w:hAnsi="Times New Roman" w:cs="Times New Roman"/>
          <w:color w:val="auto"/>
        </w:rPr>
        <w:t>Supervising engineer</w:t>
      </w:r>
      <w:bookmarkEnd w:id="702"/>
    </w:p>
    <w:p w14:paraId="6E4807B3" w14:textId="77777777"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Before the signature of the works contract, at least one month before the commencement date, the MCTI (PIU) has to ensure the existence of a service contract with a Consultancy firm, which acts as supervising engineer, supervising the activities performed by the civil works Contractor.</w:t>
      </w:r>
    </w:p>
    <w:p w14:paraId="5C5C59E2" w14:textId="77777777"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The civil works Contractor will be informed in written about the name of the Consultant, acting as supervising engineer.</w:t>
      </w:r>
    </w:p>
    <w:p w14:paraId="6B3668E1" w14:textId="720077C9" w:rsidR="003607FB" w:rsidRPr="00921B17" w:rsidRDefault="003607FB" w:rsidP="00D01979">
      <w:pPr>
        <w:pStyle w:val="Heading3"/>
        <w:numPr>
          <w:ilvl w:val="2"/>
          <w:numId w:val="330"/>
        </w:numPr>
        <w:spacing w:before="120" w:after="120" w:line="276" w:lineRule="auto"/>
        <w:rPr>
          <w:rFonts w:ascii="Times New Roman" w:hAnsi="Times New Roman" w:cs="Times New Roman"/>
          <w:smallCaps/>
          <w:color w:val="auto"/>
        </w:rPr>
      </w:pPr>
      <w:bookmarkStart w:id="703" w:name="_Toc93342328"/>
      <w:r w:rsidRPr="00921B17">
        <w:rPr>
          <w:rFonts w:ascii="Times New Roman" w:hAnsi="Times New Roman" w:cs="Times New Roman"/>
          <w:color w:val="auto"/>
        </w:rPr>
        <w:t xml:space="preserve">Responsible Persons at the </w:t>
      </w:r>
      <w:r w:rsidR="00662BB9" w:rsidRPr="00921B17">
        <w:rPr>
          <w:rFonts w:ascii="Times New Roman" w:hAnsi="Times New Roman" w:cs="Times New Roman"/>
          <w:color w:val="auto"/>
        </w:rPr>
        <w:t>LSG</w:t>
      </w:r>
      <w:r w:rsidRPr="00921B17">
        <w:rPr>
          <w:rFonts w:ascii="Times New Roman" w:hAnsi="Times New Roman" w:cs="Times New Roman"/>
          <w:color w:val="auto"/>
        </w:rPr>
        <w:t xml:space="preserve"> Level</w:t>
      </w:r>
      <w:bookmarkEnd w:id="703"/>
    </w:p>
    <w:p w14:paraId="21627EAB" w14:textId="07B8DE6B"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The</w:t>
      </w:r>
      <w:r w:rsidR="00662BB9" w:rsidRPr="00921B17">
        <w:rPr>
          <w:rFonts w:ascii="Times New Roman" w:hAnsi="Times New Roman" w:cs="Times New Roman"/>
          <w:color w:val="000000" w:themeColor="text1"/>
        </w:rPr>
        <w:t xml:space="preserve"> LSG</w:t>
      </w:r>
      <w:r w:rsidRPr="00921B17">
        <w:rPr>
          <w:rFonts w:ascii="Times New Roman" w:hAnsi="Times New Roman" w:cs="Times New Roman"/>
          <w:color w:val="000000" w:themeColor="text1"/>
        </w:rPr>
        <w:t xml:space="preserve"> (as defined in the </w:t>
      </w:r>
      <w:r w:rsidR="006913CC" w:rsidRPr="006D4327">
        <w:rPr>
          <w:rFonts w:ascii="Times New Roman" w:hAnsi="Times New Roman" w:cs="Times New Roman"/>
          <w:color w:val="000000" w:themeColor="text1"/>
        </w:rPr>
        <w:t>GA</w:t>
      </w:r>
      <w:r w:rsidRPr="00921B17">
        <w:rPr>
          <w:rFonts w:ascii="Times New Roman" w:hAnsi="Times New Roman" w:cs="Times New Roman"/>
          <w:color w:val="000000" w:themeColor="text1"/>
        </w:rPr>
        <w:t xml:space="preserve">) has to nominate a number of experts to be responsible for the monitoring of the works and supervision of the </w:t>
      </w:r>
      <w:r w:rsidR="00B04194" w:rsidRPr="00921B17">
        <w:rPr>
          <w:rFonts w:ascii="Times New Roman" w:hAnsi="Times New Roman" w:cs="Times New Roman"/>
          <w:color w:val="000000" w:themeColor="text1"/>
        </w:rPr>
        <w:t>contract’s</w:t>
      </w:r>
      <w:r w:rsidRPr="00921B17">
        <w:rPr>
          <w:rFonts w:ascii="Times New Roman" w:hAnsi="Times New Roman" w:cs="Times New Roman"/>
          <w:color w:val="000000" w:themeColor="text1"/>
        </w:rPr>
        <w:t xml:space="preserve"> implementation.</w:t>
      </w:r>
    </w:p>
    <w:p w14:paraId="5AA2346B" w14:textId="77777777" w:rsidR="003607FB" w:rsidRPr="00921B17" w:rsidRDefault="003607FB" w:rsidP="00D01979">
      <w:pPr>
        <w:pStyle w:val="Heading3"/>
        <w:numPr>
          <w:ilvl w:val="2"/>
          <w:numId w:val="330"/>
        </w:numPr>
        <w:spacing w:before="120" w:after="120" w:line="276" w:lineRule="auto"/>
        <w:rPr>
          <w:rFonts w:ascii="Times New Roman" w:hAnsi="Times New Roman" w:cs="Times New Roman"/>
          <w:smallCaps/>
          <w:color w:val="auto"/>
        </w:rPr>
      </w:pPr>
      <w:bookmarkStart w:id="704" w:name="_Toc93342329"/>
      <w:r w:rsidRPr="00921B17">
        <w:rPr>
          <w:rFonts w:ascii="Times New Roman" w:hAnsi="Times New Roman" w:cs="Times New Roman"/>
          <w:color w:val="auto"/>
        </w:rPr>
        <w:t>Site visit check</w:t>
      </w:r>
      <w:bookmarkEnd w:id="704"/>
    </w:p>
    <w:p w14:paraId="1BC1E5F5" w14:textId="660047B1" w:rsidR="003607FB" w:rsidRPr="00665F55" w:rsidRDefault="00AD0FD1" w:rsidP="00D01979">
      <w:pPr>
        <w:spacing w:after="120" w:line="276" w:lineRule="auto"/>
        <w:jc w:val="both"/>
        <w:rPr>
          <w:rFonts w:ascii="Times New Roman" w:eastAsia="Calibri" w:hAnsi="Times New Roman" w:cs="Times New Roman"/>
          <w:color w:val="000000" w:themeColor="text1"/>
        </w:rPr>
      </w:pPr>
      <w:r w:rsidRPr="00665F55">
        <w:rPr>
          <w:rFonts w:ascii="Times New Roman" w:hAnsi="Times New Roman" w:cs="Times New Roman"/>
          <w:color w:val="000000" w:themeColor="text1"/>
        </w:rPr>
        <w:t>The</w:t>
      </w:r>
      <w:r w:rsidR="003607FB" w:rsidRPr="00665F55">
        <w:rPr>
          <w:rFonts w:ascii="Times New Roman" w:hAnsi="Times New Roman" w:cs="Times New Roman"/>
          <w:color w:val="000000" w:themeColor="text1"/>
        </w:rPr>
        <w:t xml:space="preserve"> Site Visit check</w:t>
      </w:r>
      <w:r w:rsidRPr="00665F55">
        <w:rPr>
          <w:rFonts w:ascii="Times New Roman" w:hAnsi="Times New Roman" w:cs="Times New Roman"/>
          <w:color w:val="000000" w:themeColor="text1"/>
        </w:rPr>
        <w:t xml:space="preserve"> is</w:t>
      </w:r>
      <w:r>
        <w:rPr>
          <w:rFonts w:ascii="Times New Roman" w:eastAsia="Calibri" w:hAnsi="Times New Roman" w:cs="Times New Roman"/>
          <w:color w:val="000000" w:themeColor="text1"/>
        </w:rPr>
        <w:t xml:space="preserve"> comprised of the following activities:</w:t>
      </w:r>
    </w:p>
    <w:p w14:paraId="789FAFDB" w14:textId="089FDD85"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Checking the works/activities status from a quantitative and qualitative point of view against the </w:t>
      </w:r>
      <w:r w:rsidR="00AD0FD1">
        <w:rPr>
          <w:rFonts w:ascii="Times New Roman" w:eastAsia="Calibri" w:hAnsi="Times New Roman" w:cs="Times New Roman"/>
          <w:color w:val="000000" w:themeColor="text1"/>
        </w:rPr>
        <w:t>w</w:t>
      </w:r>
      <w:r w:rsidR="00AD0FD1" w:rsidRPr="00921B17">
        <w:rPr>
          <w:rFonts w:ascii="Times New Roman" w:eastAsia="Calibri" w:hAnsi="Times New Roman" w:cs="Times New Roman"/>
          <w:color w:val="000000" w:themeColor="text1"/>
        </w:rPr>
        <w:t xml:space="preserve">orks </w:t>
      </w:r>
      <w:r w:rsidRPr="00921B17">
        <w:rPr>
          <w:rFonts w:ascii="Times New Roman" w:eastAsia="Calibri" w:hAnsi="Times New Roman" w:cs="Times New Roman"/>
          <w:color w:val="000000" w:themeColor="text1"/>
        </w:rPr>
        <w:t xml:space="preserve">and </w:t>
      </w:r>
      <w:r w:rsidR="00AD0FD1">
        <w:rPr>
          <w:rFonts w:ascii="Times New Roman" w:eastAsia="Calibri" w:hAnsi="Times New Roman" w:cs="Times New Roman"/>
          <w:color w:val="000000" w:themeColor="text1"/>
        </w:rPr>
        <w:t>s</w:t>
      </w:r>
      <w:r w:rsidR="00AD0FD1" w:rsidRPr="00921B17">
        <w:rPr>
          <w:rFonts w:ascii="Times New Roman" w:eastAsia="Calibri" w:hAnsi="Times New Roman" w:cs="Times New Roman"/>
          <w:color w:val="000000" w:themeColor="text1"/>
        </w:rPr>
        <w:t xml:space="preserve">upervising </w:t>
      </w:r>
      <w:r w:rsidR="00AD0FD1">
        <w:rPr>
          <w:rFonts w:ascii="Times New Roman" w:eastAsia="Calibri" w:hAnsi="Times New Roman" w:cs="Times New Roman"/>
          <w:color w:val="000000" w:themeColor="text1"/>
        </w:rPr>
        <w:t>c</w:t>
      </w:r>
      <w:r w:rsidR="00AD0FD1" w:rsidRPr="00921B17">
        <w:rPr>
          <w:rFonts w:ascii="Times New Roman" w:eastAsia="Calibri" w:hAnsi="Times New Roman" w:cs="Times New Roman"/>
          <w:color w:val="000000" w:themeColor="text1"/>
        </w:rPr>
        <w:t>ontracts</w:t>
      </w:r>
      <w:r w:rsidRPr="00921B17">
        <w:rPr>
          <w:rFonts w:ascii="Times New Roman" w:eastAsia="Calibri" w:hAnsi="Times New Roman" w:cs="Times New Roman"/>
          <w:color w:val="000000" w:themeColor="text1"/>
        </w:rPr>
        <w:t>;</w:t>
      </w:r>
    </w:p>
    <w:p w14:paraId="212A6C2E"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Checking the existence of appropriate documentation;</w:t>
      </w:r>
    </w:p>
    <w:p w14:paraId="7384F1B5" w14:textId="7801EC23"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Checking the engagement of the staff, equipment, machinery and plant accordingly to the </w:t>
      </w:r>
      <w:r w:rsidR="00AD0FD1">
        <w:rPr>
          <w:rFonts w:ascii="Times New Roman" w:eastAsia="Calibri" w:hAnsi="Times New Roman" w:cs="Times New Roman"/>
          <w:color w:val="000000" w:themeColor="text1"/>
        </w:rPr>
        <w:t>c</w:t>
      </w:r>
      <w:r w:rsidR="00AD0FD1" w:rsidRPr="00921B17">
        <w:rPr>
          <w:rFonts w:ascii="Times New Roman" w:eastAsia="Calibri" w:hAnsi="Times New Roman" w:cs="Times New Roman"/>
          <w:color w:val="000000" w:themeColor="text1"/>
        </w:rPr>
        <w:t>ontract</w:t>
      </w:r>
      <w:r w:rsidRPr="00921B17">
        <w:rPr>
          <w:rFonts w:ascii="Times New Roman" w:eastAsia="Calibri" w:hAnsi="Times New Roman" w:cs="Times New Roman"/>
          <w:color w:val="000000" w:themeColor="text1"/>
        </w:rPr>
        <w:t>;</w:t>
      </w:r>
    </w:p>
    <w:p w14:paraId="4E399428" w14:textId="7CCCFD16"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Checking the implementation of a </w:t>
      </w:r>
      <w:r w:rsidR="00AD0FD1">
        <w:rPr>
          <w:rFonts w:ascii="Times New Roman" w:eastAsia="Calibri" w:hAnsi="Times New Roman" w:cs="Times New Roman"/>
          <w:color w:val="000000" w:themeColor="text1"/>
        </w:rPr>
        <w:t>c</w:t>
      </w:r>
      <w:r w:rsidR="00AD0FD1" w:rsidRPr="00921B17">
        <w:rPr>
          <w:rFonts w:ascii="Times New Roman" w:eastAsia="Calibri" w:hAnsi="Times New Roman" w:cs="Times New Roman"/>
          <w:color w:val="000000" w:themeColor="text1"/>
        </w:rPr>
        <w:t xml:space="preserve">ontract </w:t>
      </w:r>
      <w:r w:rsidRPr="00921B17">
        <w:rPr>
          <w:rFonts w:ascii="Times New Roman" w:eastAsia="Calibri" w:hAnsi="Times New Roman" w:cs="Times New Roman"/>
          <w:color w:val="000000" w:themeColor="text1"/>
        </w:rPr>
        <w:t>against the approved Work Plan and the performance of staff equipment, machinery and plant involved in implementation.</w:t>
      </w:r>
    </w:p>
    <w:p w14:paraId="11F58F7C"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Checking of implementation of environmental and social commitment plans</w:t>
      </w:r>
    </w:p>
    <w:p w14:paraId="32B05145" w14:textId="5F16374A" w:rsidR="003607FB" w:rsidRPr="00665F55" w:rsidRDefault="003607FB" w:rsidP="00665F55">
      <w:pPr>
        <w:pStyle w:val="ListParagraph"/>
        <w:widowControl w:val="0"/>
        <w:numPr>
          <w:ilvl w:val="0"/>
          <w:numId w:val="229"/>
        </w:numPr>
        <w:autoSpaceDE w:val="0"/>
        <w:autoSpaceDN w:val="0"/>
        <w:adjustRightInd w:val="0"/>
        <w:spacing w:after="120" w:line="276" w:lineRule="auto"/>
        <w:ind w:left="426"/>
        <w:jc w:val="both"/>
        <w:rPr>
          <w:rFonts w:ascii="Times New Roman" w:hAnsi="Times New Roman" w:cs="Times New Roman"/>
          <w:color w:val="000000" w:themeColor="text1"/>
        </w:rPr>
      </w:pPr>
      <w:r w:rsidRPr="00921B17">
        <w:rPr>
          <w:rFonts w:ascii="Times New Roman" w:eastAsia="Calibri" w:hAnsi="Times New Roman" w:cs="Times New Roman"/>
          <w:color w:val="000000" w:themeColor="text1"/>
        </w:rPr>
        <w:t xml:space="preserve">Checking the quality of works </w:t>
      </w:r>
    </w:p>
    <w:p w14:paraId="312A9E95" w14:textId="5D0678CB" w:rsidR="003607FB" w:rsidRPr="00665F55" w:rsidRDefault="00AD0FD1" w:rsidP="00D01979">
      <w:pPr>
        <w:spacing w:after="120" w:line="276" w:lineRule="auto"/>
        <w:jc w:val="both"/>
        <w:rPr>
          <w:rFonts w:ascii="Times New Roman" w:hAnsi="Times New Roman" w:cs="Times New Roman"/>
          <w:color w:val="000000" w:themeColor="text1"/>
        </w:rPr>
      </w:pPr>
      <w:r w:rsidRPr="00665F55">
        <w:rPr>
          <w:rFonts w:ascii="Times New Roman" w:hAnsi="Times New Roman" w:cs="Times New Roman"/>
          <w:color w:val="000000" w:themeColor="text1"/>
        </w:rPr>
        <w:t>S</w:t>
      </w:r>
      <w:r w:rsidR="003607FB" w:rsidRPr="00665F55">
        <w:rPr>
          <w:rFonts w:ascii="Times New Roman" w:hAnsi="Times New Roman" w:cs="Times New Roman"/>
          <w:color w:val="000000" w:themeColor="text1"/>
        </w:rPr>
        <w:t xml:space="preserve">ite visit checks </w:t>
      </w:r>
      <w:r w:rsidRPr="00665F55">
        <w:rPr>
          <w:rFonts w:ascii="Times New Roman" w:hAnsi="Times New Roman" w:cs="Times New Roman"/>
          <w:color w:val="000000" w:themeColor="text1"/>
        </w:rPr>
        <w:t xml:space="preserve">are to be </w:t>
      </w:r>
      <w:r w:rsidR="003607FB" w:rsidRPr="00665F55">
        <w:rPr>
          <w:rFonts w:ascii="Times New Roman" w:hAnsi="Times New Roman" w:cs="Times New Roman"/>
          <w:color w:val="000000" w:themeColor="text1"/>
        </w:rPr>
        <w:t>initiated</w:t>
      </w:r>
      <w:r>
        <w:rPr>
          <w:rFonts w:ascii="Times New Roman" w:hAnsi="Times New Roman" w:cs="Times New Roman"/>
          <w:color w:val="000000" w:themeColor="text1"/>
        </w:rPr>
        <w:t xml:space="preserve"> in the following ways:</w:t>
      </w:r>
    </w:p>
    <w:p w14:paraId="4B127DCA" w14:textId="77777777" w:rsidR="003607FB" w:rsidRPr="00665F55" w:rsidRDefault="003607FB" w:rsidP="00D01979">
      <w:pPr>
        <w:tabs>
          <w:tab w:val="left" w:pos="360"/>
        </w:tabs>
        <w:spacing w:after="120" w:line="276" w:lineRule="auto"/>
        <w:jc w:val="both"/>
        <w:rPr>
          <w:rFonts w:ascii="Times New Roman" w:hAnsi="Times New Roman" w:cs="Times New Roman"/>
          <w:b/>
          <w:color w:val="000000" w:themeColor="text1"/>
        </w:rPr>
      </w:pPr>
      <w:r w:rsidRPr="00AD0FD1">
        <w:rPr>
          <w:rFonts w:ascii="Times New Roman" w:hAnsi="Times New Roman" w:cs="Times New Roman"/>
          <w:b/>
          <w:i/>
          <w:color w:val="000000" w:themeColor="text1"/>
        </w:rPr>
        <w:t>a) Site visit checks by the PIU</w:t>
      </w:r>
    </w:p>
    <w:p w14:paraId="1F70890C" w14:textId="1ED5271D" w:rsidR="003607FB" w:rsidRPr="00921B17" w:rsidRDefault="003607FB" w:rsidP="00D01979">
      <w:pPr>
        <w:tabs>
          <w:tab w:val="left" w:pos="360"/>
        </w:tabs>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The PIU Expert</w:t>
      </w:r>
      <w:r w:rsidRPr="00921B17" w:rsidDel="0089023E">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 xml:space="preserve">shall perform </w:t>
      </w:r>
      <w:r w:rsidR="00CD6C7F">
        <w:rPr>
          <w:rFonts w:ascii="Times New Roman" w:hAnsi="Times New Roman" w:cs="Times New Roman"/>
          <w:color w:val="000000" w:themeColor="text1"/>
        </w:rPr>
        <w:t>random</w:t>
      </w:r>
      <w:r w:rsidR="00F73A15">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site visit checks on a regular basis</w:t>
      </w:r>
      <w:r w:rsidR="006100A9">
        <w:rPr>
          <w:rFonts w:ascii="Times New Roman" w:hAnsi="Times New Roman" w:cs="Times New Roman"/>
          <w:color w:val="000000" w:themeColor="text1"/>
        </w:rPr>
        <w:t>,</w:t>
      </w:r>
      <w:r w:rsidR="00F73A15">
        <w:rPr>
          <w:rFonts w:ascii="Times New Roman" w:hAnsi="Times New Roman" w:cs="Times New Roman"/>
          <w:color w:val="000000" w:themeColor="text1"/>
        </w:rPr>
        <w:t xml:space="preserve"> deciding </w:t>
      </w:r>
      <w:r w:rsidR="006100A9">
        <w:rPr>
          <w:rFonts w:ascii="Times New Roman" w:hAnsi="Times New Roman" w:cs="Times New Roman"/>
          <w:color w:val="000000" w:themeColor="text1"/>
        </w:rPr>
        <w:t xml:space="preserve">on the </w:t>
      </w:r>
      <w:r w:rsidR="00F73A15">
        <w:rPr>
          <w:rFonts w:ascii="Times New Roman" w:hAnsi="Times New Roman" w:cs="Times New Roman"/>
          <w:color w:val="000000" w:themeColor="text1"/>
        </w:rPr>
        <w:t>exact locations</w:t>
      </w:r>
      <w:r w:rsidR="006100A9">
        <w:rPr>
          <w:rFonts w:ascii="Times New Roman" w:hAnsi="Times New Roman" w:cs="Times New Roman"/>
          <w:color w:val="000000" w:themeColor="text1"/>
        </w:rPr>
        <w:t xml:space="preserve"> and </w:t>
      </w:r>
      <w:r w:rsidR="009A52A6">
        <w:rPr>
          <w:rFonts w:ascii="Times New Roman" w:hAnsi="Times New Roman" w:cs="Times New Roman"/>
          <w:color w:val="000000" w:themeColor="text1"/>
        </w:rPr>
        <w:t>frequency</w:t>
      </w:r>
      <w:r w:rsidR="00F73A15">
        <w:rPr>
          <w:rFonts w:ascii="Times New Roman" w:hAnsi="Times New Roman" w:cs="Times New Roman"/>
          <w:color w:val="000000" w:themeColor="text1"/>
        </w:rPr>
        <w:t xml:space="preserve"> based on site progress. </w:t>
      </w:r>
      <w:r w:rsidRPr="00921B17">
        <w:rPr>
          <w:rFonts w:ascii="Times New Roman" w:hAnsi="Times New Roman" w:cs="Times New Roman"/>
          <w:color w:val="000000" w:themeColor="text1"/>
        </w:rPr>
        <w:t xml:space="preserve">The attendees on these on spot-checks are: </w:t>
      </w:r>
      <w:r w:rsidR="00AD0FD1">
        <w:rPr>
          <w:rFonts w:ascii="Times New Roman" w:hAnsi="Times New Roman" w:cs="Times New Roman"/>
          <w:color w:val="000000" w:themeColor="text1"/>
        </w:rPr>
        <w:t xml:space="preserve">the </w:t>
      </w:r>
      <w:r w:rsidRPr="00921B17">
        <w:rPr>
          <w:rFonts w:ascii="Times New Roman" w:hAnsi="Times New Roman" w:cs="Times New Roman"/>
          <w:color w:val="000000" w:themeColor="text1"/>
        </w:rPr>
        <w:t xml:space="preserve">PIU Expert, </w:t>
      </w:r>
      <w:r w:rsidR="00AD0FD1">
        <w:rPr>
          <w:rFonts w:ascii="Times New Roman" w:hAnsi="Times New Roman" w:cs="Times New Roman"/>
          <w:color w:val="000000" w:themeColor="text1"/>
        </w:rPr>
        <w:t>the</w:t>
      </w:r>
      <w:r w:rsidR="00AD0FD1" w:rsidRPr="00921B17">
        <w:rPr>
          <w:rFonts w:ascii="Times New Roman" w:hAnsi="Times New Roman" w:cs="Times New Roman"/>
          <w:color w:val="000000" w:themeColor="text1"/>
        </w:rPr>
        <w:t xml:space="preserve"> </w:t>
      </w:r>
      <w:r w:rsidR="00662BB9" w:rsidRPr="00921B17">
        <w:rPr>
          <w:rFonts w:ascii="Times New Roman" w:hAnsi="Times New Roman" w:cs="Times New Roman"/>
          <w:color w:val="000000" w:themeColor="text1"/>
        </w:rPr>
        <w:t>LSG</w:t>
      </w:r>
      <w:r w:rsidR="00AD0FD1">
        <w:rPr>
          <w:rFonts w:ascii="Times New Roman" w:hAnsi="Times New Roman" w:cs="Times New Roman"/>
          <w:color w:val="000000" w:themeColor="text1"/>
        </w:rPr>
        <w:t>’s representatives</w:t>
      </w:r>
      <w:r w:rsidRPr="00921B17">
        <w:rPr>
          <w:rFonts w:ascii="Times New Roman" w:hAnsi="Times New Roman" w:cs="Times New Roman"/>
          <w:color w:val="000000" w:themeColor="text1"/>
        </w:rPr>
        <w:t xml:space="preserve">, Supervising </w:t>
      </w:r>
      <w:r w:rsidR="00AD0FD1">
        <w:rPr>
          <w:rFonts w:ascii="Times New Roman" w:hAnsi="Times New Roman" w:cs="Times New Roman"/>
          <w:color w:val="000000" w:themeColor="text1"/>
        </w:rPr>
        <w:t>E</w:t>
      </w:r>
      <w:r w:rsidR="00AD0FD1" w:rsidRPr="00921B17">
        <w:rPr>
          <w:rFonts w:ascii="Times New Roman" w:hAnsi="Times New Roman" w:cs="Times New Roman"/>
          <w:color w:val="000000" w:themeColor="text1"/>
        </w:rPr>
        <w:t xml:space="preserve">ngineer </w:t>
      </w:r>
      <w:r w:rsidRPr="00921B17">
        <w:rPr>
          <w:rFonts w:ascii="Times New Roman" w:hAnsi="Times New Roman" w:cs="Times New Roman"/>
          <w:color w:val="000000" w:themeColor="text1"/>
        </w:rPr>
        <w:t xml:space="preserve">and </w:t>
      </w:r>
      <w:r w:rsidR="00AD0FD1">
        <w:rPr>
          <w:rFonts w:ascii="Times New Roman" w:hAnsi="Times New Roman" w:cs="Times New Roman"/>
          <w:color w:val="000000" w:themeColor="text1"/>
        </w:rPr>
        <w:t xml:space="preserve">the </w:t>
      </w:r>
      <w:r w:rsidRPr="00921B17">
        <w:rPr>
          <w:rFonts w:ascii="Times New Roman" w:hAnsi="Times New Roman" w:cs="Times New Roman"/>
          <w:color w:val="000000" w:themeColor="text1"/>
        </w:rPr>
        <w:t>Contractor. The PIU Expert</w:t>
      </w:r>
      <w:r w:rsidRPr="00921B17" w:rsidDel="0089023E">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 xml:space="preserve">shall prepare </w:t>
      </w:r>
      <w:r w:rsidR="00AD0FD1">
        <w:rPr>
          <w:rFonts w:ascii="Times New Roman" w:hAnsi="Times New Roman" w:cs="Times New Roman"/>
          <w:color w:val="000000" w:themeColor="text1"/>
        </w:rPr>
        <w:t xml:space="preserve">a </w:t>
      </w:r>
      <w:r w:rsidRPr="00921B17">
        <w:rPr>
          <w:rFonts w:ascii="Times New Roman" w:hAnsi="Times New Roman" w:cs="Times New Roman"/>
          <w:color w:val="000000" w:themeColor="text1"/>
        </w:rPr>
        <w:t>Site visit Report after each site visit check with photo documentation. These checks among others include:</w:t>
      </w:r>
    </w:p>
    <w:p w14:paraId="3B4662F5" w14:textId="13F55570"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Checking the Construction Book and </w:t>
      </w:r>
      <w:r w:rsidR="00D06591">
        <w:rPr>
          <w:rFonts w:ascii="Times New Roman" w:eastAsia="Calibri" w:hAnsi="Times New Roman" w:cs="Times New Roman"/>
          <w:color w:val="000000" w:themeColor="text1"/>
        </w:rPr>
        <w:t>Site</w:t>
      </w:r>
      <w:r w:rsidRPr="00921B17">
        <w:rPr>
          <w:rFonts w:ascii="Times New Roman" w:eastAsia="Calibri" w:hAnsi="Times New Roman" w:cs="Times New Roman"/>
          <w:color w:val="000000" w:themeColor="text1"/>
        </w:rPr>
        <w:t xml:space="preserve"> Diary (daily report) on sample basis for the period in question. The checking shall be on sample basis up to 25</w:t>
      </w:r>
      <w:r w:rsidR="008C5BF9">
        <w:rPr>
          <w:rFonts w:ascii="Times New Roman" w:eastAsia="Calibri" w:hAnsi="Times New Roman" w:cs="Times New Roman"/>
          <w:color w:val="000000" w:themeColor="text1"/>
        </w:rPr>
        <w:t xml:space="preserve"> perce</w:t>
      </w:r>
      <w:r w:rsidR="00AD0FD1">
        <w:rPr>
          <w:rFonts w:ascii="Times New Roman" w:eastAsia="Calibri" w:hAnsi="Times New Roman" w:cs="Times New Roman"/>
          <w:color w:val="000000" w:themeColor="text1"/>
        </w:rPr>
        <w:t>nt</w:t>
      </w:r>
      <w:r w:rsidRPr="00921B17">
        <w:rPr>
          <w:rFonts w:ascii="Times New Roman" w:eastAsia="Calibri" w:hAnsi="Times New Roman" w:cs="Times New Roman"/>
          <w:color w:val="000000" w:themeColor="text1"/>
        </w:rPr>
        <w:t xml:space="preserve"> of the documentation presented during the checking;</w:t>
      </w:r>
    </w:p>
    <w:p w14:paraId="164F236E"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quantity and quality of the of the executed work and their compliance with the Technical Specification and Bill of Quantity as well, on sample basis as previously mentioned;</w:t>
      </w:r>
    </w:p>
    <w:p w14:paraId="750EDEF1" w14:textId="45DB663B"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The level of engagement of the staff, equipment, machinery and plant against the </w:t>
      </w:r>
      <w:r w:rsidR="00AD0FD1">
        <w:rPr>
          <w:rFonts w:ascii="Times New Roman" w:eastAsia="Calibri" w:hAnsi="Times New Roman" w:cs="Times New Roman"/>
          <w:color w:val="000000" w:themeColor="text1"/>
        </w:rPr>
        <w:t>c</w:t>
      </w:r>
      <w:r w:rsidR="00AD0FD1" w:rsidRPr="00921B17">
        <w:rPr>
          <w:rFonts w:ascii="Times New Roman" w:eastAsia="Calibri" w:hAnsi="Times New Roman" w:cs="Times New Roman"/>
          <w:color w:val="000000" w:themeColor="text1"/>
        </w:rPr>
        <w:t>ontract</w:t>
      </w:r>
      <w:r w:rsidRPr="00921B17">
        <w:rPr>
          <w:rFonts w:ascii="Times New Roman" w:eastAsia="Calibri" w:hAnsi="Times New Roman" w:cs="Times New Roman"/>
          <w:color w:val="000000" w:themeColor="text1"/>
        </w:rPr>
        <w:t xml:space="preserve">; </w:t>
      </w:r>
    </w:p>
    <w:p w14:paraId="568BB54A"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estimated contract value of the permanent works executed up to the end of the period in question;</w:t>
      </w:r>
    </w:p>
    <w:p w14:paraId="48B6CDBF"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an amount to be withheld by way of retention monies;</w:t>
      </w:r>
    </w:p>
    <w:p w14:paraId="27FFE783"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an amount to be deducted for the repayment of pre-financing;</w:t>
      </w:r>
    </w:p>
    <w:p w14:paraId="1F615F3D"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any credit and/ or debit for the period in question in respect of plant and materials on site intended for, but not yet incorporated in, the permanent works in the amount;</w:t>
      </w:r>
    </w:p>
    <w:p w14:paraId="758F680C" w14:textId="0CEDB649"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any other sum to which the Contractor may be entitled under the </w:t>
      </w:r>
      <w:r w:rsidR="00AD0FD1">
        <w:rPr>
          <w:rFonts w:ascii="Times New Roman" w:eastAsia="Calibri" w:hAnsi="Times New Roman" w:cs="Times New Roman"/>
          <w:color w:val="000000" w:themeColor="text1"/>
        </w:rPr>
        <w:t>c</w:t>
      </w:r>
      <w:r w:rsidR="00AD0FD1" w:rsidRPr="00921B17">
        <w:rPr>
          <w:rFonts w:ascii="Times New Roman" w:eastAsia="Calibri" w:hAnsi="Times New Roman" w:cs="Times New Roman"/>
          <w:color w:val="000000" w:themeColor="text1"/>
        </w:rPr>
        <w:t>ontract</w:t>
      </w:r>
      <w:r w:rsidRPr="00921B17">
        <w:rPr>
          <w:rFonts w:ascii="Times New Roman" w:eastAsia="Calibri" w:hAnsi="Times New Roman" w:cs="Times New Roman"/>
          <w:color w:val="000000" w:themeColor="text1"/>
        </w:rPr>
        <w:t>;</w:t>
      </w:r>
    </w:p>
    <w:p w14:paraId="199779BD" w14:textId="1676C1A0"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Checking the performance of the Supervising </w:t>
      </w:r>
      <w:r w:rsidR="00AD0FD1">
        <w:rPr>
          <w:rFonts w:ascii="Times New Roman" w:eastAsia="Calibri" w:hAnsi="Times New Roman" w:cs="Times New Roman"/>
          <w:color w:val="000000" w:themeColor="text1"/>
        </w:rPr>
        <w:t>E</w:t>
      </w:r>
      <w:r w:rsidR="00AD0FD1" w:rsidRPr="00921B17">
        <w:rPr>
          <w:rFonts w:ascii="Times New Roman" w:eastAsia="Calibri" w:hAnsi="Times New Roman" w:cs="Times New Roman"/>
          <w:color w:val="000000" w:themeColor="text1"/>
        </w:rPr>
        <w:t xml:space="preserve">ngineer </w:t>
      </w:r>
      <w:r w:rsidRPr="00921B17">
        <w:rPr>
          <w:rFonts w:ascii="Times New Roman" w:eastAsia="Calibri" w:hAnsi="Times New Roman" w:cs="Times New Roman"/>
          <w:color w:val="000000" w:themeColor="text1"/>
        </w:rPr>
        <w:t>on the site.</w:t>
      </w:r>
    </w:p>
    <w:p w14:paraId="6326185B" w14:textId="43A7F33F"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That </w:t>
      </w:r>
      <w:r w:rsidR="00467AD5" w:rsidRPr="00921B17">
        <w:rPr>
          <w:rFonts w:ascii="Times New Roman" w:eastAsia="Calibri" w:hAnsi="Times New Roman" w:cs="Times New Roman"/>
          <w:color w:val="000000" w:themeColor="text1"/>
        </w:rPr>
        <w:t>environmental</w:t>
      </w:r>
      <w:r w:rsidRPr="00921B17">
        <w:rPr>
          <w:rFonts w:ascii="Times New Roman" w:eastAsia="Calibri" w:hAnsi="Times New Roman" w:cs="Times New Roman"/>
          <w:color w:val="000000" w:themeColor="text1"/>
        </w:rPr>
        <w:t xml:space="preserve"> and social plans are properly implemented </w:t>
      </w:r>
    </w:p>
    <w:p w14:paraId="47814CF3"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That quality of works performed is in accordance with designs </w:t>
      </w:r>
    </w:p>
    <w:p w14:paraId="1A39AA5E" w14:textId="64EEC5F4" w:rsidR="003607FB" w:rsidRPr="006E40A8" w:rsidRDefault="003607FB" w:rsidP="006E40A8">
      <w:pPr>
        <w:pStyle w:val="ListParagraph"/>
        <w:widowControl w:val="0"/>
        <w:autoSpaceDE w:val="0"/>
        <w:autoSpaceDN w:val="0"/>
        <w:adjustRightInd w:val="0"/>
        <w:spacing w:after="120" w:line="276" w:lineRule="auto"/>
        <w:ind w:left="426"/>
        <w:jc w:val="both"/>
        <w:rPr>
          <w:rFonts w:ascii="Times New Roman" w:hAnsi="Times New Roman" w:cs="Times New Roman"/>
          <w:b/>
          <w:i/>
          <w:color w:val="000000" w:themeColor="text1"/>
        </w:rPr>
      </w:pPr>
      <w:r w:rsidRPr="00921B17">
        <w:rPr>
          <w:rFonts w:ascii="Times New Roman" w:eastAsia="Calibri" w:hAnsi="Times New Roman" w:cs="Times New Roman"/>
          <w:color w:val="000000" w:themeColor="text1"/>
        </w:rPr>
        <w:t xml:space="preserve">Health and safety on site </w:t>
      </w:r>
    </w:p>
    <w:p w14:paraId="6C8715EB" w14:textId="372D0FA3" w:rsidR="003607FB" w:rsidRPr="00921B17" w:rsidRDefault="003607FB" w:rsidP="00D01979">
      <w:pPr>
        <w:tabs>
          <w:tab w:val="left" w:pos="1080"/>
        </w:tabs>
        <w:suppressAutoHyphens/>
        <w:spacing w:after="120" w:line="276" w:lineRule="auto"/>
        <w:jc w:val="both"/>
        <w:textAlignment w:val="baseline"/>
        <w:rPr>
          <w:rFonts w:ascii="Times New Roman" w:hAnsi="Times New Roman" w:cs="Times New Roman"/>
          <w:color w:val="000000" w:themeColor="text1"/>
        </w:rPr>
      </w:pPr>
      <w:r w:rsidRPr="00921B17">
        <w:rPr>
          <w:rFonts w:ascii="Times New Roman" w:hAnsi="Times New Roman" w:cs="Times New Roman"/>
          <w:b/>
          <w:i/>
          <w:color w:val="000000" w:themeColor="text1"/>
        </w:rPr>
        <w:t>b) Site visit checks by the municipal supervising engineer</w:t>
      </w:r>
    </w:p>
    <w:p w14:paraId="1560BAE8" w14:textId="711E695F" w:rsidR="003607FB" w:rsidRPr="00665F55" w:rsidRDefault="003607FB" w:rsidP="00665F55">
      <w:pPr>
        <w:widowControl w:val="0"/>
        <w:autoSpaceDE w:val="0"/>
        <w:autoSpaceDN w:val="0"/>
        <w:adjustRightInd w:val="0"/>
        <w:spacing w:after="120" w:line="276" w:lineRule="auto"/>
        <w:jc w:val="both"/>
        <w:rPr>
          <w:rFonts w:ascii="Times New Roman" w:eastAsia="Calibri" w:hAnsi="Times New Roman" w:cs="Times New Roman"/>
          <w:color w:val="000000" w:themeColor="text1"/>
        </w:rPr>
      </w:pPr>
      <w:r w:rsidRPr="00665F55">
        <w:rPr>
          <w:rFonts w:ascii="Times New Roman" w:hAnsi="Times New Roman" w:cs="Times New Roman"/>
          <w:color w:val="000000" w:themeColor="text1"/>
        </w:rPr>
        <w:t xml:space="preserve">The </w:t>
      </w:r>
      <w:r w:rsidR="00662BB9" w:rsidRPr="00665F55">
        <w:rPr>
          <w:rFonts w:ascii="Times New Roman" w:hAnsi="Times New Roman" w:cs="Times New Roman"/>
          <w:color w:val="000000" w:themeColor="text1"/>
        </w:rPr>
        <w:t>LSG</w:t>
      </w:r>
      <w:r w:rsidRPr="00665F55">
        <w:rPr>
          <w:rFonts w:ascii="Times New Roman" w:hAnsi="Times New Roman" w:cs="Times New Roman"/>
          <w:color w:val="000000" w:themeColor="text1"/>
        </w:rPr>
        <w:t xml:space="preserve"> (represented by the </w:t>
      </w:r>
      <w:r w:rsidR="00AD0FD1">
        <w:rPr>
          <w:rFonts w:ascii="Times New Roman" w:hAnsi="Times New Roman" w:cs="Times New Roman"/>
          <w:color w:val="000000" w:themeColor="text1"/>
        </w:rPr>
        <w:t>LSG</w:t>
      </w:r>
      <w:r w:rsidR="00AD0FD1" w:rsidRPr="00665F55">
        <w:rPr>
          <w:rFonts w:ascii="Times New Roman" w:hAnsi="Times New Roman" w:cs="Times New Roman"/>
          <w:color w:val="000000" w:themeColor="text1"/>
        </w:rPr>
        <w:t xml:space="preserve"> </w:t>
      </w:r>
      <w:r w:rsidRPr="00665F55">
        <w:rPr>
          <w:rFonts w:ascii="Times New Roman" w:hAnsi="Times New Roman" w:cs="Times New Roman"/>
          <w:color w:val="000000" w:themeColor="text1"/>
        </w:rPr>
        <w:t xml:space="preserve">supervising engineer) shall perform </w:t>
      </w:r>
      <w:r w:rsidR="008F3728" w:rsidRPr="00665F55">
        <w:rPr>
          <w:rFonts w:ascii="Times New Roman" w:hAnsi="Times New Roman" w:cs="Times New Roman"/>
          <w:color w:val="000000" w:themeColor="text1"/>
        </w:rPr>
        <w:t>regular</w:t>
      </w:r>
      <w:r w:rsidRPr="00665F55">
        <w:rPr>
          <w:rFonts w:ascii="Times New Roman" w:hAnsi="Times New Roman" w:cs="Times New Roman"/>
          <w:color w:val="000000" w:themeColor="text1"/>
        </w:rPr>
        <w:t xml:space="preserve"> Site Vi</w:t>
      </w:r>
      <w:r w:rsidR="008F3728" w:rsidRPr="00665F55">
        <w:rPr>
          <w:rFonts w:ascii="Times New Roman" w:hAnsi="Times New Roman" w:cs="Times New Roman"/>
          <w:color w:val="000000" w:themeColor="text1"/>
        </w:rPr>
        <w:t>sit checks</w:t>
      </w:r>
      <w:r w:rsidRPr="00665F55">
        <w:rPr>
          <w:rFonts w:ascii="Times New Roman" w:hAnsi="Times New Roman" w:cs="Times New Roman"/>
          <w:color w:val="000000" w:themeColor="text1"/>
        </w:rPr>
        <w:t xml:space="preserve">. </w:t>
      </w:r>
      <w:r w:rsidR="00AD0FD1">
        <w:rPr>
          <w:rFonts w:ascii="Times New Roman" w:hAnsi="Times New Roman" w:cs="Times New Roman"/>
          <w:color w:val="000000" w:themeColor="text1"/>
        </w:rPr>
        <w:t>LSG’</w:t>
      </w:r>
      <w:r w:rsidR="008C5BF9">
        <w:rPr>
          <w:rFonts w:ascii="Times New Roman" w:hAnsi="Times New Roman" w:cs="Times New Roman"/>
          <w:color w:val="000000" w:themeColor="text1"/>
        </w:rPr>
        <w:t>s</w:t>
      </w:r>
      <w:r w:rsidR="00AD0FD1" w:rsidRPr="00665F55">
        <w:rPr>
          <w:rFonts w:ascii="Times New Roman" w:hAnsi="Times New Roman" w:cs="Times New Roman"/>
          <w:color w:val="000000" w:themeColor="text1"/>
        </w:rPr>
        <w:t xml:space="preserve"> </w:t>
      </w:r>
      <w:r w:rsidRPr="00665F55">
        <w:rPr>
          <w:rFonts w:ascii="Times New Roman" w:hAnsi="Times New Roman" w:cs="Times New Roman"/>
          <w:color w:val="000000" w:themeColor="text1"/>
        </w:rPr>
        <w:t xml:space="preserve">supervision should be carried out to monitor and control the performance of the works contractor and works supervision contractor in terms of quality and quantity check. The </w:t>
      </w:r>
      <w:r w:rsidR="00AD0FD1">
        <w:rPr>
          <w:rFonts w:ascii="Times New Roman" w:hAnsi="Times New Roman" w:cs="Times New Roman"/>
          <w:color w:val="000000" w:themeColor="text1"/>
        </w:rPr>
        <w:t>LSG</w:t>
      </w:r>
      <w:r w:rsidR="00AD0FD1" w:rsidRPr="00665F55">
        <w:rPr>
          <w:rFonts w:ascii="Times New Roman" w:hAnsi="Times New Roman" w:cs="Times New Roman"/>
          <w:color w:val="000000" w:themeColor="text1"/>
        </w:rPr>
        <w:t xml:space="preserve"> </w:t>
      </w:r>
      <w:r w:rsidRPr="00665F55">
        <w:rPr>
          <w:rFonts w:ascii="Times New Roman" w:hAnsi="Times New Roman" w:cs="Times New Roman"/>
          <w:color w:val="000000" w:themeColor="text1"/>
        </w:rPr>
        <w:t>supervising engineer shall prepare Site visit weekly Report with photo documentation. These check</w:t>
      </w:r>
      <w:r w:rsidRPr="00665F55">
        <w:rPr>
          <w:rFonts w:ascii="Times New Roman" w:eastAsia="Calibri" w:hAnsi="Times New Roman" w:cs="Times New Roman"/>
          <w:color w:val="000000" w:themeColor="text1"/>
        </w:rPr>
        <w:t>s among others include:</w:t>
      </w:r>
    </w:p>
    <w:p w14:paraId="3AEF045D"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Random check of the Construction Book and Construction Diary up to date; </w:t>
      </w:r>
    </w:p>
    <w:p w14:paraId="7E873275"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Random check of the quantity and quality of the of the executed work and their compliance with the Technical Specification and Bill of Quantity as well;</w:t>
      </w:r>
    </w:p>
    <w:p w14:paraId="23A7A812" w14:textId="36BD67B6"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Engagement of the staff, equipment, machinery and plant against the </w:t>
      </w:r>
      <w:r w:rsidR="004858E3">
        <w:rPr>
          <w:rFonts w:ascii="Times New Roman" w:eastAsia="Calibri" w:hAnsi="Times New Roman" w:cs="Times New Roman"/>
          <w:color w:val="000000" w:themeColor="text1"/>
        </w:rPr>
        <w:t>c</w:t>
      </w:r>
      <w:r w:rsidR="004858E3" w:rsidRPr="00921B17">
        <w:rPr>
          <w:rFonts w:ascii="Times New Roman" w:eastAsia="Calibri" w:hAnsi="Times New Roman" w:cs="Times New Roman"/>
          <w:color w:val="000000" w:themeColor="text1"/>
        </w:rPr>
        <w:t>ontract</w:t>
      </w:r>
      <w:r w:rsidRPr="00921B17">
        <w:rPr>
          <w:rFonts w:ascii="Times New Roman" w:eastAsia="Calibri" w:hAnsi="Times New Roman" w:cs="Times New Roman"/>
          <w:color w:val="000000" w:themeColor="text1"/>
        </w:rPr>
        <w:t xml:space="preserve">; </w:t>
      </w:r>
    </w:p>
    <w:p w14:paraId="71E76DDD"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An amount to be withheld by way of retention monies in the respective IPC;</w:t>
      </w:r>
    </w:p>
    <w:p w14:paraId="566EA162"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An amount to be deducted for the repayment of pre-financing in the respective IPC;</w:t>
      </w:r>
    </w:p>
    <w:p w14:paraId="6D320E3B"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Any credit and/or debit for the period in question in respect of plant and materials on site intended for, but not yet incorporated in;</w:t>
      </w:r>
    </w:p>
    <w:p w14:paraId="3458E146" w14:textId="1B4070E2"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Any other sum to which the Contractor may be entitled under the </w:t>
      </w:r>
      <w:r w:rsidR="004858E3">
        <w:rPr>
          <w:rFonts w:ascii="Times New Roman" w:eastAsia="Calibri" w:hAnsi="Times New Roman" w:cs="Times New Roman"/>
          <w:color w:val="000000" w:themeColor="text1"/>
        </w:rPr>
        <w:t>c</w:t>
      </w:r>
      <w:r w:rsidR="004858E3" w:rsidRPr="00921B17">
        <w:rPr>
          <w:rFonts w:ascii="Times New Roman" w:eastAsia="Calibri" w:hAnsi="Times New Roman" w:cs="Times New Roman"/>
          <w:color w:val="000000" w:themeColor="text1"/>
        </w:rPr>
        <w:t>ontract</w:t>
      </w:r>
      <w:r w:rsidRPr="00921B17">
        <w:rPr>
          <w:rFonts w:ascii="Times New Roman" w:eastAsia="Calibri" w:hAnsi="Times New Roman" w:cs="Times New Roman"/>
          <w:color w:val="000000" w:themeColor="text1"/>
        </w:rPr>
        <w:t>;</w:t>
      </w:r>
    </w:p>
    <w:p w14:paraId="50C70D3A"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Performance of the Supervising engineer on the site.</w:t>
      </w:r>
    </w:p>
    <w:p w14:paraId="7F5338E4"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Environmental and social</w:t>
      </w:r>
    </w:p>
    <w:p w14:paraId="36BA8654" w14:textId="77777777" w:rsidR="003607FB" w:rsidRPr="00921B17"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Quality of works </w:t>
      </w:r>
    </w:p>
    <w:p w14:paraId="2CC015F7" w14:textId="00E451B0" w:rsidR="003607FB" w:rsidRDefault="003607FB" w:rsidP="00D01979">
      <w:pPr>
        <w:pStyle w:val="ListParagraph"/>
        <w:widowControl w:val="0"/>
        <w:numPr>
          <w:ilvl w:val="0"/>
          <w:numId w:val="229"/>
        </w:numPr>
        <w:autoSpaceDE w:val="0"/>
        <w:autoSpaceDN w:val="0"/>
        <w:adjustRightInd w:val="0"/>
        <w:spacing w:after="120" w:line="276" w:lineRule="auto"/>
        <w:ind w:left="426"/>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Health and safety on site</w:t>
      </w:r>
      <w:r w:rsidR="004858E3">
        <w:rPr>
          <w:rFonts w:ascii="Times New Roman" w:eastAsia="Calibri" w:hAnsi="Times New Roman" w:cs="Times New Roman"/>
          <w:color w:val="000000" w:themeColor="text1"/>
        </w:rPr>
        <w:t>.</w:t>
      </w:r>
      <w:r w:rsidRPr="00921B17">
        <w:rPr>
          <w:rFonts w:ascii="Times New Roman" w:eastAsia="Calibri" w:hAnsi="Times New Roman" w:cs="Times New Roman"/>
          <w:color w:val="000000" w:themeColor="text1"/>
        </w:rPr>
        <w:t xml:space="preserve"> </w:t>
      </w:r>
    </w:p>
    <w:p w14:paraId="213FBE5A" w14:textId="77777777" w:rsidR="008C5BF9" w:rsidRPr="00921B17" w:rsidRDefault="008C5BF9" w:rsidP="00665F55">
      <w:pPr>
        <w:pStyle w:val="ListParagraph"/>
        <w:widowControl w:val="0"/>
        <w:autoSpaceDE w:val="0"/>
        <w:autoSpaceDN w:val="0"/>
        <w:adjustRightInd w:val="0"/>
        <w:spacing w:after="120" w:line="276" w:lineRule="auto"/>
        <w:ind w:left="426"/>
        <w:jc w:val="both"/>
        <w:rPr>
          <w:rFonts w:ascii="Times New Roman" w:eastAsia="Calibri" w:hAnsi="Times New Roman" w:cs="Times New Roman"/>
          <w:color w:val="000000" w:themeColor="text1"/>
        </w:rPr>
      </w:pPr>
    </w:p>
    <w:p w14:paraId="7D2C3D91" w14:textId="702B9649" w:rsidR="003607FB" w:rsidRPr="00921B17" w:rsidRDefault="004858E3" w:rsidP="00D01979">
      <w:pPr>
        <w:spacing w:after="120" w:line="276" w:lineRule="auto"/>
        <w:jc w:val="both"/>
        <w:rPr>
          <w:rFonts w:ascii="Times New Roman" w:hAnsi="Times New Roman" w:cs="Times New Roman"/>
          <w:b/>
          <w:i/>
          <w:color w:val="000000" w:themeColor="text1"/>
        </w:rPr>
      </w:pPr>
      <w:r>
        <w:rPr>
          <w:rFonts w:ascii="Times New Roman" w:hAnsi="Times New Roman" w:cs="Times New Roman"/>
          <w:b/>
          <w:i/>
          <w:color w:val="000000" w:themeColor="text1"/>
        </w:rPr>
        <w:t>The</w:t>
      </w:r>
      <w:r w:rsidR="003607FB" w:rsidRPr="00921B17">
        <w:rPr>
          <w:rFonts w:ascii="Times New Roman" w:hAnsi="Times New Roman" w:cs="Times New Roman"/>
          <w:b/>
          <w:i/>
          <w:color w:val="000000" w:themeColor="text1"/>
        </w:rPr>
        <w:t xml:space="preserve"> organiz</w:t>
      </w:r>
      <w:r>
        <w:rPr>
          <w:rFonts w:ascii="Times New Roman" w:hAnsi="Times New Roman" w:cs="Times New Roman"/>
          <w:b/>
          <w:i/>
          <w:color w:val="000000" w:themeColor="text1"/>
        </w:rPr>
        <w:t>ation of Site Visits Checks</w:t>
      </w:r>
    </w:p>
    <w:p w14:paraId="2542D4AB" w14:textId="631B746B"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The PIU Expert before the site visit is performed, prepares a Site </w:t>
      </w:r>
      <w:r w:rsidR="008C5BF9">
        <w:rPr>
          <w:rFonts w:ascii="Times New Roman" w:hAnsi="Times New Roman" w:cs="Times New Roman"/>
          <w:color w:val="000000" w:themeColor="text1"/>
        </w:rPr>
        <w:t>V</w:t>
      </w:r>
      <w:r w:rsidR="008C5BF9" w:rsidRPr="00921B17">
        <w:rPr>
          <w:rFonts w:ascii="Times New Roman" w:hAnsi="Times New Roman" w:cs="Times New Roman"/>
          <w:color w:val="000000" w:themeColor="text1"/>
        </w:rPr>
        <w:t xml:space="preserve">isit </w:t>
      </w:r>
      <w:r w:rsidR="008C5BF9">
        <w:rPr>
          <w:rFonts w:ascii="Times New Roman" w:hAnsi="Times New Roman" w:cs="Times New Roman"/>
          <w:color w:val="000000" w:themeColor="text1"/>
        </w:rPr>
        <w:t>P</w:t>
      </w:r>
      <w:r w:rsidRPr="00921B17">
        <w:rPr>
          <w:rFonts w:ascii="Times New Roman" w:hAnsi="Times New Roman" w:cs="Times New Roman"/>
          <w:color w:val="000000" w:themeColor="text1"/>
        </w:rPr>
        <w:t xml:space="preserve">lan that is approved by the </w:t>
      </w:r>
      <w:r w:rsidR="00540A77" w:rsidRPr="00921B17">
        <w:rPr>
          <w:rFonts w:ascii="Times New Roman" w:hAnsi="Times New Roman" w:cs="Times New Roman"/>
          <w:color w:val="000000" w:themeColor="text1"/>
        </w:rPr>
        <w:t xml:space="preserve">Head of </w:t>
      </w:r>
      <w:r w:rsidR="004858E3">
        <w:rPr>
          <w:rFonts w:ascii="Times New Roman" w:hAnsi="Times New Roman" w:cs="Times New Roman"/>
          <w:color w:val="000000" w:themeColor="text1"/>
        </w:rPr>
        <w:t xml:space="preserve">the </w:t>
      </w:r>
      <w:r w:rsidR="00540A77" w:rsidRPr="00921B17">
        <w:rPr>
          <w:rFonts w:ascii="Times New Roman" w:hAnsi="Times New Roman" w:cs="Times New Roman"/>
          <w:color w:val="000000" w:themeColor="text1"/>
        </w:rPr>
        <w:t>PIU</w:t>
      </w:r>
      <w:r w:rsidRPr="00921B17">
        <w:rPr>
          <w:rFonts w:ascii="Times New Roman" w:hAnsi="Times New Roman" w:cs="Times New Roman"/>
          <w:color w:val="000000" w:themeColor="text1"/>
        </w:rPr>
        <w:t xml:space="preserve">. It states the purpose of the visit, </w:t>
      </w:r>
      <w:r w:rsidR="006B7B4E">
        <w:rPr>
          <w:rFonts w:ascii="Times New Roman" w:hAnsi="Times New Roman" w:cs="Times New Roman"/>
          <w:color w:val="000000" w:themeColor="text1"/>
        </w:rPr>
        <w:t xml:space="preserve">field data to be collected, </w:t>
      </w:r>
      <w:r w:rsidRPr="00921B17">
        <w:rPr>
          <w:rFonts w:ascii="Times New Roman" w:hAnsi="Times New Roman" w:cs="Times New Roman"/>
          <w:color w:val="000000" w:themeColor="text1"/>
        </w:rPr>
        <w:t xml:space="preserve">the </w:t>
      </w:r>
      <w:r w:rsidR="007D3077" w:rsidRPr="00921B17">
        <w:rPr>
          <w:rFonts w:ascii="Times New Roman" w:hAnsi="Times New Roman" w:cs="Times New Roman"/>
          <w:color w:val="000000" w:themeColor="text1"/>
        </w:rPr>
        <w:t>dat</w:t>
      </w:r>
      <w:r w:rsidR="007D3077">
        <w:rPr>
          <w:rFonts w:ascii="Times New Roman" w:hAnsi="Times New Roman" w:cs="Times New Roman"/>
          <w:color w:val="000000" w:themeColor="text1"/>
        </w:rPr>
        <w:t>e</w:t>
      </w:r>
      <w:r w:rsidR="007D3077" w:rsidRPr="00921B17">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and scope of the check. After approval</w:t>
      </w:r>
      <w:r w:rsidR="004858E3">
        <w:rPr>
          <w:rFonts w:ascii="Times New Roman" w:hAnsi="Times New Roman" w:cs="Times New Roman"/>
          <w:color w:val="000000" w:themeColor="text1"/>
        </w:rPr>
        <w:t>, he/she</w:t>
      </w:r>
      <w:r w:rsidRPr="00921B17">
        <w:rPr>
          <w:rFonts w:ascii="Times New Roman" w:hAnsi="Times New Roman" w:cs="Times New Roman"/>
          <w:color w:val="000000" w:themeColor="text1"/>
        </w:rPr>
        <w:t xml:space="preserve"> informs the </w:t>
      </w:r>
      <w:r w:rsidR="00662BB9" w:rsidRPr="00921B17">
        <w:rPr>
          <w:rFonts w:ascii="Times New Roman" w:hAnsi="Times New Roman" w:cs="Times New Roman"/>
          <w:color w:val="000000" w:themeColor="text1"/>
        </w:rPr>
        <w:t>LSG</w:t>
      </w:r>
      <w:r w:rsidRPr="00921B17">
        <w:rPr>
          <w:rFonts w:ascii="Times New Roman" w:hAnsi="Times New Roman" w:cs="Times New Roman"/>
          <w:color w:val="000000" w:themeColor="text1"/>
        </w:rPr>
        <w:t xml:space="preserve"> about the date and scope of visit </w:t>
      </w:r>
      <w:r w:rsidR="004858E3">
        <w:rPr>
          <w:rFonts w:ascii="Times New Roman" w:hAnsi="Times New Roman" w:cs="Times New Roman"/>
          <w:color w:val="000000" w:themeColor="text1"/>
        </w:rPr>
        <w:t>and</w:t>
      </w:r>
      <w:r w:rsidRPr="00921B17">
        <w:rPr>
          <w:rFonts w:ascii="Times New Roman" w:hAnsi="Times New Roman" w:cs="Times New Roman"/>
          <w:color w:val="000000" w:themeColor="text1"/>
        </w:rPr>
        <w:t xml:space="preserve"> may ask preliminary information and documents that could be requested in relation to the scope of the check.</w:t>
      </w:r>
    </w:p>
    <w:p w14:paraId="118DE5A3" w14:textId="30983D5A" w:rsidR="008C5BF9" w:rsidRDefault="003607FB" w:rsidP="008C5BF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In some particular cases, if a serious problem in </w:t>
      </w:r>
      <w:r w:rsidR="004858E3">
        <w:rPr>
          <w:rFonts w:ascii="Times New Roman" w:hAnsi="Times New Roman" w:cs="Times New Roman"/>
          <w:color w:val="000000" w:themeColor="text1"/>
        </w:rPr>
        <w:t>P</w:t>
      </w:r>
      <w:r w:rsidR="004858E3" w:rsidRPr="00921B17">
        <w:rPr>
          <w:rFonts w:ascii="Times New Roman" w:hAnsi="Times New Roman" w:cs="Times New Roman"/>
          <w:color w:val="000000" w:themeColor="text1"/>
        </w:rPr>
        <w:t xml:space="preserve">roject </w:t>
      </w:r>
      <w:r w:rsidRPr="00921B17">
        <w:rPr>
          <w:rFonts w:ascii="Times New Roman" w:hAnsi="Times New Roman" w:cs="Times New Roman"/>
          <w:color w:val="000000" w:themeColor="text1"/>
        </w:rPr>
        <w:t xml:space="preserve">implementation occurred, the PIU Expert, the </w:t>
      </w:r>
      <w:r w:rsidR="00540A77" w:rsidRPr="00921B17">
        <w:rPr>
          <w:rFonts w:ascii="Times New Roman" w:hAnsi="Times New Roman" w:cs="Times New Roman"/>
          <w:color w:val="000000" w:themeColor="text1"/>
        </w:rPr>
        <w:t xml:space="preserve">Head of </w:t>
      </w:r>
      <w:r w:rsidR="004858E3">
        <w:rPr>
          <w:rFonts w:ascii="Times New Roman" w:hAnsi="Times New Roman" w:cs="Times New Roman"/>
          <w:color w:val="000000" w:themeColor="text1"/>
        </w:rPr>
        <w:t xml:space="preserve">the </w:t>
      </w:r>
      <w:r w:rsidR="00540A77" w:rsidRPr="00921B17">
        <w:rPr>
          <w:rFonts w:ascii="Times New Roman" w:hAnsi="Times New Roman" w:cs="Times New Roman"/>
          <w:color w:val="000000" w:themeColor="text1"/>
        </w:rPr>
        <w:t>PIU</w:t>
      </w:r>
      <w:r w:rsidRPr="00921B17">
        <w:rPr>
          <w:rFonts w:ascii="Times New Roman" w:hAnsi="Times New Roman" w:cs="Times New Roman"/>
          <w:color w:val="000000" w:themeColor="text1"/>
        </w:rPr>
        <w:t xml:space="preserve"> could initiate ad-hoc checks without prior notification of the structures. In these particular cases joint visits may be organized by representative of the PIU MCTI and </w:t>
      </w:r>
      <w:r w:rsidR="004858E3">
        <w:rPr>
          <w:rFonts w:ascii="Times New Roman" w:hAnsi="Times New Roman" w:cs="Times New Roman"/>
          <w:color w:val="000000" w:themeColor="text1"/>
        </w:rPr>
        <w:t>the</w:t>
      </w:r>
      <w:r w:rsidR="004858E3" w:rsidRPr="00921B17">
        <w:rPr>
          <w:rFonts w:ascii="Times New Roman" w:hAnsi="Times New Roman" w:cs="Times New Roman"/>
          <w:color w:val="000000" w:themeColor="text1"/>
        </w:rPr>
        <w:t xml:space="preserve"> </w:t>
      </w:r>
      <w:r w:rsidR="00662BB9" w:rsidRPr="00921B17">
        <w:rPr>
          <w:rFonts w:ascii="Times New Roman" w:hAnsi="Times New Roman" w:cs="Times New Roman"/>
          <w:color w:val="000000" w:themeColor="text1"/>
        </w:rPr>
        <w:t>LSG</w:t>
      </w:r>
      <w:r w:rsidRPr="00921B17">
        <w:rPr>
          <w:rFonts w:ascii="Times New Roman" w:hAnsi="Times New Roman" w:cs="Times New Roman"/>
          <w:color w:val="000000" w:themeColor="text1"/>
        </w:rPr>
        <w:t>. In such a case Site Visit Report is prepared by all parties.</w:t>
      </w:r>
    </w:p>
    <w:p w14:paraId="59CC4585" w14:textId="3E24BE53" w:rsidR="008C5BF9" w:rsidRPr="008C5BF9" w:rsidRDefault="008C5BF9" w:rsidP="00665F55">
      <w:pPr>
        <w:spacing w:after="0" w:line="240" w:lineRule="auto"/>
        <w:jc w:val="both"/>
        <w:rPr>
          <w:rFonts w:ascii="Times New Roman" w:hAnsi="Times New Roman" w:cs="Times New Roman"/>
          <w:color w:val="000000" w:themeColor="text1"/>
        </w:rPr>
      </w:pPr>
      <w:r w:rsidRPr="00665F55">
        <w:rPr>
          <w:rFonts w:ascii="Times New Roman" w:hAnsi="Times New Roman" w:cs="Times New Roman"/>
          <w:color w:val="000000" w:themeColor="text1"/>
        </w:rPr>
        <w:t>The checking takes place a</w:t>
      </w:r>
      <w:r w:rsidRPr="008C5BF9">
        <w:rPr>
          <w:rFonts w:ascii="Times New Roman" w:hAnsi="Times New Roman" w:cs="Times New Roman"/>
          <w:color w:val="000000" w:themeColor="text1"/>
        </w:rPr>
        <w:t xml:space="preserve">t the contract implementation place: on the site. </w:t>
      </w:r>
    </w:p>
    <w:p w14:paraId="1FE138F9" w14:textId="323A21B4" w:rsidR="008C5BF9" w:rsidRPr="00665F55" w:rsidRDefault="008C5BF9" w:rsidP="00665F55">
      <w:pPr>
        <w:spacing w:after="0" w:line="240" w:lineRule="auto"/>
        <w:jc w:val="both"/>
        <w:rPr>
          <w:rFonts w:ascii="Times New Roman" w:hAnsi="Times New Roman" w:cs="Times New Roman"/>
          <w:color w:val="000000" w:themeColor="text1"/>
        </w:rPr>
      </w:pPr>
    </w:p>
    <w:p w14:paraId="719F9DBA" w14:textId="77777777" w:rsidR="003607FB" w:rsidRPr="00921B17" w:rsidRDefault="003607FB" w:rsidP="00D01979">
      <w:pPr>
        <w:spacing w:after="120" w:line="276" w:lineRule="auto"/>
        <w:jc w:val="both"/>
        <w:rPr>
          <w:rFonts w:ascii="Times New Roman" w:hAnsi="Times New Roman" w:cs="Times New Roman"/>
          <w:b/>
          <w:i/>
          <w:color w:val="000000" w:themeColor="text1"/>
        </w:rPr>
      </w:pPr>
      <w:r w:rsidRPr="00921B17">
        <w:rPr>
          <w:rFonts w:ascii="Times New Roman" w:hAnsi="Times New Roman" w:cs="Times New Roman"/>
          <w:b/>
          <w:i/>
          <w:color w:val="000000" w:themeColor="text1"/>
        </w:rPr>
        <w:t>Who is checked?</w:t>
      </w:r>
    </w:p>
    <w:p w14:paraId="1372DDD6" w14:textId="6177BBDE" w:rsidR="003607FB" w:rsidRPr="00921B17" w:rsidRDefault="00662BB9"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Participating LSG</w:t>
      </w:r>
      <w:r w:rsidR="003607FB" w:rsidRPr="00921B17">
        <w:rPr>
          <w:rFonts w:ascii="Times New Roman" w:eastAsia="Calibri" w:hAnsi="Times New Roman" w:cs="Times New Roman"/>
          <w:color w:val="000000" w:themeColor="text1"/>
        </w:rPr>
        <w:t xml:space="preserve"> as per </w:t>
      </w:r>
      <w:r w:rsidR="006913CC" w:rsidRPr="006D4327">
        <w:rPr>
          <w:rFonts w:ascii="Times New Roman" w:eastAsia="Calibri" w:hAnsi="Times New Roman" w:cs="Times New Roman"/>
          <w:color w:val="000000" w:themeColor="text1"/>
        </w:rPr>
        <w:t>GA</w:t>
      </w:r>
      <w:r w:rsidR="003607FB" w:rsidRPr="00921B17">
        <w:rPr>
          <w:rFonts w:ascii="Times New Roman" w:eastAsia="Calibri" w:hAnsi="Times New Roman" w:cs="Times New Roman"/>
          <w:color w:val="000000" w:themeColor="text1"/>
        </w:rPr>
        <w:t>;</w:t>
      </w:r>
    </w:p>
    <w:p w14:paraId="38B5188F"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Supervising engineer as per Contract;</w:t>
      </w:r>
    </w:p>
    <w:p w14:paraId="167BFA2C"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Contractor as per Contract and other reports.</w:t>
      </w:r>
    </w:p>
    <w:p w14:paraId="3C9B4FF0" w14:textId="77777777" w:rsidR="003607FB" w:rsidRPr="00921B17" w:rsidRDefault="003607FB" w:rsidP="00D01979">
      <w:pPr>
        <w:spacing w:after="120" w:line="276" w:lineRule="auto"/>
        <w:jc w:val="both"/>
        <w:rPr>
          <w:rFonts w:ascii="Times New Roman" w:hAnsi="Times New Roman" w:cs="Times New Roman"/>
          <w:b/>
          <w:i/>
          <w:color w:val="000000" w:themeColor="text1"/>
        </w:rPr>
      </w:pPr>
      <w:r w:rsidRPr="00921B17">
        <w:rPr>
          <w:rFonts w:ascii="Times New Roman" w:hAnsi="Times New Roman" w:cs="Times New Roman"/>
          <w:b/>
          <w:i/>
          <w:color w:val="000000" w:themeColor="text1"/>
        </w:rPr>
        <w:t>What is checked?</w:t>
      </w:r>
    </w:p>
    <w:p w14:paraId="2D568108" w14:textId="69F7A47A"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the staff of the </w:t>
      </w:r>
      <w:r w:rsidR="00662BB9" w:rsidRPr="00921B17">
        <w:rPr>
          <w:rFonts w:ascii="Times New Roman" w:eastAsia="Calibri" w:hAnsi="Times New Roman" w:cs="Times New Roman"/>
          <w:color w:val="000000" w:themeColor="text1"/>
        </w:rPr>
        <w:t>Participating LSG</w:t>
      </w:r>
      <w:r w:rsidRPr="00921B17">
        <w:rPr>
          <w:rFonts w:ascii="Times New Roman" w:eastAsia="Calibri" w:hAnsi="Times New Roman" w:cs="Times New Roman"/>
          <w:color w:val="000000" w:themeColor="text1"/>
        </w:rPr>
        <w:t>, Engineer, Contractor;</w:t>
      </w:r>
    </w:p>
    <w:p w14:paraId="6AA0D763"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organizational scheme on-the-site;</w:t>
      </w:r>
    </w:p>
    <w:p w14:paraId="3773D5BF"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equipment of the Contractor as per last report of the supervising engineer;</w:t>
      </w:r>
    </w:p>
    <w:p w14:paraId="71DBBFA0"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works declared as completed;</w:t>
      </w:r>
    </w:p>
    <w:p w14:paraId="165342A8"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encumbrances reported;</w:t>
      </w:r>
    </w:p>
    <w:p w14:paraId="1330DF4E"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status of the works in progress;</w:t>
      </w:r>
    </w:p>
    <w:p w14:paraId="54F3769F"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Construction Diary and the Construction Book;</w:t>
      </w:r>
    </w:p>
    <w:p w14:paraId="1B1A8FF3"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materials on the site;</w:t>
      </w:r>
    </w:p>
    <w:p w14:paraId="65111D1D"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Supervising engineer/laboratory;</w:t>
      </w:r>
    </w:p>
    <w:p w14:paraId="5C96D872"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implementation of the quality assurance plan;</w:t>
      </w:r>
    </w:p>
    <w:p w14:paraId="21FA715F"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publicity measures on the site if required;</w:t>
      </w:r>
    </w:p>
    <w:p w14:paraId="1FDC08D4" w14:textId="44318869"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I</w:t>
      </w:r>
      <w:r w:rsidR="006913CC" w:rsidRPr="00921B17">
        <w:rPr>
          <w:rFonts w:ascii="Times New Roman" w:eastAsia="Calibri" w:hAnsi="Times New Roman" w:cs="Times New Roman"/>
          <w:color w:val="000000" w:themeColor="text1"/>
        </w:rPr>
        <w:t>GA</w:t>
      </w:r>
      <w:r w:rsidRPr="00921B17">
        <w:rPr>
          <w:rFonts w:ascii="Times New Roman" w:eastAsia="Calibri" w:hAnsi="Times New Roman" w:cs="Times New Roman"/>
          <w:color w:val="000000" w:themeColor="text1"/>
        </w:rPr>
        <w:t>s against the Contractor application for payment in order to the check the verification performed by the supervising engineer;</w:t>
      </w:r>
    </w:p>
    <w:p w14:paraId="574B7326"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the cash flow forecast included in the last supervising engineer report against the up-dated work programme;</w:t>
      </w:r>
    </w:p>
    <w:p w14:paraId="048D533F" w14:textId="11D73631"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the eligibility status of all the categories of works completed or ongoing as per </w:t>
      </w:r>
      <w:r w:rsidR="007F671B">
        <w:rPr>
          <w:rFonts w:ascii="Times New Roman" w:eastAsia="Calibri" w:hAnsi="Times New Roman" w:cs="Times New Roman"/>
          <w:color w:val="000000" w:themeColor="text1"/>
        </w:rPr>
        <w:t>LA</w:t>
      </w:r>
      <w:r w:rsidRPr="00921B17">
        <w:rPr>
          <w:rFonts w:ascii="Times New Roman" w:eastAsia="Calibri" w:hAnsi="Times New Roman" w:cs="Times New Roman"/>
          <w:color w:val="000000" w:themeColor="text1"/>
        </w:rPr>
        <w:t xml:space="preserve">; </w:t>
      </w:r>
    </w:p>
    <w:p w14:paraId="131C908E" w14:textId="0846BE1C" w:rsidR="003607FB" w:rsidRPr="00665F55"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hAnsi="Times New Roman" w:cs="Times New Roman"/>
          <w:color w:val="000000" w:themeColor="text1"/>
        </w:rPr>
      </w:pPr>
      <w:r w:rsidRPr="00921B17">
        <w:rPr>
          <w:rFonts w:ascii="Times New Roman" w:eastAsia="Calibri" w:hAnsi="Times New Roman" w:cs="Times New Roman"/>
          <w:color w:val="000000" w:themeColor="text1"/>
        </w:rPr>
        <w:t>payment documents.</w:t>
      </w:r>
    </w:p>
    <w:p w14:paraId="081BE55C" w14:textId="77777777" w:rsidR="003607FB" w:rsidRPr="00921B17" w:rsidRDefault="003607FB" w:rsidP="00D01979">
      <w:pPr>
        <w:spacing w:after="120" w:line="276" w:lineRule="auto"/>
        <w:jc w:val="both"/>
        <w:rPr>
          <w:rFonts w:ascii="Times New Roman" w:hAnsi="Times New Roman" w:cs="Times New Roman"/>
          <w:color w:val="000000" w:themeColor="text1"/>
        </w:rPr>
      </w:pPr>
      <w:r w:rsidRPr="00665F55">
        <w:rPr>
          <w:rFonts w:ascii="Times New Roman" w:hAnsi="Times New Roman" w:cs="Times New Roman"/>
          <w:b/>
          <w:color w:val="000000" w:themeColor="text1"/>
        </w:rPr>
        <w:t>The general objectives of all the site visit checks</w:t>
      </w:r>
      <w:r w:rsidRPr="00921B17">
        <w:rPr>
          <w:rFonts w:ascii="Times New Roman" w:hAnsi="Times New Roman" w:cs="Times New Roman"/>
          <w:color w:val="000000" w:themeColor="text1"/>
        </w:rPr>
        <w:t xml:space="preserve"> are:</w:t>
      </w:r>
    </w:p>
    <w:p w14:paraId="313ABB03" w14:textId="22321A5C"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Verification of an adequate implementation system and procedure at the level of the </w:t>
      </w:r>
      <w:r w:rsidR="00662BB9" w:rsidRPr="00921B17">
        <w:rPr>
          <w:rFonts w:ascii="Times New Roman" w:eastAsia="Calibri" w:hAnsi="Times New Roman" w:cs="Times New Roman"/>
          <w:color w:val="000000" w:themeColor="text1"/>
        </w:rPr>
        <w:t>LSG</w:t>
      </w:r>
      <w:r w:rsidRPr="00921B17">
        <w:rPr>
          <w:rFonts w:ascii="Times New Roman" w:eastAsia="Calibri" w:hAnsi="Times New Roman" w:cs="Times New Roman"/>
          <w:color w:val="000000" w:themeColor="text1"/>
        </w:rPr>
        <w:t xml:space="preserve"> (as per </w:t>
      </w:r>
      <w:r w:rsidR="006913CC" w:rsidRPr="006D4327">
        <w:rPr>
          <w:rFonts w:ascii="Times New Roman" w:eastAsia="Calibri" w:hAnsi="Times New Roman" w:cs="Times New Roman"/>
          <w:color w:val="000000" w:themeColor="text1"/>
        </w:rPr>
        <w:t>GA</w:t>
      </w:r>
      <w:r w:rsidRPr="00921B17">
        <w:rPr>
          <w:rFonts w:ascii="Times New Roman" w:eastAsia="Calibri" w:hAnsi="Times New Roman" w:cs="Times New Roman"/>
          <w:color w:val="000000" w:themeColor="text1"/>
        </w:rPr>
        <w:t>);</w:t>
      </w:r>
    </w:p>
    <w:p w14:paraId="35252B98" w14:textId="7729F364"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Verification of the eligibility of the payments certified by the Supervising engineer and approved by the </w:t>
      </w:r>
      <w:r w:rsidR="00662BB9" w:rsidRPr="00921B17">
        <w:rPr>
          <w:rFonts w:ascii="Times New Roman" w:eastAsia="Calibri" w:hAnsi="Times New Roman" w:cs="Times New Roman"/>
          <w:color w:val="000000" w:themeColor="text1"/>
        </w:rPr>
        <w:t>LSG</w:t>
      </w:r>
      <w:r w:rsidRPr="00921B17">
        <w:rPr>
          <w:rFonts w:ascii="Times New Roman" w:eastAsia="Calibri" w:hAnsi="Times New Roman" w:cs="Times New Roman"/>
          <w:color w:val="000000" w:themeColor="text1"/>
        </w:rPr>
        <w:t xml:space="preserve"> (as per </w:t>
      </w:r>
      <w:r w:rsidR="006913CC" w:rsidRPr="006D4327">
        <w:rPr>
          <w:rFonts w:ascii="Times New Roman" w:eastAsia="Calibri" w:hAnsi="Times New Roman" w:cs="Times New Roman"/>
          <w:color w:val="000000" w:themeColor="text1"/>
        </w:rPr>
        <w:t>GA</w:t>
      </w:r>
      <w:r w:rsidR="00CF647C" w:rsidRPr="00921B17">
        <w:rPr>
          <w:rFonts w:ascii="Times New Roman" w:eastAsia="Calibri" w:hAnsi="Times New Roman" w:cs="Times New Roman"/>
          <w:color w:val="000000" w:themeColor="text1"/>
        </w:rPr>
        <w:t xml:space="preserve"> </w:t>
      </w:r>
      <w:r w:rsidRPr="00921B17">
        <w:rPr>
          <w:rFonts w:ascii="Times New Roman" w:eastAsia="Calibri" w:hAnsi="Times New Roman" w:cs="Times New Roman"/>
          <w:color w:val="000000" w:themeColor="text1"/>
        </w:rPr>
        <w:t>and the Contract);</w:t>
      </w:r>
    </w:p>
    <w:p w14:paraId="1F1A7535" w14:textId="6F3BBF0C" w:rsidR="007F671B" w:rsidRPr="00921B17" w:rsidRDefault="003607FB" w:rsidP="00665F55">
      <w:pPr>
        <w:pStyle w:val="ListParagraph"/>
        <w:widowControl w:val="0"/>
        <w:numPr>
          <w:ilvl w:val="0"/>
          <w:numId w:val="229"/>
        </w:numPr>
        <w:autoSpaceDE w:val="0"/>
        <w:autoSpaceDN w:val="0"/>
        <w:adjustRightInd w:val="0"/>
        <w:spacing w:after="120" w:line="276" w:lineRule="auto"/>
        <w:jc w:val="both"/>
      </w:pPr>
      <w:r w:rsidRPr="00921B17">
        <w:rPr>
          <w:rFonts w:ascii="Times New Roman" w:eastAsia="Calibri" w:hAnsi="Times New Roman" w:cs="Times New Roman"/>
          <w:color w:val="000000" w:themeColor="text1"/>
        </w:rPr>
        <w:t>Verification of the contractors’ performance against the Contract provisions (as per contracts).</w:t>
      </w:r>
    </w:p>
    <w:p w14:paraId="50E92382" w14:textId="77777777" w:rsidR="00172241" w:rsidRDefault="00172241" w:rsidP="00D01979">
      <w:pPr>
        <w:spacing w:after="120" w:line="276" w:lineRule="auto"/>
        <w:jc w:val="both"/>
        <w:rPr>
          <w:rFonts w:ascii="Times New Roman" w:hAnsi="Times New Roman" w:cs="Times New Roman"/>
          <w:b/>
          <w:i/>
          <w:color w:val="000000" w:themeColor="text1"/>
        </w:rPr>
      </w:pPr>
    </w:p>
    <w:p w14:paraId="1EA27770" w14:textId="12AE308C"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 xml:space="preserve">After a site visit check is performed, the PIU Expert and the municipal supervising engineer have to prepare Site visit Report as per the relevant attachment to this </w:t>
      </w:r>
      <w:r w:rsidR="00D55253">
        <w:rPr>
          <w:rFonts w:ascii="Times New Roman" w:hAnsi="Times New Roman" w:cs="Times New Roman"/>
          <w:color w:val="000000" w:themeColor="text1"/>
        </w:rPr>
        <w:t>Manual</w:t>
      </w:r>
      <w:r w:rsidRPr="00921B17">
        <w:rPr>
          <w:rFonts w:ascii="Times New Roman" w:hAnsi="Times New Roman" w:cs="Times New Roman"/>
          <w:color w:val="000000" w:themeColor="text1"/>
        </w:rPr>
        <w:t xml:space="preserve">. Pictures from the site, copies of the verified documents, </w:t>
      </w:r>
      <w:r w:rsidR="007F671B">
        <w:rPr>
          <w:rFonts w:ascii="Times New Roman" w:hAnsi="Times New Roman" w:cs="Times New Roman"/>
          <w:color w:val="000000" w:themeColor="text1"/>
        </w:rPr>
        <w:t>MoM</w:t>
      </w:r>
      <w:r w:rsidRPr="00921B17">
        <w:rPr>
          <w:rFonts w:ascii="Times New Roman" w:hAnsi="Times New Roman" w:cs="Times New Roman"/>
          <w:color w:val="000000" w:themeColor="text1"/>
        </w:rPr>
        <w:t xml:space="preserve"> if organized (signed by all the participants) and any other relevant documents should be attached to the report. The Site visit Reports should be presented to the </w:t>
      </w:r>
      <w:r w:rsidR="00540A77" w:rsidRPr="00921B17">
        <w:rPr>
          <w:rFonts w:ascii="Times New Roman" w:hAnsi="Times New Roman" w:cs="Times New Roman"/>
          <w:color w:val="000000" w:themeColor="text1"/>
        </w:rPr>
        <w:t xml:space="preserve">Head of </w:t>
      </w:r>
      <w:r w:rsidR="007F671B">
        <w:rPr>
          <w:rFonts w:ascii="Times New Roman" w:hAnsi="Times New Roman" w:cs="Times New Roman"/>
          <w:color w:val="000000" w:themeColor="text1"/>
        </w:rPr>
        <w:t xml:space="preserve">the </w:t>
      </w:r>
      <w:r w:rsidR="00540A77" w:rsidRPr="00921B17">
        <w:rPr>
          <w:rFonts w:ascii="Times New Roman" w:hAnsi="Times New Roman" w:cs="Times New Roman"/>
          <w:color w:val="000000" w:themeColor="text1"/>
        </w:rPr>
        <w:t>PIU</w:t>
      </w:r>
      <w:r w:rsidRPr="00921B17">
        <w:rPr>
          <w:rFonts w:ascii="Times New Roman" w:hAnsi="Times New Roman" w:cs="Times New Roman"/>
          <w:color w:val="000000" w:themeColor="text1"/>
        </w:rPr>
        <w:t>.</w:t>
      </w:r>
    </w:p>
    <w:p w14:paraId="22351C7F" w14:textId="628F5CB6" w:rsidR="003607FB" w:rsidRPr="00921B17" w:rsidRDefault="003607FB" w:rsidP="00D01979">
      <w:pPr>
        <w:spacing w:after="120" w:line="276" w:lineRule="auto"/>
        <w:jc w:val="both"/>
        <w:rPr>
          <w:rFonts w:ascii="Times New Roman" w:hAnsi="Times New Roman" w:cs="Times New Roman"/>
          <w:color w:val="FF0000"/>
        </w:rPr>
      </w:pPr>
      <w:r w:rsidRPr="00921B17">
        <w:rPr>
          <w:rFonts w:ascii="Times New Roman" w:hAnsi="Times New Roman" w:cs="Times New Roman"/>
          <w:color w:val="000000" w:themeColor="text1"/>
        </w:rPr>
        <w:t xml:space="preserve">After the approval of the Site visit Report, the PIU Expert has to send written recommendations to each of the verified structures in order to address the situation. The recommendations are checked and approved by the </w:t>
      </w:r>
      <w:r w:rsidR="00540A77" w:rsidRPr="00921B17">
        <w:rPr>
          <w:rFonts w:ascii="Times New Roman" w:hAnsi="Times New Roman" w:cs="Times New Roman"/>
          <w:color w:val="000000" w:themeColor="text1"/>
        </w:rPr>
        <w:t xml:space="preserve">Head of </w:t>
      </w:r>
      <w:r w:rsidR="007F671B">
        <w:rPr>
          <w:rFonts w:ascii="Times New Roman" w:hAnsi="Times New Roman" w:cs="Times New Roman"/>
          <w:color w:val="000000" w:themeColor="text1"/>
        </w:rPr>
        <w:t xml:space="preserve">the </w:t>
      </w:r>
      <w:r w:rsidR="00540A77" w:rsidRPr="00921B17">
        <w:rPr>
          <w:rFonts w:ascii="Times New Roman" w:hAnsi="Times New Roman" w:cs="Times New Roman"/>
          <w:color w:val="000000" w:themeColor="text1"/>
        </w:rPr>
        <w:t>PIU</w:t>
      </w:r>
      <w:r w:rsidRPr="00921B17">
        <w:rPr>
          <w:rFonts w:ascii="Times New Roman" w:hAnsi="Times New Roman" w:cs="Times New Roman"/>
          <w:color w:val="000000" w:themeColor="text1"/>
        </w:rPr>
        <w:t>. If necessary and in accordance with the contractual terms and conditions, the PIU may issue Notice to Correct and Notice to Termination</w:t>
      </w:r>
      <w:r w:rsidRPr="00921B17">
        <w:rPr>
          <w:rFonts w:ascii="Times New Roman" w:hAnsi="Times New Roman" w:cs="Times New Roman"/>
          <w:color w:val="FF0000"/>
        </w:rPr>
        <w:t xml:space="preserve">. </w:t>
      </w:r>
    </w:p>
    <w:p w14:paraId="6A930655" w14:textId="77777777" w:rsidR="003607FB" w:rsidRPr="00921B17" w:rsidRDefault="003607FB" w:rsidP="00D01979">
      <w:pPr>
        <w:spacing w:after="120" w:line="276" w:lineRule="auto"/>
        <w:jc w:val="both"/>
        <w:rPr>
          <w:rFonts w:ascii="Times New Roman" w:hAnsi="Times New Roman" w:cs="Times New Roman"/>
          <w:b/>
          <w:i/>
          <w:color w:val="000000" w:themeColor="text1"/>
        </w:rPr>
      </w:pPr>
      <w:r w:rsidRPr="00921B17">
        <w:rPr>
          <w:rFonts w:ascii="Times New Roman" w:hAnsi="Times New Roman" w:cs="Times New Roman"/>
          <w:b/>
          <w:i/>
          <w:color w:val="000000" w:themeColor="text1"/>
        </w:rPr>
        <w:t>Role of the Supervision Engineer</w:t>
      </w:r>
    </w:p>
    <w:p w14:paraId="2566CEAF" w14:textId="123DB971" w:rsidR="003607FB" w:rsidRPr="00921B17" w:rsidRDefault="003607FB" w:rsidP="00D01979">
      <w:pPr>
        <w:spacing w:after="120" w:line="276" w:lineRule="auto"/>
        <w:jc w:val="both"/>
        <w:rPr>
          <w:rFonts w:ascii="Times New Roman" w:hAnsi="Times New Roman" w:cs="Times New Roman"/>
          <w:color w:val="000000" w:themeColor="text1"/>
        </w:rPr>
      </w:pPr>
      <w:r w:rsidRPr="00921B17">
        <w:rPr>
          <w:rFonts w:ascii="Times New Roman" w:hAnsi="Times New Roman" w:cs="Times New Roman"/>
          <w:color w:val="000000" w:themeColor="text1"/>
        </w:rPr>
        <w:t>Consultancy Supervision firm for implementation of civil works will be engaged order to supervise the Implementation of the construction works</w:t>
      </w:r>
      <w:r w:rsidR="00467AD5" w:rsidRPr="00921B17">
        <w:rPr>
          <w:rFonts w:ascii="Times New Roman" w:hAnsi="Times New Roman" w:cs="Times New Roman"/>
          <w:color w:val="000000" w:themeColor="text1"/>
        </w:rPr>
        <w:t xml:space="preserve">. </w:t>
      </w:r>
      <w:r w:rsidRPr="00921B17">
        <w:rPr>
          <w:rFonts w:ascii="Times New Roman" w:hAnsi="Times New Roman" w:cs="Times New Roman"/>
          <w:color w:val="000000" w:themeColor="text1"/>
        </w:rPr>
        <w:t>Detailed description of the tasks and responsibilities of the supervising engineer will be provided in ToR for Consultancy Supervision. Consultancy Supervision will provide day to day supervision of the construction works in terms of:</w:t>
      </w:r>
    </w:p>
    <w:p w14:paraId="7413E750"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Quality control </w:t>
      </w:r>
    </w:p>
    <w:p w14:paraId="3A9DDCCD"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 xml:space="preserve">Quantity surveillance </w:t>
      </w:r>
    </w:p>
    <w:p w14:paraId="552C7E29"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Financial oversight ensuring the works remain within the budget or early warning the Employer in case of risk for exceeding the budget</w:t>
      </w:r>
    </w:p>
    <w:p w14:paraId="26F0D4FF"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Verify the Variation Orders</w:t>
      </w:r>
    </w:p>
    <w:p w14:paraId="0027F5E9"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Verify the expenditures of the works Contractor</w:t>
      </w:r>
    </w:p>
    <w:p w14:paraId="181192C3"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Verify and check all necessary documents for taking over</w:t>
      </w:r>
    </w:p>
    <w:p w14:paraId="7537EF45"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Complete the works within time, scope and budget</w:t>
      </w:r>
    </w:p>
    <w:p w14:paraId="7DE32D9E"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Health and Safety</w:t>
      </w:r>
    </w:p>
    <w:p w14:paraId="0F5A0CE6"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Environmental and Social</w:t>
      </w:r>
    </w:p>
    <w:p w14:paraId="0CAD88D5" w14:textId="77777777" w:rsidR="003607FB" w:rsidRPr="00921B17" w:rsidRDefault="003607FB" w:rsidP="00665F55">
      <w:pPr>
        <w:pStyle w:val="ListParagraph"/>
        <w:widowControl w:val="0"/>
        <w:numPr>
          <w:ilvl w:val="0"/>
          <w:numId w:val="229"/>
        </w:numPr>
        <w:autoSpaceDE w:val="0"/>
        <w:autoSpaceDN w:val="0"/>
        <w:adjustRightInd w:val="0"/>
        <w:spacing w:after="120" w:line="276" w:lineRule="auto"/>
        <w:jc w:val="both"/>
        <w:rPr>
          <w:rFonts w:ascii="Times New Roman" w:eastAsia="Calibri" w:hAnsi="Times New Roman" w:cs="Times New Roman"/>
          <w:color w:val="000000" w:themeColor="text1"/>
        </w:rPr>
      </w:pPr>
      <w:r w:rsidRPr="00921B17">
        <w:rPr>
          <w:rFonts w:ascii="Times New Roman" w:eastAsia="Calibri" w:hAnsi="Times New Roman" w:cs="Times New Roman"/>
          <w:color w:val="000000" w:themeColor="text1"/>
        </w:rPr>
        <w:t>Reporting</w:t>
      </w:r>
    </w:p>
    <w:p w14:paraId="473F25C2" w14:textId="77777777" w:rsidR="00467B86" w:rsidRPr="00921B17" w:rsidRDefault="00467B86" w:rsidP="00D01979">
      <w:pPr>
        <w:spacing w:line="276" w:lineRule="auto"/>
        <w:rPr>
          <w:rFonts w:ascii="Times New Roman" w:hAnsi="Times New Roman" w:cs="Times New Roman"/>
          <w:smallCaps/>
          <w:color w:val="0066FF"/>
          <w:sz w:val="28"/>
          <w:szCs w:val="30"/>
        </w:rPr>
        <w:sectPr w:rsidR="00467B86" w:rsidRPr="00921B17" w:rsidSect="00C55550">
          <w:type w:val="continuous"/>
          <w:pgSz w:w="11905" w:h="16837" w:code="9"/>
          <w:pgMar w:top="1134" w:right="1134" w:bottom="1134" w:left="1418" w:header="510" w:footer="340" w:gutter="0"/>
          <w:cols w:space="720"/>
          <w:titlePg/>
        </w:sectPr>
      </w:pPr>
    </w:p>
    <w:p w14:paraId="1FCB042B" w14:textId="5B017BB6" w:rsidR="003E3FED" w:rsidRPr="00921B17" w:rsidRDefault="003E3FED" w:rsidP="00D01979">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05" w:name="_Toc93342330"/>
      <w:r w:rsidRPr="00921B17">
        <w:rPr>
          <w:rFonts w:ascii="Times New Roman" w:hAnsi="Times New Roman" w:cs="Times New Roman"/>
          <w:smallCaps w:val="0"/>
          <w:color w:val="auto"/>
          <w:sz w:val="28"/>
          <w:szCs w:val="30"/>
        </w:rPr>
        <w:t>Annex 1: PDO Key Indicators</w:t>
      </w:r>
      <w:bookmarkEnd w:id="705"/>
      <w:r w:rsidRPr="00921B17">
        <w:rPr>
          <w:rFonts w:ascii="Times New Roman" w:hAnsi="Times New Roman" w:cs="Times New Roman"/>
          <w:smallCaps w:val="0"/>
          <w:color w:val="auto"/>
          <w:sz w:val="28"/>
          <w:szCs w:val="30"/>
        </w:rPr>
        <w:t xml:space="preserve"> </w:t>
      </w:r>
    </w:p>
    <w:p w14:paraId="52677252" w14:textId="77777777" w:rsidR="003E3FED" w:rsidRPr="00921B17" w:rsidRDefault="003E3FED" w:rsidP="00D01979">
      <w:pPr>
        <w:spacing w:after="120" w:line="276" w:lineRule="auto"/>
        <w:jc w:val="both"/>
        <w:rPr>
          <w:rFonts w:ascii="Times New Roman" w:hAnsi="Times New Roman" w:cs="Times New Roman"/>
          <w:color w:val="000000" w:themeColor="text1"/>
        </w:rPr>
      </w:pPr>
    </w:p>
    <w:tbl>
      <w:tblPr>
        <w:tblW w:w="0" w:type="auto"/>
        <w:jc w:val="center"/>
        <w:tblBorders>
          <w:top w:val="single" w:sz="2" w:space="0" w:color="auto"/>
          <w:left w:val="single" w:sz="2" w:space="0" w:color="auto"/>
          <w:bottom w:val="single" w:sz="2" w:space="0" w:color="auto"/>
          <w:right w:val="single" w:sz="2" w:space="0" w:color="auto"/>
          <w:insideH w:val="dotted" w:sz="4" w:space="0" w:color="auto"/>
          <w:insideV w:val="dotted" w:sz="4" w:space="0" w:color="auto"/>
        </w:tblBorders>
        <w:shd w:val="clear" w:color="auto" w:fill="F7F7F7"/>
        <w:tblCellMar>
          <w:top w:w="28" w:type="dxa"/>
          <w:left w:w="28" w:type="dxa"/>
          <w:bottom w:w="28" w:type="dxa"/>
          <w:right w:w="28" w:type="dxa"/>
        </w:tblCellMar>
        <w:tblLook w:val="04A0" w:firstRow="1" w:lastRow="0" w:firstColumn="1" w:lastColumn="0" w:noHBand="0" w:noVBand="1"/>
      </w:tblPr>
      <w:tblGrid>
        <w:gridCol w:w="5428"/>
        <w:gridCol w:w="540"/>
        <w:gridCol w:w="4351"/>
        <w:gridCol w:w="4366"/>
      </w:tblGrid>
      <w:tr w:rsidR="00467AD5" w:rsidRPr="00921B17" w14:paraId="6FBD6FAF" w14:textId="77777777" w:rsidTr="00D01979">
        <w:trPr>
          <w:trHeight w:val="397"/>
          <w:tblHeader/>
          <w:jc w:val="center"/>
        </w:trPr>
        <w:tc>
          <w:tcPr>
            <w:tcW w:w="5428" w:type="dxa"/>
            <w:tcBorders>
              <w:top w:val="single" w:sz="2" w:space="0" w:color="auto"/>
              <w:bottom w:val="single" w:sz="2" w:space="0" w:color="auto"/>
              <w:right w:val="single" w:sz="2" w:space="0" w:color="auto"/>
            </w:tcBorders>
            <w:shd w:val="clear" w:color="auto" w:fill="FDE9D9" w:themeFill="accent6" w:themeFillTint="33"/>
            <w:vAlign w:val="center"/>
          </w:tcPr>
          <w:p w14:paraId="7608A6D9" w14:textId="77777777" w:rsidR="0030539D" w:rsidRPr="00921B17" w:rsidRDefault="0030539D" w:rsidP="00D01979">
            <w:pPr>
              <w:keepNext/>
              <w:keepLines/>
              <w:spacing w:after="0" w:line="276" w:lineRule="auto"/>
              <w:ind w:left="115"/>
              <w:jc w:val="center"/>
              <w:rPr>
                <w:rFonts w:ascii="Times New Roman" w:hAnsi="Times New Roman" w:cs="Times New Roman"/>
                <w:b/>
                <w:color w:val="000000" w:themeColor="text1"/>
              </w:rPr>
            </w:pPr>
            <w:r w:rsidRPr="00921B17">
              <w:rPr>
                <w:rFonts w:ascii="Times New Roman" w:hAnsi="Times New Roman" w:cs="Times New Roman"/>
                <w:b/>
                <w:color w:val="000000" w:themeColor="text1"/>
              </w:rPr>
              <w:t>Indicator Name</w:t>
            </w:r>
          </w:p>
        </w:tc>
        <w:tc>
          <w:tcPr>
            <w:tcW w:w="540" w:type="dxa"/>
            <w:tcBorders>
              <w:top w:val="single" w:sz="2" w:space="0" w:color="auto"/>
              <w:left w:val="single" w:sz="2" w:space="0" w:color="auto"/>
              <w:bottom w:val="single" w:sz="2" w:space="0" w:color="auto"/>
              <w:right w:val="single" w:sz="2" w:space="0" w:color="auto"/>
            </w:tcBorders>
            <w:shd w:val="clear" w:color="auto" w:fill="FDE9D9" w:themeFill="accent6" w:themeFillTint="33"/>
            <w:vAlign w:val="center"/>
          </w:tcPr>
          <w:p w14:paraId="44F5CCE4" w14:textId="77777777" w:rsidR="0030539D" w:rsidRPr="00921B17" w:rsidRDefault="0030539D" w:rsidP="00D01979">
            <w:pPr>
              <w:keepNext/>
              <w:keepLines/>
              <w:spacing w:after="0" w:line="276" w:lineRule="auto"/>
              <w:ind w:left="15"/>
              <w:rPr>
                <w:rFonts w:ascii="Times New Roman" w:hAnsi="Times New Roman" w:cs="Times New Roman"/>
                <w:b/>
                <w:color w:val="000000" w:themeColor="text1"/>
              </w:rPr>
            </w:pPr>
            <w:r w:rsidRPr="00921B17">
              <w:rPr>
                <w:rFonts w:ascii="Times New Roman" w:hAnsi="Times New Roman" w:cs="Times New Roman"/>
                <w:b/>
                <w:color w:val="000000" w:themeColor="text1"/>
              </w:rPr>
              <w:t>PBC</w:t>
            </w:r>
          </w:p>
        </w:tc>
        <w:tc>
          <w:tcPr>
            <w:tcW w:w="4351" w:type="dxa"/>
            <w:tcBorders>
              <w:top w:val="single" w:sz="2" w:space="0" w:color="auto"/>
              <w:left w:val="single" w:sz="2" w:space="0" w:color="auto"/>
              <w:bottom w:val="single" w:sz="2" w:space="0" w:color="auto"/>
              <w:right w:val="single" w:sz="2" w:space="0" w:color="auto"/>
            </w:tcBorders>
            <w:shd w:val="clear" w:color="auto" w:fill="FDE9D9" w:themeFill="accent6" w:themeFillTint="33"/>
            <w:vAlign w:val="center"/>
          </w:tcPr>
          <w:p w14:paraId="24C21C9F" w14:textId="77777777" w:rsidR="0030539D" w:rsidRPr="00921B17" w:rsidRDefault="0030539D" w:rsidP="00D01979">
            <w:pPr>
              <w:keepNext/>
              <w:keepLines/>
              <w:spacing w:after="0" w:line="276" w:lineRule="auto"/>
              <w:ind w:left="115"/>
              <w:rPr>
                <w:rFonts w:ascii="Times New Roman" w:hAnsi="Times New Roman" w:cs="Times New Roman"/>
                <w:b/>
                <w:color w:val="000000" w:themeColor="text1"/>
              </w:rPr>
            </w:pPr>
            <w:r w:rsidRPr="00921B17">
              <w:rPr>
                <w:rFonts w:ascii="Times New Roman" w:hAnsi="Times New Roman" w:cs="Times New Roman"/>
                <w:b/>
                <w:color w:val="000000" w:themeColor="text1"/>
              </w:rPr>
              <w:t>Baseline</w:t>
            </w:r>
          </w:p>
        </w:tc>
        <w:tc>
          <w:tcPr>
            <w:tcW w:w="4366" w:type="dxa"/>
            <w:tcBorders>
              <w:top w:val="single" w:sz="2" w:space="0" w:color="auto"/>
              <w:left w:val="single" w:sz="2" w:space="0" w:color="auto"/>
              <w:bottom w:val="single" w:sz="2" w:space="0" w:color="auto"/>
            </w:tcBorders>
            <w:shd w:val="clear" w:color="auto" w:fill="FDE9D9" w:themeFill="accent6" w:themeFillTint="33"/>
            <w:vAlign w:val="center"/>
          </w:tcPr>
          <w:p w14:paraId="45D0D8C7" w14:textId="77777777" w:rsidR="0030539D" w:rsidRPr="00921B17" w:rsidRDefault="0030539D" w:rsidP="00D01979">
            <w:pPr>
              <w:keepNext/>
              <w:keepLines/>
              <w:spacing w:after="0" w:line="276" w:lineRule="auto"/>
              <w:ind w:left="115"/>
              <w:rPr>
                <w:rFonts w:ascii="Times New Roman" w:hAnsi="Times New Roman" w:cs="Times New Roman"/>
                <w:b/>
                <w:color w:val="000000" w:themeColor="text1"/>
              </w:rPr>
            </w:pPr>
            <w:r w:rsidRPr="00921B17">
              <w:rPr>
                <w:rFonts w:ascii="Times New Roman" w:hAnsi="Times New Roman" w:cs="Times New Roman"/>
                <w:b/>
                <w:color w:val="000000" w:themeColor="text1"/>
              </w:rPr>
              <w:t>End Target</w:t>
            </w:r>
          </w:p>
        </w:tc>
      </w:tr>
      <w:tr w:rsidR="00467AD5" w:rsidRPr="00921B17" w14:paraId="552A85DE" w14:textId="77777777" w:rsidTr="00D01979">
        <w:trPr>
          <w:trHeight w:val="397"/>
          <w:jc w:val="center"/>
        </w:trPr>
        <w:tc>
          <w:tcPr>
            <w:tcW w:w="14685" w:type="dxa"/>
            <w:gridSpan w:val="4"/>
            <w:tcBorders>
              <w:top w:val="single" w:sz="2" w:space="0" w:color="auto"/>
            </w:tcBorders>
            <w:shd w:val="clear" w:color="auto" w:fill="F7F7F7"/>
            <w:vAlign w:val="center"/>
          </w:tcPr>
          <w:p w14:paraId="47D86F16"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b/>
                <w:bCs/>
                <w:noProof/>
                <w:color w:val="000000" w:themeColor="text1"/>
              </w:rPr>
              <w:t>Capacity to manage sustainable infrastructure services</w:t>
            </w:r>
            <w:r w:rsidRPr="00921B17">
              <w:rPr>
                <w:rFonts w:ascii="Times New Roman" w:eastAsia="Times New Roman" w:hAnsi="Times New Roman" w:cs="Times New Roman"/>
                <w:color w:val="000000" w:themeColor="text1"/>
              </w:rPr>
              <w:t xml:space="preserve"> </w:t>
            </w:r>
          </w:p>
        </w:tc>
      </w:tr>
      <w:tr w:rsidR="00467AD5" w:rsidRPr="00921B17" w14:paraId="74DCD81A" w14:textId="77777777" w:rsidTr="00D01979">
        <w:trPr>
          <w:trHeight w:val="397"/>
          <w:jc w:val="center"/>
        </w:trPr>
        <w:tc>
          <w:tcPr>
            <w:tcW w:w="5428" w:type="dxa"/>
            <w:tcBorders>
              <w:right w:val="single" w:sz="2" w:space="0" w:color="auto"/>
            </w:tcBorders>
            <w:shd w:val="clear" w:color="auto" w:fill="F7F7F7"/>
            <w:vAlign w:val="center"/>
          </w:tcPr>
          <w:p w14:paraId="5B5E7E8C"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noProof/>
                <w:color w:val="000000" w:themeColor="text1"/>
              </w:rPr>
              <w:t>LSGs with developed annual and multi-annual budgets corresponding to development plans and asset management systems (Number)</w:t>
            </w:r>
            <w:r w:rsidRPr="00921B17">
              <w:rPr>
                <w:rFonts w:ascii="Times New Roman" w:eastAsia="Times New Roman" w:hAnsi="Times New Roman" w:cs="Times New Roman"/>
                <w:color w:val="000000" w:themeColor="text1"/>
              </w:rPr>
              <w:t xml:space="preserve"> </w:t>
            </w:r>
          </w:p>
        </w:tc>
        <w:tc>
          <w:tcPr>
            <w:tcW w:w="540" w:type="dxa"/>
            <w:tcBorders>
              <w:left w:val="single" w:sz="2" w:space="0" w:color="auto"/>
              <w:right w:val="single" w:sz="2" w:space="0" w:color="auto"/>
            </w:tcBorders>
            <w:shd w:val="clear" w:color="auto" w:fill="F7F7F7"/>
            <w:vAlign w:val="center"/>
          </w:tcPr>
          <w:p w14:paraId="5329A616" w14:textId="77777777" w:rsidR="0030539D" w:rsidRPr="00921B17" w:rsidRDefault="0030539D" w:rsidP="00D01979">
            <w:pPr>
              <w:spacing w:after="0" w:line="276" w:lineRule="auto"/>
              <w:rPr>
                <w:rFonts w:ascii="Times New Roman" w:eastAsia="Times New Roman" w:hAnsi="Times New Roman" w:cs="Times New Roman"/>
                <w:color w:val="000000" w:themeColor="text1"/>
              </w:rPr>
            </w:pPr>
          </w:p>
        </w:tc>
        <w:tc>
          <w:tcPr>
            <w:tcW w:w="4351" w:type="dxa"/>
            <w:tcBorders>
              <w:left w:val="single" w:sz="2" w:space="0" w:color="auto"/>
              <w:right w:val="single" w:sz="2" w:space="0" w:color="auto"/>
            </w:tcBorders>
            <w:shd w:val="clear" w:color="auto" w:fill="F7F7F7"/>
            <w:vAlign w:val="center"/>
          </w:tcPr>
          <w:p w14:paraId="7FD5830A" w14:textId="77777777" w:rsidR="0030539D" w:rsidRPr="00921B17" w:rsidRDefault="0030539D" w:rsidP="00D01979">
            <w:pPr>
              <w:spacing w:after="0" w:line="276" w:lineRule="auto"/>
              <w:ind w:left="30"/>
              <w:rPr>
                <w:rFonts w:ascii="Times New Roman" w:eastAsia="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left w:val="single" w:sz="2" w:space="0" w:color="auto"/>
            </w:tcBorders>
            <w:shd w:val="clear" w:color="auto" w:fill="F7F7F7"/>
            <w:vAlign w:val="center"/>
          </w:tcPr>
          <w:p w14:paraId="3D1109CC" w14:textId="77777777" w:rsidR="0030539D" w:rsidRPr="00921B17" w:rsidRDefault="0030539D" w:rsidP="00D01979">
            <w:pPr>
              <w:spacing w:after="0" w:line="276" w:lineRule="auto"/>
              <w:ind w:left="115"/>
              <w:rPr>
                <w:rFonts w:ascii="Times New Roman" w:eastAsia="Times New Roman" w:hAnsi="Times New Roman" w:cs="Times New Roman"/>
                <w:color w:val="000000" w:themeColor="text1"/>
              </w:rPr>
            </w:pPr>
            <w:r w:rsidRPr="00921B17">
              <w:rPr>
                <w:rFonts w:ascii="Times New Roman" w:hAnsi="Times New Roman" w:cs="Times New Roman"/>
                <w:noProof/>
                <w:color w:val="000000" w:themeColor="text1"/>
              </w:rPr>
              <w:t>15.00</w:t>
            </w:r>
          </w:p>
        </w:tc>
      </w:tr>
      <w:tr w:rsidR="00467AD5" w:rsidRPr="00921B17" w14:paraId="418297E2" w14:textId="77777777" w:rsidTr="00D01979">
        <w:trPr>
          <w:trHeight w:val="397"/>
          <w:jc w:val="center"/>
        </w:trPr>
        <w:tc>
          <w:tcPr>
            <w:tcW w:w="5428" w:type="dxa"/>
            <w:tcBorders>
              <w:right w:val="single" w:sz="2" w:space="0" w:color="auto"/>
            </w:tcBorders>
            <w:shd w:val="clear" w:color="auto" w:fill="F7F7F7"/>
            <w:vAlign w:val="center"/>
          </w:tcPr>
          <w:p w14:paraId="29EC5FCB"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noProof/>
                <w:color w:val="000000" w:themeColor="text1"/>
              </w:rPr>
              <w:t>LSGs utilizing simple road asset management methods developed under the project (Percentage)</w:t>
            </w:r>
            <w:r w:rsidRPr="00921B17">
              <w:rPr>
                <w:rFonts w:ascii="Times New Roman" w:eastAsia="Times New Roman" w:hAnsi="Times New Roman" w:cs="Times New Roman"/>
                <w:color w:val="000000" w:themeColor="text1"/>
              </w:rPr>
              <w:t xml:space="preserve"> </w:t>
            </w:r>
          </w:p>
        </w:tc>
        <w:tc>
          <w:tcPr>
            <w:tcW w:w="540" w:type="dxa"/>
            <w:tcBorders>
              <w:left w:val="single" w:sz="2" w:space="0" w:color="auto"/>
              <w:right w:val="single" w:sz="2" w:space="0" w:color="auto"/>
            </w:tcBorders>
            <w:shd w:val="clear" w:color="auto" w:fill="F7F7F7"/>
            <w:vAlign w:val="center"/>
          </w:tcPr>
          <w:p w14:paraId="6C23C463" w14:textId="77777777" w:rsidR="0030539D" w:rsidRPr="00921B17" w:rsidRDefault="0030539D" w:rsidP="00D01979">
            <w:pPr>
              <w:spacing w:after="0" w:line="276" w:lineRule="auto"/>
              <w:rPr>
                <w:rFonts w:ascii="Times New Roman" w:eastAsia="Times New Roman" w:hAnsi="Times New Roman" w:cs="Times New Roman"/>
                <w:color w:val="000000" w:themeColor="text1"/>
              </w:rPr>
            </w:pPr>
          </w:p>
        </w:tc>
        <w:tc>
          <w:tcPr>
            <w:tcW w:w="4351" w:type="dxa"/>
            <w:tcBorders>
              <w:left w:val="single" w:sz="2" w:space="0" w:color="auto"/>
              <w:right w:val="single" w:sz="2" w:space="0" w:color="auto"/>
            </w:tcBorders>
            <w:shd w:val="clear" w:color="auto" w:fill="F7F7F7"/>
            <w:vAlign w:val="center"/>
          </w:tcPr>
          <w:p w14:paraId="3331FB68" w14:textId="77777777" w:rsidR="0030539D" w:rsidRPr="00921B17" w:rsidRDefault="0030539D" w:rsidP="00D01979">
            <w:pPr>
              <w:spacing w:after="0" w:line="276" w:lineRule="auto"/>
              <w:ind w:left="30"/>
              <w:rPr>
                <w:rFonts w:ascii="Times New Roman" w:eastAsia="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left w:val="single" w:sz="2" w:space="0" w:color="auto"/>
            </w:tcBorders>
            <w:shd w:val="clear" w:color="auto" w:fill="F7F7F7"/>
            <w:vAlign w:val="center"/>
          </w:tcPr>
          <w:p w14:paraId="1F869EC6" w14:textId="77777777" w:rsidR="0030539D" w:rsidRPr="00921B17" w:rsidRDefault="0030539D" w:rsidP="00D01979">
            <w:pPr>
              <w:spacing w:after="0" w:line="276" w:lineRule="auto"/>
              <w:ind w:left="115"/>
              <w:rPr>
                <w:rFonts w:ascii="Times New Roman" w:eastAsia="Times New Roman" w:hAnsi="Times New Roman" w:cs="Times New Roman"/>
                <w:color w:val="000000" w:themeColor="text1"/>
              </w:rPr>
            </w:pPr>
            <w:r w:rsidRPr="00921B17">
              <w:rPr>
                <w:rFonts w:ascii="Times New Roman" w:hAnsi="Times New Roman" w:cs="Times New Roman"/>
                <w:noProof/>
                <w:color w:val="000000" w:themeColor="text1"/>
              </w:rPr>
              <w:t>50.00</w:t>
            </w:r>
          </w:p>
        </w:tc>
      </w:tr>
      <w:tr w:rsidR="00467AD5" w:rsidRPr="00921B17" w14:paraId="5F07244D" w14:textId="77777777" w:rsidTr="00D01979">
        <w:trPr>
          <w:trHeight w:val="397"/>
          <w:jc w:val="center"/>
        </w:trPr>
        <w:tc>
          <w:tcPr>
            <w:tcW w:w="5428" w:type="dxa"/>
            <w:tcBorders>
              <w:right w:val="single" w:sz="2" w:space="0" w:color="auto"/>
            </w:tcBorders>
            <w:shd w:val="clear" w:color="auto" w:fill="F7F7F7"/>
            <w:vAlign w:val="center"/>
          </w:tcPr>
          <w:p w14:paraId="49D04E7F"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noProof/>
                <w:color w:val="000000" w:themeColor="text1"/>
              </w:rPr>
              <w:t>Citizens reporting satisfaction with process of infrastructure service delivery, gender disaggregated (Percentage)</w:t>
            </w:r>
            <w:r w:rsidRPr="00921B17">
              <w:rPr>
                <w:rFonts w:ascii="Times New Roman" w:eastAsia="Times New Roman" w:hAnsi="Times New Roman" w:cs="Times New Roman"/>
                <w:color w:val="000000" w:themeColor="text1"/>
              </w:rPr>
              <w:t xml:space="preserve"> </w:t>
            </w:r>
          </w:p>
        </w:tc>
        <w:tc>
          <w:tcPr>
            <w:tcW w:w="540" w:type="dxa"/>
            <w:tcBorders>
              <w:left w:val="single" w:sz="2" w:space="0" w:color="auto"/>
              <w:right w:val="single" w:sz="2" w:space="0" w:color="auto"/>
            </w:tcBorders>
            <w:shd w:val="clear" w:color="auto" w:fill="F7F7F7"/>
            <w:vAlign w:val="center"/>
          </w:tcPr>
          <w:p w14:paraId="57602D1C" w14:textId="77777777" w:rsidR="0030539D" w:rsidRPr="00921B17" w:rsidRDefault="0030539D" w:rsidP="00D01979">
            <w:pPr>
              <w:spacing w:after="0" w:line="276" w:lineRule="auto"/>
              <w:rPr>
                <w:rFonts w:ascii="Times New Roman" w:eastAsia="Times New Roman" w:hAnsi="Times New Roman" w:cs="Times New Roman"/>
                <w:color w:val="000000" w:themeColor="text1"/>
              </w:rPr>
            </w:pPr>
          </w:p>
        </w:tc>
        <w:tc>
          <w:tcPr>
            <w:tcW w:w="4351" w:type="dxa"/>
            <w:tcBorders>
              <w:left w:val="single" w:sz="2" w:space="0" w:color="auto"/>
              <w:right w:val="single" w:sz="2" w:space="0" w:color="auto"/>
            </w:tcBorders>
            <w:shd w:val="clear" w:color="auto" w:fill="F7F7F7"/>
            <w:vAlign w:val="center"/>
          </w:tcPr>
          <w:p w14:paraId="1FAF763F" w14:textId="77777777" w:rsidR="0030539D" w:rsidRPr="00921B17" w:rsidRDefault="0030539D" w:rsidP="00D01979">
            <w:pPr>
              <w:spacing w:after="0" w:line="276" w:lineRule="auto"/>
              <w:ind w:left="30"/>
              <w:rPr>
                <w:rFonts w:ascii="Times New Roman" w:eastAsia="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left w:val="single" w:sz="2" w:space="0" w:color="auto"/>
            </w:tcBorders>
            <w:shd w:val="clear" w:color="auto" w:fill="F7F7F7"/>
            <w:vAlign w:val="center"/>
          </w:tcPr>
          <w:p w14:paraId="29581805" w14:textId="77777777" w:rsidR="0030539D" w:rsidRPr="00921B17" w:rsidRDefault="0030539D" w:rsidP="00D01979">
            <w:pPr>
              <w:spacing w:after="0" w:line="276" w:lineRule="auto"/>
              <w:ind w:left="115"/>
              <w:rPr>
                <w:rFonts w:ascii="Times New Roman" w:eastAsia="Times New Roman" w:hAnsi="Times New Roman" w:cs="Times New Roman"/>
                <w:color w:val="000000" w:themeColor="text1"/>
              </w:rPr>
            </w:pPr>
            <w:r w:rsidRPr="00921B17">
              <w:rPr>
                <w:rFonts w:ascii="Times New Roman" w:hAnsi="Times New Roman" w:cs="Times New Roman"/>
                <w:noProof/>
                <w:color w:val="000000" w:themeColor="text1"/>
              </w:rPr>
              <w:t>70.00</w:t>
            </w:r>
          </w:p>
        </w:tc>
      </w:tr>
      <w:tr w:rsidR="00467AD5" w:rsidRPr="00921B17" w14:paraId="6E8B7A03" w14:textId="77777777" w:rsidTr="00D01979">
        <w:trPr>
          <w:trHeight w:val="397"/>
          <w:jc w:val="center"/>
        </w:trPr>
        <w:tc>
          <w:tcPr>
            <w:tcW w:w="14685" w:type="dxa"/>
            <w:gridSpan w:val="4"/>
            <w:shd w:val="clear" w:color="auto" w:fill="F7F7F7"/>
            <w:vAlign w:val="center"/>
          </w:tcPr>
          <w:p w14:paraId="578D9B4B"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b/>
                <w:bCs/>
                <w:noProof/>
                <w:color w:val="000000" w:themeColor="text1"/>
              </w:rPr>
              <w:t>Access to economic opportunities and social services</w:t>
            </w:r>
            <w:r w:rsidRPr="00921B17">
              <w:rPr>
                <w:rFonts w:ascii="Times New Roman" w:eastAsia="Times New Roman" w:hAnsi="Times New Roman" w:cs="Times New Roman"/>
                <w:color w:val="000000" w:themeColor="text1"/>
              </w:rPr>
              <w:t xml:space="preserve"> </w:t>
            </w:r>
          </w:p>
        </w:tc>
      </w:tr>
      <w:tr w:rsidR="00467AD5" w:rsidRPr="00921B17" w14:paraId="1E5543BE" w14:textId="77777777" w:rsidTr="00D01979">
        <w:trPr>
          <w:trHeight w:val="397"/>
          <w:jc w:val="center"/>
        </w:trPr>
        <w:tc>
          <w:tcPr>
            <w:tcW w:w="5428" w:type="dxa"/>
            <w:tcBorders>
              <w:right w:val="single" w:sz="2" w:space="0" w:color="auto"/>
            </w:tcBorders>
            <w:shd w:val="clear" w:color="auto" w:fill="F7F7F7"/>
            <w:vAlign w:val="center"/>
          </w:tcPr>
          <w:p w14:paraId="77D4C943"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noProof/>
                <w:color w:val="000000" w:themeColor="text1"/>
              </w:rPr>
              <w:t>Commercial and social services connected by improved, safe and resilient transport network (Number)</w:t>
            </w:r>
            <w:r w:rsidRPr="00921B17">
              <w:rPr>
                <w:rFonts w:ascii="Times New Roman" w:eastAsia="Times New Roman" w:hAnsi="Times New Roman" w:cs="Times New Roman"/>
                <w:color w:val="000000" w:themeColor="text1"/>
              </w:rPr>
              <w:t xml:space="preserve"> </w:t>
            </w:r>
          </w:p>
        </w:tc>
        <w:tc>
          <w:tcPr>
            <w:tcW w:w="540" w:type="dxa"/>
            <w:tcBorders>
              <w:left w:val="single" w:sz="2" w:space="0" w:color="auto"/>
              <w:right w:val="single" w:sz="2" w:space="0" w:color="auto"/>
            </w:tcBorders>
            <w:shd w:val="clear" w:color="auto" w:fill="F7F7F7"/>
            <w:vAlign w:val="center"/>
          </w:tcPr>
          <w:p w14:paraId="3939F910" w14:textId="77777777" w:rsidR="0030539D" w:rsidRPr="00921B17" w:rsidRDefault="0030539D" w:rsidP="00D01979">
            <w:pPr>
              <w:spacing w:after="0" w:line="276" w:lineRule="auto"/>
              <w:rPr>
                <w:rFonts w:ascii="Times New Roman" w:eastAsia="Times New Roman" w:hAnsi="Times New Roman" w:cs="Times New Roman"/>
                <w:color w:val="000000" w:themeColor="text1"/>
              </w:rPr>
            </w:pPr>
          </w:p>
        </w:tc>
        <w:tc>
          <w:tcPr>
            <w:tcW w:w="4351" w:type="dxa"/>
            <w:tcBorders>
              <w:left w:val="single" w:sz="2" w:space="0" w:color="auto"/>
              <w:right w:val="single" w:sz="2" w:space="0" w:color="auto"/>
            </w:tcBorders>
            <w:shd w:val="clear" w:color="auto" w:fill="F7F7F7"/>
            <w:vAlign w:val="center"/>
          </w:tcPr>
          <w:p w14:paraId="0014C00B" w14:textId="77777777" w:rsidR="0030539D" w:rsidRPr="00921B17" w:rsidRDefault="0030539D" w:rsidP="00D01979">
            <w:pPr>
              <w:spacing w:after="0" w:line="276" w:lineRule="auto"/>
              <w:ind w:left="30"/>
              <w:rPr>
                <w:rFonts w:ascii="Times New Roman" w:eastAsia="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left w:val="single" w:sz="2" w:space="0" w:color="auto"/>
            </w:tcBorders>
            <w:shd w:val="clear" w:color="auto" w:fill="F7F7F7"/>
            <w:vAlign w:val="center"/>
          </w:tcPr>
          <w:p w14:paraId="371828AF" w14:textId="77777777" w:rsidR="0030539D" w:rsidRPr="00921B17" w:rsidRDefault="0030539D" w:rsidP="00D01979">
            <w:pPr>
              <w:spacing w:after="0" w:line="276" w:lineRule="auto"/>
              <w:ind w:left="115"/>
              <w:rPr>
                <w:rFonts w:ascii="Times New Roman" w:eastAsia="Times New Roman" w:hAnsi="Times New Roman" w:cs="Times New Roman"/>
                <w:color w:val="000000" w:themeColor="text1"/>
              </w:rPr>
            </w:pPr>
            <w:r w:rsidRPr="00921B17">
              <w:rPr>
                <w:rFonts w:ascii="Times New Roman" w:hAnsi="Times New Roman" w:cs="Times New Roman"/>
                <w:noProof/>
                <w:color w:val="000000" w:themeColor="text1"/>
              </w:rPr>
              <w:t>420.00</w:t>
            </w:r>
          </w:p>
        </w:tc>
      </w:tr>
      <w:tr w:rsidR="00467AD5" w:rsidRPr="00921B17" w14:paraId="07D60497" w14:textId="77777777" w:rsidTr="00D01979">
        <w:trPr>
          <w:trHeight w:val="397"/>
          <w:jc w:val="center"/>
        </w:trPr>
        <w:tc>
          <w:tcPr>
            <w:tcW w:w="14685" w:type="dxa"/>
            <w:gridSpan w:val="4"/>
            <w:shd w:val="clear" w:color="auto" w:fill="F7F7F7"/>
            <w:vAlign w:val="center"/>
          </w:tcPr>
          <w:p w14:paraId="32ABE752" w14:textId="77777777" w:rsidR="0030539D" w:rsidRPr="00921B17" w:rsidRDefault="0030539D" w:rsidP="00D01979">
            <w:pPr>
              <w:spacing w:after="0" w:line="276" w:lineRule="auto"/>
              <w:ind w:left="90"/>
              <w:rPr>
                <w:rFonts w:ascii="Times New Roman" w:eastAsia="Times New Roman" w:hAnsi="Times New Roman" w:cs="Times New Roman"/>
                <w:color w:val="000000" w:themeColor="text1"/>
              </w:rPr>
            </w:pPr>
            <w:r w:rsidRPr="00921B17">
              <w:rPr>
                <w:rFonts w:ascii="Times New Roman" w:eastAsia="Calibri" w:hAnsi="Times New Roman" w:cs="Times New Roman"/>
                <w:b/>
                <w:bCs/>
                <w:noProof/>
                <w:color w:val="000000" w:themeColor="text1"/>
              </w:rPr>
              <w:t>Climate aware investments</w:t>
            </w:r>
            <w:r w:rsidRPr="00921B17">
              <w:rPr>
                <w:rFonts w:ascii="Times New Roman" w:eastAsia="Times New Roman" w:hAnsi="Times New Roman" w:cs="Times New Roman"/>
                <w:color w:val="000000" w:themeColor="text1"/>
              </w:rPr>
              <w:t xml:space="preserve"> </w:t>
            </w:r>
          </w:p>
        </w:tc>
      </w:tr>
      <w:tr w:rsidR="00467AD5" w:rsidRPr="00921B17" w14:paraId="14DF68B5" w14:textId="77777777" w:rsidTr="00D01979">
        <w:trPr>
          <w:trHeight w:val="397"/>
          <w:jc w:val="center"/>
        </w:trPr>
        <w:tc>
          <w:tcPr>
            <w:tcW w:w="5428" w:type="dxa"/>
            <w:tcBorders>
              <w:bottom w:val="single" w:sz="2" w:space="0" w:color="auto"/>
              <w:right w:val="single" w:sz="2" w:space="0" w:color="auto"/>
            </w:tcBorders>
            <w:shd w:val="clear" w:color="auto" w:fill="F7F7F7"/>
            <w:vAlign w:val="center"/>
          </w:tcPr>
          <w:p w14:paraId="387AD97E" w14:textId="1DF38E5E" w:rsidR="0030539D" w:rsidRPr="00921B17" w:rsidRDefault="00C1706D" w:rsidP="00D01979">
            <w:pPr>
              <w:spacing w:after="0" w:line="276" w:lineRule="auto"/>
              <w:ind w:left="90"/>
              <w:rPr>
                <w:rFonts w:ascii="Times New Roman" w:eastAsia="Times New Roman" w:hAnsi="Times New Roman" w:cs="Times New Roman"/>
                <w:color w:val="000000" w:themeColor="text1"/>
              </w:rPr>
            </w:pPr>
            <w:r>
              <w:rPr>
                <w:rFonts w:ascii="Times New Roman" w:eastAsia="Calibri" w:hAnsi="Times New Roman" w:cs="Times New Roman"/>
                <w:noProof/>
                <w:color w:val="000000" w:themeColor="text1"/>
              </w:rPr>
              <w:t>Subprojects</w:t>
            </w:r>
            <w:r w:rsidR="0030539D" w:rsidRPr="00921B17">
              <w:rPr>
                <w:rFonts w:ascii="Times New Roman" w:eastAsia="Calibri" w:hAnsi="Times New Roman" w:cs="Times New Roman"/>
                <w:noProof/>
                <w:color w:val="000000" w:themeColor="text1"/>
              </w:rPr>
              <w:t xml:space="preserve"> supporting </w:t>
            </w:r>
            <w:r w:rsidR="007F671B">
              <w:rPr>
                <w:rFonts w:ascii="Times New Roman" w:eastAsia="Calibri" w:hAnsi="Times New Roman" w:cs="Times New Roman"/>
                <w:noProof/>
                <w:color w:val="000000" w:themeColor="text1"/>
              </w:rPr>
              <w:t>c</w:t>
            </w:r>
            <w:r w:rsidR="004858E3" w:rsidRPr="00921B17">
              <w:rPr>
                <w:rFonts w:ascii="Times New Roman" w:eastAsia="Calibri" w:hAnsi="Times New Roman" w:cs="Times New Roman"/>
                <w:noProof/>
                <w:color w:val="000000" w:themeColor="text1"/>
              </w:rPr>
              <w:t xml:space="preserve">limate </w:t>
            </w:r>
            <w:r w:rsidR="007F671B">
              <w:rPr>
                <w:rFonts w:ascii="Times New Roman" w:eastAsia="Calibri" w:hAnsi="Times New Roman" w:cs="Times New Roman"/>
                <w:noProof/>
                <w:color w:val="000000" w:themeColor="text1"/>
              </w:rPr>
              <w:t>a</w:t>
            </w:r>
            <w:r w:rsidR="004858E3" w:rsidRPr="00921B17">
              <w:rPr>
                <w:rFonts w:ascii="Times New Roman" w:eastAsia="Calibri" w:hAnsi="Times New Roman" w:cs="Times New Roman"/>
                <w:noProof/>
                <w:color w:val="000000" w:themeColor="text1"/>
              </w:rPr>
              <w:t xml:space="preserve">daptation </w:t>
            </w:r>
            <w:r w:rsidR="0030539D" w:rsidRPr="00921B17">
              <w:rPr>
                <w:rFonts w:ascii="Times New Roman" w:eastAsia="Calibri" w:hAnsi="Times New Roman" w:cs="Times New Roman"/>
                <w:noProof/>
                <w:color w:val="000000" w:themeColor="text1"/>
              </w:rPr>
              <w:t>and/or mitigation actions (Percentage)</w:t>
            </w:r>
            <w:r w:rsidR="0030539D" w:rsidRPr="00921B17">
              <w:rPr>
                <w:rFonts w:ascii="Times New Roman" w:eastAsia="Times New Roman" w:hAnsi="Times New Roman" w:cs="Times New Roman"/>
                <w:color w:val="000000" w:themeColor="text1"/>
              </w:rPr>
              <w:t xml:space="preserve"> </w:t>
            </w:r>
          </w:p>
        </w:tc>
        <w:tc>
          <w:tcPr>
            <w:tcW w:w="540" w:type="dxa"/>
            <w:tcBorders>
              <w:left w:val="single" w:sz="2" w:space="0" w:color="auto"/>
              <w:bottom w:val="single" w:sz="2" w:space="0" w:color="auto"/>
              <w:right w:val="single" w:sz="2" w:space="0" w:color="auto"/>
            </w:tcBorders>
            <w:shd w:val="clear" w:color="auto" w:fill="F7F7F7"/>
            <w:vAlign w:val="center"/>
          </w:tcPr>
          <w:p w14:paraId="5BF678EF" w14:textId="77777777" w:rsidR="0030539D" w:rsidRPr="00921B17" w:rsidRDefault="0030539D" w:rsidP="00D01979">
            <w:pPr>
              <w:spacing w:after="0" w:line="276" w:lineRule="auto"/>
              <w:rPr>
                <w:rFonts w:ascii="Times New Roman" w:eastAsia="Times New Roman" w:hAnsi="Times New Roman" w:cs="Times New Roman"/>
                <w:color w:val="000000" w:themeColor="text1"/>
              </w:rPr>
            </w:pPr>
          </w:p>
        </w:tc>
        <w:tc>
          <w:tcPr>
            <w:tcW w:w="4351" w:type="dxa"/>
            <w:tcBorders>
              <w:left w:val="single" w:sz="2" w:space="0" w:color="auto"/>
              <w:bottom w:val="single" w:sz="2" w:space="0" w:color="auto"/>
              <w:right w:val="single" w:sz="2" w:space="0" w:color="auto"/>
            </w:tcBorders>
            <w:shd w:val="clear" w:color="auto" w:fill="F7F7F7"/>
            <w:vAlign w:val="center"/>
          </w:tcPr>
          <w:p w14:paraId="198A5194" w14:textId="77777777" w:rsidR="0030539D" w:rsidRPr="00921B17" w:rsidRDefault="0030539D" w:rsidP="00D01979">
            <w:pPr>
              <w:spacing w:after="0" w:line="276" w:lineRule="auto"/>
              <w:ind w:left="30"/>
              <w:rPr>
                <w:rFonts w:ascii="Times New Roman" w:eastAsia="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left w:val="single" w:sz="2" w:space="0" w:color="auto"/>
              <w:bottom w:val="single" w:sz="2" w:space="0" w:color="auto"/>
            </w:tcBorders>
            <w:shd w:val="clear" w:color="auto" w:fill="F7F7F7"/>
            <w:vAlign w:val="center"/>
          </w:tcPr>
          <w:p w14:paraId="6A684BB1" w14:textId="77777777" w:rsidR="0030539D" w:rsidRPr="00921B17" w:rsidRDefault="0030539D" w:rsidP="00D01979">
            <w:pPr>
              <w:spacing w:after="0" w:line="276" w:lineRule="auto"/>
              <w:ind w:left="115"/>
              <w:rPr>
                <w:rFonts w:ascii="Times New Roman" w:eastAsia="Times New Roman" w:hAnsi="Times New Roman" w:cs="Times New Roman"/>
                <w:color w:val="000000" w:themeColor="text1"/>
              </w:rPr>
            </w:pPr>
            <w:r w:rsidRPr="00921B17">
              <w:rPr>
                <w:rFonts w:ascii="Times New Roman" w:hAnsi="Times New Roman" w:cs="Times New Roman"/>
                <w:noProof/>
                <w:color w:val="000000" w:themeColor="text1"/>
              </w:rPr>
              <w:t>100.00</w:t>
            </w:r>
          </w:p>
        </w:tc>
      </w:tr>
    </w:tbl>
    <w:p w14:paraId="1933D1FB" w14:textId="77777777" w:rsidR="0030539D" w:rsidRPr="00921B17" w:rsidRDefault="0030539D" w:rsidP="00D01979">
      <w:pPr>
        <w:spacing w:after="120" w:line="276" w:lineRule="auto"/>
        <w:jc w:val="both"/>
        <w:rPr>
          <w:rFonts w:ascii="Times New Roman" w:hAnsi="Times New Roman" w:cs="Times New Roman"/>
          <w:color w:val="000000" w:themeColor="text1"/>
        </w:rPr>
      </w:pPr>
    </w:p>
    <w:p w14:paraId="58BCA8BE" w14:textId="77777777" w:rsidR="00C35F7C" w:rsidRPr="00921B17" w:rsidRDefault="00C35F7C" w:rsidP="00D01979">
      <w:pPr>
        <w:spacing w:line="276" w:lineRule="auto"/>
        <w:rPr>
          <w:rFonts w:ascii="Times New Roman" w:hAnsi="Times New Roman" w:cs="Times New Roman"/>
          <w:b/>
          <w:color w:val="000000" w:themeColor="text1"/>
        </w:rPr>
      </w:pPr>
      <w:r w:rsidRPr="00921B17">
        <w:rPr>
          <w:rFonts w:ascii="Times New Roman" w:hAnsi="Times New Roman" w:cs="Times New Roman"/>
          <w:b/>
          <w:color w:val="000000" w:themeColor="text1"/>
        </w:rPr>
        <w:br w:type="page"/>
      </w:r>
    </w:p>
    <w:p w14:paraId="25125CDF" w14:textId="6C2B6B34" w:rsidR="0030539D" w:rsidRPr="00921B17" w:rsidRDefault="0030539D" w:rsidP="00D01979">
      <w:pPr>
        <w:spacing w:after="120" w:line="276" w:lineRule="auto"/>
        <w:ind w:left="426"/>
        <w:jc w:val="both"/>
        <w:rPr>
          <w:rFonts w:ascii="Times New Roman" w:hAnsi="Times New Roman" w:cs="Times New Roman"/>
          <w:b/>
          <w:color w:val="000000" w:themeColor="text1"/>
        </w:rPr>
      </w:pPr>
      <w:r w:rsidRPr="00921B17">
        <w:rPr>
          <w:rFonts w:ascii="Times New Roman" w:hAnsi="Times New Roman" w:cs="Times New Roman"/>
          <w:b/>
          <w:color w:val="000000" w:themeColor="text1"/>
        </w:rPr>
        <w:t>Intermediate Results Indicators by Components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7F7F7"/>
        <w:tblLayout w:type="fixed"/>
        <w:tblCellMar>
          <w:top w:w="28" w:type="dxa"/>
          <w:left w:w="28" w:type="dxa"/>
          <w:bottom w:w="28" w:type="dxa"/>
          <w:right w:w="28" w:type="dxa"/>
        </w:tblCellMar>
        <w:tblLook w:val="04A0" w:firstRow="1" w:lastRow="0" w:firstColumn="1" w:lastColumn="0" w:noHBand="0" w:noVBand="1"/>
      </w:tblPr>
      <w:tblGrid>
        <w:gridCol w:w="4873"/>
        <w:gridCol w:w="540"/>
        <w:gridCol w:w="4351"/>
        <w:gridCol w:w="4366"/>
      </w:tblGrid>
      <w:tr w:rsidR="00467AD5" w:rsidRPr="00921B17" w14:paraId="27E774DA" w14:textId="77777777" w:rsidTr="00C35F7C">
        <w:trPr>
          <w:trHeight w:val="20"/>
          <w:tblHeader/>
          <w:jc w:val="center"/>
        </w:trPr>
        <w:tc>
          <w:tcPr>
            <w:tcW w:w="4873" w:type="dxa"/>
            <w:tcBorders>
              <w:top w:val="single" w:sz="4" w:space="0" w:color="D9D9D9"/>
              <w:left w:val="single" w:sz="4" w:space="0" w:color="D9D9D9"/>
              <w:bottom w:val="nil"/>
              <w:right w:val="single" w:sz="4" w:space="0" w:color="D9D9D9"/>
            </w:tcBorders>
            <w:shd w:val="clear" w:color="auto" w:fill="FDE9D9" w:themeFill="accent6" w:themeFillTint="33"/>
            <w:vAlign w:val="center"/>
          </w:tcPr>
          <w:p w14:paraId="2DC6C681" w14:textId="77777777" w:rsidR="0030539D" w:rsidRPr="00921B17" w:rsidRDefault="0030539D" w:rsidP="00D01979">
            <w:pPr>
              <w:keepNext/>
              <w:keepLines/>
              <w:spacing w:after="0" w:line="276" w:lineRule="auto"/>
              <w:ind w:left="115"/>
              <w:jc w:val="center"/>
              <w:rPr>
                <w:rFonts w:ascii="Times New Roman" w:hAnsi="Times New Roman" w:cs="Times New Roman"/>
                <w:b/>
                <w:color w:val="000000" w:themeColor="text1"/>
              </w:rPr>
            </w:pPr>
            <w:r w:rsidRPr="00921B17">
              <w:rPr>
                <w:rFonts w:ascii="Times New Roman" w:hAnsi="Times New Roman" w:cs="Times New Roman"/>
                <w:b/>
                <w:color w:val="000000" w:themeColor="text1"/>
              </w:rPr>
              <w:t>Indicator Name</w:t>
            </w:r>
          </w:p>
        </w:tc>
        <w:tc>
          <w:tcPr>
            <w:tcW w:w="540" w:type="dxa"/>
            <w:tcBorders>
              <w:top w:val="single" w:sz="4" w:space="0" w:color="D9D9D9"/>
              <w:left w:val="single" w:sz="4" w:space="0" w:color="D9D9D9"/>
              <w:bottom w:val="nil"/>
              <w:right w:val="single" w:sz="4" w:space="0" w:color="D9D9D9"/>
            </w:tcBorders>
            <w:shd w:val="clear" w:color="auto" w:fill="FDE9D9" w:themeFill="accent6" w:themeFillTint="33"/>
            <w:vAlign w:val="center"/>
          </w:tcPr>
          <w:p w14:paraId="3DBA204D" w14:textId="77777777" w:rsidR="0030539D" w:rsidRPr="00921B17" w:rsidRDefault="0030539D" w:rsidP="00D01979">
            <w:pPr>
              <w:keepNext/>
              <w:keepLines/>
              <w:spacing w:after="0" w:line="276" w:lineRule="auto"/>
              <w:rPr>
                <w:rFonts w:ascii="Times New Roman" w:hAnsi="Times New Roman" w:cs="Times New Roman"/>
                <w:b/>
                <w:color w:val="000000" w:themeColor="text1"/>
              </w:rPr>
            </w:pPr>
            <w:r w:rsidRPr="00921B17">
              <w:rPr>
                <w:rFonts w:ascii="Times New Roman" w:hAnsi="Times New Roman" w:cs="Times New Roman"/>
                <w:b/>
                <w:color w:val="000000" w:themeColor="text1"/>
              </w:rPr>
              <w:t>PBC</w:t>
            </w:r>
          </w:p>
        </w:tc>
        <w:tc>
          <w:tcPr>
            <w:tcW w:w="4351" w:type="dxa"/>
            <w:tcBorders>
              <w:top w:val="single" w:sz="4" w:space="0" w:color="D9D9D9"/>
              <w:left w:val="single" w:sz="4" w:space="0" w:color="D9D9D9"/>
              <w:bottom w:val="nil"/>
              <w:right w:val="single" w:sz="4" w:space="0" w:color="D9D9D9"/>
            </w:tcBorders>
            <w:shd w:val="clear" w:color="auto" w:fill="FDE9D9" w:themeFill="accent6" w:themeFillTint="33"/>
            <w:vAlign w:val="center"/>
          </w:tcPr>
          <w:p w14:paraId="2875F0DB" w14:textId="77777777" w:rsidR="0030539D" w:rsidRPr="00921B17" w:rsidRDefault="0030539D" w:rsidP="00D01979">
            <w:pPr>
              <w:keepNext/>
              <w:keepLines/>
              <w:spacing w:after="0" w:line="276" w:lineRule="auto"/>
              <w:ind w:left="115"/>
              <w:rPr>
                <w:rFonts w:ascii="Times New Roman" w:hAnsi="Times New Roman" w:cs="Times New Roman"/>
                <w:b/>
                <w:color w:val="000000" w:themeColor="text1"/>
              </w:rPr>
            </w:pPr>
            <w:r w:rsidRPr="00921B17">
              <w:rPr>
                <w:rFonts w:ascii="Times New Roman" w:hAnsi="Times New Roman" w:cs="Times New Roman"/>
                <w:b/>
                <w:color w:val="000000" w:themeColor="text1"/>
              </w:rPr>
              <w:t>Baseline</w:t>
            </w:r>
          </w:p>
        </w:tc>
        <w:tc>
          <w:tcPr>
            <w:tcW w:w="4366" w:type="dxa"/>
            <w:tcBorders>
              <w:top w:val="single" w:sz="4" w:space="0" w:color="D9D9D9"/>
              <w:left w:val="single" w:sz="4" w:space="0" w:color="D9D9D9"/>
              <w:bottom w:val="nil"/>
              <w:right w:val="single" w:sz="4" w:space="0" w:color="D9D9D9"/>
            </w:tcBorders>
            <w:shd w:val="clear" w:color="auto" w:fill="FDE9D9" w:themeFill="accent6" w:themeFillTint="33"/>
            <w:vAlign w:val="center"/>
          </w:tcPr>
          <w:p w14:paraId="4FA5D4F4" w14:textId="77777777" w:rsidR="0030539D" w:rsidRPr="00921B17" w:rsidRDefault="0030539D" w:rsidP="00D01979">
            <w:pPr>
              <w:keepNext/>
              <w:keepLines/>
              <w:spacing w:after="0" w:line="276" w:lineRule="auto"/>
              <w:ind w:left="115"/>
              <w:rPr>
                <w:rFonts w:ascii="Times New Roman" w:hAnsi="Times New Roman" w:cs="Times New Roman"/>
                <w:b/>
                <w:color w:val="000000" w:themeColor="text1"/>
              </w:rPr>
            </w:pPr>
            <w:r w:rsidRPr="00921B17">
              <w:rPr>
                <w:rFonts w:ascii="Times New Roman" w:hAnsi="Times New Roman" w:cs="Times New Roman"/>
                <w:b/>
                <w:color w:val="000000" w:themeColor="text1"/>
              </w:rPr>
              <w:t>End Target</w:t>
            </w:r>
          </w:p>
        </w:tc>
      </w:tr>
      <w:tr w:rsidR="00467AD5" w:rsidRPr="00921B17" w14:paraId="6B04ED29" w14:textId="77777777" w:rsidTr="00C35F7C">
        <w:trPr>
          <w:trHeight w:val="20"/>
          <w:jc w:val="center"/>
        </w:trPr>
        <w:tc>
          <w:tcPr>
            <w:tcW w:w="14130" w:type="dxa"/>
            <w:gridSpan w:val="4"/>
            <w:tcBorders>
              <w:top w:val="single" w:sz="4" w:space="0" w:color="D9D9D9"/>
              <w:left w:val="single" w:sz="4" w:space="0" w:color="D9D9D9"/>
              <w:bottom w:val="single" w:sz="4" w:space="0" w:color="D9D9D9"/>
              <w:right w:val="single" w:sz="4" w:space="0" w:color="D9D9D9"/>
            </w:tcBorders>
            <w:shd w:val="clear" w:color="auto" w:fill="F7F7F7"/>
            <w:vAlign w:val="center"/>
          </w:tcPr>
          <w:p w14:paraId="5141F947" w14:textId="77777777"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b/>
                <w:bCs/>
                <w:noProof/>
                <w:color w:val="000000" w:themeColor="text1"/>
              </w:rPr>
              <w:t>Component 1. Climate Smart Mobility</w:t>
            </w:r>
            <w:r w:rsidRPr="00921B17">
              <w:rPr>
                <w:rFonts w:ascii="Times New Roman" w:eastAsia="Times New Roman" w:hAnsi="Times New Roman" w:cs="Times New Roman"/>
                <w:color w:val="000000" w:themeColor="text1"/>
              </w:rPr>
              <w:t xml:space="preserve"> </w:t>
            </w:r>
          </w:p>
        </w:tc>
      </w:tr>
      <w:tr w:rsidR="00467AD5" w:rsidRPr="00921B17" w14:paraId="7D5EC916"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70B2BF7" w14:textId="23A974AE" w:rsidR="0030539D" w:rsidRPr="00921B17" w:rsidRDefault="0030539D" w:rsidP="00C1706D">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SUMPs and Action Plans adopted by LSGs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2A27620"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D9A89D5"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9.00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CA692E8"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34.00</w:t>
            </w:r>
          </w:p>
        </w:tc>
      </w:tr>
      <w:tr w:rsidR="00467AD5" w:rsidRPr="00921B17" w14:paraId="05495C9E"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8554608" w14:textId="36EE0A75"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 xml:space="preserve">Smart </w:t>
            </w:r>
            <w:r w:rsidR="00792B6B">
              <w:rPr>
                <w:rFonts w:ascii="Times New Roman" w:eastAsia="Calibri" w:hAnsi="Times New Roman" w:cs="Times New Roman"/>
                <w:noProof/>
                <w:color w:val="000000" w:themeColor="text1"/>
              </w:rPr>
              <w:t>m</w:t>
            </w:r>
            <w:r w:rsidR="004858E3" w:rsidRPr="00921B17">
              <w:rPr>
                <w:rFonts w:ascii="Times New Roman" w:eastAsia="Calibri" w:hAnsi="Times New Roman" w:cs="Times New Roman"/>
                <w:noProof/>
                <w:color w:val="000000" w:themeColor="text1"/>
              </w:rPr>
              <w:t xml:space="preserve">obility </w:t>
            </w:r>
            <w:r w:rsidRPr="00921B17">
              <w:rPr>
                <w:rFonts w:ascii="Times New Roman" w:eastAsia="Calibri" w:hAnsi="Times New Roman" w:cs="Times New Roman"/>
                <w:noProof/>
                <w:color w:val="000000" w:themeColor="text1"/>
              </w:rPr>
              <w:t>pilots implemented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A6C701B"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D15956C"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012335D"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5.00</w:t>
            </w:r>
          </w:p>
        </w:tc>
      </w:tr>
      <w:tr w:rsidR="00467AD5" w:rsidRPr="00921B17" w14:paraId="4CBBC187"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A72C72D" w14:textId="6513FCC6" w:rsidR="0030539D" w:rsidRPr="00921B17" w:rsidRDefault="0030539D" w:rsidP="00C1706D">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 xml:space="preserve">LSGs with road safety interventions for </w:t>
            </w:r>
            <w:r w:rsidR="00C1706D">
              <w:rPr>
                <w:rFonts w:ascii="Times New Roman" w:eastAsia="Calibri" w:hAnsi="Times New Roman" w:cs="Times New Roman"/>
                <w:noProof/>
                <w:color w:val="000000" w:themeColor="text1"/>
              </w:rPr>
              <w:t>children</w:t>
            </w:r>
            <w:r w:rsidR="00C1706D" w:rsidRPr="00921B17">
              <w:rPr>
                <w:rFonts w:ascii="Times New Roman" w:eastAsia="Calibri" w:hAnsi="Times New Roman" w:cs="Times New Roman"/>
                <w:noProof/>
                <w:color w:val="000000" w:themeColor="text1"/>
              </w:rPr>
              <w:t xml:space="preserve"> </w:t>
            </w:r>
            <w:r w:rsidRPr="00921B17">
              <w:rPr>
                <w:rFonts w:ascii="Times New Roman" w:eastAsia="Calibri" w:hAnsi="Times New Roman" w:cs="Times New Roman"/>
                <w:noProof/>
                <w:color w:val="000000" w:themeColor="text1"/>
              </w:rPr>
              <w:t>identified and budgeted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05008E0"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971590F"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C726C90"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15.00</w:t>
            </w:r>
          </w:p>
        </w:tc>
      </w:tr>
      <w:tr w:rsidR="00467AD5" w:rsidRPr="00921B17" w14:paraId="08D1814B"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9FC4390" w14:textId="6DA12702" w:rsidR="0030539D" w:rsidRPr="00921B17" w:rsidRDefault="00080A58" w:rsidP="00C1706D">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FA</w:t>
            </w:r>
            <w:r w:rsidR="002C4FC3" w:rsidRPr="00921B17">
              <w:rPr>
                <w:rFonts w:ascii="Times New Roman" w:eastAsia="Calibri" w:hAnsi="Times New Roman" w:cs="Times New Roman"/>
                <w:noProof/>
                <w:color w:val="000000" w:themeColor="text1"/>
              </w:rPr>
              <w:t>s</w:t>
            </w:r>
            <w:r w:rsidR="0030539D" w:rsidRPr="00921B17">
              <w:rPr>
                <w:rFonts w:ascii="Times New Roman" w:eastAsia="Calibri" w:hAnsi="Times New Roman" w:cs="Times New Roman"/>
                <w:noProof/>
                <w:color w:val="000000" w:themeColor="text1"/>
              </w:rPr>
              <w:t xml:space="preserve"> signed between LSGs and central government (Number)</w:t>
            </w:r>
            <w:r w:rsidR="0030539D"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DB8DE41"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8332F83"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EB2B4DE"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145.00</w:t>
            </w:r>
          </w:p>
        </w:tc>
      </w:tr>
      <w:tr w:rsidR="00467AD5" w:rsidRPr="00921B17" w14:paraId="4AB76039"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859C926" w14:textId="77777777"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Share of investments dedicated to non motorized transport (Percentage)</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786ABC4"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4786CCC"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AF2ABD7"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20.00</w:t>
            </w:r>
          </w:p>
        </w:tc>
      </w:tr>
      <w:tr w:rsidR="00467AD5" w:rsidRPr="00921B17" w14:paraId="4CE9A5E4" w14:textId="77777777" w:rsidTr="00C35F7C">
        <w:trPr>
          <w:trHeight w:val="20"/>
          <w:jc w:val="center"/>
        </w:trPr>
        <w:tc>
          <w:tcPr>
            <w:tcW w:w="14130" w:type="dxa"/>
            <w:gridSpan w:val="4"/>
            <w:tcBorders>
              <w:top w:val="single" w:sz="4" w:space="0" w:color="D9D9D9"/>
              <w:left w:val="single" w:sz="4" w:space="0" w:color="D9D9D9"/>
              <w:bottom w:val="single" w:sz="4" w:space="0" w:color="D9D9D9"/>
              <w:right w:val="single" w:sz="4" w:space="0" w:color="D9D9D9"/>
            </w:tcBorders>
            <w:shd w:val="clear" w:color="auto" w:fill="F7F7F7"/>
            <w:vAlign w:val="center"/>
          </w:tcPr>
          <w:p w14:paraId="77F353FA" w14:textId="5F8F14CB"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b/>
                <w:bCs/>
                <w:noProof/>
                <w:color w:val="000000" w:themeColor="text1"/>
              </w:rPr>
              <w:t>Component 2</w:t>
            </w:r>
            <w:r w:rsidR="00C1706D" w:rsidRPr="00D920DB">
              <w:rPr>
                <w:rFonts w:ascii="Times New Roman" w:eastAsia="Calibri" w:hAnsi="Times New Roman" w:cs="Times New Roman"/>
                <w:b/>
                <w:bCs/>
                <w:noProof/>
              </w:rPr>
              <w:t xml:space="preserve"> Strengthening</w:t>
            </w:r>
            <w:r w:rsidR="00C1706D" w:rsidRPr="002203D9">
              <w:rPr>
                <w:rFonts w:ascii="Times New Roman" w:hAnsi="Times New Roman"/>
                <w:b/>
              </w:rPr>
              <w:t xml:space="preserve"> </w:t>
            </w:r>
            <w:r w:rsidR="00E84414">
              <w:rPr>
                <w:rFonts w:ascii="Times New Roman" w:eastAsia="Calibri" w:hAnsi="Times New Roman" w:cs="Times New Roman"/>
                <w:b/>
                <w:bCs/>
                <w:noProof/>
                <w:color w:val="000000" w:themeColor="text1"/>
              </w:rPr>
              <w:t xml:space="preserve">capacity for infrastructure service delivery </w:t>
            </w:r>
            <w:r w:rsidRPr="00921B17">
              <w:rPr>
                <w:rFonts w:ascii="Times New Roman" w:eastAsia="Times New Roman" w:hAnsi="Times New Roman" w:cs="Times New Roman"/>
                <w:color w:val="000000" w:themeColor="text1"/>
              </w:rPr>
              <w:t xml:space="preserve"> </w:t>
            </w:r>
          </w:p>
        </w:tc>
      </w:tr>
      <w:tr w:rsidR="00467AD5" w:rsidRPr="00921B17" w14:paraId="41B7F99B"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A8DF046" w14:textId="77777777"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LSGs piloted enhanced strategic participatory planning approaches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2477C1A"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B70E702"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55B116A"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10.00</w:t>
            </w:r>
          </w:p>
        </w:tc>
      </w:tr>
      <w:tr w:rsidR="00467AD5" w:rsidRPr="00921B17" w14:paraId="56290F19"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9EF90F1" w14:textId="77777777"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Roadmap for improved access to financing developed (Yes/No)</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6983B08"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91D4E57"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No</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4532E6F"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Yes</w:t>
            </w:r>
          </w:p>
        </w:tc>
      </w:tr>
      <w:tr w:rsidR="00467AD5" w:rsidRPr="00921B17" w14:paraId="4C1778E8"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0350375" w14:textId="0F1D8F22" w:rsidR="0030539D" w:rsidRPr="00921B17" w:rsidRDefault="0030539D" w:rsidP="00C1706D">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Database for public investments at the local level, compatible to central level PIMIS developed (Yes/No)</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CD25D06"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D476786"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No</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75B7EAD"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Yes</w:t>
            </w:r>
          </w:p>
        </w:tc>
      </w:tr>
      <w:tr w:rsidR="00467AD5" w:rsidRPr="00921B17" w14:paraId="40A574A4"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B862FC1" w14:textId="77777777"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Increase in number of works contracts finished within planned time (Percentage)</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5E2BFEE"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6E9C583"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14AE0F8"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50.00</w:t>
            </w:r>
          </w:p>
        </w:tc>
      </w:tr>
      <w:tr w:rsidR="00467AD5" w:rsidRPr="00921B17" w14:paraId="58662546"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6789CA9" w14:textId="7C08C797" w:rsidR="0030539D" w:rsidRPr="00921B17" w:rsidRDefault="0030539D" w:rsidP="00C1706D">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Pipeline of urban development and municipal infrastructure projects prepared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C1EB424"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0F1C47C"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60BA92F"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10.00</w:t>
            </w:r>
          </w:p>
        </w:tc>
      </w:tr>
      <w:tr w:rsidR="00467AD5" w:rsidRPr="00921B17" w14:paraId="2E0C6D64" w14:textId="77777777" w:rsidTr="00665F55">
        <w:trPr>
          <w:trHeight w:val="686"/>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1B0C6EB" w14:textId="77777777"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Number of internships completed, with women making at least 70 percent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5CC1311"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1044A05"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C98694C"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40.00</w:t>
            </w:r>
          </w:p>
        </w:tc>
      </w:tr>
      <w:tr w:rsidR="00467AD5" w:rsidRPr="00921B17" w14:paraId="39350413" w14:textId="77777777" w:rsidTr="00C35F7C">
        <w:trPr>
          <w:trHeight w:val="20"/>
          <w:jc w:val="center"/>
        </w:trPr>
        <w:tc>
          <w:tcPr>
            <w:tcW w:w="14130" w:type="dxa"/>
            <w:gridSpan w:val="4"/>
            <w:tcBorders>
              <w:top w:val="single" w:sz="4" w:space="0" w:color="D9D9D9"/>
              <w:left w:val="single" w:sz="4" w:space="0" w:color="D9D9D9"/>
              <w:bottom w:val="single" w:sz="4" w:space="0" w:color="D9D9D9"/>
              <w:right w:val="single" w:sz="4" w:space="0" w:color="D9D9D9"/>
            </w:tcBorders>
            <w:shd w:val="clear" w:color="auto" w:fill="F7F7F7"/>
            <w:vAlign w:val="center"/>
          </w:tcPr>
          <w:p w14:paraId="2DCD54A5" w14:textId="17EF4A9D" w:rsidR="0030539D" w:rsidRPr="00921B17" w:rsidRDefault="0030539D" w:rsidP="00D01979">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b/>
                <w:bCs/>
                <w:noProof/>
                <w:color w:val="000000" w:themeColor="text1"/>
              </w:rPr>
              <w:t xml:space="preserve">Component 3: </w:t>
            </w:r>
            <w:r w:rsidR="000B3068" w:rsidRPr="00921B17">
              <w:rPr>
                <w:rFonts w:ascii="Times New Roman" w:eastAsia="Calibri" w:hAnsi="Times New Roman" w:cs="Times New Roman"/>
                <w:b/>
                <w:bCs/>
                <w:noProof/>
                <w:color w:val="000000" w:themeColor="text1"/>
              </w:rPr>
              <w:t xml:space="preserve">Project </w:t>
            </w:r>
            <w:r w:rsidR="00E84414">
              <w:rPr>
                <w:rFonts w:ascii="Times New Roman" w:eastAsia="Times New Roman" w:hAnsi="Times New Roman" w:cs="Times New Roman"/>
                <w:color w:val="000000" w:themeColor="text1"/>
              </w:rPr>
              <w:t>Management and Awareness Raising</w:t>
            </w:r>
          </w:p>
        </w:tc>
      </w:tr>
      <w:tr w:rsidR="00467AD5" w:rsidRPr="00921B17" w14:paraId="61DB1CC4" w14:textId="77777777" w:rsidTr="00C35F7C">
        <w:trPr>
          <w:trHeight w:val="20"/>
          <w:jc w:val="center"/>
        </w:trPr>
        <w:tc>
          <w:tcPr>
            <w:tcW w:w="48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1EA2757" w14:textId="028B1DB7" w:rsidR="0030539D" w:rsidRPr="00921B17" w:rsidRDefault="0030539D" w:rsidP="00C1706D">
            <w:pPr>
              <w:spacing w:after="0" w:line="276" w:lineRule="auto"/>
              <w:ind w:left="75"/>
              <w:rPr>
                <w:rFonts w:ascii="Times New Roman" w:hAnsi="Times New Roman" w:cs="Times New Roman"/>
                <w:color w:val="000000" w:themeColor="text1"/>
              </w:rPr>
            </w:pPr>
            <w:r w:rsidRPr="00921B17">
              <w:rPr>
                <w:rFonts w:ascii="Times New Roman" w:eastAsia="Calibri" w:hAnsi="Times New Roman" w:cs="Times New Roman"/>
                <w:noProof/>
                <w:color w:val="000000" w:themeColor="text1"/>
              </w:rPr>
              <w:t xml:space="preserve">Awareness campaigns </w:t>
            </w:r>
            <w:r w:rsidR="004858E3" w:rsidRPr="00921B17">
              <w:rPr>
                <w:rFonts w:ascii="Times New Roman" w:eastAsia="Calibri" w:hAnsi="Times New Roman" w:cs="Times New Roman"/>
                <w:noProof/>
                <w:color w:val="000000" w:themeColor="text1"/>
              </w:rPr>
              <w:t>o</w:t>
            </w:r>
            <w:r w:rsidR="004858E3">
              <w:rPr>
                <w:rFonts w:ascii="Times New Roman" w:eastAsia="Calibri" w:hAnsi="Times New Roman" w:cs="Times New Roman"/>
                <w:noProof/>
                <w:color w:val="000000" w:themeColor="text1"/>
              </w:rPr>
              <w:t>n</w:t>
            </w:r>
            <w:r w:rsidR="004858E3" w:rsidRPr="00921B17">
              <w:rPr>
                <w:rFonts w:ascii="Times New Roman" w:eastAsia="Calibri" w:hAnsi="Times New Roman" w:cs="Times New Roman"/>
                <w:noProof/>
                <w:color w:val="000000" w:themeColor="text1"/>
              </w:rPr>
              <w:t xml:space="preserve"> </w:t>
            </w:r>
            <w:r w:rsidR="00C1706D">
              <w:rPr>
                <w:rFonts w:ascii="Times New Roman" w:eastAsia="Calibri" w:hAnsi="Times New Roman" w:cs="Times New Roman"/>
                <w:noProof/>
                <w:color w:val="000000" w:themeColor="text1"/>
              </w:rPr>
              <w:t>g</w:t>
            </w:r>
            <w:r w:rsidR="004858E3" w:rsidRPr="00921B17">
              <w:rPr>
                <w:rFonts w:ascii="Times New Roman" w:eastAsia="Calibri" w:hAnsi="Times New Roman" w:cs="Times New Roman"/>
                <w:noProof/>
                <w:color w:val="000000" w:themeColor="text1"/>
              </w:rPr>
              <w:t xml:space="preserve">reening </w:t>
            </w:r>
            <w:r w:rsidRPr="00921B17">
              <w:rPr>
                <w:rFonts w:ascii="Times New Roman" w:eastAsia="Calibri" w:hAnsi="Times New Roman" w:cs="Times New Roman"/>
                <w:noProof/>
                <w:color w:val="000000" w:themeColor="text1"/>
              </w:rPr>
              <w:t>of infrastructure and sustainable mobility delivered (Number)</w:t>
            </w:r>
            <w:r w:rsidRPr="00921B17">
              <w:rPr>
                <w:rFonts w:ascii="Times New Roman" w:eastAsia="Times New Roman" w:hAnsi="Times New Roman" w:cs="Times New Roman"/>
                <w:color w:val="000000" w:themeColor="text1"/>
              </w:rPr>
              <w:t xml:space="preserve"> </w:t>
            </w:r>
          </w:p>
        </w:tc>
        <w:tc>
          <w:tcPr>
            <w:tcW w:w="54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EF417A9" w14:textId="77777777" w:rsidR="0030539D" w:rsidRPr="00921B17" w:rsidRDefault="0030539D" w:rsidP="00D01979">
            <w:pPr>
              <w:spacing w:after="0" w:line="276" w:lineRule="auto"/>
              <w:rPr>
                <w:rFonts w:ascii="Times New Roman" w:hAnsi="Times New Roman" w:cs="Times New Roman"/>
                <w:color w:val="000000" w:themeColor="text1"/>
              </w:rPr>
            </w:pPr>
          </w:p>
        </w:tc>
        <w:tc>
          <w:tcPr>
            <w:tcW w:w="435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53C8D2F"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eastAsia="Times New Roman" w:hAnsi="Times New Roman" w:cs="Times New Roman"/>
                <w:noProof/>
                <w:color w:val="000000" w:themeColor="text1"/>
              </w:rPr>
              <w:t>0.00</w:t>
            </w:r>
          </w:p>
        </w:tc>
        <w:tc>
          <w:tcPr>
            <w:tcW w:w="4366"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F00EEEE" w14:textId="77777777" w:rsidR="0030539D" w:rsidRPr="00921B17" w:rsidRDefault="0030539D" w:rsidP="00D01979">
            <w:pPr>
              <w:spacing w:after="0" w:line="276" w:lineRule="auto"/>
              <w:rPr>
                <w:rFonts w:ascii="Times New Roman" w:hAnsi="Times New Roman" w:cs="Times New Roman"/>
                <w:color w:val="000000" w:themeColor="text1"/>
              </w:rPr>
            </w:pPr>
            <w:r w:rsidRPr="00921B17">
              <w:rPr>
                <w:rFonts w:ascii="Times New Roman" w:hAnsi="Times New Roman" w:cs="Times New Roman"/>
                <w:noProof/>
                <w:color w:val="000000" w:themeColor="text1"/>
              </w:rPr>
              <w:t>10.00</w:t>
            </w:r>
          </w:p>
        </w:tc>
      </w:tr>
    </w:tbl>
    <w:p w14:paraId="78085297" w14:textId="77777777" w:rsidR="00301859" w:rsidRPr="00044A47" w:rsidRDefault="00301859" w:rsidP="00D01979">
      <w:pPr>
        <w:spacing w:after="0" w:line="276" w:lineRule="auto"/>
        <w:jc w:val="both"/>
        <w:rPr>
          <w:rFonts w:ascii="Times New Roman" w:hAnsi="Times New Roman" w:cs="Times New Roman"/>
          <w:color w:val="FF0000"/>
          <w:sz w:val="6"/>
        </w:rPr>
      </w:pPr>
    </w:p>
    <w:p w14:paraId="7445EE5F" w14:textId="77777777" w:rsidR="00467B86" w:rsidRPr="00044A47" w:rsidRDefault="00467B86" w:rsidP="00D01979">
      <w:pPr>
        <w:spacing w:after="0" w:line="276" w:lineRule="auto"/>
        <w:jc w:val="both"/>
        <w:rPr>
          <w:rFonts w:ascii="Times New Roman" w:hAnsi="Times New Roman" w:cs="Times New Roman"/>
          <w:color w:val="FF0000"/>
          <w:sz w:val="6"/>
        </w:rPr>
        <w:sectPr w:rsidR="00467B86" w:rsidRPr="00044A47" w:rsidSect="00D01979">
          <w:pgSz w:w="16837" w:h="11905" w:orient="landscape" w:code="9"/>
          <w:pgMar w:top="851" w:right="1134" w:bottom="851" w:left="851" w:header="510" w:footer="340" w:gutter="0"/>
          <w:cols w:space="720"/>
          <w:titlePg/>
        </w:sectPr>
      </w:pPr>
    </w:p>
    <w:p w14:paraId="56DC1C0F" w14:textId="429E033B" w:rsidR="003E3FED" w:rsidRPr="00921B17" w:rsidRDefault="003E3FED" w:rsidP="00D01979">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06" w:name="_Toc93342331"/>
      <w:r w:rsidRPr="00921B17">
        <w:rPr>
          <w:rFonts w:ascii="Times New Roman" w:hAnsi="Times New Roman" w:cs="Times New Roman"/>
          <w:smallCaps w:val="0"/>
          <w:color w:val="auto"/>
          <w:sz w:val="28"/>
          <w:szCs w:val="30"/>
        </w:rPr>
        <w:t>Annex 2: Monitoring &amp; Evaluation Plan</w:t>
      </w:r>
      <w:r w:rsidR="00BD31B0" w:rsidRPr="00921B17">
        <w:rPr>
          <w:rFonts w:ascii="Times New Roman" w:hAnsi="Times New Roman" w:cs="Times New Roman"/>
          <w:smallCaps w:val="0"/>
          <w:color w:val="auto"/>
          <w:sz w:val="28"/>
          <w:szCs w:val="30"/>
        </w:rPr>
        <w:t>: PDO Indicators</w:t>
      </w:r>
      <w:bookmarkEnd w:id="706"/>
    </w:p>
    <w:tbl>
      <w:tblPr>
        <w:tblStyle w:val="TableGrid7"/>
        <w:tblW w:w="14884" w:type="dxa"/>
        <w:tblLayout w:type="fixed"/>
        <w:tblLook w:val="04A0" w:firstRow="1" w:lastRow="0" w:firstColumn="1" w:lastColumn="0" w:noHBand="0" w:noVBand="1"/>
      </w:tblPr>
      <w:tblGrid>
        <w:gridCol w:w="3865"/>
        <w:gridCol w:w="2700"/>
        <w:gridCol w:w="1373"/>
        <w:gridCol w:w="1418"/>
        <w:gridCol w:w="3685"/>
        <w:gridCol w:w="1843"/>
      </w:tblGrid>
      <w:tr w:rsidR="00080A58" w:rsidRPr="00921B17" w14:paraId="5FDABF9F" w14:textId="77777777" w:rsidTr="00D01979">
        <w:trPr>
          <w:trHeight w:val="432"/>
          <w:tblHeader/>
        </w:trPr>
        <w:tc>
          <w:tcPr>
            <w:tcW w:w="14884" w:type="dxa"/>
            <w:gridSpan w:val="6"/>
            <w:tcBorders>
              <w:top w:val="single" w:sz="4" w:space="0" w:color="D9D9D9"/>
              <w:left w:val="single" w:sz="4" w:space="0" w:color="D9D9D9"/>
              <w:bottom w:val="single" w:sz="4" w:space="0" w:color="D9D9D9"/>
              <w:right w:val="single" w:sz="4" w:space="0" w:color="D9D9D9"/>
            </w:tcBorders>
            <w:shd w:val="clear" w:color="auto" w:fill="DBE5F1" w:themeFill="accent1" w:themeFillTint="33"/>
            <w:vAlign w:val="center"/>
          </w:tcPr>
          <w:p w14:paraId="56BB05CF" w14:textId="77777777" w:rsidR="00D825F9" w:rsidRPr="00921B17" w:rsidRDefault="00D825F9" w:rsidP="00D01979">
            <w:pPr>
              <w:keepNext/>
              <w:spacing w:line="276" w:lineRule="auto"/>
              <w:ind w:right="-418"/>
              <w:jc w:val="center"/>
              <w:rPr>
                <w:rFonts w:ascii="Times New Roman" w:hAnsi="Times New Roman"/>
                <w:b/>
                <w:bCs/>
                <w:color w:val="000000" w:themeColor="text1"/>
              </w:rPr>
            </w:pPr>
            <w:r w:rsidRPr="00921B17">
              <w:rPr>
                <w:rFonts w:ascii="Times New Roman" w:hAnsi="Times New Roman"/>
                <w:b/>
                <w:color w:val="000000" w:themeColor="text1"/>
              </w:rPr>
              <w:t xml:space="preserve">Monitoring &amp; Evaluation Plan: </w:t>
            </w:r>
            <w:r w:rsidRPr="00921B17">
              <w:rPr>
                <w:rFonts w:ascii="Times New Roman" w:hAnsi="Times New Roman"/>
                <w:b/>
                <w:bCs/>
                <w:color w:val="000000" w:themeColor="text1"/>
              </w:rPr>
              <w:t>PDO Indicators</w:t>
            </w:r>
          </w:p>
        </w:tc>
      </w:tr>
      <w:tr w:rsidR="00080A58" w:rsidRPr="00921B17" w14:paraId="4EF0343B" w14:textId="77777777" w:rsidTr="00D0197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5F62667"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Indicator Name</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F2C2FFC"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Definition/Description</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D39A5F8"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Frequency</w:t>
            </w: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7A1099D"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Datasource</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7FAA2CE"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Methodology for Data Collection</w:t>
            </w:r>
          </w:p>
        </w:tc>
        <w:tc>
          <w:tcPr>
            <w:tcW w:w="184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544795A"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Responsibility for Data Collection</w:t>
            </w:r>
          </w:p>
        </w:tc>
      </w:tr>
      <w:tr w:rsidR="00080A58" w:rsidRPr="00921B17" w14:paraId="39025729" w14:textId="77777777" w:rsidTr="00D0197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010A0A9" w14:textId="2DFF9D6B"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LSGs with developed annual and multi-annual budgets corresponding to development plans and asset management systems</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8F05C72" w14:textId="4246E498"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Number LSGs with annual and multi-annual budgets informed development plans and developed through the project. At later stage of the </w:t>
            </w:r>
            <w:r w:rsidR="00C1706D">
              <w:rPr>
                <w:rFonts w:ascii="Times New Roman" w:eastAsia="Times New Roman" w:hAnsi="Times New Roman"/>
                <w:noProof/>
                <w:color w:val="000000" w:themeColor="text1"/>
              </w:rPr>
              <w:t>p</w:t>
            </w:r>
            <w:r w:rsidR="004858E3" w:rsidRPr="00921B17">
              <w:rPr>
                <w:rFonts w:ascii="Times New Roman" w:eastAsia="Times New Roman" w:hAnsi="Times New Roman"/>
                <w:noProof/>
                <w:color w:val="000000" w:themeColor="text1"/>
              </w:rPr>
              <w:t>roject</w:t>
            </w:r>
            <w:r w:rsidRPr="00921B17">
              <w:rPr>
                <w:rFonts w:ascii="Times New Roman" w:eastAsia="Times New Roman" w:hAnsi="Times New Roman"/>
                <w:noProof/>
                <w:color w:val="000000" w:themeColor="text1"/>
              </w:rPr>
              <w:t>, when road asset management is in place, the plans should be based on outputs from the asset management systems.</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8174E37"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Annualy</w:t>
            </w:r>
          </w:p>
          <w:p w14:paraId="412074CA"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2A14898" w14:textId="5DD73F53" w:rsidR="00D825F9" w:rsidRPr="00921B17" w:rsidRDefault="00D825F9" w:rsidP="00C1706D">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annual progress reports and consultant report on improvement of LSG strategic participatory planning.</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3ABB277" w14:textId="67C0DA9F" w:rsidR="00D825F9" w:rsidRPr="00921B17" w:rsidRDefault="00D825F9" w:rsidP="00C1706D">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Consultant working on strategic participatory planning activity will deliver annual report with review of the status of the planning and budgeting document at LSG level. </w:t>
            </w:r>
            <w:r w:rsidR="004858E3">
              <w:rPr>
                <w:rFonts w:ascii="Times New Roman" w:eastAsia="Times New Roman" w:hAnsi="Times New Roman"/>
                <w:noProof/>
                <w:color w:val="000000" w:themeColor="text1"/>
              </w:rPr>
              <w:t>I</w:t>
            </w:r>
            <w:r w:rsidR="004858E3" w:rsidRPr="00921B17">
              <w:rPr>
                <w:rFonts w:ascii="Times New Roman" w:eastAsia="Times New Roman" w:hAnsi="Times New Roman"/>
                <w:noProof/>
                <w:color w:val="000000" w:themeColor="text1"/>
              </w:rPr>
              <w:t xml:space="preserve">n </w:t>
            </w:r>
            <w:r w:rsidRPr="00921B17">
              <w:rPr>
                <w:rFonts w:ascii="Times New Roman" w:eastAsia="Times New Roman" w:hAnsi="Times New Roman"/>
                <w:noProof/>
                <w:color w:val="000000" w:themeColor="text1"/>
              </w:rPr>
              <w:t>addition, LSGs will deliver status of their documentation</w:t>
            </w:r>
            <w:r w:rsidR="00921B17">
              <w:rPr>
                <w:rFonts w:ascii="Times New Roman" w:eastAsia="Times New Roman" w:hAnsi="Times New Roman"/>
                <w:noProof/>
                <w:color w:val="000000" w:themeColor="text1"/>
              </w:rPr>
              <w:t xml:space="preserve"> </w:t>
            </w:r>
            <w:r w:rsidR="00C1706D">
              <w:rPr>
                <w:rFonts w:ascii="Times New Roman" w:eastAsia="Times New Roman" w:hAnsi="Times New Roman"/>
                <w:noProof/>
                <w:color w:val="000000" w:themeColor="text1"/>
              </w:rPr>
              <w:t>on annual basis</w:t>
            </w:r>
            <w:r w:rsidRPr="00921B17">
              <w:rPr>
                <w:rFonts w:ascii="Times New Roman" w:eastAsia="Times New Roman" w:hAnsi="Times New Roman"/>
                <w:noProof/>
                <w:color w:val="000000" w:themeColor="text1"/>
              </w:rPr>
              <w:t>. The PIU will consolidate received information and include in the annual</w:t>
            </w:r>
            <w:r w:rsid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reports</w:t>
            </w:r>
          </w:p>
        </w:tc>
        <w:tc>
          <w:tcPr>
            <w:tcW w:w="184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CEA3DB7"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and LSG</w:t>
            </w:r>
          </w:p>
          <w:p w14:paraId="014E6EEE"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080A58" w:rsidRPr="00921B17" w14:paraId="57CFC503" w14:textId="77777777" w:rsidTr="00D0197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9D68A4D" w14:textId="6C8FF10E"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LSGs utilizing simple road asset management methods developed under the project</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6847913" w14:textId="4BAB4071"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Percentage of </w:t>
            </w:r>
            <w:r w:rsidR="00C1706D">
              <w:rPr>
                <w:rFonts w:ascii="Times New Roman" w:eastAsia="Times New Roman" w:hAnsi="Times New Roman"/>
                <w:noProof/>
                <w:color w:val="000000" w:themeColor="text1"/>
              </w:rPr>
              <w:t>m</w:t>
            </w:r>
            <w:r w:rsidR="00D37983">
              <w:rPr>
                <w:rFonts w:ascii="Times New Roman" w:eastAsia="Times New Roman" w:hAnsi="Times New Roman"/>
                <w:noProof/>
                <w:color w:val="000000" w:themeColor="text1"/>
              </w:rPr>
              <w:t>uniciaplities</w:t>
            </w:r>
            <w:r w:rsidR="00D37983" w:rsidRP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 xml:space="preserve">that regularly use </w:t>
            </w:r>
            <w:r w:rsidR="00D37983">
              <w:rPr>
                <w:rFonts w:ascii="Times New Roman" w:eastAsia="Times New Roman" w:hAnsi="Times New Roman"/>
                <w:noProof/>
                <w:color w:val="000000" w:themeColor="text1"/>
              </w:rPr>
              <w:t xml:space="preserve">the </w:t>
            </w:r>
            <w:r w:rsidR="00C1706D">
              <w:rPr>
                <w:rFonts w:ascii="Times New Roman" w:eastAsia="Times New Roman" w:hAnsi="Times New Roman"/>
                <w:noProof/>
                <w:color w:val="000000" w:themeColor="text1"/>
              </w:rPr>
              <w:t>r</w:t>
            </w:r>
            <w:r w:rsidR="001318C1" w:rsidRPr="00921B17">
              <w:rPr>
                <w:rFonts w:ascii="Times New Roman" w:eastAsia="Times New Roman" w:hAnsi="Times New Roman"/>
                <w:noProof/>
                <w:color w:val="000000" w:themeColor="text1"/>
              </w:rPr>
              <w:t xml:space="preserve">oad </w:t>
            </w:r>
            <w:r w:rsidR="00C1706D">
              <w:rPr>
                <w:rFonts w:ascii="Times New Roman" w:eastAsia="Times New Roman" w:hAnsi="Times New Roman"/>
                <w:noProof/>
                <w:color w:val="000000" w:themeColor="text1"/>
              </w:rPr>
              <w:t>a</w:t>
            </w:r>
            <w:r w:rsidR="001318C1" w:rsidRPr="00921B17">
              <w:rPr>
                <w:rFonts w:ascii="Times New Roman" w:eastAsia="Times New Roman" w:hAnsi="Times New Roman"/>
                <w:noProof/>
                <w:color w:val="000000" w:themeColor="text1"/>
              </w:rPr>
              <w:t xml:space="preserve">sset </w:t>
            </w:r>
            <w:r w:rsidR="00C1706D">
              <w:rPr>
                <w:rFonts w:ascii="Times New Roman" w:eastAsia="Times New Roman" w:hAnsi="Times New Roman"/>
                <w:noProof/>
                <w:color w:val="000000" w:themeColor="text1"/>
              </w:rPr>
              <w:t>m</w:t>
            </w:r>
            <w:r w:rsidR="001318C1" w:rsidRPr="00921B17">
              <w:rPr>
                <w:rFonts w:ascii="Times New Roman" w:eastAsia="Times New Roman" w:hAnsi="Times New Roman"/>
                <w:noProof/>
                <w:color w:val="000000" w:themeColor="text1"/>
              </w:rPr>
              <w:t xml:space="preserve">anagement </w:t>
            </w:r>
            <w:r w:rsidRPr="00921B17">
              <w:rPr>
                <w:rFonts w:ascii="Times New Roman" w:eastAsia="Times New Roman" w:hAnsi="Times New Roman"/>
                <w:noProof/>
                <w:color w:val="000000" w:themeColor="text1"/>
              </w:rPr>
              <w:t>methods that will be developed under the Project</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325A438"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1619DBC7"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9111630" w14:textId="03D403B9"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annual progress reports</w:t>
            </w:r>
          </w:p>
          <w:p w14:paraId="1F8D38C9"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w:t>
            </w:r>
          </w:p>
          <w:p w14:paraId="07C8288D"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5F7EC6F" w14:textId="3F01516F" w:rsidR="00D825F9" w:rsidRPr="00921B17" w:rsidRDefault="00D825F9" w:rsidP="00C1706D">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LSGs to provide information on the road asset management method which they are utilizing. PIU will consolidate received information and include in the annual</w:t>
            </w:r>
            <w:r w:rsid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reports.</w:t>
            </w:r>
          </w:p>
        </w:tc>
        <w:tc>
          <w:tcPr>
            <w:tcW w:w="184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33622D0"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and LSGs</w:t>
            </w:r>
          </w:p>
          <w:p w14:paraId="4EE239C9"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080A58" w:rsidRPr="00921B17" w14:paraId="7C10B7E8" w14:textId="77777777" w:rsidTr="00D0197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8C5F1A2" w14:textId="7777777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Citizens reporting satisfaction with process of infrastructure service delivery, gender disaggregated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CD3C31F" w14:textId="309DEA10"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Percentage of citizens that are satisfied with the infrastructure service delivered through the investments of this </w:t>
            </w:r>
            <w:r w:rsidR="00C1706D">
              <w:rPr>
                <w:rFonts w:ascii="Times New Roman" w:eastAsia="Times New Roman" w:hAnsi="Times New Roman"/>
                <w:noProof/>
                <w:color w:val="000000" w:themeColor="text1"/>
              </w:rPr>
              <w:t>p</w:t>
            </w:r>
            <w:r w:rsidR="004858E3" w:rsidRPr="00921B17">
              <w:rPr>
                <w:rFonts w:ascii="Times New Roman" w:eastAsia="Times New Roman" w:hAnsi="Times New Roman"/>
                <w:noProof/>
                <w:color w:val="000000" w:themeColor="text1"/>
              </w:rPr>
              <w:t>roject</w:t>
            </w:r>
            <w:r w:rsidRPr="00921B17">
              <w:rPr>
                <w:rFonts w:ascii="Times New Roman" w:eastAsia="Times New Roman" w:hAnsi="Times New Roman"/>
                <w:noProof/>
                <w:color w:val="000000" w:themeColor="text1"/>
              </w:rPr>
              <w:t>. Data will be disaggregated by gender.</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2F14BFD"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1DFCE694"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A26820D" w14:textId="35294061"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annual progress reports and separate reports from a consultant</w:t>
            </w:r>
          </w:p>
          <w:p w14:paraId="0257EEBD"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3C27AB5" w14:textId="749D5BDA" w:rsidR="00D825F9" w:rsidRPr="00921B17" w:rsidRDefault="00D825F9" w:rsidP="00C1706D">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 consultant will be hired to perform annual citizen satisfaction surveys. Surveys can be implemented through various instruments like for example targeted questionnaires, interviews, project web site, workshops. Output of the consultant will be incorporated in PIUs annual report.</w:t>
            </w:r>
            <w:r w:rsidR="00921B17">
              <w:rPr>
                <w:rFonts w:ascii="Times New Roman" w:eastAsia="Times New Roman" w:hAnsi="Times New Roman"/>
                <w:noProof/>
                <w:color w:val="000000" w:themeColor="text1"/>
              </w:rPr>
              <w:t xml:space="preserve"> </w:t>
            </w:r>
          </w:p>
        </w:tc>
        <w:tc>
          <w:tcPr>
            <w:tcW w:w="184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6EA52EF"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567C5D36"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080A58" w:rsidRPr="00921B17" w14:paraId="0E01D87A" w14:textId="77777777" w:rsidTr="00D0197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86C3093" w14:textId="7777777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Commercial and social services connected by improved, safe and resilient transport network</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9904374" w14:textId="53D9A86A"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Number of social and commercial services within 50m vicinity from the infrastructure investment. Under social service the following is considered – schools, kindergartens, universities, hospitals, health centers, cultural centers, elderly homes, etc.</w:t>
            </w:r>
            <w:r w:rsidR="00C1706D">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Under commercial the following is considered - major business areas, markets, shopping areas, touristic areas, cultural areas, etc.</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E78A0FF"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Annualy</w:t>
            </w:r>
          </w:p>
          <w:p w14:paraId="44C500AC"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4B79C80" w14:textId="601ECBD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annual progress reports</w:t>
            </w:r>
          </w:p>
          <w:p w14:paraId="22FBC86C"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0449C9F" w14:textId="53DAC8D1" w:rsidR="00D825F9" w:rsidRPr="00921B17" w:rsidRDefault="00D825F9"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For each investment, LSG will report on number of social and commercial services in 50m vicinity of implemented investments. PIU will consolidate received information and include in the annual</w:t>
            </w:r>
            <w:r w:rsid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reports.</w:t>
            </w:r>
          </w:p>
          <w:p w14:paraId="53393AE1"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84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594AFA4"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LSGs</w:t>
            </w:r>
          </w:p>
          <w:p w14:paraId="4423019E"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080A58" w:rsidRPr="00921B17" w14:paraId="17F5685C" w14:textId="77777777" w:rsidTr="00D0197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7DA7E22" w14:textId="20E68B42" w:rsidR="00D825F9" w:rsidRPr="00921B17" w:rsidRDefault="00D37983" w:rsidP="00D01979">
            <w:pPr>
              <w:shd w:val="clear" w:color="auto" w:fill="F7F7F7"/>
              <w:spacing w:line="276" w:lineRule="auto"/>
              <w:ind w:left="-58" w:right="-86"/>
              <w:rPr>
                <w:rFonts w:ascii="Times New Roman" w:eastAsia="Times New Roman" w:hAnsi="Times New Roman"/>
                <w:noProof/>
                <w:color w:val="000000" w:themeColor="text1"/>
              </w:rPr>
            </w:pPr>
            <w:r>
              <w:rPr>
                <w:rFonts w:ascii="Times New Roman" w:eastAsia="Calibri" w:hAnsi="Times New Roman"/>
                <w:noProof/>
                <w:color w:val="000000" w:themeColor="text1"/>
              </w:rPr>
              <w:t>Subprojects</w:t>
            </w:r>
            <w:r w:rsidR="00D825F9" w:rsidRPr="00921B17">
              <w:rPr>
                <w:rFonts w:ascii="Times New Roman" w:eastAsia="Calibri" w:hAnsi="Times New Roman"/>
                <w:noProof/>
                <w:color w:val="000000" w:themeColor="text1"/>
              </w:rPr>
              <w:t xml:space="preserve"> supporting climate adaptation and/or mitigation actions</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425D8F0" w14:textId="7AAD4C04" w:rsidR="00D825F9" w:rsidRPr="00921B17" w:rsidRDefault="00D825F9" w:rsidP="00C1706D">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Percentage of </w:t>
            </w:r>
            <w:r w:rsidR="00D37983">
              <w:rPr>
                <w:rFonts w:ascii="Times New Roman" w:eastAsia="Times New Roman" w:hAnsi="Times New Roman"/>
                <w:noProof/>
                <w:color w:val="000000" w:themeColor="text1"/>
              </w:rPr>
              <w:t xml:space="preserve">subprojects </w:t>
            </w:r>
            <w:r w:rsidRPr="00921B17">
              <w:rPr>
                <w:rFonts w:ascii="Times New Roman" w:eastAsia="Times New Roman" w:hAnsi="Times New Roman"/>
                <w:noProof/>
                <w:color w:val="000000" w:themeColor="text1"/>
              </w:rPr>
              <w:t xml:space="preserve"> financed through </w:t>
            </w:r>
            <w:r w:rsidR="00C1706D">
              <w:rPr>
                <w:rFonts w:ascii="Times New Roman" w:eastAsia="Times New Roman" w:hAnsi="Times New Roman"/>
                <w:noProof/>
                <w:color w:val="000000" w:themeColor="text1"/>
              </w:rPr>
              <w:t>s</w:t>
            </w:r>
            <w:r w:rsidRPr="00921B17">
              <w:rPr>
                <w:rFonts w:ascii="Times New Roman" w:eastAsia="Times New Roman" w:hAnsi="Times New Roman"/>
                <w:noProof/>
                <w:color w:val="000000" w:themeColor="text1"/>
              </w:rPr>
              <w:t xml:space="preserve">ubcomponent 1.1. that incorporated </w:t>
            </w:r>
            <w:r w:rsidR="007F671B">
              <w:rPr>
                <w:rFonts w:ascii="Times New Roman" w:eastAsia="Times New Roman" w:hAnsi="Times New Roman"/>
                <w:noProof/>
                <w:color w:val="000000" w:themeColor="text1"/>
              </w:rPr>
              <w:t>c</w:t>
            </w:r>
            <w:r w:rsidR="004858E3" w:rsidRPr="00921B17">
              <w:rPr>
                <w:rFonts w:ascii="Times New Roman" w:eastAsia="Times New Roman" w:hAnsi="Times New Roman"/>
                <w:noProof/>
                <w:color w:val="000000" w:themeColor="text1"/>
              </w:rPr>
              <w:t xml:space="preserve">limate </w:t>
            </w:r>
            <w:r w:rsidR="007F671B">
              <w:rPr>
                <w:rFonts w:ascii="Times New Roman" w:eastAsia="Times New Roman" w:hAnsi="Times New Roman"/>
                <w:noProof/>
                <w:color w:val="000000" w:themeColor="text1"/>
              </w:rPr>
              <w:t>m</w:t>
            </w:r>
            <w:r w:rsidR="004858E3" w:rsidRPr="00921B17">
              <w:rPr>
                <w:rFonts w:ascii="Times New Roman" w:eastAsia="Times New Roman" w:hAnsi="Times New Roman"/>
                <w:noProof/>
                <w:color w:val="000000" w:themeColor="text1"/>
              </w:rPr>
              <w:t>itigation</w:t>
            </w:r>
            <w:r w:rsidRPr="00921B17">
              <w:rPr>
                <w:rFonts w:ascii="Times New Roman" w:eastAsia="Times New Roman" w:hAnsi="Times New Roman"/>
                <w:noProof/>
                <w:color w:val="000000" w:themeColor="text1"/>
              </w:rPr>
              <w:t>/</w:t>
            </w:r>
            <w:r w:rsidR="007F671B">
              <w:rPr>
                <w:rFonts w:ascii="Times New Roman" w:eastAsia="Times New Roman" w:hAnsi="Times New Roman"/>
                <w:noProof/>
                <w:color w:val="000000" w:themeColor="text1"/>
              </w:rPr>
              <w:t>a</w:t>
            </w:r>
            <w:r w:rsidR="004858E3" w:rsidRPr="00921B17">
              <w:rPr>
                <w:rFonts w:ascii="Times New Roman" w:eastAsia="Times New Roman" w:hAnsi="Times New Roman"/>
                <w:noProof/>
                <w:color w:val="000000" w:themeColor="text1"/>
              </w:rPr>
              <w:t xml:space="preserve">daptation </w:t>
            </w:r>
            <w:r w:rsidRPr="00921B17">
              <w:rPr>
                <w:rFonts w:ascii="Times New Roman" w:eastAsia="Times New Roman" w:hAnsi="Times New Roman"/>
                <w:noProof/>
                <w:color w:val="000000" w:themeColor="text1"/>
              </w:rPr>
              <w:t>measures in their design</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B0028F6"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Annualy</w:t>
            </w:r>
          </w:p>
          <w:p w14:paraId="20301A92"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078052A" w14:textId="654A1C2E"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annual progress reports</w:t>
            </w:r>
          </w:p>
          <w:p w14:paraId="476B09F4"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10AD888" w14:textId="1CA40AA4" w:rsidR="00D825F9" w:rsidRPr="00921B17" w:rsidRDefault="00D825F9" w:rsidP="00C1706D">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PIU will use their records on approved investments and </w:t>
            </w:r>
            <w:r w:rsidR="00C1706D">
              <w:rPr>
                <w:rFonts w:ascii="Times New Roman" w:eastAsia="Times New Roman" w:hAnsi="Times New Roman"/>
                <w:noProof/>
                <w:color w:val="000000" w:themeColor="text1"/>
              </w:rPr>
              <w:t>c</w:t>
            </w:r>
            <w:r w:rsidR="004858E3" w:rsidRPr="00921B17">
              <w:rPr>
                <w:rFonts w:ascii="Times New Roman" w:eastAsia="Times New Roman" w:hAnsi="Times New Roman"/>
                <w:noProof/>
                <w:color w:val="000000" w:themeColor="text1"/>
              </w:rPr>
              <w:t xml:space="preserve">limate </w:t>
            </w:r>
            <w:r w:rsidR="00C1706D">
              <w:rPr>
                <w:rFonts w:ascii="Times New Roman" w:eastAsia="Times New Roman" w:hAnsi="Times New Roman"/>
                <w:noProof/>
                <w:color w:val="000000" w:themeColor="text1"/>
              </w:rPr>
              <w:t>adaption / mitigation</w:t>
            </w:r>
            <w:r w:rsidR="004858E3" w:rsidRP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features incorporated in the design together with the inputs from supervision and LSG coordinators</w:t>
            </w:r>
            <w:r w:rsidR="004858E3">
              <w:rPr>
                <w:rFonts w:ascii="Times New Roman" w:eastAsia="Times New Roman" w:hAnsi="Times New Roman"/>
                <w:noProof/>
                <w:color w:val="000000" w:themeColor="text1"/>
              </w:rPr>
              <w:t>,</w:t>
            </w:r>
            <w:r w:rsidRPr="00921B17">
              <w:rPr>
                <w:rFonts w:ascii="Times New Roman" w:eastAsia="Times New Roman" w:hAnsi="Times New Roman"/>
                <w:noProof/>
                <w:color w:val="000000" w:themeColor="text1"/>
              </w:rPr>
              <w:t xml:space="preserve"> if the </w:t>
            </w:r>
            <w:r w:rsidR="00C1706D">
              <w:rPr>
                <w:rFonts w:ascii="Times New Roman" w:eastAsia="Times New Roman" w:hAnsi="Times New Roman"/>
                <w:noProof/>
                <w:color w:val="000000" w:themeColor="text1"/>
              </w:rPr>
              <w:t>sub</w:t>
            </w:r>
            <w:r w:rsidRPr="00921B17">
              <w:rPr>
                <w:rFonts w:ascii="Times New Roman" w:eastAsia="Times New Roman" w:hAnsi="Times New Roman"/>
                <w:noProof/>
                <w:color w:val="000000" w:themeColor="text1"/>
              </w:rPr>
              <w:t>projects have been implemented as per the design.</w:t>
            </w:r>
          </w:p>
        </w:tc>
        <w:tc>
          <w:tcPr>
            <w:tcW w:w="184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82197D3"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7BCA38E3"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bl>
    <w:p w14:paraId="7FB279B0" w14:textId="77777777" w:rsidR="003E3FED" w:rsidRPr="00921B17" w:rsidRDefault="003E3FED" w:rsidP="00D01979">
      <w:pPr>
        <w:spacing w:after="0" w:line="276" w:lineRule="auto"/>
        <w:jc w:val="both"/>
        <w:rPr>
          <w:rFonts w:ascii="Times New Roman" w:hAnsi="Times New Roman" w:cs="Times New Roman"/>
          <w:color w:val="FF0000"/>
        </w:rPr>
      </w:pPr>
    </w:p>
    <w:tbl>
      <w:tblPr>
        <w:tblStyle w:val="TableGrid7"/>
        <w:tblW w:w="14742" w:type="dxa"/>
        <w:tblInd w:w="108" w:type="dxa"/>
        <w:tblLayout w:type="fixed"/>
        <w:tblLook w:val="04A0" w:firstRow="1" w:lastRow="0" w:firstColumn="1" w:lastColumn="0" w:noHBand="0" w:noVBand="1"/>
      </w:tblPr>
      <w:tblGrid>
        <w:gridCol w:w="3865"/>
        <w:gridCol w:w="2700"/>
        <w:gridCol w:w="1373"/>
        <w:gridCol w:w="1418"/>
        <w:gridCol w:w="3685"/>
        <w:gridCol w:w="1701"/>
      </w:tblGrid>
      <w:tr w:rsidR="00607A79" w:rsidRPr="00921B17" w14:paraId="11117CC9" w14:textId="77777777" w:rsidTr="000031A9">
        <w:trPr>
          <w:trHeight w:val="432"/>
          <w:tblHeader/>
        </w:trPr>
        <w:tc>
          <w:tcPr>
            <w:tcW w:w="14742" w:type="dxa"/>
            <w:gridSpan w:val="6"/>
            <w:tcBorders>
              <w:top w:val="single" w:sz="4" w:space="0" w:color="D9D9D9"/>
              <w:left w:val="single" w:sz="4" w:space="0" w:color="D9D9D9"/>
              <w:bottom w:val="single" w:sz="4" w:space="0" w:color="D9D9D9"/>
              <w:right w:val="single" w:sz="4" w:space="0" w:color="D9D9D9"/>
            </w:tcBorders>
            <w:shd w:val="clear" w:color="auto" w:fill="DEEBF7"/>
            <w:vAlign w:val="center"/>
          </w:tcPr>
          <w:p w14:paraId="2423EB95" w14:textId="77777777" w:rsidR="00D825F9" w:rsidRPr="00921B17" w:rsidRDefault="00D825F9" w:rsidP="00D01979">
            <w:pPr>
              <w:keepNext/>
              <w:spacing w:line="276" w:lineRule="auto"/>
              <w:ind w:right="-418"/>
              <w:jc w:val="center"/>
              <w:rPr>
                <w:rFonts w:ascii="Times New Roman" w:hAnsi="Times New Roman"/>
                <w:b/>
                <w:bCs/>
                <w:color w:val="000000" w:themeColor="text1"/>
              </w:rPr>
            </w:pPr>
            <w:r w:rsidRPr="00921B17">
              <w:rPr>
                <w:rFonts w:ascii="Times New Roman" w:hAnsi="Times New Roman"/>
                <w:b/>
                <w:color w:val="000000" w:themeColor="text1"/>
              </w:rPr>
              <w:t xml:space="preserve">Monitoring &amp; Evaluation Plan: </w:t>
            </w:r>
            <w:r w:rsidRPr="00921B17">
              <w:rPr>
                <w:rFonts w:ascii="Times New Roman" w:hAnsi="Times New Roman"/>
                <w:b/>
                <w:bCs/>
                <w:color w:val="000000" w:themeColor="text1"/>
              </w:rPr>
              <w:t>Intermediate Results Indicators</w:t>
            </w:r>
          </w:p>
        </w:tc>
      </w:tr>
      <w:tr w:rsidR="00607A79" w:rsidRPr="00921B17" w14:paraId="09A75E5D"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6ECF3B3"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Indicator Name</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B4DFB36"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Definition/Description</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9AB10A5"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Frequency</w:t>
            </w: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2AA7576"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Datasource</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06922CF"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Methodology for Data Collection</w:t>
            </w: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C692B1B" w14:textId="77777777" w:rsidR="00D825F9" w:rsidRPr="00921B17" w:rsidRDefault="00D825F9" w:rsidP="00D01979">
            <w:pPr>
              <w:keepNext/>
              <w:spacing w:line="276" w:lineRule="auto"/>
              <w:ind w:right="-418"/>
              <w:rPr>
                <w:rFonts w:ascii="Times New Roman" w:hAnsi="Times New Roman"/>
                <w:b/>
                <w:color w:val="000000" w:themeColor="text1"/>
              </w:rPr>
            </w:pPr>
            <w:r w:rsidRPr="00921B17">
              <w:rPr>
                <w:rFonts w:ascii="Times New Roman" w:hAnsi="Times New Roman"/>
                <w:b/>
                <w:noProof/>
                <w:color w:val="000000" w:themeColor="text1"/>
              </w:rPr>
              <w:t>Responsibility for Data Collection</w:t>
            </w:r>
          </w:p>
        </w:tc>
      </w:tr>
      <w:tr w:rsidR="00607A79" w:rsidRPr="00921B17" w14:paraId="39A0E7B9" w14:textId="77777777" w:rsidTr="00665F55">
        <w:trPr>
          <w:trHeight w:val="719"/>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4DBC80F" w14:textId="5C38E47B" w:rsidR="00D825F9" w:rsidRPr="00921B17" w:rsidRDefault="00D825F9" w:rsidP="00C1706D">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SUMPs and Action Plans adopted by LSGs</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E96E315" w14:textId="0DA237A6" w:rsidR="00D825F9" w:rsidRPr="00921B17" w:rsidRDefault="00D825F9" w:rsidP="00C1706D">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Number of SUMPs with belonging Action Plans that are adopted by LSGs</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D926B3A"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25287EAB"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CC84D88" w14:textId="233DA38A"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annual progress report</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D9182CB" w14:textId="0EB79C82" w:rsidR="00D825F9" w:rsidRPr="00921B17" w:rsidRDefault="00D825F9"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 will monitor implementation of SUMPs within the project and if they are accompanied by adopted action plans. This data will be presented in the annual progress report.</w:t>
            </w: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2539ADD"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5C68C02A"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7B179EFF"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CE6743A" w14:textId="34FBE39F" w:rsidR="00D825F9" w:rsidRPr="00921B17" w:rsidRDefault="00D825F9" w:rsidP="00C1706D">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 xml:space="preserve">Smart </w:t>
            </w:r>
            <w:r w:rsidR="00C1706D">
              <w:rPr>
                <w:rFonts w:ascii="Times New Roman" w:eastAsia="Calibri" w:hAnsi="Times New Roman"/>
                <w:noProof/>
                <w:color w:val="000000" w:themeColor="text1"/>
              </w:rPr>
              <w:t>m</w:t>
            </w:r>
            <w:r w:rsidR="001318C1" w:rsidRPr="00921B17">
              <w:rPr>
                <w:rFonts w:ascii="Times New Roman" w:eastAsia="Calibri" w:hAnsi="Times New Roman"/>
                <w:noProof/>
                <w:color w:val="000000" w:themeColor="text1"/>
              </w:rPr>
              <w:t xml:space="preserve">obility </w:t>
            </w:r>
            <w:r w:rsidRPr="00921B17">
              <w:rPr>
                <w:rFonts w:ascii="Times New Roman" w:eastAsia="Calibri" w:hAnsi="Times New Roman"/>
                <w:noProof/>
                <w:color w:val="000000" w:themeColor="text1"/>
              </w:rPr>
              <w:t>pilots implemented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005D4F9" w14:textId="3E580DAC" w:rsidR="00D825F9" w:rsidRPr="00921B17" w:rsidRDefault="00D825F9" w:rsidP="00C1706D">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Smart </w:t>
            </w:r>
            <w:r w:rsidR="00C1706D">
              <w:rPr>
                <w:rFonts w:ascii="Times New Roman" w:eastAsia="Times New Roman" w:hAnsi="Times New Roman"/>
                <w:noProof/>
                <w:color w:val="000000" w:themeColor="text1"/>
              </w:rPr>
              <w:t>m</w:t>
            </w:r>
            <w:r w:rsidR="001318C1" w:rsidRPr="00921B17">
              <w:rPr>
                <w:rFonts w:ascii="Times New Roman" w:eastAsia="Times New Roman" w:hAnsi="Times New Roman"/>
                <w:noProof/>
                <w:color w:val="000000" w:themeColor="text1"/>
              </w:rPr>
              <w:t xml:space="preserve">obility </w:t>
            </w:r>
            <w:r w:rsidRPr="00921B17">
              <w:rPr>
                <w:rFonts w:ascii="Times New Roman" w:eastAsia="Times New Roman" w:hAnsi="Times New Roman"/>
                <w:noProof/>
                <w:color w:val="000000" w:themeColor="text1"/>
              </w:rPr>
              <w:t>pilots implemented (Number)</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AC830B1"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4D00E724"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6B03F0C" w14:textId="53116131"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reports</w:t>
            </w:r>
          </w:p>
          <w:p w14:paraId="226F8993"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F11529D" w14:textId="6102B783" w:rsidR="00D825F9" w:rsidRPr="00921B17" w:rsidRDefault="00D825F9" w:rsidP="00C1706D">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The call for smart mobility pilots published and 5 pilots with highest potential of scale up selected, implemented, and tested. Results of test recorded and published. </w:t>
            </w:r>
            <w:r w:rsidR="001318C1" w:rsidRPr="00921B17">
              <w:rPr>
                <w:rFonts w:ascii="Times New Roman" w:eastAsia="Times New Roman" w:hAnsi="Times New Roman"/>
                <w:noProof/>
                <w:color w:val="000000" w:themeColor="text1"/>
              </w:rPr>
              <w:t>PIU</w:t>
            </w:r>
            <w:r w:rsidRPr="00921B17">
              <w:rPr>
                <w:rFonts w:ascii="Times New Roman" w:eastAsia="Times New Roman" w:hAnsi="Times New Roman"/>
                <w:noProof/>
                <w:color w:val="000000" w:themeColor="text1"/>
              </w:rPr>
              <w:t xml:space="preserve"> will collect </w:t>
            </w:r>
            <w:r w:rsidR="00C1706D">
              <w:rPr>
                <w:rFonts w:ascii="Times New Roman" w:eastAsia="Times New Roman" w:hAnsi="Times New Roman"/>
                <w:noProof/>
                <w:color w:val="000000" w:themeColor="text1"/>
              </w:rPr>
              <w:t>in</w:t>
            </w:r>
            <w:r w:rsidRPr="00921B17">
              <w:rPr>
                <w:rFonts w:ascii="Times New Roman" w:eastAsia="Times New Roman" w:hAnsi="Times New Roman"/>
                <w:noProof/>
                <w:color w:val="000000" w:themeColor="text1"/>
              </w:rPr>
              <w:t xml:space="preserve">formation from pilots and include them in annual progress reports. The same report will include information if report on contractual modalities for </w:t>
            </w:r>
            <w:r w:rsidR="00C1706D">
              <w:rPr>
                <w:rFonts w:ascii="Times New Roman" w:eastAsia="Times New Roman" w:hAnsi="Times New Roman"/>
                <w:noProof/>
                <w:color w:val="000000" w:themeColor="text1"/>
              </w:rPr>
              <w:t>s</w:t>
            </w:r>
            <w:r w:rsidR="001318C1" w:rsidRPr="00921B17">
              <w:rPr>
                <w:rFonts w:ascii="Times New Roman" w:eastAsia="Times New Roman" w:hAnsi="Times New Roman"/>
                <w:noProof/>
                <w:color w:val="000000" w:themeColor="text1"/>
              </w:rPr>
              <w:t>mart </w:t>
            </w:r>
            <w:r w:rsidR="00C1706D">
              <w:rPr>
                <w:rFonts w:ascii="Times New Roman" w:eastAsia="Times New Roman" w:hAnsi="Times New Roman"/>
                <w:noProof/>
                <w:color w:val="000000" w:themeColor="text1"/>
              </w:rPr>
              <w:t>m</w:t>
            </w:r>
            <w:r w:rsidR="001318C1" w:rsidRPr="00921B17">
              <w:rPr>
                <w:rFonts w:ascii="Times New Roman" w:eastAsia="Times New Roman" w:hAnsi="Times New Roman"/>
                <w:noProof/>
                <w:color w:val="000000" w:themeColor="text1"/>
              </w:rPr>
              <w:t xml:space="preserve">obility </w:t>
            </w:r>
            <w:r w:rsidRPr="00921B17">
              <w:rPr>
                <w:rFonts w:ascii="Times New Roman" w:eastAsia="Times New Roman" w:hAnsi="Times New Roman"/>
                <w:noProof/>
                <w:color w:val="000000" w:themeColor="text1"/>
              </w:rPr>
              <w:t>solutions is delivered and accepted</w:t>
            </w:r>
            <w:r w:rsidR="001318C1">
              <w:rPr>
                <w:rFonts w:ascii="Times New Roman" w:eastAsia="Times New Roman" w:hAnsi="Times New Roman"/>
                <w:noProof/>
                <w:color w:val="000000" w:themeColor="text1"/>
              </w:rPr>
              <w:t>.</w:t>
            </w: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69B0B2E"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4508BBC0"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74F35134"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43B8C34" w14:textId="7D600C04"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 xml:space="preserve">LSGs with road safety interventions for </w:t>
            </w:r>
            <w:r w:rsidR="00D37983">
              <w:rPr>
                <w:rFonts w:ascii="Times New Roman" w:eastAsia="Calibri" w:hAnsi="Times New Roman"/>
                <w:noProof/>
                <w:color w:val="000000" w:themeColor="text1"/>
              </w:rPr>
              <w:t>children</w:t>
            </w:r>
            <w:r w:rsidRPr="00921B17">
              <w:rPr>
                <w:rFonts w:ascii="Times New Roman" w:eastAsia="Calibri" w:hAnsi="Times New Roman"/>
                <w:noProof/>
                <w:color w:val="000000" w:themeColor="text1"/>
              </w:rPr>
              <w:t xml:space="preserve"> identified and budgeted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B7E9291" w14:textId="02A7B1C4"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Number </w:t>
            </w:r>
            <w:r w:rsidR="00EE53BC" w:rsidRPr="00921B17">
              <w:rPr>
                <w:rFonts w:ascii="Times New Roman" w:eastAsia="Times New Roman" w:hAnsi="Times New Roman"/>
                <w:noProof/>
                <w:color w:val="000000" w:themeColor="text1"/>
              </w:rPr>
              <w:t>o</w:t>
            </w:r>
            <w:r w:rsidRPr="00921B17">
              <w:rPr>
                <w:rFonts w:ascii="Times New Roman" w:eastAsia="Times New Roman" w:hAnsi="Times New Roman"/>
                <w:noProof/>
                <w:color w:val="000000" w:themeColor="text1"/>
              </w:rPr>
              <w:t>f LSGs that included safety interventions identified in the project in their strategic sectoral plans and annual and</w:t>
            </w:r>
            <w:r w:rsid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mid-term budgets</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1C978D4"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792D20AC"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ECEDE31" w14:textId="42DB0B4A" w:rsidR="00D825F9" w:rsidRPr="00921B17" w:rsidRDefault="004858E3" w:rsidP="00C1706D">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PIU </w:t>
            </w:r>
            <w:r w:rsidR="00D825F9" w:rsidRPr="00921B17">
              <w:rPr>
                <w:rFonts w:ascii="Times New Roman" w:eastAsia="Times New Roman" w:hAnsi="Times New Roman"/>
                <w:noProof/>
                <w:color w:val="000000" w:themeColor="text1"/>
              </w:rPr>
              <w:t>Annual Progress reports and LSG reports on planned and budgeted road safety interventions</w:t>
            </w:r>
            <w:r w:rsidR="00921B17">
              <w:rPr>
                <w:rFonts w:ascii="Times New Roman" w:eastAsia="Times New Roman" w:hAnsi="Times New Roman"/>
                <w:noProof/>
                <w:color w:val="000000" w:themeColor="text1"/>
              </w:rPr>
              <w:t xml:space="preserve"> </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12EA9DC" w14:textId="6C24EBE6" w:rsidR="00D825F9" w:rsidRPr="00921B17" w:rsidRDefault="00D825F9"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LSGs will deliver annually information on planned and budgeted road safety interventions, which </w:t>
            </w:r>
            <w:r w:rsidR="001318C1" w:rsidRPr="00921B17">
              <w:rPr>
                <w:rFonts w:ascii="Times New Roman" w:eastAsia="Times New Roman" w:hAnsi="Times New Roman"/>
                <w:noProof/>
                <w:color w:val="000000" w:themeColor="text1"/>
              </w:rPr>
              <w:t>PIU</w:t>
            </w:r>
            <w:r w:rsidRPr="00921B17">
              <w:rPr>
                <w:rFonts w:ascii="Times New Roman" w:eastAsia="Times New Roman" w:hAnsi="Times New Roman"/>
                <w:noProof/>
                <w:color w:val="000000" w:themeColor="text1"/>
              </w:rPr>
              <w:t xml:space="preserve"> will summarize and include in annual progress reports.</w:t>
            </w:r>
          </w:p>
          <w:p w14:paraId="66372F44"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E1D3571"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LSG/PIU</w:t>
            </w:r>
          </w:p>
          <w:p w14:paraId="719825E9"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5BC52F38"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57F37F2" w14:textId="24E61345" w:rsidR="00D825F9" w:rsidRPr="00921B17" w:rsidRDefault="00D37983" w:rsidP="00C1706D">
            <w:pPr>
              <w:shd w:val="clear" w:color="auto" w:fill="F7F7F7"/>
              <w:spacing w:line="276" w:lineRule="auto"/>
              <w:ind w:left="-58" w:right="-86"/>
              <w:rPr>
                <w:rFonts w:ascii="Times New Roman" w:eastAsia="Times New Roman" w:hAnsi="Times New Roman"/>
                <w:noProof/>
                <w:color w:val="000000" w:themeColor="text1"/>
              </w:rPr>
            </w:pPr>
            <w:r>
              <w:rPr>
                <w:rFonts w:ascii="Times New Roman" w:eastAsia="Calibri" w:hAnsi="Times New Roman"/>
                <w:noProof/>
                <w:color w:val="000000" w:themeColor="text1"/>
              </w:rPr>
              <w:t>Framework Agreement</w:t>
            </w:r>
            <w:r w:rsidR="00C1706D">
              <w:rPr>
                <w:rFonts w:ascii="Times New Roman" w:eastAsia="Calibri" w:hAnsi="Times New Roman"/>
                <w:noProof/>
                <w:color w:val="000000" w:themeColor="text1"/>
              </w:rPr>
              <w:t>s</w:t>
            </w:r>
            <w:r w:rsidRPr="00921B17">
              <w:rPr>
                <w:rFonts w:ascii="Times New Roman" w:eastAsia="Calibri" w:hAnsi="Times New Roman"/>
                <w:noProof/>
                <w:color w:val="000000" w:themeColor="text1"/>
              </w:rPr>
              <w:t xml:space="preserve"> </w:t>
            </w:r>
            <w:r w:rsidR="00D825F9" w:rsidRPr="00921B17">
              <w:rPr>
                <w:rFonts w:ascii="Times New Roman" w:eastAsia="Calibri" w:hAnsi="Times New Roman"/>
                <w:noProof/>
                <w:color w:val="000000" w:themeColor="text1"/>
              </w:rPr>
              <w:t>signed between LSGs and central government</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C9202B9" w14:textId="2A48BE45" w:rsidR="00D825F9" w:rsidRPr="00921B17" w:rsidRDefault="00D825F9" w:rsidP="00C1706D">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Number of </w:t>
            </w:r>
            <w:r w:rsidR="00D37983">
              <w:rPr>
                <w:rFonts w:ascii="Times New Roman" w:eastAsia="Times New Roman" w:hAnsi="Times New Roman"/>
                <w:noProof/>
                <w:color w:val="000000" w:themeColor="text1"/>
              </w:rPr>
              <w:t>FA</w:t>
            </w:r>
            <w:r w:rsidR="002C4FC3" w:rsidRPr="00921B17">
              <w:rPr>
                <w:rFonts w:ascii="Times New Roman" w:eastAsia="Times New Roman" w:hAnsi="Times New Roman"/>
                <w:noProof/>
                <w:color w:val="000000" w:themeColor="text1"/>
              </w:rPr>
              <w:t>s</w:t>
            </w:r>
            <w:r w:rsidRPr="00921B17">
              <w:rPr>
                <w:rFonts w:ascii="Times New Roman" w:eastAsia="Times New Roman" w:hAnsi="Times New Roman"/>
                <w:noProof/>
                <w:color w:val="000000" w:themeColor="text1"/>
              </w:rPr>
              <w:t xml:space="preserve"> between the LSGs and </w:t>
            </w:r>
            <w:r w:rsidR="00C1706D">
              <w:rPr>
                <w:rFonts w:ascii="Times New Roman" w:eastAsia="Times New Roman" w:hAnsi="Times New Roman"/>
                <w:noProof/>
                <w:color w:val="000000" w:themeColor="text1"/>
              </w:rPr>
              <w:t>GoS</w:t>
            </w:r>
            <w:r w:rsidR="00C1706D" w:rsidRP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signed</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87F5BCF"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08F1DD8F"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F78D4C7" w14:textId="43B833E9"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quarterly and annual progress reports</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987C530" w14:textId="46186567" w:rsidR="00D825F9" w:rsidRPr="00921B17" w:rsidRDefault="001318C1"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will collect information on signed </w:t>
            </w:r>
            <w:r w:rsidR="00D37983">
              <w:rPr>
                <w:rFonts w:ascii="Times New Roman" w:eastAsia="Times New Roman" w:hAnsi="Times New Roman"/>
                <w:noProof/>
                <w:color w:val="000000" w:themeColor="text1"/>
              </w:rPr>
              <w:t>FA</w:t>
            </w:r>
            <w:r w:rsidR="002C4FC3" w:rsidRPr="00921B17">
              <w:rPr>
                <w:rFonts w:ascii="Times New Roman" w:eastAsia="Times New Roman" w:hAnsi="Times New Roman"/>
                <w:noProof/>
                <w:color w:val="000000" w:themeColor="text1"/>
              </w:rPr>
              <w:t>s</w:t>
            </w:r>
            <w:r w:rsidR="00D825F9" w:rsidRPr="00921B17">
              <w:rPr>
                <w:rFonts w:ascii="Times New Roman" w:eastAsia="Times New Roman" w:hAnsi="Times New Roman"/>
                <w:noProof/>
                <w:color w:val="000000" w:themeColor="text1"/>
              </w:rPr>
              <w:t xml:space="preserve"> from the MCTI and include this in the quarterly reports</w:t>
            </w:r>
          </w:p>
          <w:p w14:paraId="48A495AF"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D0F2CD8"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MCTI/PIU</w:t>
            </w:r>
          </w:p>
          <w:p w14:paraId="7A38453D"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23806DC9"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6B14D23" w14:textId="7777777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Share of investments dedicated to non motorized transport</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AE910BB" w14:textId="3AA4447E"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Percentage of value of investments</w:t>
            </w:r>
            <w:r w:rsid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that financed active mobility infrastructure</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A33A7AE"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5AB49E91"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E341124" w14:textId="30F70606"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reports</w:t>
            </w:r>
          </w:p>
          <w:p w14:paraId="0E828492"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7BADD6A" w14:textId="0FAED359" w:rsidR="00D825F9" w:rsidRPr="00921B17" w:rsidRDefault="00D825F9"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For each </w:t>
            </w:r>
            <w:r w:rsidR="00D37983">
              <w:rPr>
                <w:rFonts w:ascii="Times New Roman" w:eastAsia="Times New Roman" w:hAnsi="Times New Roman"/>
                <w:noProof/>
                <w:color w:val="000000" w:themeColor="text1"/>
              </w:rPr>
              <w:t>subproject</w:t>
            </w:r>
            <w:r w:rsidRPr="00921B17">
              <w:rPr>
                <w:rFonts w:ascii="Times New Roman" w:eastAsia="Times New Roman" w:hAnsi="Times New Roman"/>
                <w:noProof/>
                <w:color w:val="000000" w:themeColor="text1"/>
              </w:rPr>
              <w:t xml:space="preserve"> the PIU will calculate what percentage of overall investment was used to finance active mobility infrastructure/facilities. This data will be summarized and presented in the annual report</w:t>
            </w: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6CD01E7"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71CEBEF3"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7539BFEA"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1007517" w14:textId="40EEB58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LSGs piloted enhanced strategic participatory planning approaches</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998A841" w14:textId="77777777"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Enhanced participatory planning approaches applied in development of selected planning documents.</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07BA898"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32FFA709"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C24319A" w14:textId="20B6DEBA"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reports and report from the consultant working on participatory planning</w:t>
            </w:r>
            <w:r w:rsidR="001318C1">
              <w:rPr>
                <w:rFonts w:ascii="Times New Roman" w:eastAsia="Times New Roman" w:hAnsi="Times New Roman"/>
                <w:noProof/>
                <w:color w:val="000000" w:themeColor="text1"/>
              </w:rPr>
              <w:t>.</w:t>
            </w: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38FCB6B" w14:textId="228B4184" w:rsidR="00D825F9" w:rsidRPr="00921B17" w:rsidRDefault="00D825F9"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Consultants that will be working on participatory strategic planning activities and on participatory manuals will include in their reports number of advanced integrated and participatory approaches applied across LSGs. </w:t>
            </w:r>
            <w:r w:rsidR="004858E3" w:rsidRPr="00921B17">
              <w:rPr>
                <w:rFonts w:ascii="Times New Roman" w:eastAsia="Times New Roman" w:hAnsi="Times New Roman"/>
                <w:noProof/>
                <w:color w:val="000000" w:themeColor="text1"/>
              </w:rPr>
              <w:t>PIU</w:t>
            </w:r>
            <w:r w:rsidRPr="00921B17">
              <w:rPr>
                <w:rFonts w:ascii="Times New Roman" w:eastAsia="Times New Roman" w:hAnsi="Times New Roman"/>
                <w:noProof/>
                <w:color w:val="000000" w:themeColor="text1"/>
              </w:rPr>
              <w:t xml:space="preserve"> will include this information in annual progress reports.</w:t>
            </w:r>
          </w:p>
          <w:p w14:paraId="7E7BA60D"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89E4D49"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1C07E06F"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5130EF49"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38459B0" w14:textId="7777777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Roadmap for improved access to financing developed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7717B25" w14:textId="535D246B" w:rsidR="00D825F9" w:rsidRPr="00921B17" w:rsidRDefault="00D825F9" w:rsidP="00EF64C6">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Report on potentials for improved access to infrastructure financing for LSGs, addressing fiscal decentralization, commercial financing, green fund and municipal fund and including recommendations and roadmap delivered and accepted by the M</w:t>
            </w:r>
            <w:r w:rsidR="001318C1">
              <w:rPr>
                <w:rFonts w:ascii="Times New Roman" w:eastAsia="Times New Roman" w:hAnsi="Times New Roman"/>
                <w:noProof/>
                <w:color w:val="000000" w:themeColor="text1"/>
              </w:rPr>
              <w:t>oF</w:t>
            </w:r>
            <w:r w:rsidRPr="00921B17">
              <w:rPr>
                <w:rFonts w:ascii="Times New Roman" w:eastAsia="Times New Roman" w:hAnsi="Times New Roman"/>
                <w:noProof/>
                <w:color w:val="000000" w:themeColor="text1"/>
              </w:rPr>
              <w:t>.</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78E1BD9"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51CF32C4"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4DB685D" w14:textId="374AF0F1"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w:t>
            </w:r>
          </w:p>
          <w:p w14:paraId="403F857C"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FF0CDBF" w14:textId="510A1FBF" w:rsidR="00D825F9" w:rsidRPr="00921B17" w:rsidRDefault="004858E3"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will collect the information and include it in the annual progress reports.</w:t>
            </w:r>
          </w:p>
          <w:p w14:paraId="34120136"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1C552E1"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7A09488B"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660ED66E"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D58A7D9" w14:textId="0C70C632" w:rsidR="00D825F9" w:rsidRPr="00921B17" w:rsidRDefault="00D825F9" w:rsidP="00EF64C6">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Database for public investments at the local level, compatible to central level PIMIS developed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D2C11FD" w14:textId="5D701D8A" w:rsidR="00D825F9" w:rsidRPr="00921B17" w:rsidRDefault="00D825F9" w:rsidP="003946C0">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Database for local public investments, compatible to central level PIMIS delivered and passed acceptance tests.</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EBAEECE"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34680AC9"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6729278" w14:textId="312A2BDF"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reports</w:t>
            </w:r>
          </w:p>
          <w:p w14:paraId="4469CA14"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97A3BDB" w14:textId="39E1E3B4" w:rsidR="00D825F9" w:rsidRPr="00921B17" w:rsidRDefault="004858E3"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will confirm that the delivered database satisfies the ToR and that acceptance test confirmed requested performances. This information will be included in the annual progress reports.</w:t>
            </w:r>
          </w:p>
          <w:p w14:paraId="51570B30"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35506FC"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3FF99D28"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03F6A2C4"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2451E10" w14:textId="7777777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Increase in number of works contracts finished within planned time</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109F3F6E" w14:textId="34CF176C"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Percentage</w:t>
            </w:r>
            <w:r w:rsidR="00921B17">
              <w:rPr>
                <w:rFonts w:ascii="Times New Roman" w:eastAsia="Times New Roman" w:hAnsi="Times New Roman"/>
                <w:noProof/>
                <w:color w:val="000000" w:themeColor="text1"/>
              </w:rPr>
              <w:t xml:space="preserve"> </w:t>
            </w:r>
            <w:r w:rsidRPr="00921B17">
              <w:rPr>
                <w:rFonts w:ascii="Times New Roman" w:eastAsia="Times New Roman" w:hAnsi="Times New Roman"/>
                <w:noProof/>
                <w:color w:val="000000" w:themeColor="text1"/>
              </w:rPr>
              <w:t>of works contract implemented within the planned time compared to the current percentage (baseline). If any force major (e.g. floods) that impacted the implementation schedule, this will be calculated as acceptable extension and that the contract is still completed within the contracted time.</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8511CDA"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6ACCB261"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9E4359D" w14:textId="6FAE5E73"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reports</w:t>
            </w:r>
          </w:p>
          <w:p w14:paraId="52E9A3F9"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19A9AB1" w14:textId="67D5E59D" w:rsidR="00D825F9" w:rsidRPr="00921B17" w:rsidRDefault="00863798" w:rsidP="00D01979">
            <w:pPr>
              <w:spacing w:line="276" w:lineRule="auto"/>
              <w:ind w:right="-29"/>
              <w:rPr>
                <w:rFonts w:ascii="Times New Roman" w:eastAsia="Times New Roman" w:hAnsi="Times New Roman"/>
                <w:noProof/>
                <w:color w:val="000000" w:themeColor="text1"/>
              </w:rPr>
            </w:pPr>
            <w:r w:rsidRPr="00863798">
              <w:rPr>
                <w:rFonts w:ascii="Times New Roman" w:eastAsia="Times New Roman" w:hAnsi="Times New Roman"/>
                <w:noProof/>
                <w:color w:val="000000" w:themeColor="text1"/>
              </w:rPr>
              <w:t>The PIU will collect the data from the LSGs and the CFU will access the information through the Systematic Tracking of Exchanges in Procurement (STEP) system. PIU will include the information in annual progress reports.</w:t>
            </w: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32D2AA7"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CFU/PIU</w:t>
            </w:r>
          </w:p>
          <w:p w14:paraId="36CA24E8"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4C5990CA"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7CEDB72" w14:textId="13D6B8EA" w:rsidR="00D825F9" w:rsidRPr="00921B17" w:rsidRDefault="00D825F9" w:rsidP="003946C0">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Pipeline of urban development and municipal infrastructure projects prepared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5C57EA1" w14:textId="2F80ACAB" w:rsidR="00D825F9" w:rsidRPr="00921B17" w:rsidRDefault="00D825F9" w:rsidP="003946C0">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Number of identified new urban development and municipal infrastructure projects with preliminary viability analysis</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497B4A3"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0AF9BC5E"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9BC0BE3" w14:textId="766CF6C8"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w:t>
            </w:r>
          </w:p>
          <w:p w14:paraId="2E20BD9C"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916E1B7" w14:textId="4D444E9E" w:rsidR="00D825F9" w:rsidRPr="00921B17" w:rsidRDefault="004858E3"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will collect information from the LSGs and consultants working on preliminary analysis of potential pipeline projects and include this in the annual progress reports.</w:t>
            </w:r>
          </w:p>
          <w:p w14:paraId="3DDDED5E"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5E7F85B"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PIU/LSG</w:t>
            </w:r>
          </w:p>
          <w:p w14:paraId="2F2F804B"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4A02F058"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3148388" w14:textId="77777777" w:rsidR="00D825F9" w:rsidRPr="00921B17" w:rsidRDefault="00D825F9" w:rsidP="00D01979">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Number of internships completed, with women making at least 70 percent</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506AC54" w14:textId="77777777"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Number of internships completed, with women making at least 70 percent</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4C0E0DFF"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523BD6AA"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5CA7083B" w14:textId="5088D5E5"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w:t>
            </w:r>
          </w:p>
          <w:p w14:paraId="0EF39C6C"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2C49EAC" w14:textId="272EC17C" w:rsidR="00D825F9" w:rsidRPr="00921B17" w:rsidRDefault="004858E3" w:rsidP="003946C0">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will record the number of internships that have been financed through the </w:t>
            </w:r>
            <w:r w:rsidR="003946C0">
              <w:rPr>
                <w:rFonts w:ascii="Times New Roman" w:eastAsia="Times New Roman" w:hAnsi="Times New Roman"/>
                <w:noProof/>
                <w:color w:val="000000" w:themeColor="text1"/>
              </w:rPr>
              <w:t>p</w:t>
            </w:r>
            <w:r w:rsidRPr="00921B17">
              <w:rPr>
                <w:rFonts w:ascii="Times New Roman" w:eastAsia="Times New Roman" w:hAnsi="Times New Roman"/>
                <w:noProof/>
                <w:color w:val="000000" w:themeColor="text1"/>
              </w:rPr>
              <w:t xml:space="preserve">roject </w:t>
            </w:r>
            <w:r w:rsidR="00D825F9" w:rsidRPr="00921B17">
              <w:rPr>
                <w:rFonts w:ascii="Times New Roman" w:eastAsia="Times New Roman" w:hAnsi="Times New Roman"/>
                <w:noProof/>
                <w:color w:val="000000" w:themeColor="text1"/>
              </w:rPr>
              <w:t>and successfully completed. The target is that 70 percent of all internships is given to women candidates. This will be recorded in the PIU annual progress reports.</w:t>
            </w: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C07F23E"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17E5127C"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r w:rsidR="00607A79" w:rsidRPr="00921B17" w14:paraId="785E84BB" w14:textId="77777777" w:rsidTr="000031A9">
        <w:trPr>
          <w:trHeight w:val="432"/>
        </w:trPr>
        <w:tc>
          <w:tcPr>
            <w:tcW w:w="386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DCB3CE1" w14:textId="65A20656" w:rsidR="00D825F9" w:rsidRPr="00921B17" w:rsidRDefault="00D825F9" w:rsidP="003946C0">
            <w:pPr>
              <w:shd w:val="clear" w:color="auto" w:fill="F7F7F7"/>
              <w:spacing w:line="276" w:lineRule="auto"/>
              <w:ind w:left="-58" w:right="-86"/>
              <w:rPr>
                <w:rFonts w:ascii="Times New Roman" w:eastAsia="Times New Roman" w:hAnsi="Times New Roman"/>
                <w:noProof/>
                <w:color w:val="000000" w:themeColor="text1"/>
              </w:rPr>
            </w:pPr>
            <w:r w:rsidRPr="00921B17">
              <w:rPr>
                <w:rFonts w:ascii="Times New Roman" w:eastAsia="Calibri" w:hAnsi="Times New Roman"/>
                <w:noProof/>
                <w:color w:val="000000" w:themeColor="text1"/>
              </w:rPr>
              <w:t>Awareness campaigns o</w:t>
            </w:r>
            <w:r w:rsidR="004858E3">
              <w:rPr>
                <w:rFonts w:ascii="Times New Roman" w:eastAsia="Calibri" w:hAnsi="Times New Roman"/>
                <w:noProof/>
                <w:color w:val="000000" w:themeColor="text1"/>
              </w:rPr>
              <w:t>n</w:t>
            </w:r>
            <w:r w:rsidRPr="00921B17">
              <w:rPr>
                <w:rFonts w:ascii="Times New Roman" w:eastAsia="Calibri" w:hAnsi="Times New Roman"/>
                <w:noProof/>
                <w:color w:val="000000" w:themeColor="text1"/>
              </w:rPr>
              <w:t xml:space="preserve"> </w:t>
            </w:r>
            <w:r w:rsidR="00102069">
              <w:rPr>
                <w:rFonts w:ascii="Times New Roman" w:eastAsia="Calibri" w:hAnsi="Times New Roman"/>
                <w:noProof/>
                <w:color w:val="000000" w:themeColor="text1"/>
              </w:rPr>
              <w:t>g</w:t>
            </w:r>
            <w:r w:rsidRPr="00921B17">
              <w:rPr>
                <w:rFonts w:ascii="Times New Roman" w:eastAsia="Calibri" w:hAnsi="Times New Roman"/>
                <w:noProof/>
                <w:color w:val="000000" w:themeColor="text1"/>
              </w:rPr>
              <w:t>reening of infrastructure and sustainable mobility delivered</w:t>
            </w:r>
          </w:p>
        </w:tc>
        <w:tc>
          <w:tcPr>
            <w:tcW w:w="2700"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28EB6692" w14:textId="13D9F5A6" w:rsidR="00D825F9" w:rsidRPr="00921B17" w:rsidRDefault="00D825F9" w:rsidP="00D01979">
            <w:pPr>
              <w:spacing w:line="276" w:lineRule="auto"/>
              <w:ind w:right="-86"/>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 xml:space="preserve">Number of delivered awareness raising campaigns on the topic of </w:t>
            </w:r>
            <w:r w:rsidR="00102069">
              <w:rPr>
                <w:rFonts w:ascii="Times New Roman" w:eastAsia="Times New Roman" w:hAnsi="Times New Roman"/>
                <w:noProof/>
                <w:color w:val="000000" w:themeColor="text1"/>
              </w:rPr>
              <w:t>g</w:t>
            </w:r>
            <w:r w:rsidR="004858E3" w:rsidRPr="00921B17">
              <w:rPr>
                <w:rFonts w:ascii="Times New Roman" w:eastAsia="Times New Roman" w:hAnsi="Times New Roman"/>
                <w:noProof/>
                <w:color w:val="000000" w:themeColor="text1"/>
              </w:rPr>
              <w:t xml:space="preserve">reening </w:t>
            </w:r>
            <w:r w:rsidRPr="00921B17">
              <w:rPr>
                <w:rFonts w:ascii="Times New Roman" w:eastAsia="Times New Roman" w:hAnsi="Times New Roman"/>
                <w:noProof/>
                <w:color w:val="000000" w:themeColor="text1"/>
              </w:rPr>
              <w:t>of infrastructure, citizen participation and importance of safe mobility systems coupled with targeted trainings to civil society sector.</w:t>
            </w:r>
          </w:p>
        </w:tc>
        <w:tc>
          <w:tcPr>
            <w:tcW w:w="1373"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69CAB8FE" w14:textId="77777777" w:rsidR="00D825F9" w:rsidRPr="00921B17" w:rsidRDefault="00D825F9"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Annually</w:t>
            </w:r>
          </w:p>
          <w:p w14:paraId="2127CCD4"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1418"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0EE9B1B7" w14:textId="2BB1A411" w:rsidR="00D825F9" w:rsidRPr="00921B17" w:rsidRDefault="004858E3" w:rsidP="00D01979">
            <w:pPr>
              <w:spacing w:line="276" w:lineRule="auto"/>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annual progress reports</w:t>
            </w:r>
          </w:p>
          <w:p w14:paraId="36538502" w14:textId="77777777" w:rsidR="00D825F9" w:rsidRPr="00921B17" w:rsidRDefault="00D825F9" w:rsidP="00D01979">
            <w:pPr>
              <w:spacing w:line="276" w:lineRule="auto"/>
              <w:rPr>
                <w:rFonts w:ascii="Times New Roman" w:eastAsia="Times New Roman" w:hAnsi="Times New Roman"/>
                <w:noProof/>
                <w:color w:val="000000" w:themeColor="text1"/>
              </w:rPr>
            </w:pPr>
          </w:p>
        </w:tc>
        <w:tc>
          <w:tcPr>
            <w:tcW w:w="3685"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3D227B2A" w14:textId="58EFF3F2" w:rsidR="00D825F9" w:rsidRPr="00921B17" w:rsidRDefault="004858E3" w:rsidP="00D01979">
            <w:pPr>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r w:rsidR="00D825F9" w:rsidRPr="00921B17">
              <w:rPr>
                <w:rFonts w:ascii="Times New Roman" w:eastAsia="Times New Roman" w:hAnsi="Times New Roman"/>
                <w:noProof/>
                <w:color w:val="000000" w:themeColor="text1"/>
              </w:rPr>
              <w:t xml:space="preserve"> will engage a consultant that will deliver this awareness raising campaigns and trainings. Based on the consultant outputs the PIU will update the annual progress reports.</w:t>
            </w:r>
          </w:p>
          <w:p w14:paraId="6EDBC123" w14:textId="77777777" w:rsidR="00D825F9" w:rsidRPr="00921B17" w:rsidRDefault="00D825F9" w:rsidP="00D01979">
            <w:pPr>
              <w:spacing w:line="276" w:lineRule="auto"/>
              <w:ind w:right="-29"/>
              <w:rPr>
                <w:rFonts w:ascii="Times New Roman" w:eastAsia="Times New Roman" w:hAnsi="Times New Roman"/>
                <w:noProof/>
                <w:color w:val="000000" w:themeColor="text1"/>
              </w:rPr>
            </w:pPr>
          </w:p>
        </w:tc>
        <w:tc>
          <w:tcPr>
            <w:tcW w:w="1701" w:type="dxa"/>
            <w:tcBorders>
              <w:top w:val="single" w:sz="4" w:space="0" w:color="D9D9D9"/>
              <w:left w:val="single" w:sz="4" w:space="0" w:color="D9D9D9"/>
              <w:bottom w:val="single" w:sz="4" w:space="0" w:color="D9D9D9"/>
              <w:right w:val="single" w:sz="4" w:space="0" w:color="D9D9D9"/>
            </w:tcBorders>
            <w:shd w:val="clear" w:color="auto" w:fill="F7F7F7"/>
            <w:vAlign w:val="center"/>
          </w:tcPr>
          <w:p w14:paraId="7F8D5578" w14:textId="77777777" w:rsidR="00D825F9" w:rsidRPr="00921B17" w:rsidRDefault="00D825F9" w:rsidP="00D01979">
            <w:pPr>
              <w:keepNext/>
              <w:shd w:val="clear" w:color="auto" w:fill="F7F7F7"/>
              <w:spacing w:line="276" w:lineRule="auto"/>
              <w:ind w:right="-29"/>
              <w:rPr>
                <w:rFonts w:ascii="Times New Roman" w:eastAsia="Times New Roman" w:hAnsi="Times New Roman"/>
                <w:noProof/>
                <w:color w:val="000000" w:themeColor="text1"/>
              </w:rPr>
            </w:pPr>
            <w:r w:rsidRPr="00921B17">
              <w:rPr>
                <w:rFonts w:ascii="Times New Roman" w:eastAsia="Times New Roman" w:hAnsi="Times New Roman"/>
                <w:noProof/>
                <w:color w:val="000000" w:themeColor="text1"/>
              </w:rPr>
              <w:t>PIU</w:t>
            </w:r>
          </w:p>
          <w:p w14:paraId="6C14E33D" w14:textId="77777777" w:rsidR="00D825F9" w:rsidRPr="00921B17" w:rsidRDefault="00D825F9" w:rsidP="00D01979">
            <w:pPr>
              <w:keepNext/>
              <w:shd w:val="clear" w:color="auto" w:fill="F7F7F7"/>
              <w:spacing w:line="276" w:lineRule="auto"/>
              <w:ind w:right="-29"/>
              <w:rPr>
                <w:rFonts w:ascii="Times New Roman" w:eastAsia="Times New Roman" w:hAnsi="Times New Roman"/>
                <w:color w:val="000000" w:themeColor="text1"/>
              </w:rPr>
            </w:pPr>
          </w:p>
        </w:tc>
      </w:tr>
    </w:tbl>
    <w:p w14:paraId="7CF36087" w14:textId="77777777" w:rsidR="003E3FED" w:rsidRPr="006F115D" w:rsidRDefault="003E3FED" w:rsidP="00D01979">
      <w:pPr>
        <w:spacing w:after="0" w:line="276" w:lineRule="auto"/>
        <w:jc w:val="both"/>
        <w:rPr>
          <w:rFonts w:ascii="Times New Roman" w:hAnsi="Times New Roman" w:cs="Times New Roman"/>
          <w:color w:val="FF0000"/>
          <w:sz w:val="10"/>
        </w:rPr>
      </w:pPr>
    </w:p>
    <w:p w14:paraId="1BAED57A" w14:textId="77777777" w:rsidR="00467B86" w:rsidRPr="006F115D" w:rsidRDefault="00467B86" w:rsidP="00D01979">
      <w:pPr>
        <w:spacing w:after="0" w:line="276" w:lineRule="auto"/>
        <w:jc w:val="both"/>
        <w:rPr>
          <w:rFonts w:ascii="Times New Roman" w:hAnsi="Times New Roman" w:cs="Times New Roman"/>
          <w:color w:val="FF0000"/>
          <w:sz w:val="10"/>
        </w:rPr>
        <w:sectPr w:rsidR="00467B86" w:rsidRPr="006F115D" w:rsidSect="00B86062">
          <w:pgSz w:w="16837" w:h="11905" w:orient="landscape" w:code="9"/>
          <w:pgMar w:top="1134" w:right="1134" w:bottom="1134" w:left="1134" w:header="510" w:footer="340" w:gutter="0"/>
          <w:cols w:space="720"/>
          <w:titlePg/>
        </w:sectPr>
      </w:pPr>
    </w:p>
    <w:p w14:paraId="5FDDB29A" w14:textId="2DCDDFC1" w:rsidR="009E1CE0" w:rsidRPr="00921B17" w:rsidRDefault="009E1CE0" w:rsidP="00D01979">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07" w:name="_Toc93342332"/>
      <w:r w:rsidRPr="00663DC2">
        <w:rPr>
          <w:rFonts w:ascii="Times New Roman" w:hAnsi="Times New Roman" w:cs="Times New Roman"/>
          <w:smallCaps w:val="0"/>
          <w:color w:val="auto"/>
          <w:sz w:val="28"/>
          <w:szCs w:val="30"/>
        </w:rPr>
        <w:t xml:space="preserve">Annex 3: Template of the </w:t>
      </w:r>
      <w:r w:rsidR="00DA08FD" w:rsidRPr="00663DC2">
        <w:rPr>
          <w:rFonts w:ascii="Times New Roman" w:hAnsi="Times New Roman" w:cs="Times New Roman"/>
          <w:smallCaps w:val="0"/>
          <w:color w:val="auto"/>
          <w:sz w:val="28"/>
          <w:szCs w:val="30"/>
        </w:rPr>
        <w:t>Framework Agreement</w:t>
      </w:r>
      <w:r w:rsidRPr="00663DC2">
        <w:rPr>
          <w:rFonts w:ascii="Times New Roman" w:hAnsi="Times New Roman" w:cs="Times New Roman"/>
          <w:smallCaps w:val="0"/>
          <w:color w:val="auto"/>
          <w:sz w:val="28"/>
          <w:szCs w:val="30"/>
        </w:rPr>
        <w:t xml:space="preserve"> (</w:t>
      </w:r>
      <w:r w:rsidR="00663DC2" w:rsidRPr="006D4327">
        <w:rPr>
          <w:rFonts w:ascii="Times New Roman" w:hAnsi="Times New Roman" w:cs="Times New Roman"/>
          <w:smallCaps w:val="0"/>
          <w:color w:val="auto"/>
          <w:sz w:val="28"/>
          <w:szCs w:val="30"/>
        </w:rPr>
        <w:t>F</w:t>
      </w:r>
      <w:r w:rsidR="002C4FC3" w:rsidRPr="006D4327">
        <w:rPr>
          <w:rFonts w:ascii="Times New Roman" w:hAnsi="Times New Roman" w:cs="Times New Roman"/>
          <w:smallCaps w:val="0"/>
          <w:color w:val="auto"/>
          <w:sz w:val="28"/>
          <w:szCs w:val="30"/>
        </w:rPr>
        <w:t>A</w:t>
      </w:r>
      <w:r w:rsidRPr="00663DC2">
        <w:rPr>
          <w:rFonts w:ascii="Times New Roman" w:hAnsi="Times New Roman" w:cs="Times New Roman"/>
          <w:smallCaps w:val="0"/>
          <w:color w:val="auto"/>
          <w:sz w:val="28"/>
          <w:szCs w:val="30"/>
        </w:rPr>
        <w:t>)</w:t>
      </w:r>
      <w:bookmarkEnd w:id="707"/>
      <w:r w:rsidRPr="00921B17">
        <w:rPr>
          <w:rFonts w:ascii="Times New Roman" w:hAnsi="Times New Roman" w:cs="Times New Roman"/>
          <w:smallCaps w:val="0"/>
          <w:color w:val="auto"/>
          <w:sz w:val="28"/>
          <w:szCs w:val="30"/>
        </w:rPr>
        <w:t xml:space="preserve"> </w:t>
      </w:r>
    </w:p>
    <w:p w14:paraId="36CF2E07" w14:textId="45258574" w:rsidR="001E2483" w:rsidRPr="00921B17" w:rsidRDefault="001E2483" w:rsidP="00D01979">
      <w:pPr>
        <w:spacing w:line="276" w:lineRule="auto"/>
        <w:rPr>
          <w:rFonts w:ascii="Times New Roman" w:hAnsi="Times New Roman" w:cs="Times New Roman"/>
          <w:color w:val="000000" w:themeColor="text1"/>
        </w:rPr>
      </w:pPr>
    </w:p>
    <w:p w14:paraId="4B7D94D9" w14:textId="77777777" w:rsidR="001E2483" w:rsidRPr="00921B17" w:rsidRDefault="001E2483" w:rsidP="00D01979">
      <w:pPr>
        <w:spacing w:line="276" w:lineRule="auto"/>
        <w:rPr>
          <w:rFonts w:ascii="Times New Roman" w:hAnsi="Times New Roman" w:cs="Times New Roman"/>
          <w:smallCaps/>
          <w:color w:val="000000" w:themeColor="text1"/>
        </w:rPr>
      </w:pPr>
    </w:p>
    <w:tbl>
      <w:tblPr>
        <w:tblpPr w:leftFromText="180" w:rightFromText="180" w:vertAnchor="text" w:horzAnchor="margin" w:tblpY="-764"/>
        <w:tblW w:w="0" w:type="auto"/>
        <w:tblLook w:val="0000" w:firstRow="0" w:lastRow="0" w:firstColumn="0" w:lastColumn="0" w:noHBand="0" w:noVBand="0"/>
      </w:tblPr>
      <w:tblGrid>
        <w:gridCol w:w="4497"/>
      </w:tblGrid>
      <w:tr w:rsidR="00F23EF8" w:rsidRPr="00921B17" w14:paraId="1FB80F58" w14:textId="77777777" w:rsidTr="00665F55">
        <w:trPr>
          <w:trHeight w:val="509"/>
        </w:trPr>
        <w:tc>
          <w:tcPr>
            <w:tcW w:w="4497" w:type="dxa"/>
          </w:tcPr>
          <w:p w14:paraId="4A0D42FA" w14:textId="72E16528" w:rsidR="001E2483" w:rsidRPr="001F5042" w:rsidRDefault="001E2483" w:rsidP="00D01979">
            <w:pPr>
              <w:spacing w:line="276" w:lineRule="auto"/>
              <w:ind w:left="1440"/>
              <w:rPr>
                <w:rFonts w:ascii="Times New Roman" w:hAnsi="Times New Roman" w:cs="Times New Roman"/>
                <w:b/>
                <w:color w:val="000000" w:themeColor="text1"/>
                <w:spacing w:val="6"/>
              </w:rPr>
            </w:pPr>
            <w:r w:rsidRPr="001F5042">
              <w:rPr>
                <w:rFonts w:ascii="Times New Roman" w:hAnsi="Times New Roman" w:cs="Times New Roman"/>
                <w:b/>
                <w:noProof/>
                <w:color w:val="000000" w:themeColor="text1"/>
                <w:spacing w:val="6"/>
                <w:lang w:val="en-US"/>
              </w:rPr>
              <w:drawing>
                <wp:inline distT="0" distB="0" distL="0" distR="0" wp14:anchorId="7EF64DA2" wp14:editId="26BD0522">
                  <wp:extent cx="401955" cy="703580"/>
                  <wp:effectExtent l="0" t="0" r="0" b="1270"/>
                  <wp:docPr id="33" name="Picture 33" descr="Description: 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rbija-mali-grb-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1955" cy="703580"/>
                          </a:xfrm>
                          <a:prstGeom prst="rect">
                            <a:avLst/>
                          </a:prstGeom>
                          <a:noFill/>
                          <a:ln>
                            <a:noFill/>
                          </a:ln>
                        </pic:spPr>
                      </pic:pic>
                    </a:graphicData>
                  </a:graphic>
                </wp:inline>
              </w:drawing>
            </w:r>
          </w:p>
          <w:p w14:paraId="79CF45DC" w14:textId="4FF3DF96" w:rsidR="001E2483" w:rsidRPr="001F5042" w:rsidRDefault="0087027D" w:rsidP="00D01979">
            <w:pPr>
              <w:spacing w:line="276" w:lineRule="auto"/>
              <w:rPr>
                <w:rFonts w:ascii="Times New Roman" w:hAnsi="Times New Roman" w:cs="Times New Roman"/>
                <w:b/>
                <w:color w:val="000000" w:themeColor="text1"/>
                <w:spacing w:val="6"/>
              </w:rPr>
            </w:pPr>
            <w:r>
              <w:rPr>
                <w:rFonts w:ascii="Times New Roman" w:hAnsi="Times New Roman" w:cs="Times New Roman"/>
                <w:b/>
                <w:color w:val="000000" w:themeColor="text1"/>
                <w:spacing w:val="6"/>
              </w:rPr>
              <w:t xml:space="preserve">   </w:t>
            </w:r>
            <w:r w:rsidR="001E2483" w:rsidRPr="001F5042">
              <w:rPr>
                <w:rFonts w:ascii="Times New Roman" w:hAnsi="Times New Roman" w:cs="Times New Roman"/>
                <w:b/>
                <w:color w:val="000000" w:themeColor="text1"/>
                <w:spacing w:val="6"/>
              </w:rPr>
              <w:t>Republic of Serbia</w:t>
            </w:r>
          </w:p>
        </w:tc>
      </w:tr>
      <w:tr w:rsidR="00F23EF8" w:rsidRPr="00921B17" w14:paraId="4BCA6BAA" w14:textId="77777777" w:rsidTr="00665F55">
        <w:trPr>
          <w:trHeight w:val="63"/>
        </w:trPr>
        <w:tc>
          <w:tcPr>
            <w:tcW w:w="4497" w:type="dxa"/>
          </w:tcPr>
          <w:p w14:paraId="733177B6" w14:textId="6AD5DB03" w:rsidR="001E2483" w:rsidRPr="00665F55" w:rsidRDefault="00921B17" w:rsidP="00D01979">
            <w:pPr>
              <w:spacing w:line="276" w:lineRule="auto"/>
              <w:rPr>
                <w:rFonts w:ascii="Times New Roman" w:hAnsi="Times New Roman" w:cs="Times New Roman"/>
                <w:b/>
                <w:color w:val="000000" w:themeColor="text1"/>
                <w:spacing w:val="6"/>
                <w:sz w:val="21"/>
                <w:szCs w:val="21"/>
              </w:rPr>
            </w:pPr>
            <w:r w:rsidRPr="00665F55">
              <w:rPr>
                <w:rFonts w:ascii="Times New Roman" w:hAnsi="Times New Roman" w:cs="Times New Roman"/>
                <w:b/>
                <w:color w:val="000000" w:themeColor="text1"/>
                <w:spacing w:val="6"/>
                <w:sz w:val="21"/>
                <w:szCs w:val="21"/>
              </w:rPr>
              <w:t xml:space="preserve"> </w:t>
            </w:r>
            <w:r w:rsidR="001E2483" w:rsidRPr="00665F55">
              <w:rPr>
                <w:rFonts w:ascii="Times New Roman" w:hAnsi="Times New Roman" w:cs="Times New Roman"/>
                <w:b/>
                <w:color w:val="000000" w:themeColor="text1"/>
                <w:spacing w:val="6"/>
                <w:sz w:val="21"/>
                <w:szCs w:val="21"/>
              </w:rPr>
              <w:t>MINISTRY OF CONSTRUCTION,</w:t>
            </w:r>
          </w:p>
        </w:tc>
      </w:tr>
      <w:tr w:rsidR="00F23EF8" w:rsidRPr="00921B17" w14:paraId="7203D598" w14:textId="77777777" w:rsidTr="00665F55">
        <w:trPr>
          <w:trHeight w:val="63"/>
        </w:trPr>
        <w:tc>
          <w:tcPr>
            <w:tcW w:w="4497" w:type="dxa"/>
          </w:tcPr>
          <w:p w14:paraId="2F913DFD" w14:textId="59D55B4D" w:rsidR="001E2483" w:rsidRPr="00665F55" w:rsidRDefault="001E2483" w:rsidP="00D01979">
            <w:pPr>
              <w:spacing w:line="276" w:lineRule="auto"/>
              <w:rPr>
                <w:rFonts w:ascii="Times New Roman" w:hAnsi="Times New Roman" w:cs="Times New Roman"/>
                <w:b/>
                <w:color w:val="000000" w:themeColor="text1"/>
                <w:spacing w:val="6"/>
                <w:sz w:val="21"/>
                <w:szCs w:val="21"/>
              </w:rPr>
            </w:pPr>
            <w:r w:rsidRPr="00665F55">
              <w:rPr>
                <w:rFonts w:ascii="Times New Roman" w:hAnsi="Times New Roman" w:cs="Times New Roman"/>
                <w:b/>
                <w:color w:val="000000" w:themeColor="text1"/>
                <w:spacing w:val="6"/>
                <w:sz w:val="21"/>
                <w:szCs w:val="21"/>
              </w:rPr>
              <w:t>TRANSPORT AND</w:t>
            </w:r>
            <w:r w:rsidR="007F671B" w:rsidRPr="00665F55">
              <w:rPr>
                <w:rFonts w:ascii="Times New Roman" w:hAnsi="Times New Roman" w:cs="Times New Roman"/>
                <w:b/>
                <w:color w:val="000000" w:themeColor="text1"/>
                <w:spacing w:val="6"/>
                <w:sz w:val="21"/>
                <w:szCs w:val="21"/>
              </w:rPr>
              <w:t xml:space="preserve"> </w:t>
            </w:r>
            <w:r w:rsidRPr="00665F55">
              <w:rPr>
                <w:rFonts w:ascii="Times New Roman" w:hAnsi="Times New Roman" w:cs="Times New Roman"/>
                <w:b/>
                <w:color w:val="000000" w:themeColor="text1"/>
                <w:spacing w:val="6"/>
                <w:sz w:val="21"/>
                <w:szCs w:val="21"/>
              </w:rPr>
              <w:t>INFRASTRUCTURE</w:t>
            </w:r>
          </w:p>
        </w:tc>
      </w:tr>
      <w:tr w:rsidR="00F23EF8" w:rsidRPr="00921B17" w14:paraId="485CEC91" w14:textId="77777777" w:rsidTr="00665F55">
        <w:trPr>
          <w:trHeight w:val="49"/>
        </w:trPr>
        <w:tc>
          <w:tcPr>
            <w:tcW w:w="4497" w:type="dxa"/>
          </w:tcPr>
          <w:p w14:paraId="18261B63" w14:textId="52AA8D36" w:rsidR="001E2483" w:rsidRPr="001F5042" w:rsidRDefault="00921B17" w:rsidP="00D01979">
            <w:pPr>
              <w:keepNext/>
              <w:spacing w:line="276" w:lineRule="auto"/>
              <w:jc w:val="both"/>
              <w:outlineLvl w:val="5"/>
              <w:rPr>
                <w:rFonts w:ascii="Times New Roman" w:hAnsi="Times New Roman" w:cs="Times New Roman"/>
                <w:bCs/>
                <w:color w:val="000000" w:themeColor="text1"/>
                <w:spacing w:val="6"/>
              </w:rPr>
            </w:pPr>
            <w:r w:rsidRPr="001F5042">
              <w:rPr>
                <w:rFonts w:ascii="Times New Roman" w:hAnsi="Times New Roman" w:cs="Times New Roman"/>
                <w:bCs/>
                <w:color w:val="000000" w:themeColor="text1"/>
                <w:spacing w:val="6"/>
              </w:rPr>
              <w:t xml:space="preserve"> </w:t>
            </w:r>
            <w:r w:rsidR="001E2483" w:rsidRPr="001F5042">
              <w:rPr>
                <w:rFonts w:ascii="Times New Roman" w:hAnsi="Times New Roman" w:cs="Times New Roman"/>
                <w:bCs/>
                <w:color w:val="000000" w:themeColor="text1"/>
                <w:spacing w:val="6"/>
              </w:rPr>
              <w:t>Number: XXXXXXXXXX</w:t>
            </w:r>
          </w:p>
          <w:p w14:paraId="08F55F7D" w14:textId="7C853354" w:rsidR="001E2483" w:rsidRPr="001F5042" w:rsidRDefault="00921B17" w:rsidP="00D01979">
            <w:pPr>
              <w:keepNext/>
              <w:spacing w:line="276" w:lineRule="auto"/>
              <w:jc w:val="both"/>
              <w:outlineLvl w:val="5"/>
              <w:rPr>
                <w:rFonts w:ascii="Times New Roman" w:hAnsi="Times New Roman" w:cs="Times New Roman"/>
                <w:bCs/>
                <w:color w:val="000000" w:themeColor="text1"/>
                <w:spacing w:val="6"/>
              </w:rPr>
            </w:pPr>
            <w:r w:rsidRPr="001F5042">
              <w:rPr>
                <w:rFonts w:ascii="Times New Roman" w:hAnsi="Times New Roman" w:cs="Times New Roman"/>
                <w:bCs/>
                <w:color w:val="000000" w:themeColor="text1"/>
                <w:spacing w:val="6"/>
              </w:rPr>
              <w:t xml:space="preserve"> </w:t>
            </w:r>
            <w:r w:rsidR="001E2483" w:rsidRPr="001F5042">
              <w:rPr>
                <w:rFonts w:ascii="Times New Roman" w:hAnsi="Times New Roman" w:cs="Times New Roman"/>
                <w:bCs/>
                <w:color w:val="000000" w:themeColor="text1"/>
                <w:spacing w:val="6"/>
              </w:rPr>
              <w:t>XX.XX.XXXX</w:t>
            </w:r>
          </w:p>
        </w:tc>
      </w:tr>
    </w:tbl>
    <w:p w14:paraId="2FEC4C52" w14:textId="77777777" w:rsidR="001E2483" w:rsidRPr="00921B17" w:rsidRDefault="001E2483" w:rsidP="00D01979">
      <w:pPr>
        <w:pStyle w:val="CommentText"/>
        <w:spacing w:after="0" w:line="276" w:lineRule="auto"/>
        <w:rPr>
          <w:rFonts w:ascii="Times New Roman" w:hAnsi="Times New Roman" w:cs="Times New Roman"/>
          <w:b/>
          <w:color w:val="000000" w:themeColor="text1"/>
        </w:rPr>
      </w:pPr>
    </w:p>
    <w:p w14:paraId="1738B0DF" w14:textId="77777777" w:rsidR="001E2483" w:rsidRPr="00921B17" w:rsidRDefault="001E2483" w:rsidP="00D01979">
      <w:pPr>
        <w:pStyle w:val="CommentText"/>
        <w:spacing w:after="0" w:line="276" w:lineRule="auto"/>
        <w:rPr>
          <w:rFonts w:ascii="Times New Roman" w:hAnsi="Times New Roman" w:cs="Times New Roman"/>
          <w:color w:val="000000" w:themeColor="text1"/>
        </w:rPr>
      </w:pPr>
    </w:p>
    <w:p w14:paraId="74E60EA2"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38CC62D3"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13F809CD"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2D9CCC73"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735C1C7C"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2FBDB08B" w14:textId="49ED8D23" w:rsidR="001E2483" w:rsidRPr="00D01979" w:rsidRDefault="001E2483" w:rsidP="00D01979">
      <w:pPr>
        <w:pStyle w:val="CommentText"/>
        <w:spacing w:after="0" w:line="276" w:lineRule="auto"/>
        <w:rPr>
          <w:rFonts w:ascii="Times New Roman" w:hAnsi="Times New Roman" w:cs="Times New Roman"/>
          <w:color w:val="000000" w:themeColor="text1"/>
        </w:rPr>
      </w:pPr>
      <w:r w:rsidRPr="002E7196">
        <w:rPr>
          <w:rFonts w:ascii="Times New Roman" w:hAnsi="Times New Roman" w:cs="Times New Roman"/>
          <w:noProof/>
          <w:color w:val="000000" w:themeColor="text1"/>
          <w:lang w:val="en-US"/>
        </w:rPr>
        <mc:AlternateContent>
          <mc:Choice Requires="wps">
            <w:drawing>
              <wp:anchor distT="0" distB="0" distL="114300" distR="114300" simplePos="0" relativeHeight="251642880" behindDoc="0" locked="0" layoutInCell="1" allowOverlap="1" wp14:anchorId="6C9331E6" wp14:editId="3C7AB10F">
                <wp:simplePos x="0" y="0"/>
                <wp:positionH relativeFrom="column">
                  <wp:posOffset>19050</wp:posOffset>
                </wp:positionH>
                <wp:positionV relativeFrom="paragraph">
                  <wp:posOffset>82550</wp:posOffset>
                </wp:positionV>
                <wp:extent cx="5295900" cy="0"/>
                <wp:effectExtent l="9525" t="9525" r="9525" b="9525"/>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9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72CB8FC" id="Straight Connector 37"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6.5pt" to="418.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"/>
            </w:pict>
          </mc:Fallback>
        </mc:AlternateContent>
      </w:r>
    </w:p>
    <w:p w14:paraId="1B2A82C4"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48E74A81"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6C2224A1"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74E438A9"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725E951E" w14:textId="77777777" w:rsidR="001E2483" w:rsidRPr="00D01979" w:rsidRDefault="001E2483" w:rsidP="00D01979">
      <w:pPr>
        <w:pStyle w:val="CommentText"/>
        <w:spacing w:after="0" w:line="276" w:lineRule="auto"/>
        <w:rPr>
          <w:rFonts w:ascii="Times New Roman" w:hAnsi="Times New Roman" w:cs="Times New Roman"/>
          <w:b/>
          <w:color w:val="000000" w:themeColor="text1"/>
        </w:rPr>
      </w:pPr>
    </w:p>
    <w:p w14:paraId="318B8521" w14:textId="77777777" w:rsidR="001E2483" w:rsidRPr="00D01979" w:rsidRDefault="001E2483" w:rsidP="00D01979">
      <w:pPr>
        <w:pStyle w:val="CommentText"/>
        <w:spacing w:after="0" w:line="276" w:lineRule="auto"/>
        <w:rPr>
          <w:rFonts w:ascii="Times New Roman" w:hAnsi="Times New Roman" w:cs="Times New Roman"/>
          <w:b/>
          <w:color w:val="000000" w:themeColor="text1"/>
        </w:rPr>
      </w:pPr>
    </w:p>
    <w:p w14:paraId="507F05C0" w14:textId="35A048EF" w:rsidR="001E2483" w:rsidRPr="00D01979" w:rsidRDefault="001E2483" w:rsidP="00665F55">
      <w:pPr>
        <w:spacing w:line="276" w:lineRule="auto"/>
        <w:jc w:val="center"/>
        <w:rPr>
          <w:rFonts w:ascii="Times New Roman" w:hAnsi="Times New Roman" w:cs="Times New Roman"/>
          <w:b/>
          <w:color w:val="000000" w:themeColor="text1"/>
        </w:rPr>
      </w:pPr>
      <w:r w:rsidRPr="00D01979">
        <w:rPr>
          <w:rFonts w:ascii="Times New Roman" w:hAnsi="Times New Roman" w:cs="Times New Roman"/>
          <w:b/>
          <w:color w:val="000000" w:themeColor="text1"/>
        </w:rPr>
        <w:t>LOCAL</w:t>
      </w:r>
      <w:r w:rsidRPr="00D01979">
        <w:rPr>
          <w:rFonts w:ascii="Times New Roman" w:hAnsi="Times New Roman" w:cs="Times New Roman"/>
          <w:color w:val="000000" w:themeColor="text1"/>
        </w:rPr>
        <w:t xml:space="preserve"> </w:t>
      </w:r>
      <w:r w:rsidRPr="00D01979">
        <w:rPr>
          <w:rFonts w:ascii="Times New Roman" w:hAnsi="Times New Roman" w:cs="Times New Roman"/>
          <w:b/>
          <w:color w:val="000000" w:themeColor="text1"/>
        </w:rPr>
        <w:t>INFRASTRUC</w:t>
      </w:r>
      <w:r w:rsidR="00566DCF">
        <w:rPr>
          <w:rFonts w:ascii="Times New Roman" w:hAnsi="Times New Roman" w:cs="Times New Roman"/>
          <w:b/>
          <w:color w:val="000000" w:themeColor="text1"/>
        </w:rPr>
        <w:t>TUR</w:t>
      </w:r>
      <w:r w:rsidRPr="00D01979">
        <w:rPr>
          <w:rFonts w:ascii="Times New Roman" w:hAnsi="Times New Roman" w:cs="Times New Roman"/>
          <w:b/>
          <w:color w:val="000000" w:themeColor="text1"/>
        </w:rPr>
        <w:t>E AND INSTITUTIONAL DEVELOPMENT (LIID)</w:t>
      </w:r>
    </w:p>
    <w:p w14:paraId="340C6A85" w14:textId="12847FC5" w:rsidR="001E2483" w:rsidRPr="00D01979" w:rsidRDefault="00DA08FD" w:rsidP="00665F55">
      <w:pPr>
        <w:pStyle w:val="CommentText"/>
        <w:spacing w:after="0" w:line="276" w:lineRule="auto"/>
        <w:jc w:val="center"/>
        <w:rPr>
          <w:rFonts w:ascii="Times New Roman" w:hAnsi="Times New Roman" w:cs="Times New Roman"/>
          <w:b/>
          <w:color w:val="000000" w:themeColor="text1"/>
        </w:rPr>
      </w:pPr>
      <w:r>
        <w:rPr>
          <w:rFonts w:ascii="Times New Roman" w:hAnsi="Times New Roman" w:cs="Times New Roman"/>
          <w:b/>
          <w:color w:val="000000" w:themeColor="text1"/>
        </w:rPr>
        <w:t>FRAMEWORK AGREEMENT</w:t>
      </w:r>
    </w:p>
    <w:p w14:paraId="5B5F4D00" w14:textId="77777777" w:rsidR="001E2483" w:rsidRPr="00D01979" w:rsidRDefault="001E2483" w:rsidP="00D01979">
      <w:pPr>
        <w:pStyle w:val="CommentText"/>
        <w:spacing w:after="0" w:line="276" w:lineRule="auto"/>
        <w:rPr>
          <w:rFonts w:ascii="Times New Roman" w:hAnsi="Times New Roman" w:cs="Times New Roman"/>
          <w:b/>
          <w:color w:val="000000" w:themeColor="text1"/>
        </w:rPr>
      </w:pPr>
    </w:p>
    <w:p w14:paraId="7219ED49"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67B10620"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0D44D62A"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24D8C940" w14:textId="3B6E929F" w:rsidR="001E2483" w:rsidRPr="00D01979" w:rsidRDefault="001E2483" w:rsidP="00D01979">
      <w:pPr>
        <w:pStyle w:val="CommentText"/>
        <w:spacing w:after="0" w:line="276" w:lineRule="auto"/>
        <w:rPr>
          <w:rFonts w:ascii="Times New Roman" w:hAnsi="Times New Roman" w:cs="Times New Roman"/>
          <w:color w:val="000000" w:themeColor="text1"/>
        </w:rPr>
      </w:pPr>
      <w:r w:rsidRPr="002E7196">
        <w:rPr>
          <w:rFonts w:ascii="Times New Roman" w:hAnsi="Times New Roman" w:cs="Times New Roman"/>
          <w:noProof/>
          <w:color w:val="000000" w:themeColor="text1"/>
          <w:lang w:val="en-US"/>
        </w:rPr>
        <mc:AlternateContent>
          <mc:Choice Requires="wps">
            <w:drawing>
              <wp:anchor distT="0" distB="0" distL="114300" distR="114300" simplePos="0" relativeHeight="251644928" behindDoc="0" locked="0" layoutInCell="1" allowOverlap="1" wp14:anchorId="65EE3864" wp14:editId="49E75FC5">
                <wp:simplePos x="0" y="0"/>
                <wp:positionH relativeFrom="column">
                  <wp:posOffset>51435</wp:posOffset>
                </wp:positionH>
                <wp:positionV relativeFrom="paragraph">
                  <wp:posOffset>2540</wp:posOffset>
                </wp:positionV>
                <wp:extent cx="5295900" cy="0"/>
                <wp:effectExtent l="13335" t="12700" r="5715" b="6350"/>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9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58686B6" id="Straight Connector 36"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2pt" to="421.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"/>
            </w:pict>
          </mc:Fallback>
        </mc:AlternateContent>
      </w:r>
    </w:p>
    <w:p w14:paraId="2BAD545F"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338A9C3A"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67981D22"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718504B8" w14:textId="77777777" w:rsidR="00CF7D57" w:rsidRDefault="00CF7D57" w:rsidP="00D01979">
      <w:pPr>
        <w:pStyle w:val="CommentText"/>
        <w:spacing w:after="0" w:line="276" w:lineRule="auto"/>
        <w:rPr>
          <w:rFonts w:ascii="Times New Roman" w:hAnsi="Times New Roman" w:cs="Times New Roman"/>
          <w:color w:val="000000" w:themeColor="text1"/>
        </w:rPr>
        <w:sectPr w:rsidR="00CF7D57" w:rsidSect="002D62FD">
          <w:headerReference w:type="even" r:id="rId42"/>
          <w:headerReference w:type="default" r:id="rId43"/>
          <w:footerReference w:type="even" r:id="rId44"/>
          <w:headerReference w:type="first" r:id="rId45"/>
          <w:footerReference w:type="first" r:id="rId46"/>
          <w:pgSz w:w="11910" w:h="16840" w:code="9"/>
          <w:pgMar w:top="839" w:right="720" w:bottom="941" w:left="743" w:header="397" w:footer="397" w:gutter="0"/>
          <w:cols w:space="720"/>
        </w:sectPr>
      </w:pPr>
    </w:p>
    <w:p w14:paraId="51A286CE" w14:textId="044BF866" w:rsidR="001E2483" w:rsidRPr="00D01979" w:rsidRDefault="001E2483" w:rsidP="00D01979">
      <w:pPr>
        <w:pStyle w:val="CommentText"/>
        <w:spacing w:after="0" w:line="276" w:lineRule="auto"/>
        <w:rPr>
          <w:rFonts w:ascii="Times New Roman" w:hAnsi="Times New Roman" w:cs="Times New Roman"/>
          <w:color w:val="000000" w:themeColor="text1"/>
        </w:rPr>
      </w:pPr>
    </w:p>
    <w:p w14:paraId="631A646D"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068B9067"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332F7AFD"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3F8DFEE5"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45787FDE"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3ACE37F9"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14461A82"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6073B8E7"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5289614A"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7B6638E2" w14:textId="77777777" w:rsidR="001E2483" w:rsidRDefault="001E2483" w:rsidP="00D01979">
      <w:pPr>
        <w:pStyle w:val="CommentText"/>
        <w:spacing w:after="0" w:line="276" w:lineRule="auto"/>
        <w:rPr>
          <w:rFonts w:ascii="Times New Roman" w:hAnsi="Times New Roman" w:cs="Times New Roman"/>
          <w:color w:val="000000" w:themeColor="text1"/>
        </w:rPr>
      </w:pPr>
    </w:p>
    <w:p w14:paraId="084A656C" w14:textId="77777777" w:rsidR="00CF7D57" w:rsidRDefault="00CF7D57" w:rsidP="00D01979">
      <w:pPr>
        <w:pStyle w:val="CommentText"/>
        <w:spacing w:after="0" w:line="276" w:lineRule="auto"/>
        <w:rPr>
          <w:rFonts w:ascii="Times New Roman" w:hAnsi="Times New Roman" w:cs="Times New Roman"/>
          <w:color w:val="000000" w:themeColor="text1"/>
        </w:rPr>
      </w:pPr>
    </w:p>
    <w:p w14:paraId="2921A1F3" w14:textId="77777777" w:rsidR="00CF7D57" w:rsidRDefault="00CF7D57" w:rsidP="00D01979">
      <w:pPr>
        <w:pStyle w:val="CommentText"/>
        <w:spacing w:after="0" w:line="276" w:lineRule="auto"/>
        <w:rPr>
          <w:rFonts w:ascii="Times New Roman" w:hAnsi="Times New Roman" w:cs="Times New Roman"/>
          <w:color w:val="000000" w:themeColor="text1"/>
        </w:rPr>
      </w:pPr>
    </w:p>
    <w:p w14:paraId="0A4EA639" w14:textId="77777777" w:rsidR="00CF7D57" w:rsidRDefault="00CF7D57" w:rsidP="00D01979">
      <w:pPr>
        <w:pStyle w:val="CommentText"/>
        <w:spacing w:after="0" w:line="276" w:lineRule="auto"/>
        <w:rPr>
          <w:rFonts w:ascii="Times New Roman" w:hAnsi="Times New Roman" w:cs="Times New Roman"/>
          <w:color w:val="000000" w:themeColor="text1"/>
        </w:rPr>
      </w:pPr>
    </w:p>
    <w:p w14:paraId="064B7C01" w14:textId="77777777" w:rsidR="00CF7D57" w:rsidRDefault="00CF7D57" w:rsidP="00D01979">
      <w:pPr>
        <w:pStyle w:val="CommentText"/>
        <w:spacing w:after="0" w:line="276" w:lineRule="auto"/>
        <w:rPr>
          <w:rFonts w:ascii="Times New Roman" w:hAnsi="Times New Roman" w:cs="Times New Roman"/>
          <w:color w:val="000000" w:themeColor="text1"/>
        </w:rPr>
      </w:pPr>
    </w:p>
    <w:p w14:paraId="18E0D4AF" w14:textId="77777777" w:rsidR="00CF7D57" w:rsidRPr="00D01979" w:rsidRDefault="00CF7D57" w:rsidP="00D01979">
      <w:pPr>
        <w:pStyle w:val="CommentText"/>
        <w:spacing w:after="0" w:line="276" w:lineRule="auto"/>
        <w:rPr>
          <w:rFonts w:ascii="Times New Roman" w:hAnsi="Times New Roman" w:cs="Times New Roman"/>
          <w:color w:val="000000" w:themeColor="text1"/>
        </w:rPr>
      </w:pPr>
    </w:p>
    <w:p w14:paraId="1BA1309D"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11D2A9EA" w14:textId="77777777" w:rsidR="001E2483" w:rsidRPr="00D01979" w:rsidRDefault="001E2483" w:rsidP="00D01979">
      <w:pPr>
        <w:pStyle w:val="CommentText"/>
        <w:spacing w:after="0" w:line="276" w:lineRule="auto"/>
        <w:rPr>
          <w:rFonts w:ascii="Times New Roman" w:hAnsi="Times New Roman" w:cs="Times New Roman"/>
          <w:color w:val="000000" w:themeColor="text1"/>
        </w:rPr>
      </w:pPr>
    </w:p>
    <w:p w14:paraId="14C57DB3" w14:textId="77777777" w:rsidR="001E2483" w:rsidRPr="002D62FD" w:rsidRDefault="001E2483" w:rsidP="002D62FD">
      <w:pPr>
        <w:pStyle w:val="CommentText"/>
        <w:spacing w:after="0" w:line="240" w:lineRule="auto"/>
        <w:rPr>
          <w:rFonts w:ascii="Times New Roman" w:hAnsi="Times New Roman" w:cs="Times New Roman"/>
          <w:color w:val="000000" w:themeColor="text1"/>
          <w:sz w:val="12"/>
        </w:rPr>
      </w:pPr>
    </w:p>
    <w:p w14:paraId="1712F25E" w14:textId="77777777" w:rsidR="00CF7D57" w:rsidRPr="002D62FD" w:rsidRDefault="00CF7D57" w:rsidP="002D62FD">
      <w:pPr>
        <w:pStyle w:val="CommentText"/>
        <w:spacing w:after="0" w:line="240" w:lineRule="auto"/>
        <w:rPr>
          <w:rFonts w:ascii="Times New Roman" w:hAnsi="Times New Roman" w:cs="Times New Roman"/>
          <w:color w:val="000000" w:themeColor="text1"/>
          <w:sz w:val="12"/>
        </w:rPr>
      </w:pPr>
    </w:p>
    <w:p w14:paraId="041701DC" w14:textId="77777777" w:rsidR="00CF7D57" w:rsidRPr="002D62FD" w:rsidRDefault="00CF7D57" w:rsidP="002D62FD">
      <w:pPr>
        <w:pStyle w:val="CommentText"/>
        <w:spacing w:after="0" w:line="240" w:lineRule="auto"/>
        <w:rPr>
          <w:rFonts w:ascii="Times New Roman" w:hAnsi="Times New Roman" w:cs="Times New Roman"/>
          <w:color w:val="000000" w:themeColor="text1"/>
          <w:sz w:val="12"/>
        </w:rPr>
      </w:pPr>
    </w:p>
    <w:p w14:paraId="01AF004F" w14:textId="77777777" w:rsidR="00CF7D57" w:rsidRPr="002D62FD" w:rsidRDefault="00CF7D57" w:rsidP="002D62FD">
      <w:pPr>
        <w:pStyle w:val="CommentText"/>
        <w:spacing w:after="0" w:line="240" w:lineRule="auto"/>
        <w:rPr>
          <w:rFonts w:ascii="Times New Roman" w:hAnsi="Times New Roman" w:cs="Times New Roman"/>
          <w:color w:val="000000" w:themeColor="text1"/>
          <w:sz w:val="12"/>
        </w:rPr>
      </w:pPr>
    </w:p>
    <w:p w14:paraId="505F1BB8" w14:textId="77777777" w:rsidR="001E2483" w:rsidRPr="002D62FD" w:rsidRDefault="001E2483" w:rsidP="002D62FD">
      <w:pPr>
        <w:spacing w:after="0" w:line="240" w:lineRule="auto"/>
        <w:jc w:val="center"/>
        <w:rPr>
          <w:rFonts w:ascii="Times New Roman" w:hAnsi="Times New Roman" w:cs="Times New Roman"/>
          <w:b/>
          <w:color w:val="000000" w:themeColor="text1"/>
          <w:sz w:val="12"/>
        </w:rPr>
      </w:pPr>
    </w:p>
    <w:p w14:paraId="21F1BF01" w14:textId="77777777" w:rsidR="00CF7D57" w:rsidRPr="00EC32DD" w:rsidRDefault="00CF7D57" w:rsidP="002D62FD">
      <w:pPr>
        <w:spacing w:after="0" w:line="240" w:lineRule="auto"/>
        <w:ind w:left="1134" w:right="1094"/>
        <w:contextualSpacing/>
        <w:jc w:val="center"/>
        <w:rPr>
          <w:rFonts w:ascii="Times New Roman" w:hAnsi="Times New Roman"/>
          <w:b/>
        </w:rPr>
      </w:pPr>
      <w:r w:rsidRPr="00EC32DD">
        <w:rPr>
          <w:rFonts w:ascii="Times New Roman" w:hAnsi="Times New Roman"/>
          <w:b/>
        </w:rPr>
        <w:t>LOCAL</w:t>
      </w:r>
      <w:r w:rsidRPr="00EC32DD">
        <w:rPr>
          <w:rFonts w:ascii="Times New Roman" w:hAnsi="Times New Roman"/>
        </w:rPr>
        <w:t xml:space="preserve"> </w:t>
      </w:r>
      <w:r w:rsidRPr="00EC32DD">
        <w:rPr>
          <w:rFonts w:ascii="Times New Roman" w:hAnsi="Times New Roman"/>
          <w:b/>
        </w:rPr>
        <w:t>INFRASTRUCTURE AND INSTITUTIONAL DEVELOPMENT</w:t>
      </w:r>
    </w:p>
    <w:p w14:paraId="5239448E" w14:textId="77777777" w:rsidR="00CF7D57" w:rsidRPr="00EC32DD" w:rsidRDefault="00CF7D57" w:rsidP="002D62FD">
      <w:pPr>
        <w:spacing w:after="0" w:line="240" w:lineRule="auto"/>
        <w:ind w:left="1134" w:right="1094"/>
        <w:contextualSpacing/>
        <w:jc w:val="center"/>
        <w:rPr>
          <w:rFonts w:ascii="Times New Roman" w:hAnsi="Times New Roman"/>
          <w:b/>
        </w:rPr>
      </w:pPr>
      <w:r>
        <w:rPr>
          <w:rFonts w:ascii="Times New Roman" w:hAnsi="Times New Roman"/>
          <w:b/>
        </w:rPr>
        <w:t>FRAMEWORK</w:t>
      </w:r>
      <w:r w:rsidRPr="00EC32DD">
        <w:rPr>
          <w:rFonts w:ascii="Times New Roman" w:hAnsi="Times New Roman"/>
          <w:b/>
        </w:rPr>
        <w:t xml:space="preserve"> AGREEMENT</w:t>
      </w:r>
    </w:p>
    <w:p w14:paraId="7A07E874" w14:textId="77777777" w:rsidR="00CF7D57" w:rsidRPr="00EC32DD" w:rsidRDefault="00CF7D57" w:rsidP="002D62FD">
      <w:pPr>
        <w:spacing w:after="0" w:line="240" w:lineRule="auto"/>
        <w:ind w:left="1134" w:right="1094"/>
        <w:contextualSpacing/>
        <w:jc w:val="center"/>
        <w:rPr>
          <w:rFonts w:ascii="Times New Roman" w:hAnsi="Times New Roman"/>
          <w:b/>
        </w:rPr>
      </w:pPr>
    </w:p>
    <w:p w14:paraId="1C6DA76C" w14:textId="77777777" w:rsidR="00CF7D57" w:rsidRPr="00EC32DD" w:rsidRDefault="00CF7D57" w:rsidP="002D62FD">
      <w:pPr>
        <w:spacing w:after="0" w:line="240" w:lineRule="auto"/>
        <w:ind w:left="1134" w:right="1094"/>
        <w:contextualSpacing/>
        <w:jc w:val="center"/>
        <w:rPr>
          <w:rFonts w:ascii="Times New Roman" w:hAnsi="Times New Roman"/>
          <w:b/>
        </w:rPr>
      </w:pPr>
      <w:r w:rsidRPr="00EC32DD">
        <w:rPr>
          <w:rFonts w:ascii="Times New Roman" w:hAnsi="Times New Roman"/>
          <w:b/>
        </w:rPr>
        <w:t>Between</w:t>
      </w:r>
    </w:p>
    <w:p w14:paraId="35BCA8AF" w14:textId="77777777" w:rsidR="00CF7D57" w:rsidRPr="00EC32DD" w:rsidRDefault="00CF7D57" w:rsidP="002D62FD">
      <w:pPr>
        <w:spacing w:after="0" w:line="240" w:lineRule="auto"/>
        <w:ind w:left="1134" w:right="1094"/>
        <w:contextualSpacing/>
        <w:jc w:val="center"/>
        <w:rPr>
          <w:rFonts w:ascii="Times New Roman" w:hAnsi="Times New Roman"/>
          <w:b/>
        </w:rPr>
      </w:pPr>
    </w:p>
    <w:p w14:paraId="21A0223C" w14:textId="77777777" w:rsidR="00CF7D57" w:rsidRPr="00EC32DD" w:rsidRDefault="00CF7D57" w:rsidP="002D62FD">
      <w:pPr>
        <w:pStyle w:val="MajorL2Text"/>
        <w:spacing w:after="0" w:line="240" w:lineRule="auto"/>
        <w:ind w:left="1134" w:right="1094"/>
        <w:contextualSpacing/>
        <w:jc w:val="center"/>
        <w:rPr>
          <w:rFonts w:ascii="Times New Roman" w:hAnsi="Times New Roman"/>
          <w:b/>
          <w:sz w:val="22"/>
          <w:szCs w:val="22"/>
        </w:rPr>
      </w:pPr>
      <w:r w:rsidRPr="00EC32DD">
        <w:rPr>
          <w:rFonts w:ascii="Times New Roman" w:hAnsi="Times New Roman"/>
          <w:b/>
          <w:sz w:val="22"/>
          <w:szCs w:val="22"/>
        </w:rPr>
        <w:t>Republic of Serbia</w:t>
      </w:r>
    </w:p>
    <w:p w14:paraId="174E176A" w14:textId="77777777" w:rsidR="00CF7D57" w:rsidRPr="00EC32DD" w:rsidRDefault="00CF7D57" w:rsidP="002D62FD">
      <w:pPr>
        <w:pStyle w:val="MajorL2Text"/>
        <w:spacing w:after="0" w:line="240" w:lineRule="auto"/>
        <w:ind w:left="1134" w:right="1094"/>
        <w:contextualSpacing/>
        <w:jc w:val="center"/>
        <w:rPr>
          <w:rFonts w:ascii="Times New Roman" w:hAnsi="Times New Roman"/>
          <w:b/>
          <w:sz w:val="22"/>
          <w:szCs w:val="22"/>
        </w:rPr>
      </w:pPr>
      <w:r w:rsidRPr="00EC32DD">
        <w:rPr>
          <w:rFonts w:ascii="Times New Roman" w:hAnsi="Times New Roman"/>
          <w:b/>
          <w:sz w:val="22"/>
          <w:szCs w:val="22"/>
        </w:rPr>
        <w:t xml:space="preserve">Ministry of Construction, Transport and Infrastructure </w:t>
      </w:r>
    </w:p>
    <w:p w14:paraId="29E4F927" w14:textId="77777777" w:rsidR="00CF7D57" w:rsidRPr="00EC32DD" w:rsidRDefault="00CF7D57" w:rsidP="002D62FD">
      <w:pPr>
        <w:pStyle w:val="MajorL2Text"/>
        <w:spacing w:after="0" w:line="240" w:lineRule="auto"/>
        <w:ind w:left="1134" w:right="1094"/>
        <w:contextualSpacing/>
        <w:jc w:val="center"/>
        <w:rPr>
          <w:rFonts w:ascii="Times New Roman" w:hAnsi="Times New Roman"/>
          <w:sz w:val="22"/>
          <w:szCs w:val="22"/>
        </w:rPr>
      </w:pPr>
    </w:p>
    <w:p w14:paraId="5037171F" w14:textId="77777777" w:rsidR="00CF7D57" w:rsidRPr="00EC32DD" w:rsidRDefault="00CF7D57" w:rsidP="002D62FD">
      <w:pPr>
        <w:spacing w:after="0" w:line="240" w:lineRule="auto"/>
        <w:ind w:left="1134" w:right="1094"/>
        <w:contextualSpacing/>
        <w:jc w:val="center"/>
        <w:rPr>
          <w:rFonts w:ascii="Times New Roman" w:hAnsi="Times New Roman"/>
          <w:b/>
          <w:u w:val="single"/>
        </w:rPr>
      </w:pPr>
      <w:r w:rsidRPr="00EC32DD">
        <w:rPr>
          <w:rFonts w:ascii="Times New Roman" w:hAnsi="Times New Roman"/>
          <w:b/>
          <w:u w:val="single"/>
        </w:rPr>
        <w:t>and</w:t>
      </w:r>
    </w:p>
    <w:p w14:paraId="6C7EE4D0" w14:textId="77777777" w:rsidR="00CF7D57" w:rsidRPr="00EC32DD" w:rsidRDefault="00CF7D57" w:rsidP="002D62FD">
      <w:pPr>
        <w:spacing w:after="0" w:line="240" w:lineRule="auto"/>
        <w:ind w:left="1134" w:right="1094"/>
        <w:contextualSpacing/>
        <w:jc w:val="center"/>
        <w:rPr>
          <w:rFonts w:ascii="Times New Roman" w:hAnsi="Times New Roman"/>
          <w:b/>
        </w:rPr>
      </w:pPr>
    </w:p>
    <w:p w14:paraId="5B1CF69F" w14:textId="77777777" w:rsidR="00CF7D57" w:rsidRPr="00EC32DD" w:rsidRDefault="00CF7D57" w:rsidP="002D62FD">
      <w:pPr>
        <w:pStyle w:val="MajorL2Text"/>
        <w:spacing w:after="0" w:line="240" w:lineRule="auto"/>
        <w:ind w:left="1134" w:right="1094"/>
        <w:contextualSpacing/>
        <w:jc w:val="center"/>
        <w:rPr>
          <w:rFonts w:ascii="Times New Roman" w:hAnsi="Times New Roman"/>
          <w:b/>
          <w:sz w:val="22"/>
          <w:szCs w:val="22"/>
        </w:rPr>
      </w:pPr>
      <w:r w:rsidRPr="00EC32DD">
        <w:rPr>
          <w:rFonts w:ascii="Times New Roman" w:hAnsi="Times New Roman"/>
          <w:b/>
          <w:sz w:val="22"/>
          <w:szCs w:val="22"/>
        </w:rPr>
        <w:t>Municipality/City of ________</w:t>
      </w:r>
    </w:p>
    <w:p w14:paraId="012E23BB" w14:textId="77777777" w:rsidR="00CF7D57" w:rsidRPr="00EC32DD" w:rsidRDefault="00CF7D57" w:rsidP="002D62FD">
      <w:pPr>
        <w:spacing w:after="0" w:line="240" w:lineRule="auto"/>
        <w:ind w:left="1134" w:right="1094"/>
        <w:contextualSpacing/>
        <w:jc w:val="center"/>
        <w:rPr>
          <w:rFonts w:ascii="Times New Roman" w:hAnsi="Times New Roman"/>
          <w:b/>
        </w:rPr>
      </w:pPr>
    </w:p>
    <w:p w14:paraId="621D7AF9" w14:textId="77777777" w:rsidR="00CF7D57" w:rsidRPr="00EC32DD" w:rsidRDefault="00CF7D57" w:rsidP="002D62FD">
      <w:pPr>
        <w:pStyle w:val="MajorL2Text"/>
        <w:spacing w:after="0" w:line="240" w:lineRule="auto"/>
        <w:ind w:left="1134" w:right="1094"/>
        <w:contextualSpacing/>
        <w:jc w:val="both"/>
        <w:rPr>
          <w:rFonts w:ascii="Times New Roman" w:hAnsi="Times New Roman"/>
          <w:sz w:val="22"/>
          <w:szCs w:val="22"/>
        </w:rPr>
      </w:pPr>
    </w:p>
    <w:p w14:paraId="20038B96" w14:textId="77777777" w:rsidR="00CF7D57" w:rsidRPr="00EC32DD" w:rsidRDefault="00CF7D57" w:rsidP="002D62FD">
      <w:pPr>
        <w:pStyle w:val="MajorL2Text"/>
        <w:spacing w:after="0" w:line="240" w:lineRule="auto"/>
        <w:ind w:left="1134" w:right="1094"/>
        <w:contextualSpacing/>
        <w:jc w:val="both"/>
        <w:rPr>
          <w:rFonts w:ascii="Times New Roman" w:hAnsi="Times New Roman"/>
          <w:b/>
          <w:sz w:val="22"/>
          <w:szCs w:val="22"/>
        </w:rPr>
      </w:pPr>
      <w:r w:rsidRPr="00EC32DD">
        <w:rPr>
          <w:rFonts w:ascii="Times New Roman" w:hAnsi="Times New Roman"/>
          <w:b/>
          <w:sz w:val="22"/>
          <w:szCs w:val="22"/>
        </w:rPr>
        <w:t>The Ministry of Construction, Transport and Infrastructure</w:t>
      </w:r>
      <w:r w:rsidRPr="00EC32DD">
        <w:rPr>
          <w:rFonts w:ascii="Times New Roman" w:hAnsi="Times New Roman"/>
          <w:sz w:val="22"/>
          <w:szCs w:val="22"/>
        </w:rPr>
        <w:t>, Nemanjina 22, Beograd, represented by________________________, the Minister (hereinafter referred to as “MCTI”)</w:t>
      </w:r>
      <w:r w:rsidRPr="00EC32DD">
        <w:rPr>
          <w:rFonts w:ascii="Times New Roman" w:hAnsi="Times New Roman"/>
          <w:b/>
          <w:sz w:val="22"/>
          <w:szCs w:val="22"/>
        </w:rPr>
        <w:t xml:space="preserve"> </w:t>
      </w:r>
    </w:p>
    <w:p w14:paraId="430EB25D" w14:textId="77777777" w:rsidR="00CF7D57" w:rsidRPr="00EC32DD" w:rsidRDefault="00CF7D57" w:rsidP="002D62FD">
      <w:pPr>
        <w:pStyle w:val="MajorL2Text"/>
        <w:spacing w:after="0" w:line="240" w:lineRule="auto"/>
        <w:ind w:left="1134" w:right="1094"/>
        <w:contextualSpacing/>
        <w:jc w:val="both"/>
        <w:rPr>
          <w:rFonts w:ascii="Times New Roman" w:hAnsi="Times New Roman"/>
          <w:b/>
          <w:sz w:val="22"/>
          <w:szCs w:val="22"/>
        </w:rPr>
      </w:pPr>
    </w:p>
    <w:p w14:paraId="25DD6E75" w14:textId="77777777" w:rsidR="00CF7D57" w:rsidRPr="00EC32DD" w:rsidRDefault="00CF7D57" w:rsidP="002D62FD">
      <w:pPr>
        <w:pStyle w:val="MajorL2Text"/>
        <w:spacing w:after="0" w:line="240" w:lineRule="auto"/>
        <w:ind w:left="1134" w:right="1094"/>
        <w:contextualSpacing/>
        <w:jc w:val="both"/>
        <w:rPr>
          <w:rFonts w:ascii="Times New Roman" w:hAnsi="Times New Roman"/>
          <w:sz w:val="22"/>
          <w:szCs w:val="22"/>
        </w:rPr>
      </w:pPr>
      <w:r w:rsidRPr="00EC32DD">
        <w:rPr>
          <w:rFonts w:ascii="Times New Roman" w:hAnsi="Times New Roman"/>
          <w:sz w:val="22"/>
          <w:szCs w:val="22"/>
        </w:rPr>
        <w:t>and </w:t>
      </w:r>
    </w:p>
    <w:p w14:paraId="3AE33BB9" w14:textId="77777777" w:rsidR="00CF7D57" w:rsidRPr="00EC32DD" w:rsidRDefault="00CF7D57" w:rsidP="002D62FD">
      <w:pPr>
        <w:pStyle w:val="MajorL2Text"/>
        <w:spacing w:after="0" w:line="240" w:lineRule="auto"/>
        <w:ind w:left="1134" w:right="1094"/>
        <w:contextualSpacing/>
        <w:jc w:val="both"/>
        <w:rPr>
          <w:rFonts w:ascii="Times New Roman" w:hAnsi="Times New Roman"/>
          <w:sz w:val="22"/>
          <w:szCs w:val="22"/>
        </w:rPr>
      </w:pPr>
    </w:p>
    <w:p w14:paraId="3A76EB0B" w14:textId="77777777" w:rsidR="00CF7D57" w:rsidRPr="00EC32DD" w:rsidRDefault="00CF7D57" w:rsidP="002D62FD">
      <w:pPr>
        <w:pStyle w:val="MajorL2Text"/>
        <w:spacing w:after="0" w:line="240" w:lineRule="auto"/>
        <w:ind w:left="1134" w:right="1094"/>
        <w:contextualSpacing/>
        <w:jc w:val="both"/>
        <w:rPr>
          <w:rFonts w:ascii="Times New Roman" w:hAnsi="Times New Roman"/>
          <w:b/>
          <w:sz w:val="22"/>
          <w:szCs w:val="22"/>
        </w:rPr>
      </w:pPr>
      <w:r w:rsidRPr="00EC32DD">
        <w:rPr>
          <w:rFonts w:ascii="Times New Roman" w:hAnsi="Times New Roman"/>
          <w:b/>
          <w:sz w:val="22"/>
          <w:szCs w:val="22"/>
        </w:rPr>
        <w:t>the Municipality/City of ______________</w:t>
      </w:r>
      <w:r w:rsidRPr="00EC32DD">
        <w:rPr>
          <w:rFonts w:ascii="Times New Roman" w:hAnsi="Times New Roman"/>
          <w:sz w:val="22"/>
          <w:szCs w:val="22"/>
        </w:rPr>
        <w:t xml:space="preserve"> (hereinafter referred to as “Local Self Government” or “LSG”), hereinafter jointly referred to as the “Parties”, </w:t>
      </w:r>
    </w:p>
    <w:p w14:paraId="7F23DFBB" w14:textId="77777777" w:rsidR="00CF7D57" w:rsidRPr="00EC32DD" w:rsidRDefault="00CF7D57" w:rsidP="002D62FD">
      <w:pPr>
        <w:pStyle w:val="MajorL2Text"/>
        <w:spacing w:after="0" w:line="240" w:lineRule="auto"/>
        <w:ind w:left="1134" w:right="1094"/>
        <w:contextualSpacing/>
        <w:jc w:val="both"/>
        <w:rPr>
          <w:rFonts w:ascii="Times New Roman" w:hAnsi="Times New Roman"/>
          <w:sz w:val="22"/>
          <w:szCs w:val="22"/>
        </w:rPr>
      </w:pPr>
    </w:p>
    <w:p w14:paraId="1E4B07DD" w14:textId="77777777" w:rsidR="00CF7D57" w:rsidRPr="00EC32DD" w:rsidRDefault="00CF7D57" w:rsidP="002D62FD">
      <w:pPr>
        <w:spacing w:after="0" w:line="240" w:lineRule="auto"/>
        <w:ind w:left="1134" w:right="1094"/>
        <w:contextualSpacing/>
        <w:jc w:val="both"/>
        <w:rPr>
          <w:rFonts w:ascii="Times New Roman" w:hAnsi="Times New Roman"/>
          <w:color w:val="000000"/>
        </w:rPr>
      </w:pPr>
      <w:r w:rsidRPr="00EC32DD">
        <w:rPr>
          <w:rFonts w:ascii="Times New Roman" w:hAnsi="Times New Roman"/>
        </w:rPr>
        <w:t>CONSIDERING</w:t>
      </w:r>
      <w:r w:rsidRPr="00EC32DD" w:rsidDel="00363DDC">
        <w:rPr>
          <w:rFonts w:ascii="Times New Roman" w:hAnsi="Times New Roman"/>
        </w:rPr>
        <w:t xml:space="preserve"> </w:t>
      </w:r>
      <w:r w:rsidRPr="00EC32DD">
        <w:rPr>
          <w:rFonts w:ascii="Times New Roman" w:hAnsi="Times New Roman"/>
        </w:rPr>
        <w:t xml:space="preserve">the need for the cooperation between the Parties for the implementation of the Local Infrastructure and Institutional Development (hereinafter referred to as “LIID”) Project pursuant to the Loan Agreement signed on </w:t>
      </w:r>
      <w:r w:rsidRPr="00EC32DD">
        <w:rPr>
          <w:rFonts w:ascii="Times New Roman" w:hAnsi="Times New Roman"/>
          <w:color w:val="000000"/>
        </w:rPr>
        <w:t xml:space="preserve">XX.XX.XXXX. </w:t>
      </w:r>
      <w:r w:rsidRPr="00EC32DD">
        <w:rPr>
          <w:rFonts w:ascii="Times New Roman" w:hAnsi="Times New Roman"/>
        </w:rPr>
        <w:t>between the Republic of Serbia</w:t>
      </w:r>
      <w:r w:rsidRPr="00EC32DD">
        <w:rPr>
          <w:rFonts w:ascii="Times New Roman" w:hAnsi="Times New Roman"/>
          <w:color w:val="000000"/>
        </w:rPr>
        <w:t xml:space="preserve">, Ministry of Finance, and the International Bank for Reconstruction and Development - World Bank (hereinafter referred to as “Bank”), and the Loan Agreement signed on XX.XX.XXXX. between the Republic of Serbia, Ministry of Finance, and the Agence Française de Développement (hereinafter referred to as “AFD”), </w:t>
      </w:r>
      <w:r w:rsidRPr="00EC32DD">
        <w:rPr>
          <w:rFonts w:ascii="Times New Roman" w:hAnsi="Times New Roman"/>
        </w:rPr>
        <w:t>hereinafter jointly referred to as the “Loan Agreements”, </w:t>
      </w:r>
    </w:p>
    <w:p w14:paraId="3F797796" w14:textId="77777777" w:rsidR="00CF7D57" w:rsidRPr="00EC32DD" w:rsidRDefault="00CF7D57" w:rsidP="002D62FD">
      <w:pPr>
        <w:spacing w:after="0" w:line="240" w:lineRule="auto"/>
        <w:ind w:left="1134" w:right="1094"/>
        <w:contextualSpacing/>
        <w:jc w:val="both"/>
        <w:rPr>
          <w:rFonts w:ascii="Times New Roman" w:hAnsi="Times New Roman"/>
        </w:rPr>
      </w:pPr>
    </w:p>
    <w:p w14:paraId="31ED8837" w14:textId="77777777" w:rsidR="00CF7D57" w:rsidRPr="00EC32DD" w:rsidRDefault="00CF7D57" w:rsidP="002D62FD">
      <w:pPr>
        <w:spacing w:after="0" w:line="240" w:lineRule="auto"/>
        <w:ind w:left="1134" w:right="1094"/>
        <w:contextualSpacing/>
        <w:jc w:val="both"/>
        <w:rPr>
          <w:rFonts w:ascii="Times New Roman" w:hAnsi="Times New Roman"/>
          <w:color w:val="000000"/>
        </w:rPr>
      </w:pPr>
      <w:r w:rsidRPr="00EC32DD">
        <w:rPr>
          <w:rFonts w:ascii="Times New Roman" w:hAnsi="Times New Roman"/>
        </w:rPr>
        <w:t xml:space="preserve">in </w:t>
      </w:r>
      <w:r w:rsidRPr="00EC32DD">
        <w:rPr>
          <w:rFonts w:ascii="Times New Roman" w:hAnsi="Times New Roman"/>
          <w:color w:val="000000"/>
        </w:rPr>
        <w:t>accordance with the Law on the Ratification of the Loan Agreement between the Republic of Serbia and the World Bank for the Local Infrastructure and Institutional Development Project ("Official Gazette of the Republic of Serbia" No. …/22), and the Law on the Ratification of the Loan Agreement between the Republic of Serbia and the AFD for the Local Infrastructure and Institutional Development Project ("Official Gazette of the Republic of Serbia" No. …/22),</w:t>
      </w:r>
    </w:p>
    <w:p w14:paraId="008F6DD7" w14:textId="77777777" w:rsidR="00CF7D57" w:rsidRPr="00EC32DD" w:rsidRDefault="00CF7D57" w:rsidP="002D62FD">
      <w:pPr>
        <w:spacing w:after="0" w:line="240" w:lineRule="auto"/>
        <w:ind w:left="1134" w:right="1094"/>
        <w:contextualSpacing/>
        <w:jc w:val="both"/>
        <w:rPr>
          <w:rFonts w:ascii="Times New Roman" w:hAnsi="Times New Roman"/>
        </w:rPr>
      </w:pPr>
    </w:p>
    <w:p w14:paraId="19758C00" w14:textId="77777777" w:rsidR="00CF7D57" w:rsidRPr="00EC32DD" w:rsidRDefault="00CF7D57" w:rsidP="002D62FD">
      <w:pPr>
        <w:spacing w:after="0" w:line="240" w:lineRule="auto"/>
        <w:ind w:left="1134" w:right="1094"/>
        <w:contextualSpacing/>
        <w:jc w:val="both"/>
        <w:rPr>
          <w:rFonts w:ascii="Times New Roman" w:hAnsi="Times New Roman"/>
          <w:lang w:val="mk-MK"/>
        </w:rPr>
      </w:pPr>
      <w:r w:rsidRPr="00EC32DD">
        <w:rPr>
          <w:rFonts w:ascii="Times New Roman" w:hAnsi="Times New Roman"/>
        </w:rPr>
        <w:t xml:space="preserve">and in compliance with the LIID Project Operations and Grant Manual (hereinafter referred to as “POMG”) </w:t>
      </w:r>
    </w:p>
    <w:p w14:paraId="4D88AD00" w14:textId="77777777" w:rsidR="00CF7D57" w:rsidRPr="00EC32DD" w:rsidRDefault="00CF7D57" w:rsidP="002D62FD">
      <w:pPr>
        <w:spacing w:after="0" w:line="240" w:lineRule="auto"/>
        <w:ind w:left="1134" w:right="1094"/>
        <w:contextualSpacing/>
        <w:jc w:val="both"/>
        <w:rPr>
          <w:rFonts w:ascii="Times New Roman" w:hAnsi="Times New Roman"/>
        </w:rPr>
      </w:pPr>
    </w:p>
    <w:p w14:paraId="0F61A58B"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RECOGNIZING THE NEED for growth of cooperation and partnership for strengthening the capacity of the Municipality/City of ___________ and the Government of the Republic of Serbia in the process of enhancing the management of local infrastructure and the capacities of local institutions;</w:t>
      </w:r>
    </w:p>
    <w:p w14:paraId="30187AC5" w14:textId="77777777" w:rsidR="00CF7D57" w:rsidRPr="00EC32DD" w:rsidRDefault="00CF7D57" w:rsidP="002D62FD">
      <w:pPr>
        <w:spacing w:after="0" w:line="240" w:lineRule="auto"/>
        <w:ind w:left="1134" w:right="1094"/>
        <w:contextualSpacing/>
        <w:jc w:val="both"/>
        <w:rPr>
          <w:rFonts w:ascii="Times New Roman" w:hAnsi="Times New Roman"/>
        </w:rPr>
      </w:pPr>
    </w:p>
    <w:p w14:paraId="362AB707"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HAVING MUTUAL INTEREST for supporting safe and resilient local infrastructure as a part of wider urban development activities in the Republic of Serbia based on the Sustainable Urban Development Strategy (SUDS), and with a focus on improving mobility in a sustainable manner,</w:t>
      </w:r>
    </w:p>
    <w:p w14:paraId="1FBC4AC2" w14:textId="77777777" w:rsidR="00CF7D57" w:rsidRPr="00EC32DD" w:rsidRDefault="00CF7D57" w:rsidP="002D62FD">
      <w:pPr>
        <w:spacing w:after="0" w:line="240" w:lineRule="auto"/>
        <w:ind w:left="1134" w:right="1094"/>
        <w:contextualSpacing/>
        <w:jc w:val="both"/>
        <w:rPr>
          <w:rFonts w:ascii="Times New Roman" w:hAnsi="Times New Roman"/>
        </w:rPr>
      </w:pPr>
    </w:p>
    <w:p w14:paraId="158CA555"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HAVE REACHED the following understanding for cooperation:</w:t>
      </w:r>
    </w:p>
    <w:p w14:paraId="4FAF71D7" w14:textId="77777777" w:rsidR="00CF7D57" w:rsidRDefault="00CF7D57" w:rsidP="002D62FD">
      <w:pPr>
        <w:spacing w:after="0" w:line="240" w:lineRule="auto"/>
        <w:ind w:left="1134" w:right="1094"/>
        <w:contextualSpacing/>
        <w:jc w:val="both"/>
        <w:rPr>
          <w:rFonts w:ascii="Times New Roman" w:hAnsi="Times New Roman"/>
        </w:rPr>
      </w:pPr>
    </w:p>
    <w:p w14:paraId="63351977" w14:textId="77777777" w:rsidR="00EF6141" w:rsidRDefault="00EF6141" w:rsidP="002D62FD">
      <w:pPr>
        <w:spacing w:after="0" w:line="240" w:lineRule="auto"/>
        <w:ind w:left="1134" w:right="1094"/>
        <w:contextualSpacing/>
        <w:jc w:val="both"/>
        <w:rPr>
          <w:rFonts w:ascii="Times New Roman" w:hAnsi="Times New Roman"/>
        </w:rPr>
      </w:pPr>
    </w:p>
    <w:p w14:paraId="155D7E7C" w14:textId="77777777" w:rsidR="009F0E3A" w:rsidRPr="00EC32DD" w:rsidRDefault="009F0E3A" w:rsidP="002D62FD">
      <w:pPr>
        <w:spacing w:after="0" w:line="240" w:lineRule="auto"/>
        <w:ind w:left="1134" w:right="1094"/>
        <w:contextualSpacing/>
        <w:jc w:val="both"/>
        <w:rPr>
          <w:rFonts w:ascii="Times New Roman" w:hAnsi="Times New Roman"/>
        </w:rPr>
      </w:pPr>
    </w:p>
    <w:p w14:paraId="18AF1548" w14:textId="77777777" w:rsidR="00CF7D57" w:rsidRPr="00EC32DD" w:rsidRDefault="00CF7D57" w:rsidP="002D62FD">
      <w:pPr>
        <w:spacing w:after="0" w:line="240" w:lineRule="auto"/>
        <w:ind w:left="1134" w:right="1094"/>
        <w:contextualSpacing/>
        <w:jc w:val="both"/>
        <w:rPr>
          <w:rFonts w:ascii="Times New Roman" w:hAnsi="Times New Roman"/>
        </w:rPr>
      </w:pPr>
    </w:p>
    <w:p w14:paraId="0FD02C46" w14:textId="77777777" w:rsidR="00CF7D57" w:rsidRPr="00EC32DD" w:rsidRDefault="00CF7D57" w:rsidP="002D62FD">
      <w:pPr>
        <w:numPr>
          <w:ilvl w:val="0"/>
          <w:numId w:val="276"/>
        </w:numPr>
        <w:spacing w:after="0" w:line="240" w:lineRule="auto"/>
        <w:ind w:left="1134" w:right="1094"/>
        <w:contextualSpacing/>
        <w:rPr>
          <w:rFonts w:ascii="Times New Roman" w:hAnsi="Times New Roman"/>
          <w:b/>
        </w:rPr>
      </w:pPr>
      <w:r w:rsidRPr="00EC32DD">
        <w:rPr>
          <w:rFonts w:ascii="Times New Roman" w:hAnsi="Times New Roman"/>
          <w:b/>
        </w:rPr>
        <w:t>OBJECTIVE OF COOPERATION </w:t>
      </w:r>
    </w:p>
    <w:p w14:paraId="403F26FD" w14:textId="77777777" w:rsidR="00CF7D57" w:rsidRPr="00EC32DD" w:rsidRDefault="00CF7D57" w:rsidP="002D62FD">
      <w:pPr>
        <w:spacing w:after="0" w:line="240" w:lineRule="auto"/>
        <w:ind w:left="1134" w:right="1094"/>
        <w:contextualSpacing/>
        <w:rPr>
          <w:rFonts w:ascii="Times New Roman" w:hAnsi="Times New Roman"/>
        </w:rPr>
      </w:pPr>
    </w:p>
    <w:p w14:paraId="51C77C2B" w14:textId="77777777" w:rsidR="00CF7D57" w:rsidRPr="00EC32DD" w:rsidRDefault="00CF7D57" w:rsidP="002D62FD">
      <w:pPr>
        <w:pStyle w:val="ListParagraph"/>
        <w:spacing w:after="0" w:line="240" w:lineRule="auto"/>
        <w:ind w:left="1134" w:right="1094"/>
        <w:jc w:val="both"/>
        <w:rPr>
          <w:rFonts w:ascii="Times New Roman" w:eastAsia="Calibri" w:hAnsi="Times New Roman" w:cs="Times New Roman"/>
          <w:b/>
          <w:bCs/>
        </w:rPr>
      </w:pPr>
      <w:r w:rsidRPr="00EC32DD">
        <w:rPr>
          <w:rFonts w:ascii="Times New Roman" w:hAnsi="Times New Roman" w:cs="Times New Roman"/>
          <w:noProof/>
        </w:rPr>
        <w:t xml:space="preserve">The Objective of Cooperation is to implement the </w:t>
      </w:r>
      <w:r w:rsidRPr="00EC32DD">
        <w:rPr>
          <w:rFonts w:ascii="Times New Roman" w:hAnsi="Times New Roman" w:cs="Times New Roman"/>
        </w:rPr>
        <w:t xml:space="preserve">LIID </w:t>
      </w:r>
      <w:r w:rsidRPr="00EC32DD">
        <w:rPr>
          <w:rFonts w:ascii="Times New Roman" w:hAnsi="Times New Roman" w:cs="Times New Roman"/>
          <w:noProof/>
        </w:rPr>
        <w:t>Project by establishing the relationship between the Parties aimed</w:t>
      </w:r>
      <w:r w:rsidRPr="00EC32DD">
        <w:rPr>
          <w:rFonts w:ascii="Times New Roman" w:hAnsi="Times New Roman" w:cs="Times New Roman"/>
        </w:rPr>
        <w:t xml:space="preserve"> at enhancing</w:t>
      </w:r>
      <w:r w:rsidRPr="00EC32DD">
        <w:rPr>
          <w:rFonts w:ascii="Times New Roman" w:eastAsia="Calibri" w:hAnsi="Times New Roman" w:cs="Times New Roman"/>
        </w:rPr>
        <w:t xml:space="preserve"> capacity to </w:t>
      </w:r>
      <w:r w:rsidRPr="00EC32DD">
        <w:rPr>
          <w:rFonts w:ascii="Times New Roman" w:hAnsi="Times New Roman" w:cs="Times New Roman"/>
          <w:noProof/>
        </w:rPr>
        <w:t>sustainably manage infrastructure at the local level and to improve access to economic and social opportunities in a climate aware manner</w:t>
      </w:r>
      <w:r w:rsidRPr="00EC32DD">
        <w:rPr>
          <w:rFonts w:ascii="Times New Roman" w:eastAsia="Calibri" w:hAnsi="Times New Roman" w:cs="Times New Roman"/>
        </w:rPr>
        <w:t>.</w:t>
      </w:r>
      <w:r w:rsidRPr="00EC32DD">
        <w:rPr>
          <w:rFonts w:ascii="Times New Roman" w:eastAsia="Calibri" w:hAnsi="Times New Roman" w:cs="Times New Roman"/>
          <w:b/>
          <w:bCs/>
        </w:rPr>
        <w:t xml:space="preserve"> </w:t>
      </w:r>
    </w:p>
    <w:p w14:paraId="6CF369AA" w14:textId="77777777" w:rsidR="00CF7D57" w:rsidRPr="00EC32DD" w:rsidRDefault="00CF7D57" w:rsidP="002D62FD">
      <w:pPr>
        <w:pStyle w:val="ListParagraph"/>
        <w:spacing w:after="0" w:line="240" w:lineRule="auto"/>
        <w:ind w:left="1134" w:right="1094"/>
        <w:rPr>
          <w:rFonts w:ascii="Times New Roman" w:hAnsi="Times New Roman" w:cs="Times New Roman"/>
        </w:rPr>
      </w:pPr>
    </w:p>
    <w:p w14:paraId="51299C1D" w14:textId="77777777" w:rsidR="00CF7D57" w:rsidRPr="00EC32DD" w:rsidRDefault="00CF7D57" w:rsidP="002D62FD">
      <w:pPr>
        <w:pStyle w:val="ListParagraph"/>
        <w:spacing w:after="0" w:line="240" w:lineRule="auto"/>
        <w:ind w:left="1134" w:right="1094"/>
        <w:rPr>
          <w:rFonts w:ascii="Times New Roman" w:hAnsi="Times New Roman" w:cs="Times New Roman"/>
        </w:rPr>
      </w:pPr>
    </w:p>
    <w:p w14:paraId="4456DA07" w14:textId="77777777" w:rsidR="00CF7D57" w:rsidRPr="00EC32DD" w:rsidRDefault="00CF7D57" w:rsidP="002D62FD">
      <w:pPr>
        <w:spacing w:after="0" w:line="240" w:lineRule="auto"/>
        <w:ind w:left="1134" w:right="1094"/>
        <w:contextualSpacing/>
        <w:jc w:val="both"/>
        <w:rPr>
          <w:rFonts w:ascii="Times New Roman" w:hAnsi="Times New Roman"/>
          <w:b/>
        </w:rPr>
      </w:pPr>
      <w:r w:rsidRPr="00EC32DD">
        <w:rPr>
          <w:rFonts w:ascii="Times New Roman" w:hAnsi="Times New Roman"/>
          <w:b/>
        </w:rPr>
        <w:t>2. FINANCING</w:t>
      </w:r>
    </w:p>
    <w:p w14:paraId="52F7220C" w14:textId="77777777" w:rsidR="00CF7D57" w:rsidRPr="00EC32DD" w:rsidRDefault="00CF7D57" w:rsidP="002D62FD">
      <w:pPr>
        <w:spacing w:after="0" w:line="240" w:lineRule="auto"/>
        <w:ind w:left="1134" w:right="1094"/>
        <w:contextualSpacing/>
        <w:jc w:val="both"/>
        <w:rPr>
          <w:rFonts w:ascii="Times New Roman" w:hAnsi="Times New Roman"/>
          <w:b/>
        </w:rPr>
      </w:pPr>
    </w:p>
    <w:p w14:paraId="6DE20896"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r w:rsidRPr="00EC32DD">
        <w:rPr>
          <w:rFonts w:ascii="Times New Roman" w:hAnsi="Times New Roman"/>
        </w:rPr>
        <w:t>The LIID Project is financially supported by the MCTI through the Bank and the AFD loans.</w:t>
      </w:r>
    </w:p>
    <w:p w14:paraId="137067B8"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p>
    <w:p w14:paraId="5A47AFAB"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r w:rsidRPr="00EC32DD">
        <w:rPr>
          <w:rFonts w:ascii="Times New Roman" w:hAnsi="Times New Roman"/>
        </w:rPr>
        <w:t>The total available funding amount for the LSG’s project(s) is defined according to the Loan Agreements and the POGM.</w:t>
      </w:r>
    </w:p>
    <w:p w14:paraId="0B2B2B4F" w14:textId="77777777" w:rsidR="00CF7D57" w:rsidRPr="00EC32DD" w:rsidRDefault="00CF7D57" w:rsidP="002D62FD">
      <w:pPr>
        <w:spacing w:after="0" w:line="240" w:lineRule="auto"/>
        <w:ind w:left="1134" w:right="1094"/>
        <w:contextualSpacing/>
        <w:jc w:val="both"/>
        <w:rPr>
          <w:rFonts w:ascii="Times New Roman" w:hAnsi="Times New Roman"/>
          <w:b/>
        </w:rPr>
      </w:pPr>
    </w:p>
    <w:p w14:paraId="122936AA" w14:textId="77777777" w:rsidR="00CF7D57" w:rsidRPr="00EC32DD" w:rsidRDefault="00CF7D57" w:rsidP="002D62FD">
      <w:pPr>
        <w:spacing w:after="0" w:line="240" w:lineRule="auto"/>
        <w:ind w:left="1134" w:right="1094"/>
        <w:contextualSpacing/>
        <w:jc w:val="both"/>
        <w:rPr>
          <w:rFonts w:ascii="Times New Roman" w:hAnsi="Times New Roman"/>
          <w:b/>
        </w:rPr>
      </w:pPr>
    </w:p>
    <w:p w14:paraId="5222DDBD" w14:textId="77777777" w:rsidR="00CF7D57" w:rsidRPr="00EC32DD" w:rsidRDefault="00CF7D57" w:rsidP="002D62FD">
      <w:pPr>
        <w:pStyle w:val="ListParagraph"/>
        <w:spacing w:after="0" w:line="240" w:lineRule="auto"/>
        <w:ind w:left="1134" w:right="1094"/>
        <w:jc w:val="both"/>
        <w:rPr>
          <w:rFonts w:ascii="Times New Roman" w:hAnsi="Times New Roman" w:cs="Times New Roman"/>
        </w:rPr>
      </w:pPr>
      <w:r w:rsidRPr="00EC32DD">
        <w:rPr>
          <w:rFonts w:ascii="Times New Roman" w:hAnsi="Times New Roman" w:cs="Times New Roman"/>
          <w:b/>
        </w:rPr>
        <w:t>3. AREAS OF COOPERATION </w:t>
      </w:r>
    </w:p>
    <w:p w14:paraId="1EA18E87" w14:textId="77777777" w:rsidR="00CF7D57" w:rsidRPr="00EC32DD" w:rsidRDefault="00CF7D57" w:rsidP="002D62FD">
      <w:pPr>
        <w:pStyle w:val="ListParagraph"/>
        <w:spacing w:after="0" w:line="240" w:lineRule="auto"/>
        <w:ind w:left="1134" w:right="1094"/>
        <w:jc w:val="both"/>
        <w:rPr>
          <w:rFonts w:ascii="Times New Roman" w:eastAsia="Calibri" w:hAnsi="Times New Roman" w:cs="Times New Roman"/>
          <w:bCs/>
        </w:rPr>
      </w:pPr>
    </w:p>
    <w:p w14:paraId="36E595FA" w14:textId="77777777" w:rsidR="00CF7D57" w:rsidRPr="00EC32DD" w:rsidRDefault="00CF7D57" w:rsidP="002D62FD">
      <w:pPr>
        <w:pStyle w:val="ListParagraph"/>
        <w:spacing w:after="0" w:line="240" w:lineRule="auto"/>
        <w:ind w:left="1134" w:right="1094"/>
        <w:jc w:val="both"/>
        <w:rPr>
          <w:rFonts w:ascii="Times New Roman" w:eastAsia="Calibri" w:hAnsi="Times New Roman" w:cs="Times New Roman"/>
        </w:rPr>
      </w:pPr>
      <w:r w:rsidRPr="00EC32DD">
        <w:rPr>
          <w:rFonts w:ascii="Times New Roman" w:eastAsia="Calibri" w:hAnsi="Times New Roman" w:cs="Times New Roman"/>
          <w:bCs/>
        </w:rPr>
        <w:t xml:space="preserve">The LIID Project </w:t>
      </w:r>
      <w:r w:rsidRPr="00EC32DD">
        <w:rPr>
          <w:rFonts w:ascii="Times New Roman" w:eastAsia="Calibri" w:hAnsi="Times New Roman" w:cs="Times New Roman"/>
        </w:rPr>
        <w:t xml:space="preserve">consists of the following parts: </w:t>
      </w:r>
    </w:p>
    <w:p w14:paraId="20B775DC" w14:textId="77777777" w:rsidR="00CF7D57" w:rsidRPr="00EC32DD" w:rsidRDefault="00CF7D57" w:rsidP="002D62FD">
      <w:pPr>
        <w:pStyle w:val="ListParagraph"/>
        <w:spacing w:after="0" w:line="240" w:lineRule="auto"/>
        <w:ind w:left="1134" w:right="1094"/>
        <w:jc w:val="both"/>
        <w:rPr>
          <w:rFonts w:ascii="Times New Roman" w:eastAsia="Calibri" w:hAnsi="Times New Roman" w:cs="Times New Roman"/>
          <w:b/>
          <w:bCs/>
        </w:rPr>
      </w:pPr>
    </w:p>
    <w:p w14:paraId="39312AD3" w14:textId="77777777" w:rsidR="00CF7D57" w:rsidRPr="00EC32DD" w:rsidRDefault="00CF7D57" w:rsidP="002D62FD">
      <w:pPr>
        <w:pStyle w:val="BodyText"/>
        <w:spacing w:after="0" w:line="240" w:lineRule="auto"/>
        <w:ind w:left="1134" w:right="1094"/>
        <w:contextualSpacing/>
        <w:rPr>
          <w:rFonts w:ascii="Times New Roman" w:hAnsi="Times New Roman"/>
        </w:rPr>
      </w:pPr>
      <w:r w:rsidRPr="00EC32DD">
        <w:rPr>
          <w:rFonts w:ascii="Times New Roman" w:hAnsi="Times New Roman"/>
          <w:b/>
        </w:rPr>
        <w:t>Part 1.</w:t>
      </w:r>
      <w:r w:rsidRPr="00EC32DD">
        <w:rPr>
          <w:rFonts w:ascii="Times New Roman" w:hAnsi="Times New Roman"/>
          <w:b/>
        </w:rPr>
        <w:tab/>
        <w:t>Climate Smart Mobility</w:t>
      </w:r>
    </w:p>
    <w:p w14:paraId="2E44B972" w14:textId="77777777" w:rsidR="00CF7D57" w:rsidRPr="00EC32DD" w:rsidRDefault="00CF7D57" w:rsidP="002D62FD">
      <w:pPr>
        <w:pStyle w:val="BodyText"/>
        <w:numPr>
          <w:ilvl w:val="1"/>
          <w:numId w:val="723"/>
        </w:numPr>
        <w:spacing w:after="0" w:line="240" w:lineRule="auto"/>
        <w:ind w:left="1134" w:right="1094"/>
        <w:contextualSpacing/>
        <w:jc w:val="both"/>
        <w:rPr>
          <w:rFonts w:ascii="Times New Roman" w:hAnsi="Times New Roman"/>
        </w:rPr>
      </w:pPr>
      <w:r w:rsidRPr="00EC32DD">
        <w:rPr>
          <w:rFonts w:ascii="Times New Roman" w:hAnsi="Times New Roman"/>
        </w:rPr>
        <w:t xml:space="preserve">Improve transport and associated infrastructure by, </w:t>
      </w:r>
      <w:r w:rsidRPr="00EC32DD">
        <w:rPr>
          <w:rFonts w:ascii="Times New Roman" w:hAnsi="Times New Roman"/>
          <w:i/>
          <w:iCs/>
        </w:rPr>
        <w:t>inter alia</w:t>
      </w:r>
      <w:r w:rsidRPr="00EC32DD">
        <w:rPr>
          <w:rFonts w:ascii="Times New Roman" w:hAnsi="Times New Roman"/>
        </w:rPr>
        <w:t>: (a) providing Grants to the LSGs to finance projects in local transport infrastructure rehabilitation and reconstruction and minor greenfield investments (“Sub</w:t>
      </w:r>
      <w:r w:rsidRPr="00EC32DD">
        <w:rPr>
          <w:rFonts w:ascii="Times New Roman" w:hAnsi="Times New Roman"/>
        </w:rPr>
        <w:noBreakHyphen/>
        <w:t xml:space="preserve">projects”); and (b) providing technical assistance for the preparation of documents related to the LIID sub-projects, including (i) design and supervision documents, (ii) environmental and social safeguard documents, (iii) independent technical audit, and (iv) road safety audit.  </w:t>
      </w:r>
    </w:p>
    <w:p w14:paraId="1D8B0742" w14:textId="77777777" w:rsidR="00CF7D57" w:rsidRPr="00EC32DD" w:rsidRDefault="00CF7D57" w:rsidP="002D62FD">
      <w:pPr>
        <w:pStyle w:val="BodyText"/>
        <w:spacing w:after="0" w:line="240" w:lineRule="auto"/>
        <w:ind w:left="1134" w:right="1094"/>
        <w:contextualSpacing/>
        <w:jc w:val="both"/>
        <w:rPr>
          <w:rFonts w:ascii="Times New Roman" w:hAnsi="Times New Roman"/>
        </w:rPr>
      </w:pPr>
    </w:p>
    <w:p w14:paraId="79A23555" w14:textId="77777777" w:rsidR="00CF7D57" w:rsidRPr="00EC32DD" w:rsidRDefault="00CF7D57" w:rsidP="002D62FD">
      <w:pPr>
        <w:pStyle w:val="BodyText"/>
        <w:numPr>
          <w:ilvl w:val="1"/>
          <w:numId w:val="723"/>
        </w:numPr>
        <w:spacing w:after="0" w:line="240" w:lineRule="auto"/>
        <w:ind w:left="1134" w:right="1094"/>
        <w:contextualSpacing/>
        <w:jc w:val="both"/>
        <w:rPr>
          <w:rFonts w:ascii="Times New Roman" w:hAnsi="Times New Roman"/>
        </w:rPr>
      </w:pPr>
      <w:r w:rsidRPr="00EC32DD">
        <w:rPr>
          <w:rFonts w:ascii="Times New Roman" w:hAnsi="Times New Roman"/>
        </w:rPr>
        <w:t xml:space="preserve">Strengthen the LSGs’ capacity to manage local roads by, </w:t>
      </w:r>
      <w:r w:rsidRPr="00EC32DD">
        <w:rPr>
          <w:rFonts w:ascii="Times New Roman" w:hAnsi="Times New Roman"/>
          <w:i/>
          <w:iCs/>
        </w:rPr>
        <w:t>inter alia</w:t>
      </w:r>
      <w:r w:rsidRPr="00EC32DD">
        <w:rPr>
          <w:rFonts w:ascii="Times New Roman" w:hAnsi="Times New Roman"/>
        </w:rPr>
        <w:t>: (a) developing a local roads management framework, which may include institutional arrangements and standards with regard to maintenance contracts, resilience and road safety (including</w:t>
      </w:r>
      <w:r w:rsidRPr="00EC32DD">
        <w:rPr>
          <w:rFonts w:ascii="Times New Roman" w:eastAsia="Calibri" w:hAnsi="Times New Roman"/>
        </w:rPr>
        <w:t xml:space="preserve"> children’s safety)</w:t>
      </w:r>
      <w:r w:rsidRPr="00EC32DD">
        <w:rPr>
          <w:rFonts w:ascii="Times New Roman" w:hAnsi="Times New Roman"/>
        </w:rPr>
        <w:t xml:space="preserve">; (b) developing a simplified </w:t>
      </w:r>
      <w:r w:rsidRPr="00EC32DD">
        <w:rPr>
          <w:rFonts w:ascii="Times New Roman" w:eastAsia="Calibri" w:hAnsi="Times New Roman"/>
        </w:rPr>
        <w:t>Road Asset Management System (</w:t>
      </w:r>
      <w:r w:rsidRPr="00EC32DD">
        <w:rPr>
          <w:rFonts w:ascii="Times New Roman" w:hAnsi="Times New Roman"/>
        </w:rPr>
        <w:t>RAMS) for maintenance and rehabilitation planning and supporting selected data collection needs; (c) developing gender-aware Sustainable Urban Mobility Plans (SUMPs) and provision of Trainings to Participating LSG’s staff on SUMPs implementation; and (d) designing a smart mobility research center and piloting up to five (5) smart solutions through digital technologies.</w:t>
      </w:r>
    </w:p>
    <w:p w14:paraId="5EE4ED39" w14:textId="77777777" w:rsidR="00CF7D57" w:rsidRPr="00EC32DD" w:rsidRDefault="00CF7D57" w:rsidP="002D62FD">
      <w:pPr>
        <w:pStyle w:val="BodyText"/>
        <w:spacing w:after="0" w:line="240" w:lineRule="auto"/>
        <w:ind w:left="1134" w:right="1094"/>
        <w:contextualSpacing/>
        <w:jc w:val="both"/>
        <w:rPr>
          <w:rFonts w:ascii="Times New Roman" w:hAnsi="Times New Roman"/>
        </w:rPr>
      </w:pPr>
    </w:p>
    <w:p w14:paraId="0F6D7A67" w14:textId="77777777" w:rsidR="00CF7D57" w:rsidRPr="00EC32DD" w:rsidRDefault="00CF7D57" w:rsidP="002D62FD">
      <w:pPr>
        <w:pStyle w:val="BodyText"/>
        <w:spacing w:after="0" w:line="240" w:lineRule="auto"/>
        <w:ind w:left="1134" w:right="1094"/>
        <w:contextualSpacing/>
        <w:rPr>
          <w:rFonts w:ascii="Times New Roman" w:hAnsi="Times New Roman"/>
        </w:rPr>
      </w:pPr>
      <w:r w:rsidRPr="00EC32DD">
        <w:rPr>
          <w:rFonts w:ascii="Times New Roman" w:hAnsi="Times New Roman"/>
          <w:b/>
        </w:rPr>
        <w:t>Part 2.</w:t>
      </w:r>
      <w:r w:rsidRPr="00EC32DD">
        <w:rPr>
          <w:rFonts w:ascii="Times New Roman" w:hAnsi="Times New Roman"/>
          <w:b/>
        </w:rPr>
        <w:tab/>
        <w:t>Strengthening Capacity for Infrastructure Service Delivery</w:t>
      </w:r>
    </w:p>
    <w:p w14:paraId="75FD7AF6" w14:textId="77777777" w:rsidR="00CF7D57" w:rsidRPr="00EC32DD" w:rsidRDefault="00CF7D57" w:rsidP="002D62FD">
      <w:pPr>
        <w:pStyle w:val="BodyText"/>
        <w:numPr>
          <w:ilvl w:val="1"/>
          <w:numId w:val="724"/>
        </w:numPr>
        <w:spacing w:after="0" w:line="240" w:lineRule="auto"/>
        <w:ind w:left="1134" w:right="1094"/>
        <w:contextualSpacing/>
        <w:jc w:val="both"/>
        <w:rPr>
          <w:rFonts w:ascii="Times New Roman" w:hAnsi="Times New Roman"/>
        </w:rPr>
      </w:pPr>
      <w:r w:rsidRPr="00EC32DD">
        <w:rPr>
          <w:rFonts w:ascii="Times New Roman" w:hAnsi="Times New Roman"/>
        </w:rPr>
        <w:t>Improve selected LSGs’ strategic participatory planning and investment preparation capacities by, inter alia: (a) improving planning at the local level including through reviewing current planning and strategic frameworks and developing planning documents; (b) linking improved local planning to budgeting processes; (c) introducing innovative approaches to participatory planning; (d) enhancing the eGovernment portal to mainstream the participatory approach; and (e) providing technical assistance on the identification and preparation of urban development and municipal infrastructure projects.</w:t>
      </w:r>
    </w:p>
    <w:p w14:paraId="18631C64" w14:textId="77777777" w:rsidR="00CF7D57" w:rsidRPr="00EC32DD" w:rsidRDefault="00CF7D57" w:rsidP="002D62FD">
      <w:pPr>
        <w:pStyle w:val="BodyText"/>
        <w:spacing w:after="0" w:line="240" w:lineRule="auto"/>
        <w:ind w:left="1134" w:right="1094"/>
        <w:contextualSpacing/>
        <w:jc w:val="both"/>
        <w:rPr>
          <w:rFonts w:ascii="Times New Roman" w:hAnsi="Times New Roman"/>
        </w:rPr>
      </w:pPr>
    </w:p>
    <w:p w14:paraId="48BAF414" w14:textId="77777777" w:rsidR="00D511E0" w:rsidRDefault="00CF7D57" w:rsidP="00CF7D57">
      <w:pPr>
        <w:pStyle w:val="BodyText"/>
        <w:numPr>
          <w:ilvl w:val="1"/>
          <w:numId w:val="724"/>
        </w:numPr>
        <w:spacing w:after="0" w:line="240" w:lineRule="auto"/>
        <w:ind w:left="1134" w:right="1094"/>
        <w:contextualSpacing/>
        <w:jc w:val="both"/>
        <w:rPr>
          <w:rFonts w:ascii="Times New Roman" w:hAnsi="Times New Roman"/>
        </w:rPr>
      </w:pPr>
      <w:r w:rsidRPr="00EC32DD">
        <w:rPr>
          <w:rFonts w:ascii="Times New Roman" w:hAnsi="Times New Roman"/>
        </w:rPr>
        <w:t xml:space="preserve">Improve LSGs’ infrastructure service delivery and promote sustainability by, inter alia: (a) assessing the current local infrastructure financing framework; (b) providing technical assistance and Trainings to enhance their access to finance capabilities; (c) reviewing current institutions’ structures and providing recommendations for consolidated approaches and process simplification to enable existing staff to work efficiently and meet national and local requirements; (d) developing public investment management system database and project </w:t>
      </w:r>
      <w:r w:rsidRPr="002D62FD">
        <w:rPr>
          <w:rFonts w:ascii="Times New Roman" w:hAnsi="Times New Roman"/>
          <w:spacing w:val="2"/>
        </w:rPr>
        <w:t>management tools; (e)</w:t>
      </w:r>
      <w:r w:rsidRPr="00EC32DD">
        <w:rPr>
          <w:rFonts w:ascii="Times New Roman" w:hAnsi="Times New Roman"/>
        </w:rPr>
        <w:t xml:space="preserve"> </w:t>
      </w:r>
      <w:r w:rsidRPr="002D62FD">
        <w:rPr>
          <w:rFonts w:ascii="Times New Roman" w:hAnsi="Times New Roman"/>
          <w:spacing w:val="2"/>
        </w:rPr>
        <w:t>designing and implementing an Internship Program; (f) developing</w:t>
      </w:r>
    </w:p>
    <w:p w14:paraId="7649CE3D" w14:textId="77777777" w:rsidR="00D511E0" w:rsidRDefault="00D511E0">
      <w:pPr>
        <w:rPr>
          <w:rFonts w:ascii="Times New Roman" w:hAnsi="Times New Roman" w:cs="Times New Roman"/>
          <w:bCs/>
          <w:color w:val="000000"/>
          <w:lang w:val="x-none"/>
        </w:rPr>
      </w:pPr>
      <w:r>
        <w:rPr>
          <w:rFonts w:ascii="Times New Roman" w:hAnsi="Times New Roman"/>
        </w:rPr>
        <w:br w:type="page"/>
      </w:r>
    </w:p>
    <w:p w14:paraId="2D44E6E5" w14:textId="0879E4A3" w:rsidR="00CF7D57" w:rsidRPr="00EC32DD" w:rsidRDefault="00CF7D57" w:rsidP="002D62FD">
      <w:pPr>
        <w:pStyle w:val="BodyText"/>
        <w:spacing w:after="0" w:line="240" w:lineRule="auto"/>
        <w:ind w:left="1134" w:right="1094"/>
        <w:contextualSpacing/>
        <w:jc w:val="both"/>
        <w:rPr>
          <w:rFonts w:ascii="Times New Roman" w:hAnsi="Times New Roman"/>
        </w:rPr>
      </w:pPr>
      <w:r w:rsidRPr="00EC32DD">
        <w:rPr>
          <w:rFonts w:ascii="Times New Roman" w:hAnsi="Times New Roman"/>
        </w:rPr>
        <w:t>prioritized approaches to staff expansion and Training and building staff capacity in green procurement, public financial management and public investment management, contract management, and social and environmental management; and (g) facilitating inter LSG cooperation and knowledge exchange.</w:t>
      </w:r>
    </w:p>
    <w:p w14:paraId="475AAC5E" w14:textId="77777777" w:rsidR="00CF7D57" w:rsidRPr="00EC32DD" w:rsidRDefault="00CF7D57" w:rsidP="002D62FD">
      <w:pPr>
        <w:pStyle w:val="BodyText"/>
        <w:spacing w:after="0" w:line="240" w:lineRule="auto"/>
        <w:ind w:left="1134" w:right="1094"/>
        <w:contextualSpacing/>
        <w:rPr>
          <w:rFonts w:ascii="Times New Roman" w:hAnsi="Times New Roman"/>
          <w:b/>
          <w:bCs w:val="0"/>
        </w:rPr>
      </w:pPr>
    </w:p>
    <w:p w14:paraId="7C936F6E" w14:textId="77777777" w:rsidR="00CF7D57" w:rsidRPr="00EC32DD" w:rsidRDefault="00CF7D57" w:rsidP="002D62FD">
      <w:pPr>
        <w:pStyle w:val="BodyText"/>
        <w:spacing w:after="0" w:line="240" w:lineRule="auto"/>
        <w:ind w:left="1134" w:right="1094"/>
        <w:contextualSpacing/>
        <w:rPr>
          <w:rFonts w:ascii="Times New Roman" w:hAnsi="Times New Roman"/>
        </w:rPr>
      </w:pPr>
      <w:r w:rsidRPr="00EC32DD">
        <w:rPr>
          <w:rFonts w:ascii="Times New Roman" w:hAnsi="Times New Roman"/>
          <w:b/>
        </w:rPr>
        <w:t>Part 3.</w:t>
      </w:r>
      <w:r w:rsidRPr="00EC32DD">
        <w:rPr>
          <w:rFonts w:ascii="Times New Roman" w:hAnsi="Times New Roman"/>
          <w:b/>
        </w:rPr>
        <w:tab/>
        <w:t>Project Management and Awareness Raising</w:t>
      </w:r>
    </w:p>
    <w:p w14:paraId="3F26D4A2" w14:textId="77777777" w:rsidR="00CF7D57" w:rsidRPr="00EC32DD" w:rsidRDefault="00CF7D57" w:rsidP="002D62FD">
      <w:pPr>
        <w:pStyle w:val="BodyText"/>
        <w:spacing w:after="0" w:line="240" w:lineRule="auto"/>
        <w:ind w:left="1134" w:right="1094"/>
        <w:contextualSpacing/>
        <w:jc w:val="both"/>
        <w:rPr>
          <w:rStyle w:val="normaltextrun"/>
          <w:rFonts w:ascii="Times New Roman" w:hAnsi="Times New Roman"/>
        </w:rPr>
      </w:pPr>
      <w:r w:rsidRPr="00EC32DD">
        <w:rPr>
          <w:rFonts w:ascii="Times New Roman" w:hAnsi="Times New Roman"/>
        </w:rPr>
        <w:t>Support to the Republic of Serbia in the areas of Project management, coordination, supervision, financial management, reporting, communication and outreach, awareness raising, monitoring and evaluation, procurement, environmental and social safeguards, and supervision of implementation of the Environmental and Social Commitment Plan (ESCP) and establishing of online supervision platform and web page for the Project.</w:t>
      </w:r>
    </w:p>
    <w:p w14:paraId="4FB8267D" w14:textId="77777777" w:rsidR="00CF7D57" w:rsidRDefault="00CF7D57" w:rsidP="002D62FD">
      <w:pPr>
        <w:spacing w:after="0" w:line="240" w:lineRule="auto"/>
        <w:ind w:left="1134" w:right="1094"/>
        <w:contextualSpacing/>
        <w:jc w:val="both"/>
        <w:rPr>
          <w:rFonts w:ascii="Times New Roman" w:hAnsi="Times New Roman"/>
        </w:rPr>
      </w:pPr>
    </w:p>
    <w:p w14:paraId="66A968DE" w14:textId="77777777" w:rsidR="00CF7D57" w:rsidRPr="00EC32DD" w:rsidRDefault="00CF7D57" w:rsidP="002D62FD">
      <w:pPr>
        <w:spacing w:after="0" w:line="240" w:lineRule="auto"/>
        <w:ind w:left="1134" w:right="1094"/>
        <w:contextualSpacing/>
        <w:jc w:val="both"/>
        <w:rPr>
          <w:rFonts w:ascii="Times New Roman" w:hAnsi="Times New Roman"/>
        </w:rPr>
      </w:pPr>
    </w:p>
    <w:p w14:paraId="0C28F63A"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lang w:val="sr-Latn-RS"/>
        </w:rPr>
      </w:pPr>
      <w:r w:rsidRPr="00EC32DD">
        <w:rPr>
          <w:rFonts w:ascii="Times New Roman" w:hAnsi="Times New Roman"/>
          <w:lang w:val="sr-Latn-RS"/>
        </w:rPr>
        <w:t xml:space="preserve">The LSG will submit to the MCTI, in the scope of the Project Component 1, project proposal(s) for </w:t>
      </w:r>
      <w:r w:rsidRPr="00EC32DD">
        <w:rPr>
          <w:rFonts w:ascii="Times New Roman" w:hAnsi="Times New Roman"/>
        </w:rPr>
        <w:t xml:space="preserve">financing local infrastructure (including, if necessary, for design preparation and the supervision of works), </w:t>
      </w:r>
      <w:r w:rsidRPr="00EC32DD">
        <w:rPr>
          <w:rFonts w:ascii="Times New Roman" w:hAnsi="Times New Roman"/>
          <w:lang w:val="sr-Latn-RS"/>
        </w:rPr>
        <w:t xml:space="preserve">according to the eligibility and compliance criteria defined by </w:t>
      </w:r>
      <w:r w:rsidRPr="00EC32DD">
        <w:rPr>
          <w:rFonts w:ascii="Times New Roman" w:hAnsi="Times New Roman"/>
        </w:rPr>
        <w:t>the Loan Agreements and the POGM, and following the requirements in the national legislation.</w:t>
      </w:r>
    </w:p>
    <w:p w14:paraId="1A7ABFED"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lang w:val="sr-Latn-RS"/>
        </w:rPr>
      </w:pPr>
    </w:p>
    <w:p w14:paraId="7221AB0E"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lang w:val="sr-Latn-RS"/>
        </w:rPr>
      </w:pPr>
      <w:r w:rsidRPr="00EC32DD">
        <w:rPr>
          <w:rFonts w:ascii="Times New Roman" w:hAnsi="Times New Roman"/>
          <w:lang w:val="sr-Latn-RS"/>
        </w:rPr>
        <w:t xml:space="preserve">The LSG confirms that the funds to be received through the Project Component 1. will be additional financial resources to its own capital investments, and that the level of LSG’s own infrastructure investments will not decrease due to the receipt of earmarked funds </w:t>
      </w:r>
      <w:r w:rsidRPr="00EC32DD">
        <w:rPr>
          <w:rFonts w:ascii="Times New Roman" w:hAnsi="Times New Roman"/>
          <w:lang w:val="mk-MK"/>
        </w:rPr>
        <w:t xml:space="preserve">allocated </w:t>
      </w:r>
      <w:r w:rsidRPr="00EC32DD">
        <w:rPr>
          <w:rFonts w:ascii="Times New Roman" w:hAnsi="Times New Roman"/>
          <w:lang w:val="sr-Latn-RS"/>
        </w:rPr>
        <w:t>through the LIID Project.</w:t>
      </w:r>
    </w:p>
    <w:p w14:paraId="10AC2EA0"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lang w:val="sr-Latn-RS"/>
        </w:rPr>
      </w:pPr>
    </w:p>
    <w:p w14:paraId="3885713D"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p>
    <w:p w14:paraId="72560514" w14:textId="77777777" w:rsidR="00CF7D57" w:rsidRPr="00EC32DD" w:rsidRDefault="00CF7D57" w:rsidP="002D62FD">
      <w:pPr>
        <w:spacing w:after="0" w:line="240" w:lineRule="auto"/>
        <w:ind w:left="1134" w:right="1094"/>
        <w:contextualSpacing/>
        <w:jc w:val="both"/>
        <w:rPr>
          <w:rFonts w:ascii="Times New Roman" w:hAnsi="Times New Roman"/>
          <w:b/>
        </w:rPr>
      </w:pPr>
      <w:r w:rsidRPr="00EC32DD">
        <w:rPr>
          <w:rFonts w:ascii="Times New Roman" w:hAnsi="Times New Roman"/>
          <w:b/>
        </w:rPr>
        <w:t>4. IMPLEMENTATION</w:t>
      </w:r>
    </w:p>
    <w:p w14:paraId="690DBAE3" w14:textId="77777777" w:rsidR="00CF7D57" w:rsidRPr="00EC32DD" w:rsidRDefault="00CF7D57" w:rsidP="002D62FD">
      <w:pPr>
        <w:spacing w:after="0" w:line="240" w:lineRule="auto"/>
        <w:ind w:left="1134" w:right="1094"/>
        <w:contextualSpacing/>
        <w:jc w:val="both"/>
        <w:rPr>
          <w:rFonts w:ascii="Times New Roman" w:hAnsi="Times New Roman"/>
          <w:b/>
          <w:color w:val="000000"/>
        </w:rPr>
      </w:pPr>
    </w:p>
    <w:p w14:paraId="4EC78296" w14:textId="77777777" w:rsidR="00CF7D57" w:rsidRPr="00EC32DD" w:rsidRDefault="00CF7D57" w:rsidP="002D62FD">
      <w:pPr>
        <w:tabs>
          <w:tab w:val="left" w:pos="0"/>
        </w:tabs>
        <w:spacing w:after="0" w:line="240" w:lineRule="auto"/>
        <w:ind w:left="1134" w:right="1094"/>
        <w:contextualSpacing/>
        <w:jc w:val="both"/>
        <w:rPr>
          <w:rFonts w:ascii="Times New Roman" w:eastAsia="Calibri" w:hAnsi="Times New Roman"/>
          <w:bCs/>
          <w:color w:val="000000"/>
        </w:rPr>
      </w:pPr>
      <w:r w:rsidRPr="00EC32DD">
        <w:rPr>
          <w:rFonts w:ascii="Times New Roman" w:hAnsi="Times New Roman"/>
          <w:color w:val="000000"/>
        </w:rPr>
        <w:t xml:space="preserve">The implementation of this </w:t>
      </w:r>
      <w:r>
        <w:rPr>
          <w:rFonts w:ascii="Times New Roman" w:hAnsi="Times New Roman"/>
          <w:color w:val="000000"/>
        </w:rPr>
        <w:t>Framework</w:t>
      </w:r>
      <w:r w:rsidRPr="00EC32DD">
        <w:rPr>
          <w:rFonts w:ascii="Times New Roman" w:hAnsi="Times New Roman"/>
          <w:color w:val="000000"/>
        </w:rPr>
        <w:t xml:space="preserve"> Agreement and all the activities pursuant to it related to the Loan Agreements shall be compliant to the respective </w:t>
      </w:r>
      <w:r w:rsidRPr="00EC32DD">
        <w:rPr>
          <w:rFonts w:ascii="Times New Roman" w:eastAsia="Calibri" w:hAnsi="Times New Roman"/>
          <w:bCs/>
          <w:color w:val="000000"/>
        </w:rPr>
        <w:t>Bank’s Procurement Regulations.</w:t>
      </w:r>
    </w:p>
    <w:p w14:paraId="56E99274"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color w:val="000000"/>
        </w:rPr>
      </w:pPr>
    </w:p>
    <w:p w14:paraId="59A43D70"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color w:val="000000"/>
        </w:rPr>
      </w:pPr>
      <w:r w:rsidRPr="00EC32DD">
        <w:rPr>
          <w:rFonts w:ascii="Times New Roman" w:hAnsi="Times New Roman"/>
          <w:color w:val="000000"/>
        </w:rPr>
        <w:t>The implementation of the LIID Project activities such as project preparation, tendering, technical and financial implementation, and supervision, will be carried out by the LSG and monitored by the LIID Project Implementation Unit at the MCTI (hereinafter referred to as “PIU”), in accordance with the Loan Agreements and the POGM.</w:t>
      </w:r>
    </w:p>
    <w:p w14:paraId="0CD5CE9A" w14:textId="77777777" w:rsidR="00CF7D57" w:rsidRPr="00EC32DD" w:rsidRDefault="00CF7D57" w:rsidP="002D62FD">
      <w:pPr>
        <w:tabs>
          <w:tab w:val="left" w:pos="0"/>
        </w:tabs>
        <w:spacing w:after="0" w:line="240" w:lineRule="auto"/>
        <w:ind w:left="1134" w:right="1094"/>
        <w:contextualSpacing/>
        <w:jc w:val="both"/>
        <w:rPr>
          <w:rFonts w:ascii="Times New Roman" w:eastAsia="SimSun" w:hAnsi="Times New Roman"/>
          <w:color w:val="000000"/>
        </w:rPr>
      </w:pPr>
    </w:p>
    <w:p w14:paraId="0163A66B" w14:textId="77777777" w:rsidR="00CF7D57" w:rsidRPr="00EC32DD" w:rsidRDefault="00CF7D57" w:rsidP="002D62FD">
      <w:pPr>
        <w:tabs>
          <w:tab w:val="left" w:pos="0"/>
        </w:tabs>
        <w:spacing w:after="0" w:line="240" w:lineRule="auto"/>
        <w:ind w:left="1134" w:right="1094"/>
        <w:contextualSpacing/>
        <w:jc w:val="both"/>
        <w:rPr>
          <w:rFonts w:ascii="Times New Roman" w:eastAsia="SimSun" w:hAnsi="Times New Roman"/>
          <w:color w:val="000000"/>
          <w:lang w:val="en-US"/>
        </w:rPr>
      </w:pPr>
      <w:r w:rsidRPr="00EC32DD">
        <w:rPr>
          <w:rFonts w:ascii="Times New Roman" w:eastAsia="SimSun" w:hAnsi="Times New Roman"/>
          <w:color w:val="000000"/>
          <w:lang w:val="en-US"/>
        </w:rPr>
        <w:t>The implementation of the activities, organizational, financial, administrative and technical, pursuant to the Project, from the LSG side will be carried out by the nominated representative(s) of the LSG.</w:t>
      </w:r>
    </w:p>
    <w:p w14:paraId="66F3FA63" w14:textId="77777777" w:rsidR="00CF7D57" w:rsidRPr="00EC32DD" w:rsidRDefault="00CF7D57" w:rsidP="002D62FD">
      <w:pPr>
        <w:tabs>
          <w:tab w:val="left" w:pos="0"/>
        </w:tabs>
        <w:spacing w:after="0" w:line="240" w:lineRule="auto"/>
        <w:ind w:left="1134" w:right="1094"/>
        <w:contextualSpacing/>
        <w:jc w:val="both"/>
        <w:rPr>
          <w:rFonts w:ascii="Times New Roman" w:eastAsia="SimSun" w:hAnsi="Times New Roman"/>
          <w:color w:val="000000"/>
          <w:lang w:val="en-US"/>
        </w:rPr>
      </w:pPr>
    </w:p>
    <w:p w14:paraId="38D9858D" w14:textId="77777777" w:rsidR="00CF7D57" w:rsidRPr="00EC32DD" w:rsidRDefault="00CF7D57" w:rsidP="002D62FD">
      <w:pPr>
        <w:tabs>
          <w:tab w:val="left" w:pos="0"/>
        </w:tabs>
        <w:spacing w:after="0" w:line="240" w:lineRule="auto"/>
        <w:ind w:left="1134" w:right="1094"/>
        <w:contextualSpacing/>
        <w:jc w:val="both"/>
        <w:rPr>
          <w:rFonts w:ascii="Times New Roman" w:eastAsia="SimSun" w:hAnsi="Times New Roman"/>
          <w:color w:val="000000"/>
          <w:lang w:val="en-US"/>
        </w:rPr>
      </w:pPr>
      <w:r w:rsidRPr="00EC32DD">
        <w:rPr>
          <w:rFonts w:ascii="Times New Roman" w:eastAsia="SimSun" w:hAnsi="Times New Roman"/>
          <w:color w:val="000000"/>
          <w:lang w:val="en-US"/>
        </w:rPr>
        <w:t xml:space="preserve">Before the implementation of the works starts, the Parties will sign a </w:t>
      </w:r>
      <w:r>
        <w:rPr>
          <w:rFonts w:ascii="Times New Roman" w:eastAsia="SimSun" w:hAnsi="Times New Roman"/>
          <w:color w:val="000000"/>
          <w:lang w:val="en-US"/>
        </w:rPr>
        <w:t>Grant Agreement</w:t>
      </w:r>
      <w:r w:rsidRPr="00EC32DD">
        <w:rPr>
          <w:rFonts w:ascii="Times New Roman" w:eastAsia="SimSun" w:hAnsi="Times New Roman"/>
          <w:color w:val="000000"/>
          <w:lang w:val="en-US"/>
        </w:rPr>
        <w:t xml:space="preserve"> for each respective LSG’s project from the Component 1 of the LIID Project, in order to regulate mutual rights and obligations.</w:t>
      </w:r>
    </w:p>
    <w:p w14:paraId="0BE55282" w14:textId="77777777" w:rsidR="00CF7D57" w:rsidRPr="00EC32DD" w:rsidRDefault="00CF7D57" w:rsidP="002D62FD">
      <w:pPr>
        <w:tabs>
          <w:tab w:val="left" w:pos="0"/>
        </w:tabs>
        <w:spacing w:after="0" w:line="240" w:lineRule="auto"/>
        <w:ind w:left="1134" w:right="1094"/>
        <w:contextualSpacing/>
        <w:jc w:val="both"/>
        <w:rPr>
          <w:rFonts w:ascii="Times New Roman" w:eastAsia="SimSun" w:hAnsi="Times New Roman"/>
          <w:color w:val="000000"/>
          <w:lang w:val="en-US"/>
        </w:rPr>
      </w:pPr>
    </w:p>
    <w:p w14:paraId="779B085C"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r w:rsidRPr="00EC32DD">
        <w:rPr>
          <w:rFonts w:ascii="Times New Roman" w:eastAsia="SimSun" w:hAnsi="Times New Roman"/>
          <w:color w:val="000000"/>
          <w:lang w:val="en-US"/>
        </w:rPr>
        <w:t xml:space="preserve">As a part of its participation in the LIID Project, the LSG will work on strengthening linkages between its budget and strategic and planning frameworks and on improving its PFM and PIM practices, and will prepare its development and medium-term plans in </w:t>
      </w:r>
      <w:r w:rsidRPr="00EC32DD">
        <w:rPr>
          <w:rFonts w:ascii="Times New Roman" w:hAnsi="Times New Roman"/>
        </w:rPr>
        <w:t>compliance with legal requirements.</w:t>
      </w:r>
    </w:p>
    <w:p w14:paraId="119CA809" w14:textId="77777777" w:rsidR="00CF7D57" w:rsidRPr="00EC32DD" w:rsidRDefault="00CF7D57" w:rsidP="002D62FD">
      <w:pPr>
        <w:tabs>
          <w:tab w:val="left" w:pos="0"/>
        </w:tabs>
        <w:spacing w:after="0" w:line="240" w:lineRule="auto"/>
        <w:ind w:left="1134" w:right="1094"/>
        <w:contextualSpacing/>
        <w:jc w:val="both"/>
        <w:rPr>
          <w:rFonts w:ascii="Times New Roman" w:eastAsia="SimSun" w:hAnsi="Times New Roman"/>
          <w:color w:val="000000"/>
          <w:lang w:val="en-US"/>
        </w:rPr>
      </w:pPr>
    </w:p>
    <w:p w14:paraId="41E7296D"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r w:rsidRPr="00EC32DD">
        <w:rPr>
          <w:rFonts w:ascii="Times New Roman" w:hAnsi="Times New Roman"/>
        </w:rPr>
        <w:t>The LSG commits to:</w:t>
      </w:r>
    </w:p>
    <w:p w14:paraId="5C2D115D"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r w:rsidRPr="00EC32DD">
        <w:rPr>
          <w:rFonts w:ascii="Times New Roman" w:hAnsi="Times New Roman"/>
        </w:rPr>
        <w:t xml:space="preserve">(a) participate in Project Training opportunities and reform activities; </w:t>
      </w:r>
    </w:p>
    <w:p w14:paraId="480003A9" w14:textId="77777777" w:rsidR="00CF7D57" w:rsidRPr="00EC32DD" w:rsidRDefault="00CF7D57" w:rsidP="002D62FD">
      <w:pPr>
        <w:tabs>
          <w:tab w:val="left" w:pos="0"/>
        </w:tabs>
        <w:spacing w:after="0" w:line="240" w:lineRule="auto"/>
        <w:ind w:left="1134" w:right="1094"/>
        <w:contextualSpacing/>
        <w:jc w:val="both"/>
        <w:rPr>
          <w:rFonts w:ascii="Times New Roman" w:eastAsia="Calibri" w:hAnsi="Times New Roman"/>
        </w:rPr>
      </w:pPr>
      <w:r w:rsidRPr="00EC32DD">
        <w:rPr>
          <w:rFonts w:ascii="Times New Roman" w:hAnsi="Times New Roman"/>
        </w:rPr>
        <w:t xml:space="preserve">(b) </w:t>
      </w:r>
      <w:r w:rsidRPr="00EC32DD">
        <w:rPr>
          <w:rFonts w:ascii="Times New Roman" w:eastAsia="Calibri" w:hAnsi="Times New Roman"/>
        </w:rPr>
        <w:t xml:space="preserve">perform investment selection according to planning documents; and </w:t>
      </w:r>
    </w:p>
    <w:p w14:paraId="4399534B" w14:textId="77777777" w:rsidR="00CF7D57" w:rsidRPr="00EC32DD" w:rsidRDefault="00CF7D57" w:rsidP="002D62FD">
      <w:pPr>
        <w:tabs>
          <w:tab w:val="left" w:pos="0"/>
        </w:tabs>
        <w:spacing w:after="0" w:line="240" w:lineRule="auto"/>
        <w:ind w:left="1134" w:right="1094"/>
        <w:contextualSpacing/>
        <w:jc w:val="both"/>
        <w:rPr>
          <w:rFonts w:ascii="Times New Roman" w:eastAsia="Calibri" w:hAnsi="Times New Roman"/>
        </w:rPr>
      </w:pPr>
      <w:r w:rsidRPr="00EC32DD">
        <w:rPr>
          <w:rFonts w:ascii="Times New Roman" w:eastAsia="Calibri" w:hAnsi="Times New Roman"/>
        </w:rPr>
        <w:t>(c) comply with the Bank’s environmental and social framework and policies</w:t>
      </w:r>
    </w:p>
    <w:p w14:paraId="6C1D4979" w14:textId="77777777" w:rsidR="00CF7D57" w:rsidRPr="00EC32DD" w:rsidRDefault="00CF7D57" w:rsidP="002D62FD">
      <w:pPr>
        <w:tabs>
          <w:tab w:val="left" w:pos="0"/>
        </w:tabs>
        <w:spacing w:after="0" w:line="240" w:lineRule="auto"/>
        <w:ind w:left="1134" w:right="1094"/>
        <w:contextualSpacing/>
        <w:jc w:val="both"/>
        <w:rPr>
          <w:rFonts w:ascii="Times New Roman" w:eastAsia="Calibri" w:hAnsi="Times New Roman"/>
        </w:rPr>
      </w:pPr>
      <w:r w:rsidRPr="00EC32DD">
        <w:rPr>
          <w:rFonts w:ascii="Times New Roman" w:eastAsia="Calibri" w:hAnsi="Times New Roman"/>
        </w:rPr>
        <w:t xml:space="preserve">(d) </w:t>
      </w:r>
      <w:r w:rsidRPr="00EC32DD">
        <w:rPr>
          <w:rFonts w:ascii="Times New Roman" w:hAnsi="Times New Roman"/>
        </w:rPr>
        <w:t>use road asset management once developed by the LIID Project.</w:t>
      </w:r>
    </w:p>
    <w:p w14:paraId="3A989002"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p>
    <w:p w14:paraId="09D96988" w14:textId="77777777" w:rsidR="00CF7D57" w:rsidRDefault="00CF7D57" w:rsidP="002D62FD">
      <w:pPr>
        <w:tabs>
          <w:tab w:val="left" w:pos="0"/>
        </w:tabs>
        <w:spacing w:after="0" w:line="240" w:lineRule="auto"/>
        <w:ind w:left="1134" w:right="1094"/>
        <w:contextualSpacing/>
        <w:jc w:val="both"/>
        <w:rPr>
          <w:rFonts w:ascii="Times New Roman" w:hAnsi="Times New Roman"/>
        </w:rPr>
      </w:pPr>
    </w:p>
    <w:p w14:paraId="2B040EFF" w14:textId="77777777" w:rsidR="00CF7D57" w:rsidRDefault="00CF7D57" w:rsidP="002D62FD">
      <w:pPr>
        <w:tabs>
          <w:tab w:val="left" w:pos="0"/>
        </w:tabs>
        <w:spacing w:after="0" w:line="240" w:lineRule="auto"/>
        <w:ind w:left="1134" w:right="1094"/>
        <w:contextualSpacing/>
        <w:jc w:val="both"/>
        <w:rPr>
          <w:rFonts w:ascii="Times New Roman" w:hAnsi="Times New Roman"/>
        </w:rPr>
      </w:pPr>
    </w:p>
    <w:p w14:paraId="453DE2C3" w14:textId="77777777" w:rsidR="00CF7D57" w:rsidRDefault="00CF7D57" w:rsidP="002D62FD">
      <w:pPr>
        <w:tabs>
          <w:tab w:val="left" w:pos="0"/>
        </w:tabs>
        <w:spacing w:after="0" w:line="240" w:lineRule="auto"/>
        <w:ind w:left="1134" w:right="1094"/>
        <w:contextualSpacing/>
        <w:jc w:val="both"/>
        <w:rPr>
          <w:rFonts w:ascii="Times New Roman" w:hAnsi="Times New Roman"/>
        </w:rPr>
      </w:pPr>
    </w:p>
    <w:p w14:paraId="7231354B" w14:textId="77777777" w:rsidR="00CF7D57" w:rsidRPr="00EC32DD" w:rsidRDefault="00CF7D57" w:rsidP="002D62FD">
      <w:pPr>
        <w:tabs>
          <w:tab w:val="left" w:pos="0"/>
        </w:tabs>
        <w:spacing w:after="0" w:line="240" w:lineRule="auto"/>
        <w:ind w:left="1134" w:right="1094"/>
        <w:contextualSpacing/>
        <w:jc w:val="both"/>
        <w:rPr>
          <w:rFonts w:ascii="Times New Roman" w:hAnsi="Times New Roman"/>
        </w:rPr>
      </w:pPr>
    </w:p>
    <w:p w14:paraId="74B240D9" w14:textId="77777777" w:rsidR="00CF7D57" w:rsidRPr="00EC32DD" w:rsidRDefault="00CF7D57" w:rsidP="002D62FD">
      <w:pPr>
        <w:spacing w:after="0" w:line="240" w:lineRule="auto"/>
        <w:ind w:left="1134" w:right="1094"/>
        <w:contextualSpacing/>
        <w:jc w:val="both"/>
        <w:rPr>
          <w:rFonts w:ascii="Times New Roman" w:hAnsi="Times New Roman"/>
          <w:b/>
        </w:rPr>
      </w:pPr>
      <w:r w:rsidRPr="00EC32DD">
        <w:rPr>
          <w:rFonts w:ascii="Times New Roman" w:hAnsi="Times New Roman"/>
          <w:b/>
        </w:rPr>
        <w:t>5. CONFIDENTIALITY OF INFORMATION </w:t>
      </w:r>
    </w:p>
    <w:p w14:paraId="756EB8BE" w14:textId="77777777" w:rsidR="00CF7D57" w:rsidRPr="00EC32DD" w:rsidRDefault="00CF7D57" w:rsidP="002D62FD">
      <w:pPr>
        <w:spacing w:after="0" w:line="240" w:lineRule="auto"/>
        <w:ind w:left="1134" w:right="1094"/>
        <w:contextualSpacing/>
        <w:jc w:val="both"/>
        <w:rPr>
          <w:rFonts w:ascii="Times New Roman" w:hAnsi="Times New Roman"/>
          <w:b/>
        </w:rPr>
      </w:pPr>
    </w:p>
    <w:p w14:paraId="33B2513A"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The Parties accept that neither Party will disclose or distribute any confidential information that is supplied to each other in the course of conduct of cooperative activities under this </w:t>
      </w:r>
      <w:r>
        <w:rPr>
          <w:rFonts w:ascii="Times New Roman" w:hAnsi="Times New Roman"/>
        </w:rPr>
        <w:t>Framework</w:t>
      </w:r>
      <w:r w:rsidRPr="00EC32DD">
        <w:rPr>
          <w:rFonts w:ascii="Times New Roman" w:hAnsi="Times New Roman"/>
        </w:rPr>
        <w:t xml:space="preserve"> Agreement to any third party except as and to the extent authorized in writing to do so by the other Party. </w:t>
      </w:r>
    </w:p>
    <w:p w14:paraId="5AE2EFD1" w14:textId="77777777" w:rsidR="00CF7D57" w:rsidRPr="00EC32DD" w:rsidRDefault="00CF7D57" w:rsidP="002D62FD">
      <w:pPr>
        <w:spacing w:after="0" w:line="240" w:lineRule="auto"/>
        <w:ind w:left="1134" w:right="1094"/>
        <w:contextualSpacing/>
        <w:jc w:val="both"/>
        <w:rPr>
          <w:rFonts w:ascii="Times New Roman" w:hAnsi="Times New Roman"/>
        </w:rPr>
      </w:pPr>
    </w:p>
    <w:p w14:paraId="4F170548"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Confidential Information shall remain the exclusive property of the disclosing Party. The Parties agree that this </w:t>
      </w:r>
      <w:r>
        <w:rPr>
          <w:rFonts w:ascii="Times New Roman" w:hAnsi="Times New Roman"/>
        </w:rPr>
        <w:t>Framework</w:t>
      </w:r>
      <w:r w:rsidRPr="00EC32DD">
        <w:rPr>
          <w:rFonts w:ascii="Times New Roman" w:hAnsi="Times New Roman"/>
        </w:rPr>
        <w:t xml:space="preserve"> Agreement and the disclosure of the Confidential Information do not grant or imply interest or right to the Recipient in respect to any intellectual property right of the other Party. </w:t>
      </w:r>
    </w:p>
    <w:p w14:paraId="41328BA0" w14:textId="77777777" w:rsidR="00CF7D57" w:rsidRPr="00EC32DD" w:rsidRDefault="00CF7D57" w:rsidP="002D62FD">
      <w:pPr>
        <w:spacing w:after="0" w:line="240" w:lineRule="auto"/>
        <w:ind w:left="1134" w:right="1094"/>
        <w:contextualSpacing/>
        <w:jc w:val="both"/>
        <w:rPr>
          <w:rFonts w:ascii="Times New Roman" w:hAnsi="Times New Roman"/>
        </w:rPr>
      </w:pPr>
    </w:p>
    <w:p w14:paraId="4B234540"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Unpublished information, whether oral, in writing or otherwise, discovered or conceived by the scientists or technicians and exchanged under the provisions of this </w:t>
      </w:r>
      <w:r>
        <w:rPr>
          <w:rFonts w:ascii="Times New Roman" w:hAnsi="Times New Roman"/>
        </w:rPr>
        <w:t>Framework</w:t>
      </w:r>
      <w:r w:rsidRPr="00EC32DD">
        <w:rPr>
          <w:rFonts w:ascii="Times New Roman" w:hAnsi="Times New Roman"/>
        </w:rPr>
        <w:t xml:space="preserve"> Agreement will not be transmitted to a third party, unless otherwise agreed by the Parties. </w:t>
      </w:r>
    </w:p>
    <w:p w14:paraId="23249712" w14:textId="77777777" w:rsidR="00CF7D57" w:rsidRPr="00EC32DD" w:rsidRDefault="00CF7D57" w:rsidP="002D62FD">
      <w:pPr>
        <w:spacing w:after="0" w:line="240" w:lineRule="auto"/>
        <w:ind w:left="1134" w:right="1094"/>
        <w:contextualSpacing/>
        <w:jc w:val="both"/>
        <w:rPr>
          <w:rFonts w:ascii="Times New Roman" w:hAnsi="Times New Roman"/>
        </w:rPr>
      </w:pPr>
    </w:p>
    <w:p w14:paraId="4DC459D1" w14:textId="77777777" w:rsidR="00CF7D57" w:rsidRPr="00EC32DD" w:rsidRDefault="00CF7D57" w:rsidP="002D62FD">
      <w:pPr>
        <w:spacing w:after="0" w:line="240" w:lineRule="auto"/>
        <w:ind w:left="1134" w:right="1094"/>
        <w:contextualSpacing/>
        <w:jc w:val="both"/>
        <w:rPr>
          <w:rFonts w:ascii="Times New Roman" w:hAnsi="Times New Roman"/>
        </w:rPr>
      </w:pPr>
    </w:p>
    <w:p w14:paraId="00B67D53" w14:textId="77777777" w:rsidR="00CF7D57" w:rsidRPr="00EC32DD" w:rsidRDefault="00CF7D57" w:rsidP="002D62FD">
      <w:pPr>
        <w:spacing w:after="0" w:line="240" w:lineRule="auto"/>
        <w:ind w:left="1134" w:right="1094"/>
        <w:contextualSpacing/>
        <w:jc w:val="both"/>
        <w:rPr>
          <w:rFonts w:ascii="Times New Roman" w:hAnsi="Times New Roman"/>
          <w:b/>
        </w:rPr>
      </w:pPr>
      <w:r w:rsidRPr="00EC32DD">
        <w:rPr>
          <w:rFonts w:ascii="Times New Roman" w:hAnsi="Times New Roman"/>
          <w:b/>
        </w:rPr>
        <w:t>6. AMENDMENT AND MODIFICATION </w:t>
      </w:r>
    </w:p>
    <w:p w14:paraId="73F276D2" w14:textId="77777777" w:rsidR="00CF7D57" w:rsidRPr="00EC32DD" w:rsidRDefault="00CF7D57" w:rsidP="002D62FD">
      <w:pPr>
        <w:spacing w:after="0" w:line="240" w:lineRule="auto"/>
        <w:ind w:left="1134" w:right="1094"/>
        <w:contextualSpacing/>
        <w:jc w:val="both"/>
        <w:rPr>
          <w:rFonts w:ascii="Times New Roman" w:hAnsi="Times New Roman"/>
          <w:b/>
        </w:rPr>
      </w:pPr>
    </w:p>
    <w:p w14:paraId="37C553CC"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Either Party may request in writing a revision, modification or amendment of all or any part of this </w:t>
      </w:r>
      <w:r>
        <w:rPr>
          <w:rFonts w:ascii="Times New Roman" w:hAnsi="Times New Roman"/>
        </w:rPr>
        <w:t>Framework</w:t>
      </w:r>
      <w:r w:rsidRPr="00EC32DD">
        <w:rPr>
          <w:rFonts w:ascii="Times New Roman" w:hAnsi="Times New Roman"/>
        </w:rPr>
        <w:t xml:space="preserve"> Agreement. Any revision, modification or amendment accepted by the Parties will be reduced in writing and will form part of this </w:t>
      </w:r>
      <w:r>
        <w:rPr>
          <w:rFonts w:ascii="Times New Roman" w:hAnsi="Times New Roman"/>
        </w:rPr>
        <w:t>Framework</w:t>
      </w:r>
      <w:r w:rsidRPr="00EC32DD">
        <w:rPr>
          <w:rFonts w:ascii="Times New Roman" w:hAnsi="Times New Roman"/>
        </w:rPr>
        <w:t xml:space="preserve"> Agreement. Such revision, modification or amendment will come into effect on such date as may be determined by the Parties. </w:t>
      </w:r>
    </w:p>
    <w:p w14:paraId="282C8191" w14:textId="77777777" w:rsidR="00CF7D57" w:rsidRPr="00EC32DD" w:rsidRDefault="00CF7D57" w:rsidP="002D62FD">
      <w:pPr>
        <w:spacing w:after="0" w:line="240" w:lineRule="auto"/>
        <w:ind w:left="1134" w:right="1094"/>
        <w:contextualSpacing/>
        <w:jc w:val="both"/>
        <w:rPr>
          <w:rFonts w:ascii="Times New Roman" w:hAnsi="Times New Roman"/>
          <w:b/>
        </w:rPr>
      </w:pPr>
    </w:p>
    <w:p w14:paraId="4E7363F4" w14:textId="77777777" w:rsidR="00CF7D57" w:rsidRPr="00EC32DD" w:rsidRDefault="00CF7D57" w:rsidP="002D62FD">
      <w:pPr>
        <w:spacing w:after="0" w:line="240" w:lineRule="auto"/>
        <w:ind w:left="1134" w:right="1094"/>
        <w:contextualSpacing/>
        <w:jc w:val="both"/>
        <w:rPr>
          <w:rFonts w:ascii="Times New Roman" w:hAnsi="Times New Roman"/>
          <w:b/>
        </w:rPr>
      </w:pPr>
    </w:p>
    <w:p w14:paraId="3BCE5E09" w14:textId="77777777" w:rsidR="00CF7D57" w:rsidRPr="00EC32DD" w:rsidRDefault="00CF7D57" w:rsidP="002D62FD">
      <w:pPr>
        <w:spacing w:after="0" w:line="240" w:lineRule="auto"/>
        <w:ind w:left="1134" w:right="1094"/>
        <w:contextualSpacing/>
        <w:jc w:val="both"/>
        <w:rPr>
          <w:rFonts w:ascii="Times New Roman" w:hAnsi="Times New Roman"/>
          <w:b/>
        </w:rPr>
      </w:pPr>
      <w:r w:rsidRPr="00EC32DD">
        <w:rPr>
          <w:rFonts w:ascii="Times New Roman" w:hAnsi="Times New Roman"/>
          <w:b/>
        </w:rPr>
        <w:t xml:space="preserve">7. INTERPRETATION </w:t>
      </w:r>
    </w:p>
    <w:p w14:paraId="76FA434D" w14:textId="77777777" w:rsidR="00CF7D57" w:rsidRPr="00EC32DD" w:rsidRDefault="00CF7D57" w:rsidP="002D62FD">
      <w:pPr>
        <w:spacing w:after="0" w:line="240" w:lineRule="auto"/>
        <w:ind w:left="1134" w:right="1094"/>
        <w:contextualSpacing/>
        <w:jc w:val="both"/>
        <w:rPr>
          <w:rFonts w:ascii="Times New Roman" w:hAnsi="Times New Roman"/>
          <w:b/>
        </w:rPr>
      </w:pPr>
    </w:p>
    <w:p w14:paraId="79F4DE79"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Any differences between the Parties concerning the interpretation and implementation or application of any of the provisions of this </w:t>
      </w:r>
      <w:r>
        <w:rPr>
          <w:rFonts w:ascii="Times New Roman" w:hAnsi="Times New Roman"/>
        </w:rPr>
        <w:t>Framework</w:t>
      </w:r>
      <w:r w:rsidRPr="00EC32DD">
        <w:rPr>
          <w:rFonts w:ascii="Times New Roman" w:hAnsi="Times New Roman"/>
        </w:rPr>
        <w:t xml:space="preserve"> Agreement shall be settled amicably through consultation and negotiation between the Parties. </w:t>
      </w:r>
    </w:p>
    <w:p w14:paraId="4207D1C0" w14:textId="77777777" w:rsidR="00CF7D57" w:rsidRPr="00EC32DD" w:rsidRDefault="00CF7D57" w:rsidP="002D62FD">
      <w:pPr>
        <w:spacing w:after="0" w:line="240" w:lineRule="auto"/>
        <w:ind w:left="1134" w:right="1094"/>
        <w:contextualSpacing/>
        <w:jc w:val="both"/>
        <w:rPr>
          <w:rFonts w:ascii="Times New Roman" w:hAnsi="Times New Roman"/>
          <w:b/>
        </w:rPr>
      </w:pPr>
    </w:p>
    <w:p w14:paraId="41068E16" w14:textId="77777777" w:rsidR="00CF7D57" w:rsidRPr="00EC32DD" w:rsidRDefault="00CF7D57" w:rsidP="002D62FD">
      <w:pPr>
        <w:spacing w:after="0" w:line="240" w:lineRule="auto"/>
        <w:ind w:left="1134" w:right="1094"/>
        <w:contextualSpacing/>
        <w:jc w:val="both"/>
        <w:rPr>
          <w:rFonts w:ascii="Times New Roman" w:hAnsi="Times New Roman"/>
          <w:b/>
        </w:rPr>
      </w:pPr>
    </w:p>
    <w:p w14:paraId="3385CBF1" w14:textId="77777777" w:rsidR="00CF7D57" w:rsidRPr="00EC32DD" w:rsidRDefault="00CF7D57" w:rsidP="002D62FD">
      <w:pPr>
        <w:spacing w:after="0" w:line="240" w:lineRule="auto"/>
        <w:ind w:left="1134" w:right="1094"/>
        <w:contextualSpacing/>
        <w:jc w:val="both"/>
        <w:rPr>
          <w:rFonts w:ascii="Times New Roman" w:hAnsi="Times New Roman"/>
          <w:b/>
        </w:rPr>
      </w:pPr>
      <w:r w:rsidRPr="00EC32DD">
        <w:rPr>
          <w:rFonts w:ascii="Times New Roman" w:hAnsi="Times New Roman"/>
          <w:b/>
        </w:rPr>
        <w:t>8. EFFECTIVE DATE, VALIDITY AND TERMINATION </w:t>
      </w:r>
    </w:p>
    <w:p w14:paraId="2EEDB03F" w14:textId="77777777" w:rsidR="00CF7D57" w:rsidRPr="00EC32DD" w:rsidRDefault="00CF7D57" w:rsidP="002D62FD">
      <w:pPr>
        <w:spacing w:after="0" w:line="240" w:lineRule="auto"/>
        <w:ind w:left="1134" w:right="1094"/>
        <w:contextualSpacing/>
        <w:jc w:val="both"/>
        <w:rPr>
          <w:rFonts w:ascii="Times New Roman" w:hAnsi="Times New Roman"/>
          <w:b/>
        </w:rPr>
      </w:pPr>
    </w:p>
    <w:p w14:paraId="6F8F369A"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This </w:t>
      </w:r>
      <w:r>
        <w:rPr>
          <w:rFonts w:ascii="Times New Roman" w:hAnsi="Times New Roman"/>
        </w:rPr>
        <w:t>Framework</w:t>
      </w:r>
      <w:r w:rsidRPr="00EC32DD">
        <w:rPr>
          <w:rFonts w:ascii="Times New Roman" w:hAnsi="Times New Roman"/>
        </w:rPr>
        <w:t xml:space="preserve"> Agreement will be effective on the date of its signature by both Parties and shall remain effective for a period of five (5) years, however not before the deadline of the LIID Project. </w:t>
      </w:r>
    </w:p>
    <w:p w14:paraId="642EAA5A" w14:textId="77777777" w:rsidR="00CF7D57" w:rsidRPr="00EC32DD" w:rsidRDefault="00CF7D57" w:rsidP="002D62FD">
      <w:pPr>
        <w:spacing w:after="0" w:line="240" w:lineRule="auto"/>
        <w:ind w:left="1134" w:right="1094"/>
        <w:contextualSpacing/>
        <w:jc w:val="both"/>
        <w:rPr>
          <w:rFonts w:ascii="Times New Roman" w:hAnsi="Times New Roman"/>
        </w:rPr>
      </w:pPr>
    </w:p>
    <w:p w14:paraId="6D4A3B00" w14:textId="77777777" w:rsidR="00CF7D57" w:rsidRPr="00EC32DD" w:rsidRDefault="00CF7D57" w:rsidP="002D62FD">
      <w:pPr>
        <w:spacing w:after="0" w:line="240" w:lineRule="auto"/>
        <w:ind w:left="1134" w:right="1094"/>
        <w:contextualSpacing/>
        <w:jc w:val="both"/>
        <w:rPr>
          <w:rFonts w:ascii="Times New Roman" w:hAnsi="Times New Roman"/>
        </w:rPr>
      </w:pPr>
      <w:r w:rsidRPr="00EC32DD">
        <w:rPr>
          <w:rFonts w:ascii="Times New Roman" w:hAnsi="Times New Roman"/>
        </w:rPr>
        <w:t xml:space="preserve">The period of cooperation under this </w:t>
      </w:r>
      <w:r>
        <w:rPr>
          <w:rFonts w:ascii="Times New Roman" w:hAnsi="Times New Roman"/>
        </w:rPr>
        <w:t>Framework</w:t>
      </w:r>
      <w:r w:rsidRPr="00EC32DD">
        <w:rPr>
          <w:rFonts w:ascii="Times New Roman" w:hAnsi="Times New Roman"/>
        </w:rPr>
        <w:t xml:space="preserve"> Agreement will be automatically extended unless either of the Party notifies to the other, in writing, of its intention to terminate this </w:t>
      </w:r>
      <w:r>
        <w:rPr>
          <w:rFonts w:ascii="Times New Roman" w:hAnsi="Times New Roman"/>
        </w:rPr>
        <w:t>Framework</w:t>
      </w:r>
      <w:r w:rsidRPr="00EC32DD">
        <w:rPr>
          <w:rFonts w:ascii="Times New Roman" w:hAnsi="Times New Roman"/>
        </w:rPr>
        <w:t xml:space="preserve"> Agreement, at least six (6) months before the desired date of termination. </w:t>
      </w:r>
    </w:p>
    <w:p w14:paraId="53C655F3" w14:textId="77777777" w:rsidR="00CF7D57" w:rsidRPr="00EC32DD" w:rsidRDefault="00CF7D57" w:rsidP="002D62FD">
      <w:pPr>
        <w:spacing w:after="0" w:line="240" w:lineRule="auto"/>
        <w:ind w:left="1134" w:right="1094"/>
        <w:contextualSpacing/>
        <w:jc w:val="both"/>
        <w:rPr>
          <w:rFonts w:ascii="Times New Roman" w:hAnsi="Times New Roman"/>
        </w:rPr>
      </w:pPr>
    </w:p>
    <w:p w14:paraId="7ADC3B24" w14:textId="77777777" w:rsidR="00CF7D57" w:rsidRPr="00EC32DD" w:rsidRDefault="00CF7D57" w:rsidP="002D62FD">
      <w:pPr>
        <w:spacing w:after="0" w:line="240" w:lineRule="auto"/>
        <w:ind w:left="1134" w:right="1094"/>
        <w:contextualSpacing/>
        <w:jc w:val="both"/>
        <w:rPr>
          <w:rFonts w:ascii="Times New Roman" w:hAnsi="Times New Roman"/>
        </w:rPr>
      </w:pPr>
    </w:p>
    <w:p w14:paraId="6DD5DB8C" w14:textId="77777777" w:rsidR="00CF7D57" w:rsidRPr="00EC32DD" w:rsidRDefault="00CF7D57" w:rsidP="002D62FD">
      <w:pPr>
        <w:spacing w:after="0" w:line="240" w:lineRule="auto"/>
        <w:ind w:left="1134" w:right="1094"/>
        <w:contextualSpacing/>
        <w:jc w:val="center"/>
        <w:rPr>
          <w:rFonts w:ascii="Times New Roman" w:hAnsi="Times New Roman"/>
          <w:b/>
        </w:rPr>
      </w:pPr>
      <w:r w:rsidRPr="00EC32DD">
        <w:rPr>
          <w:rFonts w:ascii="Times New Roman" w:hAnsi="Times New Roman"/>
          <w:b/>
        </w:rPr>
        <w:t xml:space="preserve">PARTIES TO THIS </w:t>
      </w:r>
      <w:r>
        <w:rPr>
          <w:rFonts w:ascii="Times New Roman" w:hAnsi="Times New Roman"/>
          <w:b/>
        </w:rPr>
        <w:t>FRAMEWORK</w:t>
      </w:r>
      <w:r w:rsidRPr="00EC32DD">
        <w:rPr>
          <w:rFonts w:ascii="Times New Roman" w:hAnsi="Times New Roman"/>
          <w:b/>
        </w:rPr>
        <w:t xml:space="preserve"> AGREEMENT:</w:t>
      </w:r>
    </w:p>
    <w:tbl>
      <w:tblPr>
        <w:tblW w:w="9404" w:type="dxa"/>
        <w:tblLook w:val="04A0" w:firstRow="1" w:lastRow="0" w:firstColumn="1" w:lastColumn="0" w:noHBand="0" w:noVBand="1"/>
      </w:tblPr>
      <w:tblGrid>
        <w:gridCol w:w="4702"/>
        <w:gridCol w:w="4702"/>
      </w:tblGrid>
      <w:tr w:rsidR="00CF7D57" w:rsidRPr="00EC32DD" w14:paraId="0A345F86" w14:textId="77777777" w:rsidTr="00CF7D57">
        <w:trPr>
          <w:trHeight w:val="1111"/>
        </w:trPr>
        <w:tc>
          <w:tcPr>
            <w:tcW w:w="4702" w:type="dxa"/>
            <w:shd w:val="clear" w:color="auto" w:fill="auto"/>
          </w:tcPr>
          <w:p w14:paraId="40547349" w14:textId="77777777" w:rsidR="00CF7D57" w:rsidRPr="00EC32DD" w:rsidRDefault="00CF7D57" w:rsidP="002D62FD">
            <w:pPr>
              <w:spacing w:after="0" w:line="240" w:lineRule="auto"/>
              <w:ind w:left="1134" w:right="1094"/>
              <w:contextualSpacing/>
              <w:rPr>
                <w:rFonts w:ascii="Times New Roman" w:eastAsia="Calibri" w:hAnsi="Times New Roman"/>
                <w:b/>
                <w:lang w:val="mk-MK"/>
              </w:rPr>
            </w:pPr>
          </w:p>
          <w:p w14:paraId="02D780E1" w14:textId="77777777" w:rsidR="00CF7D57" w:rsidRPr="00EC32DD" w:rsidRDefault="00CF7D57" w:rsidP="002D62FD">
            <w:pPr>
              <w:spacing w:after="0" w:line="240" w:lineRule="auto"/>
              <w:ind w:left="1134" w:right="1094"/>
              <w:contextualSpacing/>
              <w:rPr>
                <w:rFonts w:ascii="Times New Roman" w:eastAsia="Calibri" w:hAnsi="Times New Roman"/>
                <w:b/>
                <w:lang w:val="mk-MK"/>
              </w:rPr>
            </w:pPr>
            <w:r w:rsidRPr="00EC32DD">
              <w:rPr>
                <w:rFonts w:ascii="Times New Roman" w:eastAsia="Calibri" w:hAnsi="Times New Roman"/>
                <w:b/>
                <w:lang w:val="sr-Latn-RS"/>
              </w:rPr>
              <w:t xml:space="preserve">            </w:t>
            </w:r>
            <w:r w:rsidRPr="00EC32DD">
              <w:rPr>
                <w:rFonts w:ascii="Times New Roman" w:eastAsia="Calibri" w:hAnsi="Times New Roman"/>
                <w:b/>
              </w:rPr>
              <w:t>FOR THE MCTI</w:t>
            </w:r>
            <w:r w:rsidRPr="00EC32DD">
              <w:rPr>
                <w:rFonts w:ascii="Times New Roman" w:eastAsia="Calibri" w:hAnsi="Times New Roman"/>
                <w:b/>
                <w:lang w:val="mk-MK"/>
              </w:rPr>
              <w:t>:</w:t>
            </w:r>
          </w:p>
          <w:p w14:paraId="2077E48C" w14:textId="77777777" w:rsidR="00CF7D57" w:rsidRPr="00EC32DD" w:rsidRDefault="00CF7D57" w:rsidP="002D62FD">
            <w:pPr>
              <w:spacing w:after="0" w:line="240" w:lineRule="auto"/>
              <w:ind w:left="1134" w:right="1094"/>
              <w:contextualSpacing/>
              <w:rPr>
                <w:rFonts w:ascii="Times New Roman" w:eastAsia="Calibri" w:hAnsi="Times New Roman"/>
                <w:b/>
                <w:lang w:val="mk-MK"/>
              </w:rPr>
            </w:pPr>
          </w:p>
          <w:p w14:paraId="32879A2A" w14:textId="77777777" w:rsidR="00CF7D57" w:rsidRPr="00EC32DD" w:rsidRDefault="00CF7D57" w:rsidP="002D62FD">
            <w:pPr>
              <w:spacing w:after="0" w:line="240" w:lineRule="auto"/>
              <w:ind w:left="1134" w:right="1094"/>
              <w:contextualSpacing/>
              <w:rPr>
                <w:rFonts w:ascii="Times New Roman" w:eastAsia="Calibri" w:hAnsi="Times New Roman"/>
                <w:b/>
              </w:rPr>
            </w:pPr>
            <w:r w:rsidRPr="00EC32DD">
              <w:rPr>
                <w:rFonts w:ascii="Times New Roman" w:eastAsia="Calibri" w:hAnsi="Times New Roman"/>
                <w:b/>
                <w:lang w:val="mk-MK"/>
              </w:rPr>
              <w:t xml:space="preserve">                  </w:t>
            </w:r>
            <w:r w:rsidRPr="00EC32DD">
              <w:rPr>
                <w:rFonts w:ascii="Times New Roman" w:eastAsia="Calibri" w:hAnsi="Times New Roman"/>
                <w:b/>
              </w:rPr>
              <w:t>Minister</w:t>
            </w:r>
          </w:p>
          <w:p w14:paraId="17321CCB" w14:textId="77777777" w:rsidR="00CF7D57" w:rsidRPr="00EC32DD" w:rsidRDefault="00CF7D57" w:rsidP="002D62FD">
            <w:pPr>
              <w:spacing w:after="0" w:line="240" w:lineRule="auto"/>
              <w:ind w:left="1134" w:right="1094"/>
              <w:contextualSpacing/>
              <w:rPr>
                <w:rFonts w:ascii="Times New Roman" w:eastAsia="Calibri" w:hAnsi="Times New Roman"/>
                <w:b/>
              </w:rPr>
            </w:pPr>
            <w:r w:rsidRPr="00EC32DD">
              <w:rPr>
                <w:rFonts w:ascii="Times New Roman" w:eastAsia="Calibri" w:hAnsi="Times New Roman"/>
                <w:b/>
                <w:lang w:val="mk-MK"/>
              </w:rPr>
              <w:t xml:space="preserve">           </w:t>
            </w:r>
            <w:r w:rsidRPr="00EC32DD">
              <w:rPr>
                <w:rFonts w:ascii="Times New Roman" w:eastAsia="Calibri" w:hAnsi="Times New Roman"/>
                <w:b/>
              </w:rPr>
              <w:t>_________________</w:t>
            </w:r>
            <w:r w:rsidRPr="00EC32DD">
              <w:rPr>
                <w:rFonts w:ascii="Times New Roman" w:eastAsia="Calibri" w:hAnsi="Times New Roman"/>
                <w:b/>
                <w:lang w:val="mk-MK"/>
              </w:rPr>
              <w:t xml:space="preserve"> </w:t>
            </w:r>
          </w:p>
        </w:tc>
        <w:tc>
          <w:tcPr>
            <w:tcW w:w="4702" w:type="dxa"/>
            <w:shd w:val="clear" w:color="auto" w:fill="auto"/>
          </w:tcPr>
          <w:p w14:paraId="788761EC" w14:textId="77777777" w:rsidR="00CF7D57" w:rsidRPr="00EC32DD" w:rsidRDefault="00CF7D57" w:rsidP="002D62FD">
            <w:pPr>
              <w:spacing w:after="0" w:line="240" w:lineRule="auto"/>
              <w:ind w:left="1134" w:right="1094"/>
              <w:contextualSpacing/>
              <w:rPr>
                <w:rFonts w:ascii="Times New Roman" w:eastAsia="Calibri" w:hAnsi="Times New Roman"/>
                <w:b/>
                <w:lang w:val="sr-Latn-RS"/>
              </w:rPr>
            </w:pPr>
            <w:r w:rsidRPr="00EC32DD">
              <w:rPr>
                <w:rFonts w:ascii="Times New Roman" w:eastAsia="Calibri" w:hAnsi="Times New Roman"/>
                <w:b/>
                <w:lang w:val="mk-MK"/>
              </w:rPr>
              <w:t xml:space="preserve">                   </w:t>
            </w:r>
            <w:r w:rsidRPr="00EC32DD">
              <w:rPr>
                <w:rFonts w:ascii="Times New Roman" w:eastAsia="Calibri" w:hAnsi="Times New Roman"/>
                <w:b/>
                <w:lang w:val="sr-Latn-RS"/>
              </w:rPr>
              <w:t xml:space="preserve">        </w:t>
            </w:r>
          </w:p>
          <w:p w14:paraId="7CC49431" w14:textId="77777777" w:rsidR="00CF7D57" w:rsidRPr="00EC32DD" w:rsidRDefault="00CF7D57" w:rsidP="002D62FD">
            <w:pPr>
              <w:spacing w:after="0" w:line="240" w:lineRule="auto"/>
              <w:ind w:left="1134" w:right="1094"/>
              <w:contextualSpacing/>
              <w:rPr>
                <w:rFonts w:ascii="Times New Roman" w:eastAsia="Calibri" w:hAnsi="Times New Roman"/>
                <w:b/>
                <w:lang w:val="mk-MK"/>
              </w:rPr>
            </w:pPr>
            <w:r w:rsidRPr="00EC32DD">
              <w:rPr>
                <w:rFonts w:ascii="Times New Roman" w:eastAsia="Calibri" w:hAnsi="Times New Roman"/>
                <w:b/>
              </w:rPr>
              <w:t xml:space="preserve">                        FOR THE LSG</w:t>
            </w:r>
            <w:r w:rsidRPr="00EC32DD">
              <w:rPr>
                <w:rFonts w:ascii="Times New Roman" w:eastAsia="Calibri" w:hAnsi="Times New Roman"/>
                <w:b/>
                <w:lang w:val="mk-MK"/>
              </w:rPr>
              <w:t>:</w:t>
            </w:r>
          </w:p>
          <w:p w14:paraId="1C760693" w14:textId="77777777" w:rsidR="00CF7D57" w:rsidRPr="00EC32DD" w:rsidRDefault="00CF7D57" w:rsidP="002D62FD">
            <w:pPr>
              <w:spacing w:after="0" w:line="240" w:lineRule="auto"/>
              <w:ind w:left="1134" w:right="1094"/>
              <w:contextualSpacing/>
              <w:rPr>
                <w:rFonts w:ascii="Times New Roman" w:eastAsia="Calibri" w:hAnsi="Times New Roman"/>
                <w:b/>
                <w:lang w:val="mk-MK"/>
              </w:rPr>
            </w:pPr>
            <w:r w:rsidRPr="00EC32DD">
              <w:rPr>
                <w:rFonts w:ascii="Times New Roman" w:eastAsia="Calibri" w:hAnsi="Times New Roman"/>
                <w:b/>
                <w:lang w:val="mk-MK"/>
              </w:rPr>
              <w:t xml:space="preserve">                         </w:t>
            </w:r>
          </w:p>
          <w:p w14:paraId="76E70918" w14:textId="77777777" w:rsidR="00CF7D57" w:rsidRPr="00EC32DD" w:rsidRDefault="00CF7D57" w:rsidP="002D62FD">
            <w:pPr>
              <w:spacing w:after="0" w:line="240" w:lineRule="auto"/>
              <w:ind w:left="1134" w:right="1094"/>
              <w:contextualSpacing/>
              <w:rPr>
                <w:rFonts w:ascii="Times New Roman" w:eastAsia="Calibri" w:hAnsi="Times New Roman"/>
                <w:b/>
              </w:rPr>
            </w:pPr>
            <w:r w:rsidRPr="00EC32DD">
              <w:rPr>
                <w:rFonts w:ascii="Times New Roman" w:eastAsia="Calibri" w:hAnsi="Times New Roman"/>
                <w:b/>
                <w:lang w:val="sr-Latn-RS"/>
              </w:rPr>
              <w:t xml:space="preserve">                       </w:t>
            </w:r>
            <w:r w:rsidRPr="00EC32DD">
              <w:rPr>
                <w:rFonts w:ascii="Times New Roman" w:eastAsia="Calibri" w:hAnsi="Times New Roman"/>
                <w:b/>
              </w:rPr>
              <w:t>Mayor</w:t>
            </w:r>
          </w:p>
          <w:p w14:paraId="1854D9CE" w14:textId="77777777" w:rsidR="00CF7D57" w:rsidRPr="00EC32DD" w:rsidRDefault="00CF7D57" w:rsidP="002D62FD">
            <w:pPr>
              <w:spacing w:after="0" w:line="240" w:lineRule="auto"/>
              <w:ind w:left="1134" w:right="1094"/>
              <w:contextualSpacing/>
              <w:rPr>
                <w:rFonts w:ascii="Times New Roman" w:eastAsia="Calibri" w:hAnsi="Times New Roman"/>
                <w:b/>
                <w:bCs/>
                <w:lang w:val="mk-MK"/>
              </w:rPr>
            </w:pPr>
            <w:r w:rsidRPr="00EC32DD">
              <w:rPr>
                <w:rFonts w:ascii="Times New Roman" w:eastAsia="Calibri" w:hAnsi="Times New Roman"/>
                <w:b/>
                <w:bCs/>
                <w:lang w:val="mk-MK"/>
              </w:rPr>
              <w:t xml:space="preserve">                           </w:t>
            </w:r>
            <w:r w:rsidRPr="00EC32DD">
              <w:rPr>
                <w:rFonts w:ascii="Times New Roman" w:eastAsia="Calibri" w:hAnsi="Times New Roman"/>
                <w:b/>
                <w:bCs/>
              </w:rPr>
              <w:t>_________________</w:t>
            </w:r>
          </w:p>
        </w:tc>
      </w:tr>
    </w:tbl>
    <w:p w14:paraId="430CD423" w14:textId="77777777" w:rsidR="00DB60FB" w:rsidRDefault="00DB60FB" w:rsidP="00CF7D57">
      <w:pPr>
        <w:spacing w:after="0" w:line="240" w:lineRule="auto"/>
        <w:ind w:left="1134" w:right="1094"/>
        <w:contextualSpacing/>
        <w:rPr>
          <w:rFonts w:ascii="Times New Roman" w:hAnsi="Times New Roman"/>
        </w:rPr>
        <w:sectPr w:rsidR="00DB60FB" w:rsidSect="002D62FD">
          <w:type w:val="continuous"/>
          <w:pgSz w:w="11910" w:h="16840" w:code="9"/>
          <w:pgMar w:top="839" w:right="720" w:bottom="941" w:left="743" w:header="510" w:footer="340" w:gutter="0"/>
          <w:cols w:space="720"/>
        </w:sectPr>
      </w:pPr>
    </w:p>
    <w:p w14:paraId="16414730" w14:textId="6221BAEC" w:rsidR="00CF7D57" w:rsidRPr="00EC32DD" w:rsidRDefault="00CF7D57" w:rsidP="002D62FD">
      <w:pPr>
        <w:spacing w:after="0" w:line="240" w:lineRule="auto"/>
        <w:ind w:left="1134" w:right="1094"/>
        <w:contextualSpacing/>
        <w:rPr>
          <w:rFonts w:ascii="Times New Roman" w:hAnsi="Times New Roman"/>
        </w:rPr>
      </w:pPr>
    </w:p>
    <w:p w14:paraId="1EC2FF95" w14:textId="31EC19F8" w:rsidR="00DA2452" w:rsidRPr="00805410" w:rsidRDefault="00DA2452" w:rsidP="00805410">
      <w:pPr>
        <w:spacing w:after="0" w:line="240" w:lineRule="auto"/>
        <w:jc w:val="both"/>
        <w:rPr>
          <w:rFonts w:ascii="Times New Roman" w:hAnsi="Times New Roman" w:cs="Times New Roman"/>
          <w:color w:val="000000" w:themeColor="text1"/>
          <w:sz w:val="2"/>
        </w:rPr>
      </w:pPr>
    </w:p>
    <w:p w14:paraId="28B2D6A9" w14:textId="6B58C112" w:rsidR="009E1CE0" w:rsidRPr="00D01979" w:rsidRDefault="009E1CE0" w:rsidP="00D01979">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08" w:name="_Toc93342333"/>
      <w:r w:rsidRPr="00044A47">
        <w:rPr>
          <w:rFonts w:ascii="Times New Roman" w:hAnsi="Times New Roman" w:cs="Times New Roman"/>
          <w:smallCaps w:val="0"/>
          <w:color w:val="auto"/>
          <w:sz w:val="28"/>
          <w:szCs w:val="30"/>
        </w:rPr>
        <w:t xml:space="preserve">Annex 4: Template of the </w:t>
      </w:r>
      <w:r w:rsidR="006913CC" w:rsidRPr="00044A47">
        <w:rPr>
          <w:rFonts w:ascii="Times New Roman" w:hAnsi="Times New Roman" w:cs="Times New Roman"/>
          <w:smallCaps w:val="0"/>
          <w:color w:val="auto"/>
          <w:sz w:val="28"/>
          <w:szCs w:val="30"/>
        </w:rPr>
        <w:t>Grant Agreement</w:t>
      </w:r>
      <w:r w:rsidR="00921B17" w:rsidRPr="00044A47">
        <w:rPr>
          <w:rFonts w:ascii="Times New Roman" w:hAnsi="Times New Roman" w:cs="Times New Roman"/>
          <w:smallCaps w:val="0"/>
          <w:color w:val="auto"/>
          <w:sz w:val="28"/>
          <w:szCs w:val="30"/>
        </w:rPr>
        <w:t xml:space="preserve"> </w:t>
      </w:r>
      <w:r w:rsidRPr="00044A47">
        <w:rPr>
          <w:rFonts w:ascii="Times New Roman" w:hAnsi="Times New Roman" w:cs="Times New Roman"/>
          <w:smallCaps w:val="0"/>
          <w:color w:val="auto"/>
          <w:sz w:val="28"/>
          <w:szCs w:val="30"/>
        </w:rPr>
        <w:t>(</w:t>
      </w:r>
      <w:r w:rsidR="006913CC" w:rsidRPr="00044A47">
        <w:rPr>
          <w:rFonts w:ascii="Times New Roman" w:hAnsi="Times New Roman" w:cs="Times New Roman"/>
          <w:smallCaps w:val="0"/>
          <w:color w:val="auto"/>
          <w:sz w:val="28"/>
          <w:szCs w:val="30"/>
        </w:rPr>
        <w:t>GA</w:t>
      </w:r>
      <w:r w:rsidRPr="00044A47">
        <w:rPr>
          <w:rFonts w:ascii="Times New Roman" w:hAnsi="Times New Roman" w:cs="Times New Roman"/>
          <w:smallCaps w:val="0"/>
          <w:color w:val="auto"/>
          <w:sz w:val="28"/>
          <w:szCs w:val="30"/>
        </w:rPr>
        <w:t>)</w:t>
      </w:r>
      <w:bookmarkEnd w:id="708"/>
    </w:p>
    <w:p w14:paraId="790DCF2D" w14:textId="21D1E8EF" w:rsidR="00DA2452" w:rsidRPr="002D62FD" w:rsidRDefault="00DA2452" w:rsidP="00DB60FB">
      <w:pPr>
        <w:spacing w:line="276" w:lineRule="auto"/>
        <w:ind w:left="851" w:right="811"/>
        <w:rPr>
          <w:rFonts w:ascii="Times New Roman" w:hAnsi="Times New Roman" w:cs="Times New Roman"/>
          <w:color w:val="000000" w:themeColor="text1"/>
          <w:sz w:val="6"/>
        </w:rPr>
      </w:pPr>
      <w:bookmarkStart w:id="709" w:name="_Hlk89338844"/>
    </w:p>
    <w:p w14:paraId="0CE1EEC5" w14:textId="77777777" w:rsidR="00DA2452" w:rsidRPr="00D01979" w:rsidRDefault="00DA2452" w:rsidP="00DB60FB">
      <w:pPr>
        <w:spacing w:line="276" w:lineRule="auto"/>
        <w:ind w:left="851" w:right="811"/>
        <w:rPr>
          <w:rFonts w:ascii="Times New Roman" w:hAnsi="Times New Roman" w:cs="Times New Roman"/>
          <w:smallCaps/>
          <w:color w:val="000000" w:themeColor="text1"/>
        </w:rPr>
      </w:pPr>
    </w:p>
    <w:p w14:paraId="16E3DA68" w14:textId="77777777" w:rsidR="00FA25E7" w:rsidRPr="00D01979" w:rsidRDefault="00FA25E7" w:rsidP="00DB60FB">
      <w:pPr>
        <w:spacing w:after="120" w:line="276" w:lineRule="auto"/>
        <w:ind w:left="851" w:right="811"/>
        <w:jc w:val="both"/>
        <w:rPr>
          <w:rFonts w:ascii="Times New Roman" w:hAnsi="Times New Roman" w:cs="Times New Roman"/>
          <w:b/>
          <w:color w:val="000000" w:themeColor="text1"/>
        </w:rPr>
      </w:pPr>
    </w:p>
    <w:tbl>
      <w:tblPr>
        <w:tblpPr w:leftFromText="180" w:rightFromText="180" w:vertAnchor="text" w:horzAnchor="margin" w:tblpX="817" w:tblpY="-764"/>
        <w:tblW w:w="0" w:type="auto"/>
        <w:tblLook w:val="0000" w:firstRow="0" w:lastRow="0" w:firstColumn="0" w:lastColumn="0" w:noHBand="0" w:noVBand="0"/>
      </w:tblPr>
      <w:tblGrid>
        <w:gridCol w:w="5070"/>
      </w:tblGrid>
      <w:tr w:rsidR="00F23EF8" w:rsidRPr="00DD713A" w14:paraId="516459BD" w14:textId="77777777" w:rsidTr="002D62FD">
        <w:trPr>
          <w:trHeight w:val="573"/>
        </w:trPr>
        <w:tc>
          <w:tcPr>
            <w:tcW w:w="5070" w:type="dxa"/>
          </w:tcPr>
          <w:p w14:paraId="51280558" w14:textId="13EFD2DE" w:rsidR="00DA2452" w:rsidRPr="00DD713A" w:rsidRDefault="0087027D" w:rsidP="002D62FD">
            <w:pPr>
              <w:spacing w:after="0" w:line="276" w:lineRule="auto"/>
              <w:ind w:left="2127" w:right="-108"/>
              <w:rPr>
                <w:rFonts w:ascii="Times New Roman" w:eastAsia="Times New Roman" w:hAnsi="Times New Roman" w:cs="Times New Roman"/>
                <w:b/>
                <w:color w:val="000000" w:themeColor="text1"/>
                <w:spacing w:val="6"/>
              </w:rPr>
            </w:pPr>
            <w:r>
              <w:rPr>
                <w:rFonts w:ascii="Times New Roman" w:eastAsia="Times New Roman" w:hAnsi="Times New Roman" w:cs="Times New Roman"/>
                <w:b/>
                <w:color w:val="000000" w:themeColor="text1"/>
                <w:spacing w:val="6"/>
              </w:rPr>
              <w:t xml:space="preserve"> </w:t>
            </w:r>
            <w:r w:rsidR="00DA2452" w:rsidRPr="00DD713A">
              <w:rPr>
                <w:rFonts w:ascii="Times New Roman" w:eastAsia="Times New Roman" w:hAnsi="Times New Roman" w:cs="Times New Roman"/>
                <w:b/>
                <w:noProof/>
                <w:color w:val="000000" w:themeColor="text1"/>
                <w:spacing w:val="6"/>
                <w:lang w:val="en-US"/>
              </w:rPr>
              <w:drawing>
                <wp:inline distT="0" distB="0" distL="0" distR="0" wp14:anchorId="3AE7F43B" wp14:editId="6F914EE7">
                  <wp:extent cx="403870" cy="702733"/>
                  <wp:effectExtent l="0" t="0" r="2540" b="0"/>
                  <wp:docPr id="15" name="Picture 15" descr="Description: 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rbija-mali-grb-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7735" cy="709458"/>
                          </a:xfrm>
                          <a:prstGeom prst="rect">
                            <a:avLst/>
                          </a:prstGeom>
                          <a:noFill/>
                          <a:ln>
                            <a:noFill/>
                          </a:ln>
                        </pic:spPr>
                      </pic:pic>
                    </a:graphicData>
                  </a:graphic>
                </wp:inline>
              </w:drawing>
            </w:r>
          </w:p>
          <w:p w14:paraId="0761E394" w14:textId="2BE29754" w:rsidR="00DA2452" w:rsidRPr="00DD713A" w:rsidRDefault="00DA2452" w:rsidP="002D62FD">
            <w:pPr>
              <w:spacing w:after="0" w:line="276" w:lineRule="auto"/>
              <w:ind w:right="34"/>
              <w:jc w:val="center"/>
              <w:rPr>
                <w:rFonts w:ascii="Times New Roman" w:eastAsia="Times New Roman" w:hAnsi="Times New Roman" w:cs="Times New Roman"/>
                <w:b/>
                <w:color w:val="000000" w:themeColor="text1"/>
                <w:spacing w:val="6"/>
              </w:rPr>
            </w:pPr>
            <w:r w:rsidRPr="00DD713A">
              <w:rPr>
                <w:rFonts w:ascii="Times New Roman" w:eastAsia="Times New Roman" w:hAnsi="Times New Roman" w:cs="Times New Roman"/>
                <w:b/>
                <w:color w:val="000000" w:themeColor="text1"/>
                <w:spacing w:val="6"/>
              </w:rPr>
              <w:t>Republic of Serbia</w:t>
            </w:r>
          </w:p>
        </w:tc>
      </w:tr>
      <w:tr w:rsidR="00F23EF8" w:rsidRPr="00DD713A" w14:paraId="7C85E15D" w14:textId="77777777" w:rsidTr="002D62FD">
        <w:trPr>
          <w:trHeight w:val="71"/>
        </w:trPr>
        <w:tc>
          <w:tcPr>
            <w:tcW w:w="5070" w:type="dxa"/>
          </w:tcPr>
          <w:p w14:paraId="11D3919D" w14:textId="3BEC1409" w:rsidR="00DA2452" w:rsidRPr="00DD713A" w:rsidRDefault="00DA2452" w:rsidP="002D62FD">
            <w:pPr>
              <w:spacing w:after="0" w:line="276" w:lineRule="auto"/>
              <w:ind w:left="-142" w:right="-108"/>
              <w:jc w:val="center"/>
              <w:rPr>
                <w:rFonts w:ascii="Times New Roman" w:eastAsia="Times New Roman" w:hAnsi="Times New Roman" w:cs="Times New Roman"/>
                <w:b/>
                <w:color w:val="000000" w:themeColor="text1"/>
                <w:spacing w:val="6"/>
              </w:rPr>
            </w:pPr>
            <w:r w:rsidRPr="00DD713A">
              <w:rPr>
                <w:rFonts w:ascii="Times New Roman" w:eastAsia="Times New Roman" w:hAnsi="Times New Roman" w:cs="Times New Roman"/>
                <w:b/>
                <w:color w:val="000000" w:themeColor="text1"/>
                <w:spacing w:val="6"/>
              </w:rPr>
              <w:t>MINISTRY OF CONSTRUCTION,</w:t>
            </w:r>
          </w:p>
        </w:tc>
      </w:tr>
      <w:tr w:rsidR="00F23EF8" w:rsidRPr="00DD713A" w14:paraId="6E121EB1" w14:textId="77777777" w:rsidTr="002D62FD">
        <w:trPr>
          <w:trHeight w:val="71"/>
        </w:trPr>
        <w:tc>
          <w:tcPr>
            <w:tcW w:w="5070" w:type="dxa"/>
          </w:tcPr>
          <w:p w14:paraId="3723A8DE" w14:textId="72795CF2" w:rsidR="00DA2452" w:rsidRPr="00DD713A" w:rsidRDefault="00DA2452" w:rsidP="002D62FD">
            <w:pPr>
              <w:spacing w:after="0" w:line="276" w:lineRule="auto"/>
              <w:ind w:left="-142" w:right="-108"/>
              <w:jc w:val="center"/>
              <w:rPr>
                <w:rFonts w:ascii="Times New Roman" w:eastAsia="Times New Roman" w:hAnsi="Times New Roman" w:cs="Times New Roman"/>
                <w:b/>
                <w:color w:val="000000" w:themeColor="text1"/>
                <w:spacing w:val="6"/>
              </w:rPr>
            </w:pPr>
            <w:r w:rsidRPr="00DD713A">
              <w:rPr>
                <w:rFonts w:ascii="Times New Roman" w:eastAsia="Times New Roman" w:hAnsi="Times New Roman" w:cs="Times New Roman"/>
                <w:b/>
                <w:color w:val="000000" w:themeColor="text1"/>
                <w:spacing w:val="6"/>
              </w:rPr>
              <w:t>TRANSPORT AND</w:t>
            </w:r>
            <w:r w:rsidR="002211DA">
              <w:rPr>
                <w:rFonts w:ascii="Times New Roman" w:eastAsia="Times New Roman" w:hAnsi="Times New Roman" w:cs="Times New Roman"/>
                <w:b/>
                <w:color w:val="000000" w:themeColor="text1"/>
                <w:spacing w:val="6"/>
              </w:rPr>
              <w:t xml:space="preserve"> </w:t>
            </w:r>
            <w:r w:rsidRPr="00DD713A">
              <w:rPr>
                <w:rFonts w:ascii="Times New Roman" w:eastAsia="Times New Roman" w:hAnsi="Times New Roman" w:cs="Times New Roman"/>
                <w:b/>
                <w:color w:val="000000" w:themeColor="text1"/>
                <w:spacing w:val="6"/>
              </w:rPr>
              <w:t>INFRASTRUCTURE</w:t>
            </w:r>
          </w:p>
        </w:tc>
      </w:tr>
      <w:tr w:rsidR="00F23EF8" w:rsidRPr="00DD713A" w14:paraId="68A5CEB1" w14:textId="77777777" w:rsidTr="002D62FD">
        <w:trPr>
          <w:trHeight w:val="54"/>
        </w:trPr>
        <w:tc>
          <w:tcPr>
            <w:tcW w:w="5070" w:type="dxa"/>
          </w:tcPr>
          <w:p w14:paraId="48306888" w14:textId="4BF92D6A" w:rsidR="00DA2452" w:rsidRPr="00DD713A" w:rsidRDefault="00921B17" w:rsidP="002D62FD">
            <w:pPr>
              <w:keepNext/>
              <w:spacing w:after="0" w:line="276" w:lineRule="auto"/>
              <w:ind w:left="-142" w:right="-108"/>
              <w:jc w:val="both"/>
              <w:outlineLvl w:val="5"/>
              <w:rPr>
                <w:rFonts w:ascii="Times New Roman" w:eastAsia="Times New Roman" w:hAnsi="Times New Roman" w:cs="Times New Roman"/>
                <w:bCs/>
                <w:color w:val="000000" w:themeColor="text1"/>
                <w:spacing w:val="6"/>
              </w:rPr>
            </w:pPr>
            <w:r w:rsidRPr="00DD713A">
              <w:rPr>
                <w:rFonts w:ascii="Times New Roman" w:eastAsia="Times New Roman" w:hAnsi="Times New Roman" w:cs="Times New Roman"/>
                <w:bCs/>
                <w:color w:val="000000" w:themeColor="text1"/>
                <w:spacing w:val="6"/>
              </w:rPr>
              <w:t xml:space="preserve"> </w:t>
            </w:r>
            <w:r w:rsidR="00EF6141">
              <w:rPr>
                <w:rFonts w:ascii="Times New Roman" w:eastAsia="Times New Roman" w:hAnsi="Times New Roman" w:cs="Times New Roman"/>
                <w:bCs/>
                <w:color w:val="000000" w:themeColor="text1"/>
                <w:spacing w:val="6"/>
              </w:rPr>
              <w:t xml:space="preserve">     </w:t>
            </w:r>
            <w:r w:rsidR="00DA2452" w:rsidRPr="00DD713A">
              <w:rPr>
                <w:rFonts w:ascii="Times New Roman" w:eastAsia="Times New Roman" w:hAnsi="Times New Roman" w:cs="Times New Roman"/>
                <w:bCs/>
                <w:color w:val="000000" w:themeColor="text1"/>
                <w:spacing w:val="6"/>
              </w:rPr>
              <w:t>Number: XXXXXXXXXX</w:t>
            </w:r>
          </w:p>
          <w:p w14:paraId="0427098B" w14:textId="31500B3C" w:rsidR="00DA2452" w:rsidRPr="00DD713A" w:rsidRDefault="00921B17" w:rsidP="002D62FD">
            <w:pPr>
              <w:keepNext/>
              <w:spacing w:after="0" w:line="276" w:lineRule="auto"/>
              <w:ind w:left="-142" w:right="-108"/>
              <w:jc w:val="both"/>
              <w:outlineLvl w:val="5"/>
              <w:rPr>
                <w:rFonts w:ascii="Times New Roman" w:eastAsia="Times New Roman" w:hAnsi="Times New Roman" w:cs="Times New Roman"/>
                <w:bCs/>
                <w:color w:val="000000" w:themeColor="text1"/>
                <w:spacing w:val="6"/>
              </w:rPr>
            </w:pPr>
            <w:r w:rsidRPr="00DD713A">
              <w:rPr>
                <w:rFonts w:ascii="Times New Roman" w:eastAsia="Times New Roman" w:hAnsi="Times New Roman" w:cs="Times New Roman"/>
                <w:bCs/>
                <w:color w:val="000000" w:themeColor="text1"/>
                <w:spacing w:val="6"/>
              </w:rPr>
              <w:t xml:space="preserve"> </w:t>
            </w:r>
            <w:r w:rsidR="00EF6141">
              <w:rPr>
                <w:rFonts w:ascii="Times New Roman" w:eastAsia="Times New Roman" w:hAnsi="Times New Roman" w:cs="Times New Roman"/>
                <w:bCs/>
                <w:color w:val="000000" w:themeColor="text1"/>
                <w:spacing w:val="6"/>
              </w:rPr>
              <w:t xml:space="preserve">              </w:t>
            </w:r>
            <w:r w:rsidR="00DA2452" w:rsidRPr="00DD713A">
              <w:rPr>
                <w:rFonts w:ascii="Times New Roman" w:eastAsia="Times New Roman" w:hAnsi="Times New Roman" w:cs="Times New Roman"/>
                <w:bCs/>
                <w:color w:val="000000" w:themeColor="text1"/>
                <w:spacing w:val="6"/>
              </w:rPr>
              <w:t>XX.XX.XXXX</w:t>
            </w:r>
          </w:p>
        </w:tc>
      </w:tr>
      <w:tr w:rsidR="00F23EF8" w:rsidRPr="00DD713A" w14:paraId="1B70D4DE" w14:textId="77777777" w:rsidTr="002D62FD">
        <w:trPr>
          <w:trHeight w:val="71"/>
        </w:trPr>
        <w:tc>
          <w:tcPr>
            <w:tcW w:w="5070" w:type="dxa"/>
          </w:tcPr>
          <w:p w14:paraId="3BF75B28" w14:textId="77777777" w:rsidR="00DA2452" w:rsidRPr="00DD713A" w:rsidRDefault="00DA2452" w:rsidP="00DB60FB">
            <w:pPr>
              <w:keepNext/>
              <w:spacing w:after="0" w:line="276" w:lineRule="auto"/>
              <w:ind w:left="851" w:right="811"/>
              <w:outlineLvl w:val="5"/>
              <w:rPr>
                <w:rFonts w:ascii="Times New Roman" w:eastAsia="Times New Roman" w:hAnsi="Times New Roman" w:cs="Times New Roman"/>
                <w:bCs/>
                <w:color w:val="000000" w:themeColor="text1"/>
                <w:spacing w:val="6"/>
              </w:rPr>
            </w:pPr>
          </w:p>
        </w:tc>
      </w:tr>
    </w:tbl>
    <w:p w14:paraId="52A2F920" w14:textId="77777777" w:rsidR="00DA2452" w:rsidRPr="00DD713A" w:rsidRDefault="00DA2452" w:rsidP="00DB60FB">
      <w:pPr>
        <w:spacing w:line="276" w:lineRule="auto"/>
        <w:ind w:left="851" w:right="811"/>
        <w:jc w:val="both"/>
        <w:rPr>
          <w:rFonts w:ascii="Times New Roman" w:hAnsi="Times New Roman" w:cs="Times New Roman"/>
          <w:color w:val="000000" w:themeColor="text1"/>
        </w:rPr>
      </w:pPr>
    </w:p>
    <w:p w14:paraId="513C2E78" w14:textId="77777777" w:rsidR="00DA2452" w:rsidRPr="00DD713A" w:rsidRDefault="00DA2452" w:rsidP="00DB60FB">
      <w:pPr>
        <w:spacing w:line="276" w:lineRule="auto"/>
        <w:ind w:left="851" w:right="811"/>
        <w:jc w:val="both"/>
        <w:rPr>
          <w:rFonts w:ascii="Times New Roman" w:hAnsi="Times New Roman" w:cs="Times New Roman"/>
          <w:color w:val="000000" w:themeColor="text1"/>
        </w:rPr>
      </w:pPr>
    </w:p>
    <w:p w14:paraId="0CCF9660" w14:textId="77777777" w:rsidR="00DA2452" w:rsidRPr="00DD713A" w:rsidRDefault="00DA2452" w:rsidP="00DB60FB">
      <w:pPr>
        <w:spacing w:line="276" w:lineRule="auto"/>
        <w:ind w:left="851" w:right="811"/>
        <w:jc w:val="both"/>
        <w:rPr>
          <w:rFonts w:ascii="Times New Roman" w:hAnsi="Times New Roman" w:cs="Times New Roman"/>
          <w:color w:val="000000" w:themeColor="text1"/>
        </w:rPr>
      </w:pPr>
    </w:p>
    <w:p w14:paraId="12C8A01E" w14:textId="55CC7C37" w:rsidR="00DA2452" w:rsidRPr="00DD713A" w:rsidRDefault="00DA2452" w:rsidP="00DB60FB">
      <w:pPr>
        <w:spacing w:line="276" w:lineRule="auto"/>
        <w:ind w:left="851" w:right="811"/>
        <w:jc w:val="both"/>
        <w:rPr>
          <w:rFonts w:ascii="Times New Roman" w:hAnsi="Times New Roman" w:cs="Times New Roman"/>
          <w:color w:val="000000" w:themeColor="text1"/>
        </w:rPr>
      </w:pPr>
    </w:p>
    <w:p w14:paraId="20C62698" w14:textId="57EB509C" w:rsidR="00DA2452" w:rsidRPr="00DD713A" w:rsidRDefault="00DA2452" w:rsidP="00DB60FB">
      <w:pPr>
        <w:spacing w:line="276" w:lineRule="auto"/>
        <w:ind w:left="851" w:right="811"/>
        <w:jc w:val="both"/>
        <w:rPr>
          <w:rFonts w:ascii="Times New Roman" w:hAnsi="Times New Roman" w:cs="Times New Roman"/>
          <w:color w:val="000000" w:themeColor="text1"/>
        </w:rPr>
      </w:pPr>
    </w:p>
    <w:p w14:paraId="35B35E10" w14:textId="77777777" w:rsidR="00DA2452" w:rsidRPr="00DD713A" w:rsidRDefault="00DA2452" w:rsidP="002D62FD">
      <w:pPr>
        <w:spacing w:after="0" w:line="240" w:lineRule="auto"/>
        <w:ind w:left="851" w:right="811"/>
        <w:jc w:val="both"/>
        <w:rPr>
          <w:rFonts w:ascii="Times New Roman" w:hAnsi="Times New Roman" w:cs="Times New Roman"/>
          <w:color w:val="000000" w:themeColor="text1"/>
        </w:rPr>
      </w:pPr>
    </w:p>
    <w:p w14:paraId="535BE482" w14:textId="30FE35A4" w:rsidR="00DB60FB" w:rsidRPr="001C4D71" w:rsidRDefault="00DB60FB" w:rsidP="008A70D9">
      <w:pPr>
        <w:spacing w:line="276" w:lineRule="auto"/>
        <w:ind w:left="709" w:right="524"/>
        <w:jc w:val="both"/>
        <w:rPr>
          <w:rFonts w:ascii="Times New Roman" w:hAnsi="Times New Roman" w:cs="Times New Roman"/>
        </w:rPr>
      </w:pPr>
      <w:r w:rsidRPr="001C4D71">
        <w:rPr>
          <w:rFonts w:ascii="Times New Roman" w:hAnsi="Times New Roman" w:cs="Times New Roman"/>
        </w:rPr>
        <w:t>Pursuant to the</w:t>
      </w:r>
      <w:r w:rsidRPr="001C4D71">
        <w:rPr>
          <w:rFonts w:ascii="Times New Roman" w:hAnsi="Times New Roman" w:cs="Times New Roman"/>
          <w:lang w:val="mk-MK"/>
        </w:rPr>
        <w:t xml:space="preserve"> Loan Agreement for </w:t>
      </w:r>
      <w:r w:rsidRPr="001C4D71">
        <w:rPr>
          <w:rFonts w:ascii="Times New Roman" w:hAnsi="Times New Roman" w:cs="Times New Roman"/>
        </w:rPr>
        <w:t xml:space="preserve">the Local Infrastructure and Institutional Development (hereinafter referred to as “LIID”) project </w:t>
      </w:r>
      <w:r w:rsidRPr="001C4D71">
        <w:rPr>
          <w:rFonts w:ascii="Times New Roman" w:hAnsi="Times New Roman" w:cs="Times New Roman"/>
          <w:lang w:val="mk-MK"/>
        </w:rPr>
        <w:t xml:space="preserve">signed between the Republic of </w:t>
      </w:r>
      <w:r w:rsidRPr="001C4D71">
        <w:rPr>
          <w:rFonts w:ascii="Times New Roman" w:hAnsi="Times New Roman" w:cs="Times New Roman"/>
          <w:lang w:val="sr-Latn-RS"/>
        </w:rPr>
        <w:t>Serbia</w:t>
      </w:r>
      <w:r w:rsidRPr="001C4D71">
        <w:rPr>
          <w:rFonts w:ascii="Times New Roman" w:hAnsi="Times New Roman" w:cs="Times New Roman"/>
          <w:lang w:val="mk-MK"/>
        </w:rPr>
        <w:t xml:space="preserve"> and the International Bank for Reconstruction and Development</w:t>
      </w:r>
      <w:r w:rsidRPr="001C4D71">
        <w:rPr>
          <w:rFonts w:ascii="Times New Roman" w:hAnsi="Times New Roman" w:cs="Times New Roman"/>
          <w:lang w:val="sr-Latn-RS"/>
        </w:rPr>
        <w:t xml:space="preserve"> -</w:t>
      </w:r>
      <w:r w:rsidRPr="001C4D71">
        <w:rPr>
          <w:rFonts w:ascii="Times New Roman" w:hAnsi="Times New Roman" w:cs="Times New Roman"/>
          <w:lang w:val="mk-MK"/>
        </w:rPr>
        <w:t xml:space="preserve"> World Bank</w:t>
      </w:r>
      <w:r w:rsidRPr="001C4D71">
        <w:rPr>
          <w:rFonts w:ascii="Times New Roman" w:hAnsi="Times New Roman" w:cs="Times New Roman"/>
          <w:lang w:val="sr-Latn-RS"/>
        </w:rPr>
        <w:t xml:space="preserve"> (</w:t>
      </w:r>
      <w:r w:rsidRPr="001C4D71">
        <w:rPr>
          <w:rFonts w:ascii="Times New Roman" w:hAnsi="Times New Roman" w:cs="Times New Roman"/>
        </w:rPr>
        <w:t>hereinafter referred to as “</w:t>
      </w:r>
      <w:r w:rsidRPr="001C4D71">
        <w:rPr>
          <w:rFonts w:ascii="Times New Roman" w:hAnsi="Times New Roman" w:cs="Times New Roman"/>
          <w:lang w:val="sr-Latn-RS"/>
        </w:rPr>
        <w:t>Bank“)</w:t>
      </w:r>
      <w:r w:rsidRPr="001C4D71">
        <w:rPr>
          <w:rFonts w:ascii="Times New Roman" w:hAnsi="Times New Roman" w:cs="Times New Roman"/>
        </w:rPr>
        <w:t>,</w:t>
      </w:r>
      <w:r w:rsidRPr="001C4D71">
        <w:rPr>
          <w:rFonts w:ascii="Times New Roman" w:hAnsi="Times New Roman" w:cs="Times New Roman"/>
          <w:lang w:val="mk-MK"/>
        </w:rPr>
        <w:t xml:space="preserve"> dated </w:t>
      </w:r>
      <w:r w:rsidRPr="001C4D71">
        <w:rPr>
          <w:rFonts w:ascii="Times New Roman" w:hAnsi="Times New Roman" w:cs="Times New Roman"/>
          <w:lang w:val="sr-Latn-RS"/>
        </w:rPr>
        <w:t>XX.XX.</w:t>
      </w:r>
      <w:r w:rsidRPr="001C4D71">
        <w:rPr>
          <w:rFonts w:ascii="Times New Roman" w:hAnsi="Times New Roman" w:cs="Times New Roman"/>
          <w:lang w:val="mk-MK"/>
        </w:rPr>
        <w:t>20</w:t>
      </w:r>
      <w:r w:rsidRPr="001C4D71">
        <w:rPr>
          <w:rFonts w:ascii="Times New Roman" w:hAnsi="Times New Roman" w:cs="Times New Roman"/>
          <w:lang w:val="sr-Latn-RS"/>
        </w:rPr>
        <w:t>22 and</w:t>
      </w:r>
      <w:r w:rsidRPr="001C4D71">
        <w:rPr>
          <w:rFonts w:ascii="Times New Roman" w:hAnsi="Times New Roman" w:cs="Times New Roman"/>
        </w:rPr>
        <w:t xml:space="preserve"> the</w:t>
      </w:r>
      <w:r w:rsidRPr="001C4D71">
        <w:rPr>
          <w:rFonts w:ascii="Times New Roman" w:hAnsi="Times New Roman" w:cs="Times New Roman"/>
          <w:lang w:val="mk-MK"/>
        </w:rPr>
        <w:t xml:space="preserve"> Loan Agreement for </w:t>
      </w:r>
      <w:r w:rsidRPr="001C4D71">
        <w:rPr>
          <w:rFonts w:ascii="Times New Roman" w:hAnsi="Times New Roman" w:cs="Times New Roman"/>
        </w:rPr>
        <w:t xml:space="preserve">the LIID </w:t>
      </w:r>
      <w:r w:rsidRPr="001C4D71">
        <w:rPr>
          <w:rFonts w:ascii="Times New Roman" w:hAnsi="Times New Roman" w:cs="Times New Roman"/>
          <w:lang w:val="mk-MK"/>
        </w:rPr>
        <w:t xml:space="preserve">Project signed between the Republic of </w:t>
      </w:r>
      <w:r w:rsidRPr="001C4D71">
        <w:rPr>
          <w:rFonts w:ascii="Times New Roman" w:hAnsi="Times New Roman" w:cs="Times New Roman"/>
          <w:lang w:val="sr-Latn-RS"/>
        </w:rPr>
        <w:t>Serbia</w:t>
      </w:r>
      <w:r w:rsidRPr="001C4D71">
        <w:rPr>
          <w:rFonts w:ascii="Times New Roman" w:hAnsi="Times New Roman" w:cs="Times New Roman"/>
          <w:lang w:val="mk-MK"/>
        </w:rPr>
        <w:t xml:space="preserve"> and the </w:t>
      </w:r>
      <w:r w:rsidRPr="001C4D71">
        <w:rPr>
          <w:rFonts w:ascii="Times New Roman" w:hAnsi="Times New Roman" w:cs="Times New Roman"/>
        </w:rPr>
        <w:t xml:space="preserve">Agence Française de Développement (hereinafter referred to as “AFD”), dated </w:t>
      </w:r>
      <w:r w:rsidRPr="001C4D71">
        <w:rPr>
          <w:rFonts w:ascii="Times New Roman" w:hAnsi="Times New Roman" w:cs="Times New Roman"/>
          <w:color w:val="000000"/>
        </w:rPr>
        <w:t xml:space="preserve">XX.XX.2022 </w:t>
      </w:r>
      <w:r w:rsidRPr="001C4D71">
        <w:rPr>
          <w:rFonts w:ascii="Times New Roman" w:hAnsi="Times New Roman" w:cs="Times New Roman"/>
        </w:rPr>
        <w:t>(jointly hereinafter referred to as “Loan Agreements”), and in the scope of the implementation of the Project Agreement on the LIID project</w:t>
      </w:r>
      <w:r w:rsidRPr="001C4D71">
        <w:rPr>
          <w:rFonts w:ascii="Times New Roman" w:hAnsi="Times New Roman" w:cs="Times New Roman"/>
          <w:color w:val="000000" w:themeColor="text1"/>
        </w:rPr>
        <w:t xml:space="preserve"> </w:t>
      </w:r>
      <w:r w:rsidRPr="001C4D71">
        <w:rPr>
          <w:rFonts w:ascii="Times New Roman" w:hAnsi="Times New Roman" w:cs="Times New Roman"/>
          <w:lang w:val="mk-MK"/>
        </w:rPr>
        <w:t xml:space="preserve">signed between the </w:t>
      </w:r>
      <w:r w:rsidRPr="001C4D71">
        <w:rPr>
          <w:rFonts w:ascii="Times New Roman" w:hAnsi="Times New Roman" w:cs="Times New Roman"/>
        </w:rPr>
        <w:t xml:space="preserve">Ministry of Construction, Transport and Infrastructure </w:t>
      </w:r>
      <w:r w:rsidRPr="001C4D71">
        <w:rPr>
          <w:rFonts w:ascii="Times New Roman" w:hAnsi="Times New Roman" w:cs="Times New Roman"/>
          <w:lang w:val="mk-MK"/>
        </w:rPr>
        <w:t xml:space="preserve">and the </w:t>
      </w:r>
      <w:r w:rsidRPr="001C4D71">
        <w:rPr>
          <w:rFonts w:ascii="Times New Roman" w:hAnsi="Times New Roman" w:cs="Times New Roman"/>
          <w:lang w:val="sr-Latn-RS"/>
        </w:rPr>
        <w:t>Municipality/City of _______</w:t>
      </w:r>
      <w:r w:rsidRPr="001C4D71">
        <w:rPr>
          <w:rFonts w:ascii="Times New Roman" w:hAnsi="Times New Roman" w:cs="Times New Roman"/>
          <w:lang w:val="mk-MK"/>
        </w:rPr>
        <w:t>,</w:t>
      </w:r>
      <w:r w:rsidRPr="001C4D71">
        <w:rPr>
          <w:rFonts w:ascii="Times New Roman" w:hAnsi="Times New Roman" w:cs="Times New Roman"/>
          <w:lang w:val="sr-Latn-RS"/>
        </w:rPr>
        <w:t xml:space="preserve"> </w:t>
      </w:r>
      <w:r w:rsidRPr="001C4D71">
        <w:rPr>
          <w:rFonts w:ascii="Times New Roman" w:hAnsi="Times New Roman" w:cs="Times New Roman"/>
          <w:color w:val="000000" w:themeColor="text1"/>
        </w:rPr>
        <w:t xml:space="preserve">dated </w:t>
      </w:r>
      <w:r w:rsidRPr="001C4D71">
        <w:rPr>
          <w:rFonts w:ascii="Times New Roman" w:hAnsi="Times New Roman" w:cs="Times New Roman"/>
          <w:color w:val="000000"/>
        </w:rPr>
        <w:t>XX.XX.XXXX</w:t>
      </w:r>
      <w:r w:rsidRPr="001C4D71">
        <w:rPr>
          <w:rFonts w:ascii="Times New Roman" w:hAnsi="Times New Roman" w:cs="Times New Roman"/>
          <w:color w:val="000000" w:themeColor="text1"/>
        </w:rPr>
        <w:t xml:space="preserve">. </w:t>
      </w:r>
      <w:r w:rsidRPr="001C4D71">
        <w:rPr>
          <w:rFonts w:ascii="Times New Roman" w:hAnsi="Times New Roman" w:cs="Times New Roman"/>
        </w:rPr>
        <w:t>(</w:t>
      </w:r>
      <w:r w:rsidR="00D23E88" w:rsidRPr="001C4D71">
        <w:rPr>
          <w:rFonts w:ascii="Times New Roman" w:hAnsi="Times New Roman" w:cs="Times New Roman"/>
        </w:rPr>
        <w:t>Hereinafter</w:t>
      </w:r>
      <w:r w:rsidRPr="001C4D71">
        <w:rPr>
          <w:rFonts w:ascii="Times New Roman" w:hAnsi="Times New Roman" w:cs="Times New Roman"/>
        </w:rPr>
        <w:t xml:space="preserve"> referred to as “Project Agreement”),</w:t>
      </w:r>
      <w:r w:rsidRPr="001C4D71">
        <w:rPr>
          <w:rFonts w:ascii="Times New Roman" w:hAnsi="Times New Roman" w:cs="Times New Roman"/>
          <w:color w:val="000000" w:themeColor="text1"/>
        </w:rPr>
        <w:t xml:space="preserve"> this</w:t>
      </w:r>
    </w:p>
    <w:p w14:paraId="075A35E2" w14:textId="77777777" w:rsidR="00DB60FB" w:rsidRDefault="00DB60FB" w:rsidP="008A70D9">
      <w:pPr>
        <w:spacing w:after="0" w:line="276" w:lineRule="auto"/>
        <w:ind w:left="709" w:right="524"/>
        <w:jc w:val="center"/>
        <w:rPr>
          <w:rFonts w:ascii="Times New Roman" w:hAnsi="Times New Roman" w:cs="Times New Roman"/>
          <w:b/>
        </w:rPr>
      </w:pPr>
    </w:p>
    <w:p w14:paraId="2AD1CCBC" w14:textId="77777777" w:rsidR="00DB60FB" w:rsidRPr="001C4D71" w:rsidRDefault="00DB60FB" w:rsidP="008A70D9">
      <w:pPr>
        <w:spacing w:after="0" w:line="276" w:lineRule="auto"/>
        <w:ind w:left="709" w:right="524"/>
        <w:jc w:val="center"/>
        <w:rPr>
          <w:rFonts w:ascii="Times New Roman" w:hAnsi="Times New Roman" w:cs="Times New Roman"/>
          <w:b/>
        </w:rPr>
      </w:pPr>
    </w:p>
    <w:p w14:paraId="4DA81386" w14:textId="77777777" w:rsidR="00DB60FB" w:rsidRPr="001C4D71" w:rsidRDefault="00DB60FB" w:rsidP="008A70D9">
      <w:pPr>
        <w:spacing w:after="0" w:line="360" w:lineRule="auto"/>
        <w:ind w:left="709" w:right="524"/>
        <w:jc w:val="center"/>
        <w:rPr>
          <w:rFonts w:ascii="Times New Roman" w:hAnsi="Times New Roman" w:cs="Times New Roman"/>
          <w:b/>
        </w:rPr>
      </w:pPr>
      <w:r w:rsidRPr="001C4D71">
        <w:rPr>
          <w:rFonts w:ascii="Times New Roman" w:hAnsi="Times New Roman" w:cs="Times New Roman"/>
          <w:b/>
        </w:rPr>
        <w:t>GRANT AGREEMENT</w:t>
      </w:r>
    </w:p>
    <w:p w14:paraId="4401E39B" w14:textId="77777777" w:rsidR="00DB60FB" w:rsidRPr="001C4D71" w:rsidRDefault="00DB60FB" w:rsidP="008A70D9">
      <w:pPr>
        <w:pBdr>
          <w:bottom w:val="single" w:sz="12" w:space="7" w:color="auto"/>
        </w:pBdr>
        <w:spacing w:after="0" w:line="360" w:lineRule="auto"/>
        <w:ind w:left="709" w:right="524"/>
        <w:jc w:val="center"/>
        <w:rPr>
          <w:rFonts w:ascii="Times New Roman" w:hAnsi="Times New Roman" w:cs="Times New Roman"/>
          <w:b/>
        </w:rPr>
      </w:pPr>
      <w:r w:rsidRPr="001C4D71">
        <w:rPr>
          <w:rFonts w:ascii="Times New Roman" w:hAnsi="Times New Roman" w:cs="Times New Roman"/>
          <w:b/>
        </w:rPr>
        <w:t>FOR THE PROJECT “_______________________________________________”</w:t>
      </w:r>
    </w:p>
    <w:p w14:paraId="178588AE" w14:textId="77777777" w:rsidR="00DB60FB" w:rsidRDefault="00DB60FB" w:rsidP="008A70D9">
      <w:pPr>
        <w:pBdr>
          <w:bottom w:val="single" w:sz="12" w:space="7" w:color="auto"/>
        </w:pBdr>
        <w:spacing w:after="0" w:line="276" w:lineRule="auto"/>
        <w:ind w:left="709" w:right="524"/>
        <w:jc w:val="center"/>
        <w:rPr>
          <w:rFonts w:ascii="Times New Roman" w:hAnsi="Times New Roman" w:cs="Times New Roman"/>
          <w:b/>
        </w:rPr>
      </w:pPr>
    </w:p>
    <w:p w14:paraId="78D926BE" w14:textId="77777777" w:rsidR="00DB60FB" w:rsidRPr="001C4D71" w:rsidRDefault="00DB60FB" w:rsidP="008A70D9">
      <w:pPr>
        <w:pBdr>
          <w:bottom w:val="single" w:sz="12" w:space="7" w:color="auto"/>
        </w:pBdr>
        <w:spacing w:after="0" w:line="276" w:lineRule="auto"/>
        <w:ind w:left="709" w:right="524"/>
        <w:jc w:val="center"/>
        <w:rPr>
          <w:rFonts w:ascii="Times New Roman" w:hAnsi="Times New Roman" w:cs="Times New Roman"/>
          <w:b/>
        </w:rPr>
      </w:pPr>
    </w:p>
    <w:p w14:paraId="3DB03551" w14:textId="77777777" w:rsidR="00DB60FB" w:rsidRPr="001C4D71" w:rsidRDefault="00DB60FB" w:rsidP="008A70D9">
      <w:pPr>
        <w:spacing w:line="276" w:lineRule="auto"/>
        <w:ind w:left="709" w:right="524"/>
        <w:rPr>
          <w:rFonts w:ascii="Times New Roman" w:hAnsi="Times New Roman" w:cs="Times New Roman"/>
          <w:bCs/>
          <w:lang w:val="mk-MK"/>
        </w:rPr>
      </w:pPr>
    </w:p>
    <w:p w14:paraId="2BFA4CA7" w14:textId="77777777" w:rsidR="00DB60FB" w:rsidRPr="001C4D71" w:rsidRDefault="00DB60FB" w:rsidP="008A70D9">
      <w:pPr>
        <w:spacing w:line="276" w:lineRule="auto"/>
        <w:ind w:left="709" w:right="524"/>
        <w:jc w:val="both"/>
        <w:rPr>
          <w:rFonts w:ascii="Times New Roman" w:hAnsi="Times New Roman" w:cs="Times New Roman"/>
        </w:rPr>
      </w:pPr>
      <w:r w:rsidRPr="001C4D71">
        <w:rPr>
          <w:rFonts w:ascii="Times New Roman" w:hAnsi="Times New Roman" w:cs="Times New Roman"/>
        </w:rPr>
        <w:t>is being signed by THE PARTIES:</w:t>
      </w:r>
    </w:p>
    <w:p w14:paraId="3C5B6F8C" w14:textId="77777777" w:rsidR="00DB60FB" w:rsidRPr="001C4D71" w:rsidRDefault="00DB60FB" w:rsidP="008A70D9">
      <w:pPr>
        <w:spacing w:line="276" w:lineRule="auto"/>
        <w:ind w:left="709" w:right="524"/>
        <w:jc w:val="both"/>
        <w:rPr>
          <w:rFonts w:ascii="Times New Roman" w:hAnsi="Times New Roman" w:cs="Times New Roman"/>
        </w:rPr>
      </w:pPr>
      <w:r w:rsidRPr="001C4D71">
        <w:rPr>
          <w:rFonts w:ascii="Times New Roman" w:hAnsi="Times New Roman" w:cs="Times New Roman"/>
          <w:b/>
        </w:rPr>
        <w:t>The Ministry of Construction, Transport and Infrastructure</w:t>
      </w:r>
      <w:r w:rsidRPr="001C4D71">
        <w:rPr>
          <w:rFonts w:ascii="Times New Roman" w:hAnsi="Times New Roman" w:cs="Times New Roman"/>
        </w:rPr>
        <w:t xml:space="preserve">, Nemanjina 22, Beograd, represented by __________________________, the Minister (hereinafter referred to as “MCTI”), on one side, </w:t>
      </w:r>
    </w:p>
    <w:p w14:paraId="1AD30F46" w14:textId="77777777" w:rsidR="00DB60FB" w:rsidRPr="001C4D71" w:rsidRDefault="00DB60FB" w:rsidP="008A70D9">
      <w:pPr>
        <w:spacing w:line="276" w:lineRule="auto"/>
        <w:ind w:left="709" w:right="524"/>
        <w:jc w:val="both"/>
        <w:rPr>
          <w:rFonts w:ascii="Times New Roman" w:hAnsi="Times New Roman" w:cs="Times New Roman"/>
        </w:rPr>
      </w:pPr>
      <w:r w:rsidRPr="001C4D71">
        <w:rPr>
          <w:rFonts w:ascii="Times New Roman" w:hAnsi="Times New Roman" w:cs="Times New Roman"/>
        </w:rPr>
        <w:t>and</w:t>
      </w:r>
    </w:p>
    <w:p w14:paraId="2DFDB9DC" w14:textId="77777777" w:rsidR="00DB60FB" w:rsidRPr="001C4D71" w:rsidRDefault="00DB60FB" w:rsidP="008A70D9">
      <w:pPr>
        <w:spacing w:line="276" w:lineRule="auto"/>
        <w:ind w:left="709" w:right="524"/>
        <w:jc w:val="both"/>
        <w:rPr>
          <w:rFonts w:ascii="Times New Roman" w:hAnsi="Times New Roman" w:cs="Times New Roman"/>
        </w:rPr>
      </w:pPr>
      <w:r w:rsidRPr="001C4D71">
        <w:rPr>
          <w:rFonts w:ascii="Times New Roman" w:hAnsi="Times New Roman" w:cs="Times New Roman"/>
          <w:b/>
        </w:rPr>
        <w:t>The Municipality/City of _________________,</w:t>
      </w:r>
      <w:r w:rsidRPr="001C4D71">
        <w:rPr>
          <w:rFonts w:ascii="Times New Roman" w:hAnsi="Times New Roman" w:cs="Times New Roman"/>
        </w:rPr>
        <w:t xml:space="preserve"> represented by __________________, the President of the Municipality/ the Mayor (hereinafter referred to as “Local Self Government” or “LSG”), on the other side. </w:t>
      </w:r>
    </w:p>
    <w:p w14:paraId="79D0070F" w14:textId="77777777" w:rsidR="00DB60FB" w:rsidRPr="001C4D71" w:rsidRDefault="00DB60FB" w:rsidP="008A70D9">
      <w:pPr>
        <w:spacing w:line="276" w:lineRule="auto"/>
        <w:ind w:left="709" w:right="524"/>
        <w:rPr>
          <w:rFonts w:ascii="Times New Roman" w:hAnsi="Times New Roman" w:cs="Times New Roman"/>
        </w:rPr>
      </w:pPr>
    </w:p>
    <w:p w14:paraId="3CABB7FF" w14:textId="77777777" w:rsidR="00DB60FB" w:rsidRPr="001C4D71" w:rsidRDefault="00DB60FB" w:rsidP="008A70D9">
      <w:pPr>
        <w:spacing w:line="276" w:lineRule="auto"/>
        <w:ind w:left="709" w:right="524"/>
        <w:rPr>
          <w:rFonts w:ascii="Times New Roman" w:hAnsi="Times New Roman" w:cs="Times New Roman"/>
          <w:lang w:val="mk-MK"/>
        </w:rPr>
      </w:pPr>
      <w:r w:rsidRPr="001C4D71">
        <w:rPr>
          <w:rFonts w:ascii="Times New Roman" w:hAnsi="Times New Roman" w:cs="Times New Roman"/>
          <w:b/>
        </w:rPr>
        <w:t xml:space="preserve">THE PARTIES </w:t>
      </w:r>
      <w:r w:rsidRPr="001C4D71">
        <w:rPr>
          <w:rFonts w:ascii="Times New Roman" w:hAnsi="Times New Roman" w:cs="Times New Roman"/>
          <w:b/>
          <w:lang w:val="mk-MK"/>
        </w:rPr>
        <w:t>agree that</w:t>
      </w:r>
      <w:r w:rsidRPr="001C4D71">
        <w:rPr>
          <w:rFonts w:ascii="Times New Roman" w:hAnsi="Times New Roman" w:cs="Times New Roman"/>
          <w:lang w:val="mk-MK"/>
        </w:rPr>
        <w:t>:</w:t>
      </w:r>
    </w:p>
    <w:p w14:paraId="006FF639" w14:textId="77C5430F" w:rsidR="00DB60FB" w:rsidRPr="002D62FD" w:rsidRDefault="00DB60FB" w:rsidP="002D62FD">
      <w:pPr>
        <w:pStyle w:val="ListParagraph"/>
        <w:numPr>
          <w:ilvl w:val="0"/>
          <w:numId w:val="273"/>
        </w:numPr>
        <w:spacing w:after="0" w:line="276" w:lineRule="auto"/>
        <w:ind w:left="709" w:right="524"/>
        <w:jc w:val="both"/>
        <w:rPr>
          <w:rFonts w:ascii="Times New Roman" w:hAnsi="Times New Roman" w:cs="Times New Roman"/>
          <w:lang w:val="mk-MK"/>
        </w:rPr>
      </w:pPr>
      <w:r w:rsidRPr="002D62FD">
        <w:rPr>
          <w:rFonts w:ascii="Times New Roman" w:hAnsi="Times New Roman" w:cs="Times New Roman"/>
          <w:lang w:val="mk-MK"/>
        </w:rPr>
        <w:t>The MCTI provided</w:t>
      </w:r>
      <w:r w:rsidRPr="002D62FD">
        <w:rPr>
          <w:rFonts w:ascii="Times New Roman" w:hAnsi="Times New Roman" w:cs="Times New Roman"/>
          <w:lang w:val="sr-Latn-RS"/>
        </w:rPr>
        <w:t xml:space="preserve"> </w:t>
      </w:r>
      <w:r w:rsidRPr="002D62FD">
        <w:rPr>
          <w:rFonts w:ascii="Times New Roman" w:hAnsi="Times New Roman" w:cs="Times New Roman"/>
          <w:lang w:val="mk-MK"/>
        </w:rPr>
        <w:t xml:space="preserve">funds for the </w:t>
      </w:r>
      <w:r w:rsidRPr="002D62FD">
        <w:rPr>
          <w:rFonts w:ascii="Times New Roman" w:hAnsi="Times New Roman" w:cs="Times New Roman"/>
          <w:lang w:val="sr-Latn-RS"/>
        </w:rPr>
        <w:t>local infrastructure investments</w:t>
      </w:r>
      <w:r w:rsidRPr="002D62FD">
        <w:rPr>
          <w:rFonts w:ascii="Times New Roman" w:hAnsi="Times New Roman" w:cs="Times New Roman"/>
          <w:lang w:val="mk-MK"/>
        </w:rPr>
        <w:t xml:space="preserve"> based on </w:t>
      </w:r>
      <w:r w:rsidRPr="002D62FD">
        <w:rPr>
          <w:rFonts w:ascii="Times New Roman" w:hAnsi="Times New Roman" w:cs="Times New Roman"/>
          <w:lang w:val="sr-Latn-RS"/>
        </w:rPr>
        <w:t xml:space="preserve">the Loan Agreements and the </w:t>
      </w:r>
      <w:r w:rsidRPr="002D62FD">
        <w:rPr>
          <w:rFonts w:ascii="Times New Roman" w:hAnsi="Times New Roman" w:cs="Times New Roman"/>
          <w:lang w:val="mk-MK"/>
        </w:rPr>
        <w:t xml:space="preserve">Article </w:t>
      </w:r>
      <w:r w:rsidRPr="002D62FD">
        <w:rPr>
          <w:rFonts w:ascii="Times New Roman" w:hAnsi="Times New Roman" w:cs="Times New Roman"/>
          <w:lang w:val="sr-Latn-RS"/>
        </w:rPr>
        <w:t>3</w:t>
      </w:r>
      <w:r w:rsidRPr="002D62FD">
        <w:rPr>
          <w:rFonts w:ascii="Times New Roman" w:hAnsi="Times New Roman" w:cs="Times New Roman"/>
          <w:lang w:val="mk-MK"/>
        </w:rPr>
        <w:t xml:space="preserve"> of the Law on </w:t>
      </w:r>
      <w:r w:rsidRPr="002D62FD">
        <w:rPr>
          <w:rFonts w:ascii="Times New Roman" w:hAnsi="Times New Roman" w:cs="Times New Roman"/>
          <w:lang w:val="sr-Latn-RS"/>
        </w:rPr>
        <w:t xml:space="preserve">the </w:t>
      </w:r>
      <w:r w:rsidRPr="002D62FD">
        <w:rPr>
          <w:rFonts w:ascii="Times New Roman" w:hAnsi="Times New Roman" w:cs="Times New Roman"/>
          <w:lang w:val="mk-MK"/>
        </w:rPr>
        <w:t>Budget of the Republic of Serbia for 202</w:t>
      </w:r>
      <w:r w:rsidRPr="002D62FD">
        <w:rPr>
          <w:rFonts w:ascii="Times New Roman" w:hAnsi="Times New Roman" w:cs="Times New Roman"/>
          <w:lang w:val="sr-Latn-RS"/>
        </w:rPr>
        <w:t>2</w:t>
      </w:r>
      <w:r w:rsidRPr="002D62FD">
        <w:rPr>
          <w:rFonts w:ascii="Times New Roman" w:hAnsi="Times New Roman" w:cs="Times New Roman"/>
          <w:lang w:val="mk-MK"/>
        </w:rPr>
        <w:t xml:space="preserve"> ("Official Gazette of</w:t>
      </w:r>
      <w:r w:rsidRPr="002D62FD">
        <w:rPr>
          <w:rFonts w:ascii="Times New Roman" w:hAnsi="Times New Roman" w:cs="Times New Roman"/>
          <w:lang w:val="sr-Latn-RS"/>
        </w:rPr>
        <w:t xml:space="preserve"> the Republic of Serbia</w:t>
      </w:r>
      <w:r w:rsidRPr="002D62FD">
        <w:rPr>
          <w:rFonts w:ascii="Times New Roman" w:hAnsi="Times New Roman" w:cs="Times New Roman"/>
          <w:lang w:val="mk-MK"/>
        </w:rPr>
        <w:t xml:space="preserve">", No. </w:t>
      </w:r>
      <w:r w:rsidRPr="002D62FD">
        <w:rPr>
          <w:rFonts w:ascii="Times New Roman" w:hAnsi="Times New Roman" w:cs="Times New Roman"/>
          <w:lang w:val="sr-Latn-RS"/>
        </w:rPr>
        <w:t>XX</w:t>
      </w:r>
      <w:r w:rsidRPr="002D62FD">
        <w:rPr>
          <w:rFonts w:ascii="Times New Roman" w:hAnsi="Times New Roman" w:cs="Times New Roman"/>
          <w:lang w:val="mk-MK"/>
        </w:rPr>
        <w:t>/</w:t>
      </w:r>
      <w:r w:rsidRPr="002D62FD">
        <w:rPr>
          <w:rFonts w:ascii="Times New Roman" w:hAnsi="Times New Roman" w:cs="Times New Roman"/>
          <w:lang w:val="sr-Latn-RS"/>
        </w:rPr>
        <w:t>22</w:t>
      </w:r>
      <w:r w:rsidRPr="002D62FD">
        <w:rPr>
          <w:rFonts w:ascii="Times New Roman" w:hAnsi="Times New Roman" w:cs="Times New Roman"/>
          <w:lang w:val="mk-MK"/>
        </w:rPr>
        <w:t xml:space="preserve">), Section </w:t>
      </w:r>
      <w:r w:rsidRPr="002D62FD">
        <w:rPr>
          <w:rFonts w:ascii="Times New Roman" w:hAnsi="Times New Roman" w:cs="Times New Roman"/>
          <w:lang w:val="sr-Latn-RS"/>
        </w:rPr>
        <w:t>B</w:t>
      </w:r>
      <w:r w:rsidRPr="002D62FD">
        <w:rPr>
          <w:rFonts w:ascii="Times New Roman" w:hAnsi="Times New Roman" w:cs="Times New Roman"/>
          <w:lang w:val="mk-MK"/>
        </w:rPr>
        <w:t xml:space="preserve"> – </w:t>
      </w:r>
      <w:r w:rsidRPr="002D62FD">
        <w:rPr>
          <w:rFonts w:ascii="Times New Roman" w:hAnsi="Times New Roman" w:cs="Times New Roman"/>
          <w:lang w:val="sr-Latn-RS"/>
        </w:rPr>
        <w:t>Project and Program Loans</w:t>
      </w:r>
      <w:r w:rsidRPr="002D62FD">
        <w:rPr>
          <w:rFonts w:ascii="Times New Roman" w:hAnsi="Times New Roman" w:cs="Times New Roman"/>
          <w:lang w:val="mk-MK"/>
        </w:rPr>
        <w:t xml:space="preserve">, </w:t>
      </w:r>
      <w:r w:rsidRPr="002D62FD">
        <w:rPr>
          <w:rFonts w:ascii="Times New Roman" w:hAnsi="Times New Roman" w:cs="Times New Roman"/>
          <w:lang w:val="sr-Latn-RS"/>
        </w:rPr>
        <w:t>Number I</w:t>
      </w:r>
      <w:r w:rsidRPr="002D62FD">
        <w:rPr>
          <w:rFonts w:ascii="Times New Roman" w:hAnsi="Times New Roman" w:cs="Times New Roman"/>
          <w:lang w:val="mk-MK"/>
        </w:rPr>
        <w:t xml:space="preserve"> – </w:t>
      </w:r>
      <w:r w:rsidRPr="002D62FD">
        <w:rPr>
          <w:rFonts w:ascii="Times New Roman" w:hAnsi="Times New Roman" w:cs="Times New Roman"/>
          <w:lang w:val="sr-Latn-RS"/>
        </w:rPr>
        <w:t>World Bank</w:t>
      </w:r>
      <w:r w:rsidRPr="002D62FD">
        <w:rPr>
          <w:rFonts w:ascii="Times New Roman" w:hAnsi="Times New Roman" w:cs="Times New Roman"/>
          <w:lang w:val="mk-MK"/>
        </w:rPr>
        <w:t xml:space="preserve">, </w:t>
      </w:r>
      <w:r w:rsidRPr="002D62FD">
        <w:rPr>
          <w:rFonts w:ascii="Times New Roman" w:hAnsi="Times New Roman" w:cs="Times New Roman"/>
          <w:lang w:val="sr-Latn-RS"/>
        </w:rPr>
        <w:t>Program 4 – Development of Local Institutions and Green Infrastructure</w:t>
      </w:r>
      <w:r w:rsidRPr="002D62FD">
        <w:rPr>
          <w:rFonts w:ascii="Times New Roman" w:hAnsi="Times New Roman" w:cs="Times New Roman"/>
          <w:lang w:val="mk-MK"/>
        </w:rPr>
        <w:t>;</w:t>
      </w:r>
    </w:p>
    <w:p w14:paraId="6245A65F" w14:textId="77777777" w:rsidR="00DB60FB" w:rsidRPr="002D62FD" w:rsidRDefault="00DB60FB" w:rsidP="005E33E4">
      <w:pPr>
        <w:pStyle w:val="ListParagraph"/>
        <w:numPr>
          <w:ilvl w:val="0"/>
          <w:numId w:val="273"/>
        </w:num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sr-Latn-RS"/>
        </w:rPr>
        <w:t>The Parties signed the LIID Project Agreement, dated XX.XX.2020;</w:t>
      </w:r>
    </w:p>
    <w:p w14:paraId="528C5B18" w14:textId="77777777" w:rsidR="00066238" w:rsidRPr="002D62FD" w:rsidRDefault="00066238" w:rsidP="002D62FD">
      <w:pPr>
        <w:pStyle w:val="ListParagraph"/>
        <w:ind w:right="808"/>
        <w:rPr>
          <w:rFonts w:ascii="Times New Roman" w:hAnsi="Times New Roman" w:cs="Times New Roman"/>
          <w:lang w:val="mk-MK"/>
        </w:rPr>
      </w:pPr>
    </w:p>
    <w:p w14:paraId="250C7729" w14:textId="77777777" w:rsidR="00DB60FB" w:rsidRPr="001C4D71" w:rsidRDefault="00DB60FB" w:rsidP="005E33E4">
      <w:pPr>
        <w:pStyle w:val="ListParagraph"/>
        <w:numPr>
          <w:ilvl w:val="0"/>
          <w:numId w:val="273"/>
        </w:num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LSG submitted to the </w:t>
      </w:r>
      <w:r w:rsidRPr="001C4D71">
        <w:rPr>
          <w:rFonts w:ascii="Times New Roman" w:hAnsi="Times New Roman" w:cs="Times New Roman"/>
          <w:lang w:val="sr-Latn-RS"/>
        </w:rPr>
        <w:t xml:space="preserve">MCTI </w:t>
      </w:r>
      <w:r w:rsidRPr="001C4D71">
        <w:rPr>
          <w:rFonts w:ascii="Times New Roman" w:hAnsi="Times New Roman" w:cs="Times New Roman"/>
          <w:lang w:val="mk-MK"/>
        </w:rPr>
        <w:t xml:space="preserve">the proposal for the </w:t>
      </w:r>
      <w:r w:rsidRPr="001C4D71">
        <w:rPr>
          <w:rFonts w:ascii="Times New Roman" w:hAnsi="Times New Roman" w:cs="Times New Roman"/>
          <w:lang w:val="sr-Latn-RS"/>
        </w:rPr>
        <w:t>LIID sub-</w:t>
      </w:r>
      <w:r w:rsidRPr="001C4D71">
        <w:rPr>
          <w:rFonts w:ascii="Times New Roman" w:hAnsi="Times New Roman" w:cs="Times New Roman"/>
          <w:lang w:val="mk-MK"/>
        </w:rPr>
        <w:t>project</w:t>
      </w:r>
      <w:r w:rsidRPr="001C4D71">
        <w:rPr>
          <w:rFonts w:ascii="Times New Roman" w:hAnsi="Times New Roman" w:cs="Times New Roman"/>
          <w:lang w:val="sr-Latn-RS"/>
        </w:rPr>
        <w:t xml:space="preserve"> „</w:t>
      </w:r>
      <w:r w:rsidRPr="001C4D71">
        <w:rPr>
          <w:rFonts w:ascii="Times New Roman" w:hAnsi="Times New Roman" w:cs="Times New Roman"/>
          <w:lang w:val="mk-MK"/>
        </w:rPr>
        <w:t>___________</w:t>
      </w:r>
      <w:r w:rsidRPr="001C4D71">
        <w:rPr>
          <w:rFonts w:ascii="Times New Roman" w:hAnsi="Times New Roman" w:cs="Times New Roman"/>
          <w:lang w:val="sr-Latn-RS"/>
        </w:rPr>
        <w:t>_______</w:t>
      </w:r>
      <w:r w:rsidRPr="001C4D71">
        <w:rPr>
          <w:rFonts w:ascii="Times New Roman" w:hAnsi="Times New Roman" w:cs="Times New Roman"/>
          <w:lang w:val="mk-MK"/>
        </w:rPr>
        <w:t>__</w:t>
      </w:r>
      <w:r w:rsidRPr="001C4D71">
        <w:rPr>
          <w:rFonts w:ascii="Times New Roman" w:hAnsi="Times New Roman" w:cs="Times New Roman"/>
          <w:lang w:val="sr-Latn-RS"/>
        </w:rPr>
        <w:t>____________________________________________</w:t>
      </w:r>
      <w:r w:rsidRPr="001C4D71">
        <w:rPr>
          <w:rFonts w:ascii="Times New Roman" w:hAnsi="Times New Roman" w:cs="Times New Roman"/>
          <w:lang w:val="mk-MK"/>
        </w:rPr>
        <w:t>____</w:t>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r>
      <w:r w:rsidRPr="001C4D71">
        <w:rPr>
          <w:rFonts w:ascii="Times New Roman" w:hAnsi="Times New Roman" w:cs="Times New Roman"/>
          <w:lang w:val="mk-MK"/>
        </w:rPr>
        <w:softHyphen/>
        <w:t>_</w:t>
      </w:r>
      <w:r w:rsidRPr="001C4D71">
        <w:rPr>
          <w:rFonts w:ascii="Times New Roman" w:hAnsi="Times New Roman" w:cs="Times New Roman"/>
          <w:lang w:val="sr-Latn-RS"/>
        </w:rPr>
        <w:t>__</w:t>
      </w:r>
      <w:r w:rsidRPr="001C4D71">
        <w:rPr>
          <w:rFonts w:ascii="Times New Roman" w:hAnsi="Times New Roman" w:cs="Times New Roman"/>
          <w:lang w:val="mk-MK"/>
        </w:rPr>
        <w:t>______</w:t>
      </w:r>
      <w:r w:rsidRPr="001C4D71">
        <w:rPr>
          <w:rFonts w:ascii="Times New Roman" w:hAnsi="Times New Roman" w:cs="Times New Roman"/>
          <w:lang w:val="sr-Latn-RS"/>
        </w:rPr>
        <w:t xml:space="preserve">“ </w:t>
      </w:r>
      <w:r w:rsidRPr="001C4D71">
        <w:rPr>
          <w:rFonts w:ascii="Times New Roman" w:hAnsi="Times New Roman" w:cs="Times New Roman"/>
          <w:lang w:val="mk-MK"/>
        </w:rPr>
        <w:t>(hereinafter referred to as „Project“)</w:t>
      </w:r>
      <w:r w:rsidRPr="001C4D71">
        <w:rPr>
          <w:rFonts w:ascii="Times New Roman" w:hAnsi="Times New Roman" w:cs="Times New Roman"/>
          <w:lang w:val="sr-Latn-RS"/>
        </w:rPr>
        <w:t xml:space="preserve"> following the eligibility, terms, and conditions</w:t>
      </w:r>
      <w:r w:rsidRPr="001C4D71">
        <w:rPr>
          <w:rFonts w:ascii="Times New Roman" w:hAnsi="Times New Roman" w:cs="Times New Roman"/>
          <w:lang w:val="mk-MK"/>
        </w:rPr>
        <w:t xml:space="preserve"> </w:t>
      </w:r>
      <w:r w:rsidRPr="001C4D71">
        <w:rPr>
          <w:rFonts w:ascii="Times New Roman" w:hAnsi="Times New Roman" w:cs="Times New Roman"/>
          <w:lang w:val="sr-Latn-RS"/>
        </w:rPr>
        <w:t xml:space="preserve">defined by the Loan Agreements and the </w:t>
      </w:r>
      <w:r w:rsidRPr="001C4D71">
        <w:rPr>
          <w:rFonts w:ascii="Times New Roman" w:hAnsi="Times New Roman" w:cs="Times New Roman"/>
        </w:rPr>
        <w:t>LIID Operation and Grant Manual (hereinafter referred to as “POGM”)</w:t>
      </w:r>
      <w:r w:rsidRPr="001C4D71">
        <w:rPr>
          <w:rFonts w:ascii="Times New Roman" w:hAnsi="Times New Roman" w:cs="Times New Roman"/>
          <w:lang w:val="sr-Latn-RS"/>
        </w:rPr>
        <w:t xml:space="preserve">; </w:t>
      </w:r>
    </w:p>
    <w:p w14:paraId="6A442D5E" w14:textId="77777777" w:rsidR="00DB60FB" w:rsidRDefault="00DB60FB" w:rsidP="005E33E4">
      <w:pPr>
        <w:pStyle w:val="ListParagraph"/>
        <w:spacing w:after="0" w:line="276" w:lineRule="auto"/>
        <w:ind w:left="709" w:right="808"/>
        <w:jc w:val="both"/>
        <w:rPr>
          <w:rFonts w:ascii="Times New Roman" w:hAnsi="Times New Roman" w:cs="Times New Roman"/>
          <w:lang w:val="mk-MK"/>
        </w:rPr>
      </w:pPr>
    </w:p>
    <w:p w14:paraId="548D684E" w14:textId="77777777" w:rsidR="00DB60FB" w:rsidRPr="001C4D71" w:rsidRDefault="00DB60FB" w:rsidP="005E33E4">
      <w:pPr>
        <w:pStyle w:val="ListParagraph"/>
        <w:numPr>
          <w:ilvl w:val="0"/>
          <w:numId w:val="273"/>
        </w:num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Upon assessment of eligibility and compliance</w:t>
      </w:r>
      <w:r w:rsidRPr="001C4D71">
        <w:rPr>
          <w:rFonts w:ascii="Times New Roman" w:hAnsi="Times New Roman" w:cs="Times New Roman"/>
          <w:lang w:val="sr-Latn-RS"/>
        </w:rPr>
        <w:t>,</w:t>
      </w:r>
      <w:r w:rsidRPr="001C4D71">
        <w:rPr>
          <w:rFonts w:ascii="Times New Roman" w:hAnsi="Times New Roman" w:cs="Times New Roman"/>
          <w:lang w:val="mk-MK"/>
        </w:rPr>
        <w:t xml:space="preserve"> the MCTI approved the funding for the </w:t>
      </w:r>
      <w:r w:rsidRPr="001C4D71">
        <w:rPr>
          <w:rFonts w:ascii="Times New Roman" w:hAnsi="Times New Roman" w:cs="Times New Roman"/>
          <w:lang w:val="sr-Latn-RS"/>
        </w:rPr>
        <w:t>Project</w:t>
      </w:r>
      <w:r w:rsidRPr="001C4D71">
        <w:rPr>
          <w:rFonts w:ascii="Times New Roman" w:hAnsi="Times New Roman" w:cs="Times New Roman"/>
          <w:lang w:val="mk-MK"/>
        </w:rPr>
        <w:t xml:space="preserve"> and the Minister brought the Decision on the Transfer of Earmarked Funds from the </w:t>
      </w:r>
      <w:r w:rsidRPr="001C4D71">
        <w:rPr>
          <w:rFonts w:ascii="Times New Roman" w:hAnsi="Times New Roman" w:cs="Times New Roman"/>
          <w:lang w:val="sr-Latn-RS"/>
        </w:rPr>
        <w:t xml:space="preserve">LIID </w:t>
      </w:r>
      <w:r w:rsidRPr="001C4D71">
        <w:rPr>
          <w:rFonts w:ascii="Times New Roman" w:hAnsi="Times New Roman" w:cs="Times New Roman"/>
          <w:lang w:val="mk-MK"/>
        </w:rPr>
        <w:t xml:space="preserve">Project to the LSG for the </w:t>
      </w:r>
      <w:r w:rsidRPr="001C4D71">
        <w:rPr>
          <w:rFonts w:ascii="Times New Roman" w:hAnsi="Times New Roman" w:cs="Times New Roman"/>
          <w:lang w:val="sr-Latn-RS"/>
        </w:rPr>
        <w:t xml:space="preserve">Project </w:t>
      </w:r>
      <w:r w:rsidRPr="001C4D71">
        <w:rPr>
          <w:rFonts w:ascii="Times New Roman" w:hAnsi="Times New Roman" w:cs="Times New Roman"/>
          <w:lang w:val="mk-MK"/>
        </w:rPr>
        <w:t>„_____________________________________________“</w:t>
      </w:r>
      <w:r w:rsidRPr="001C4D71">
        <w:rPr>
          <w:rFonts w:ascii="Times New Roman" w:hAnsi="Times New Roman" w:cs="Times New Roman"/>
          <w:lang w:val="sr-Latn-RS"/>
        </w:rPr>
        <w:t>,</w:t>
      </w:r>
      <w:r w:rsidRPr="001C4D71">
        <w:rPr>
          <w:rFonts w:ascii="Times New Roman" w:hAnsi="Times New Roman" w:cs="Times New Roman"/>
          <w:lang w:val="mk-MK"/>
        </w:rPr>
        <w:t xml:space="preserve"> dated XX.XX.202</w:t>
      </w:r>
      <w:r w:rsidRPr="001C4D71">
        <w:rPr>
          <w:rFonts w:ascii="Times New Roman" w:hAnsi="Times New Roman" w:cs="Times New Roman"/>
          <w:lang w:val="sr-Latn-RS"/>
        </w:rPr>
        <w:t>X.</w:t>
      </w:r>
      <w:r w:rsidRPr="001C4D71">
        <w:rPr>
          <w:rFonts w:ascii="Times New Roman" w:hAnsi="Times New Roman" w:cs="Times New Roman"/>
          <w:lang w:val="mk-MK"/>
        </w:rPr>
        <w:t xml:space="preserve"> </w:t>
      </w:r>
    </w:p>
    <w:p w14:paraId="4FE76D86" w14:textId="77777777" w:rsidR="00DB60FB" w:rsidRPr="001C4D71" w:rsidRDefault="00DB60FB" w:rsidP="005E33E4">
      <w:pPr>
        <w:spacing w:line="276" w:lineRule="auto"/>
        <w:ind w:left="709" w:right="808"/>
        <w:jc w:val="both"/>
        <w:rPr>
          <w:rFonts w:ascii="Times New Roman" w:hAnsi="Times New Roman" w:cs="Times New Roman"/>
          <w:lang w:val="mk-MK"/>
        </w:rPr>
      </w:pPr>
    </w:p>
    <w:p w14:paraId="7C618AD0"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4517454C" w14:textId="77777777" w:rsidR="00DB60FB" w:rsidRPr="001C4D71" w:rsidRDefault="00DB60FB" w:rsidP="005E33E4">
      <w:pPr>
        <w:spacing w:after="0" w:line="276" w:lineRule="auto"/>
        <w:ind w:left="709" w:right="808"/>
        <w:jc w:val="center"/>
        <w:rPr>
          <w:rFonts w:ascii="Times New Roman" w:hAnsi="Times New Roman" w:cs="Times New Roman"/>
          <w:lang w:val="mk-MK"/>
        </w:rPr>
      </w:pPr>
      <w:r w:rsidRPr="001C4D71">
        <w:rPr>
          <w:rFonts w:ascii="Times New Roman" w:hAnsi="Times New Roman" w:cs="Times New Roman"/>
        </w:rPr>
        <w:t xml:space="preserve">        Article </w:t>
      </w:r>
      <w:r w:rsidRPr="001C4D71">
        <w:rPr>
          <w:rFonts w:ascii="Times New Roman" w:hAnsi="Times New Roman" w:cs="Times New Roman"/>
          <w:lang w:val="mk-MK"/>
        </w:rPr>
        <w:t>1</w:t>
      </w:r>
    </w:p>
    <w:p w14:paraId="28CA587E"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75B1921E"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lang w:val="sr-Latn-RS"/>
        </w:rPr>
        <w:t>S</w:t>
      </w:r>
      <w:r w:rsidRPr="001C4D71">
        <w:rPr>
          <w:rFonts w:ascii="Times New Roman" w:hAnsi="Times New Roman" w:cs="Times New Roman"/>
        </w:rPr>
        <w:t xml:space="preserve">ubject of this Grant Agreement is the regulation of the rights and obligations between the Parties in the implementation of the Project </w:t>
      </w:r>
      <w:r w:rsidRPr="001C4D71">
        <w:rPr>
          <w:rFonts w:ascii="Times New Roman" w:hAnsi="Times New Roman" w:cs="Times New Roman"/>
          <w:lang w:val="sr-Latn-RS"/>
        </w:rPr>
        <w:t>„</w:t>
      </w:r>
      <w:r w:rsidRPr="001C4D71">
        <w:rPr>
          <w:rFonts w:ascii="Times New Roman" w:hAnsi="Times New Roman" w:cs="Times New Roman"/>
          <w:lang w:val="mk-MK"/>
        </w:rPr>
        <w:t>__________________</w:t>
      </w:r>
      <w:r w:rsidRPr="001C4D71">
        <w:rPr>
          <w:rFonts w:ascii="Times New Roman" w:hAnsi="Times New Roman" w:cs="Times New Roman"/>
          <w:lang w:val="sr-Latn-RS"/>
        </w:rPr>
        <w:t>__</w:t>
      </w:r>
      <w:r w:rsidRPr="001C4D71">
        <w:rPr>
          <w:rFonts w:ascii="Times New Roman" w:hAnsi="Times New Roman" w:cs="Times New Roman"/>
          <w:lang w:val="mk-MK"/>
        </w:rPr>
        <w:t>_____</w:t>
      </w:r>
      <w:r w:rsidRPr="001C4D71">
        <w:rPr>
          <w:rFonts w:ascii="Times New Roman" w:hAnsi="Times New Roman" w:cs="Times New Roman"/>
          <w:lang w:val="sr-Latn-RS"/>
        </w:rPr>
        <w:t>__________________________</w:t>
      </w:r>
      <w:r w:rsidRPr="001C4D71">
        <w:rPr>
          <w:rFonts w:ascii="Times New Roman" w:hAnsi="Times New Roman" w:cs="Times New Roman"/>
          <w:lang w:val="mk-MK"/>
        </w:rPr>
        <w:t>_</w:t>
      </w:r>
      <w:r w:rsidRPr="001C4D71">
        <w:rPr>
          <w:rFonts w:ascii="Times New Roman" w:hAnsi="Times New Roman" w:cs="Times New Roman"/>
          <w:lang w:val="sr-Latn-RS"/>
        </w:rPr>
        <w:t>“</w:t>
      </w:r>
      <w:r w:rsidRPr="001C4D71">
        <w:rPr>
          <w:rFonts w:ascii="Times New Roman" w:hAnsi="Times New Roman" w:cs="Times New Roman"/>
        </w:rPr>
        <w:t xml:space="preserve">, </w:t>
      </w:r>
      <w:r w:rsidRPr="001C4D71">
        <w:rPr>
          <w:rFonts w:ascii="Times New Roman" w:hAnsi="Times New Roman" w:cs="Times New Roman"/>
          <w:lang w:val="sr-Latn-RS"/>
        </w:rPr>
        <w:t>described in detail in Annex 1 to this Grant Agreement</w:t>
      </w:r>
      <w:r w:rsidRPr="001C4D71">
        <w:rPr>
          <w:rFonts w:ascii="Times New Roman" w:hAnsi="Times New Roman" w:cs="Times New Roman"/>
        </w:rPr>
        <w:t xml:space="preserve">. </w:t>
      </w:r>
    </w:p>
    <w:p w14:paraId="383F7984" w14:textId="77777777" w:rsidR="00DB60FB" w:rsidRPr="001C4D71" w:rsidRDefault="00DB60FB" w:rsidP="005E33E4">
      <w:pPr>
        <w:spacing w:after="0" w:line="276" w:lineRule="auto"/>
        <w:ind w:left="709" w:right="808"/>
        <w:jc w:val="both"/>
        <w:rPr>
          <w:rFonts w:ascii="Times New Roman" w:hAnsi="Times New Roman" w:cs="Times New Roman"/>
        </w:rPr>
      </w:pPr>
    </w:p>
    <w:p w14:paraId="76259717" w14:textId="77777777" w:rsidR="00DB60FB" w:rsidRPr="001C4D71" w:rsidRDefault="00DB60FB" w:rsidP="005E33E4">
      <w:pPr>
        <w:spacing w:after="0" w:line="276" w:lineRule="auto"/>
        <w:ind w:left="709" w:right="808"/>
        <w:jc w:val="both"/>
        <w:rPr>
          <w:rFonts w:ascii="Times New Roman" w:hAnsi="Times New Roman" w:cs="Times New Roman"/>
        </w:rPr>
      </w:pPr>
    </w:p>
    <w:p w14:paraId="1B223AE7" w14:textId="77777777" w:rsidR="00DB60FB" w:rsidRPr="001C4D71" w:rsidRDefault="00DB60FB" w:rsidP="005E33E4">
      <w:pPr>
        <w:spacing w:after="0" w:line="276" w:lineRule="auto"/>
        <w:ind w:left="709" w:right="808"/>
        <w:jc w:val="center"/>
        <w:rPr>
          <w:rFonts w:ascii="Times New Roman" w:hAnsi="Times New Roman" w:cs="Times New Roman"/>
          <w:lang w:val="mk-MK"/>
        </w:rPr>
      </w:pPr>
      <w:r w:rsidRPr="001C4D71">
        <w:rPr>
          <w:rFonts w:ascii="Times New Roman" w:hAnsi="Times New Roman" w:cs="Times New Roman"/>
        </w:rPr>
        <w:t xml:space="preserve">Article </w:t>
      </w:r>
      <w:r w:rsidRPr="001C4D71">
        <w:rPr>
          <w:rFonts w:ascii="Times New Roman" w:hAnsi="Times New Roman" w:cs="Times New Roman"/>
          <w:lang w:val="mk-MK"/>
        </w:rPr>
        <w:t>2</w:t>
      </w:r>
    </w:p>
    <w:p w14:paraId="0B3A78D4"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5D3A0660"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Parties hereby agree to implement this Grant Agreement in line with: </w:t>
      </w:r>
    </w:p>
    <w:p w14:paraId="161374E8" w14:textId="77777777" w:rsidR="00DB60FB" w:rsidRPr="001C4D71" w:rsidRDefault="00DB60FB" w:rsidP="005E33E4">
      <w:pPr>
        <w:pStyle w:val="ListParagraph"/>
        <w:numPr>
          <w:ilvl w:val="0"/>
          <w:numId w:val="275"/>
        </w:num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Project proposal and the accompanying documentation submitted to the MCTI by the LSG for financing the Project, as stated in ANNEX 1 referred to in Article 6; and </w:t>
      </w:r>
    </w:p>
    <w:p w14:paraId="0378AE91" w14:textId="77777777" w:rsidR="00DB60FB" w:rsidRPr="001C4D71" w:rsidRDefault="00DB60FB" w:rsidP="005E33E4">
      <w:pPr>
        <w:pStyle w:val="ListParagraph"/>
        <w:numPr>
          <w:ilvl w:val="0"/>
          <w:numId w:val="275"/>
        </w:num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all applicable provisions of the Loan Agreements as further detailed in the POGM and the LIID Project Agreement, including in the areas of, </w:t>
      </w:r>
      <w:r w:rsidRPr="001C4D71">
        <w:rPr>
          <w:rFonts w:ascii="Times New Roman" w:hAnsi="Times New Roman" w:cs="Times New Roman"/>
          <w:i/>
          <w:iCs/>
        </w:rPr>
        <w:t>inter alia</w:t>
      </w:r>
      <w:r w:rsidRPr="001C4D71">
        <w:rPr>
          <w:rFonts w:ascii="Times New Roman" w:hAnsi="Times New Roman" w:cs="Times New Roman"/>
        </w:rPr>
        <w:t>, procurement, financial management, project planning and preparation, public investment management, road asset management, environmental, social and anti-corruption.</w:t>
      </w:r>
    </w:p>
    <w:p w14:paraId="47CDB2B0" w14:textId="77777777" w:rsidR="00DB60FB" w:rsidRPr="001C4D71" w:rsidRDefault="00DB60FB" w:rsidP="005E33E4">
      <w:pPr>
        <w:spacing w:after="0" w:line="276" w:lineRule="auto"/>
        <w:ind w:left="709" w:right="808"/>
        <w:jc w:val="both"/>
        <w:rPr>
          <w:rFonts w:ascii="Times New Roman" w:hAnsi="Times New Roman" w:cs="Times New Roman"/>
        </w:rPr>
      </w:pPr>
    </w:p>
    <w:p w14:paraId="394CE4C0" w14:textId="77777777" w:rsidR="00DB60FB" w:rsidRPr="001C4D71" w:rsidRDefault="00DB60FB" w:rsidP="005E33E4">
      <w:pPr>
        <w:pStyle w:val="ListParagraph"/>
        <w:spacing w:after="0" w:line="276" w:lineRule="auto"/>
        <w:ind w:left="709" w:right="808"/>
        <w:jc w:val="both"/>
        <w:rPr>
          <w:rFonts w:ascii="Times New Roman" w:hAnsi="Times New Roman" w:cs="Times New Roman"/>
        </w:rPr>
      </w:pPr>
    </w:p>
    <w:p w14:paraId="55F07948"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sr-Latn-RS"/>
        </w:rPr>
        <w:t>3</w:t>
      </w:r>
    </w:p>
    <w:p w14:paraId="0569AFB4" w14:textId="77777777" w:rsidR="00DB60FB" w:rsidRPr="001C4D71" w:rsidRDefault="00DB60FB" w:rsidP="005E33E4">
      <w:pPr>
        <w:spacing w:after="0" w:line="276" w:lineRule="auto"/>
        <w:ind w:left="709" w:right="808"/>
        <w:jc w:val="center"/>
        <w:rPr>
          <w:rFonts w:ascii="Times New Roman" w:hAnsi="Times New Roman" w:cs="Times New Roman"/>
          <w:lang w:val="sr-Latn-RS"/>
        </w:rPr>
      </w:pPr>
    </w:p>
    <w:p w14:paraId="4286391F"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This Grant Agreement in its entirety, in terms of the subject of the Grant Agreement, replaces any previous spoken or written communication between the Parties. All terms and conditions are listed in the Agreement and any changes are subject to the Bank’s prior and written authorization, and must be made in writing, by signing a corresponding annex to this Grant Agreement. </w:t>
      </w:r>
    </w:p>
    <w:p w14:paraId="324A44F6" w14:textId="77777777" w:rsidR="00DB60FB" w:rsidRPr="001C4D71" w:rsidRDefault="00DB60FB" w:rsidP="005E33E4">
      <w:pPr>
        <w:spacing w:after="0" w:line="276" w:lineRule="auto"/>
        <w:ind w:left="709" w:right="808"/>
        <w:jc w:val="center"/>
        <w:rPr>
          <w:rFonts w:ascii="Times New Roman" w:hAnsi="Times New Roman" w:cs="Times New Roman"/>
        </w:rPr>
      </w:pPr>
    </w:p>
    <w:p w14:paraId="66445E04" w14:textId="77777777" w:rsidR="00DB60FB" w:rsidRPr="001C4D71" w:rsidRDefault="00DB60FB" w:rsidP="005E33E4">
      <w:pPr>
        <w:spacing w:after="0" w:line="276" w:lineRule="auto"/>
        <w:ind w:left="709" w:right="808"/>
        <w:jc w:val="center"/>
        <w:rPr>
          <w:rFonts w:ascii="Times New Roman" w:hAnsi="Times New Roman" w:cs="Times New Roman"/>
        </w:rPr>
      </w:pPr>
    </w:p>
    <w:p w14:paraId="67D7B8AF"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sr-Latn-RS"/>
        </w:rPr>
        <w:t>4</w:t>
      </w:r>
    </w:p>
    <w:p w14:paraId="59D50DBB" w14:textId="77777777" w:rsidR="00DB60FB" w:rsidRPr="001C4D71" w:rsidRDefault="00DB60FB" w:rsidP="005E33E4">
      <w:pPr>
        <w:spacing w:after="0" w:line="276" w:lineRule="auto"/>
        <w:ind w:left="709" w:right="808"/>
        <w:rPr>
          <w:rFonts w:ascii="Times New Roman" w:hAnsi="Times New Roman" w:cs="Times New Roman"/>
          <w:lang w:val="mk-MK"/>
        </w:rPr>
      </w:pPr>
    </w:p>
    <w:p w14:paraId="5D7C97F2" w14:textId="77777777" w:rsidR="00DB60FB" w:rsidRPr="001C4D71" w:rsidRDefault="00DB60FB" w:rsidP="005E33E4">
      <w:pPr>
        <w:spacing w:after="0" w:line="276" w:lineRule="auto"/>
        <w:ind w:left="709" w:right="808"/>
        <w:jc w:val="both"/>
        <w:rPr>
          <w:rFonts w:ascii="Times New Roman" w:hAnsi="Times New Roman" w:cs="Times New Roman"/>
          <w:lang w:val="sr-Latn-RS"/>
        </w:rPr>
      </w:pPr>
      <w:r w:rsidRPr="001C4D71">
        <w:rPr>
          <w:rFonts w:ascii="Times New Roman" w:hAnsi="Times New Roman" w:cs="Times New Roman"/>
          <w:lang w:val="mk-MK"/>
        </w:rPr>
        <w:t xml:space="preserve">The MCTI undertakes to pay the </w:t>
      </w:r>
      <w:r w:rsidRPr="001C4D71">
        <w:rPr>
          <w:rFonts w:ascii="Times New Roman" w:hAnsi="Times New Roman" w:cs="Times New Roman"/>
          <w:lang w:val="sr-Latn-RS"/>
        </w:rPr>
        <w:t xml:space="preserve">LSG earmarked </w:t>
      </w:r>
      <w:r w:rsidRPr="001C4D71">
        <w:rPr>
          <w:rFonts w:ascii="Times New Roman" w:hAnsi="Times New Roman" w:cs="Times New Roman"/>
          <w:lang w:val="mk-MK"/>
        </w:rPr>
        <w:t>funds in the amount of</w:t>
      </w:r>
      <w:r w:rsidRPr="001C4D71">
        <w:rPr>
          <w:rFonts w:ascii="Times New Roman" w:hAnsi="Times New Roman" w:cs="Times New Roman"/>
          <w:lang w:val="sr-Latn-RS"/>
        </w:rPr>
        <w:t xml:space="preserve"> </w:t>
      </w:r>
      <w:r w:rsidRPr="001C4D71">
        <w:rPr>
          <w:rFonts w:ascii="Times New Roman" w:hAnsi="Times New Roman" w:cs="Times New Roman"/>
          <w:lang w:val="mk-MK"/>
        </w:rPr>
        <w:t xml:space="preserve"> </w:t>
      </w:r>
      <w:r w:rsidRPr="001C4D71">
        <w:rPr>
          <w:rFonts w:ascii="Times New Roman" w:hAnsi="Times New Roman" w:cs="Times New Roman"/>
          <w:lang w:val="sr-Latn-RS"/>
        </w:rPr>
        <w:t>XXXXXXXXX</w:t>
      </w:r>
      <w:r w:rsidRPr="001C4D71">
        <w:rPr>
          <w:rFonts w:ascii="Times New Roman" w:hAnsi="Times New Roman" w:cs="Times New Roman"/>
          <w:lang w:val="mk-MK"/>
        </w:rPr>
        <w:t xml:space="preserve"> </w:t>
      </w:r>
      <w:r w:rsidRPr="001C4D71">
        <w:rPr>
          <w:rFonts w:ascii="Times New Roman" w:hAnsi="Times New Roman" w:cs="Times New Roman"/>
          <w:lang w:val="sr-Latn-RS"/>
        </w:rPr>
        <w:t>RSD</w:t>
      </w:r>
      <w:r w:rsidRPr="001C4D71">
        <w:rPr>
          <w:rFonts w:ascii="Times New Roman" w:hAnsi="Times New Roman" w:cs="Times New Roman"/>
          <w:lang w:val="mk-MK"/>
        </w:rPr>
        <w:t xml:space="preserve"> (in words: </w:t>
      </w:r>
      <w:r w:rsidRPr="001C4D71">
        <w:rPr>
          <w:rFonts w:ascii="Times New Roman" w:hAnsi="Times New Roman" w:cs="Times New Roman"/>
          <w:lang w:val="sr-Latn-RS"/>
        </w:rPr>
        <w:t>___________________________________</w:t>
      </w:r>
      <w:r w:rsidRPr="001C4D71">
        <w:rPr>
          <w:rFonts w:ascii="Times New Roman" w:hAnsi="Times New Roman" w:cs="Times New Roman"/>
          <w:lang w:val="mk-MK"/>
        </w:rPr>
        <w:t xml:space="preserve"> dinars) to the account number: XXXHHHHH, opened with the Treasury, for the implementation of </w:t>
      </w:r>
      <w:r w:rsidRPr="001C4D71">
        <w:rPr>
          <w:rFonts w:ascii="Times New Roman" w:hAnsi="Times New Roman" w:cs="Times New Roman"/>
          <w:lang w:val="sr-Latn-RS"/>
        </w:rPr>
        <w:t>the Project.</w:t>
      </w:r>
    </w:p>
    <w:p w14:paraId="0FDE1707" w14:textId="77777777" w:rsidR="00DB60FB" w:rsidRPr="001C4D71" w:rsidRDefault="00DB60FB" w:rsidP="005E33E4">
      <w:pPr>
        <w:spacing w:after="0" w:line="276" w:lineRule="auto"/>
        <w:ind w:left="709" w:right="808"/>
        <w:jc w:val="both"/>
        <w:rPr>
          <w:rFonts w:ascii="Times New Roman" w:hAnsi="Times New Roman" w:cs="Times New Roman"/>
          <w:lang w:val="mk-MK"/>
        </w:rPr>
      </w:pPr>
    </w:p>
    <w:p w14:paraId="56262189" w14:textId="77777777" w:rsidR="00DB60FB" w:rsidRPr="001C4D71" w:rsidRDefault="00DB60FB" w:rsidP="005E33E4">
      <w:pPr>
        <w:spacing w:after="0" w:line="276" w:lineRule="auto"/>
        <w:ind w:left="709" w:right="808"/>
        <w:jc w:val="both"/>
        <w:rPr>
          <w:rFonts w:ascii="Times New Roman" w:hAnsi="Times New Roman" w:cs="Times New Roman"/>
          <w:lang w:val="sr-Latn-RS"/>
        </w:rPr>
      </w:pPr>
      <w:r w:rsidRPr="001C4D71">
        <w:rPr>
          <w:rFonts w:ascii="Times New Roman" w:eastAsia="Times New Roman" w:hAnsi="Times New Roman" w:cs="Times New Roman"/>
          <w:color w:val="000000"/>
        </w:rPr>
        <w:t xml:space="preserve">The funds will be disbursed in two tranches, 50 percent advance payment, and 50 percent after verification by the MCTI that the Grant proceeds of the first tranche were used for intended purposes and at least 80 percent of initial amount was spent.  First transfer of resources will happen within </w:t>
      </w:r>
      <w:r w:rsidRPr="001C4D71">
        <w:rPr>
          <w:rFonts w:ascii="Times New Roman" w:hAnsi="Times New Roman" w:cs="Times New Roman"/>
          <w:lang w:val="mk-MK"/>
        </w:rPr>
        <w:t>15 days from the date of signing</w:t>
      </w:r>
      <w:r w:rsidRPr="001C4D71">
        <w:rPr>
          <w:rFonts w:ascii="Times New Roman" w:hAnsi="Times New Roman" w:cs="Times New Roman"/>
          <w:lang w:val="sr-Latn-RS"/>
        </w:rPr>
        <w:t xml:space="preserve"> of</w:t>
      </w:r>
      <w:r w:rsidRPr="001C4D71">
        <w:rPr>
          <w:rFonts w:ascii="Times New Roman" w:hAnsi="Times New Roman" w:cs="Times New Roman"/>
          <w:lang w:val="mk-MK"/>
        </w:rPr>
        <w:t xml:space="preserve"> th</w:t>
      </w:r>
      <w:r w:rsidRPr="001C4D71">
        <w:rPr>
          <w:rFonts w:ascii="Times New Roman" w:hAnsi="Times New Roman" w:cs="Times New Roman"/>
          <w:lang w:val="sr-Latn-RS"/>
        </w:rPr>
        <w:t>is</w:t>
      </w:r>
      <w:r w:rsidRPr="001C4D71">
        <w:rPr>
          <w:rFonts w:ascii="Times New Roman" w:hAnsi="Times New Roman" w:cs="Times New Roman"/>
          <w:lang w:val="mk-MK"/>
        </w:rPr>
        <w:t xml:space="preserve"> </w:t>
      </w:r>
      <w:r w:rsidRPr="001C4D71">
        <w:rPr>
          <w:rFonts w:ascii="Times New Roman" w:hAnsi="Times New Roman" w:cs="Times New Roman"/>
          <w:lang w:val="sr-Latn-RS"/>
        </w:rPr>
        <w:t xml:space="preserve">Grant Agreement, </w:t>
      </w:r>
      <w:r w:rsidRPr="001C4D71">
        <w:rPr>
          <w:rFonts w:ascii="Times New Roman" w:hAnsi="Times New Roman" w:cs="Times New Roman"/>
          <w:lang w:val="mk-MK"/>
        </w:rPr>
        <w:t>and in accordance with the liquid</w:t>
      </w:r>
      <w:r w:rsidRPr="001C4D71">
        <w:rPr>
          <w:rFonts w:ascii="Times New Roman" w:hAnsi="Times New Roman" w:cs="Times New Roman"/>
          <w:lang w:val="sr-Latn-RS"/>
        </w:rPr>
        <w:t xml:space="preserve">ity </w:t>
      </w:r>
      <w:r w:rsidRPr="001C4D71">
        <w:rPr>
          <w:rFonts w:ascii="Times New Roman" w:hAnsi="Times New Roman" w:cs="Times New Roman"/>
          <w:lang w:val="mk-MK"/>
        </w:rPr>
        <w:t xml:space="preserve">of the </w:t>
      </w:r>
      <w:r w:rsidRPr="001C4D71">
        <w:rPr>
          <w:rFonts w:ascii="Times New Roman" w:hAnsi="Times New Roman" w:cs="Times New Roman"/>
          <w:lang w:val="sr-Latn-RS"/>
        </w:rPr>
        <w:t>B</w:t>
      </w:r>
      <w:r w:rsidRPr="001C4D71">
        <w:rPr>
          <w:rFonts w:ascii="Times New Roman" w:hAnsi="Times New Roman" w:cs="Times New Roman"/>
          <w:lang w:val="mk-MK"/>
        </w:rPr>
        <w:t>udget of the Republic of Serbia</w:t>
      </w:r>
      <w:r w:rsidRPr="001C4D71">
        <w:rPr>
          <w:rFonts w:ascii="Times New Roman" w:hAnsi="Times New Roman" w:cs="Times New Roman"/>
          <w:lang w:val="sr-Latn-RS"/>
        </w:rPr>
        <w:t>.</w:t>
      </w:r>
    </w:p>
    <w:p w14:paraId="0FE1753D" w14:textId="77777777" w:rsidR="00DB60FB" w:rsidRPr="001C4D71" w:rsidRDefault="00DB60FB" w:rsidP="005E33E4">
      <w:pPr>
        <w:spacing w:after="0" w:line="276" w:lineRule="auto"/>
        <w:ind w:left="709" w:right="808"/>
        <w:jc w:val="both"/>
        <w:rPr>
          <w:rFonts w:ascii="Times New Roman" w:hAnsi="Times New Roman" w:cs="Times New Roman"/>
          <w:lang w:val="sr-Latn-RS"/>
        </w:rPr>
      </w:pPr>
    </w:p>
    <w:p w14:paraId="575B7149"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w:t>
      </w:r>
      <w:r w:rsidRPr="001C4D71">
        <w:rPr>
          <w:rFonts w:ascii="Times New Roman" w:hAnsi="Times New Roman" w:cs="Times New Roman"/>
          <w:lang w:val="sr-Latn-RS"/>
        </w:rPr>
        <w:t>LSG</w:t>
      </w:r>
      <w:r w:rsidRPr="001C4D71">
        <w:rPr>
          <w:rFonts w:ascii="Times New Roman" w:hAnsi="Times New Roman" w:cs="Times New Roman"/>
          <w:lang w:val="mk-MK"/>
        </w:rPr>
        <w:t xml:space="preserve"> is obliged to submit to the MCTI, as an instrument of financial security: </w:t>
      </w:r>
    </w:p>
    <w:p w14:paraId="6A15EC56" w14:textId="77777777" w:rsidR="00DB60FB" w:rsidRPr="001C4D71" w:rsidRDefault="00DB60FB" w:rsidP="005E33E4">
      <w:pPr>
        <w:pStyle w:val="ListParagraph"/>
        <w:numPr>
          <w:ilvl w:val="0"/>
          <w:numId w:val="274"/>
        </w:num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a blank solo bill of exchange, registered in the Register of Bills of Exchange and Authorizations according to the Decision of the National Bank of Serbia, certified and signed by a person authorized to represent</w:t>
      </w:r>
      <w:r w:rsidRPr="001C4D71">
        <w:rPr>
          <w:rFonts w:ascii="Times New Roman" w:hAnsi="Times New Roman" w:cs="Times New Roman"/>
          <w:lang w:val="sr-Latn-RS"/>
        </w:rPr>
        <w:t xml:space="preserve"> the LSG</w:t>
      </w:r>
      <w:r w:rsidRPr="001C4D71">
        <w:rPr>
          <w:rFonts w:ascii="Times New Roman" w:hAnsi="Times New Roman" w:cs="Times New Roman"/>
          <w:lang w:val="mk-MK"/>
        </w:rPr>
        <w:t xml:space="preserve">; </w:t>
      </w:r>
    </w:p>
    <w:p w14:paraId="661891E1" w14:textId="77777777" w:rsidR="00DB60FB" w:rsidRPr="001C4D71" w:rsidRDefault="00DB60FB" w:rsidP="005E33E4">
      <w:pPr>
        <w:pStyle w:val="ListParagraph"/>
        <w:numPr>
          <w:ilvl w:val="0"/>
          <w:numId w:val="274"/>
        </w:num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certified bill of exchange authorization - a letter in favor of the MCTI with the indicated amount from th</w:t>
      </w:r>
      <w:r w:rsidRPr="001C4D71">
        <w:rPr>
          <w:rFonts w:ascii="Times New Roman" w:hAnsi="Times New Roman" w:cs="Times New Roman"/>
          <w:lang w:val="sr-Latn-RS"/>
        </w:rPr>
        <w:t>is</w:t>
      </w:r>
      <w:r w:rsidRPr="001C4D71">
        <w:rPr>
          <w:rFonts w:ascii="Times New Roman" w:hAnsi="Times New Roman" w:cs="Times New Roman"/>
          <w:lang w:val="mk-MK"/>
        </w:rPr>
        <w:t xml:space="preserve"> </w:t>
      </w:r>
      <w:r w:rsidRPr="001C4D71">
        <w:rPr>
          <w:rFonts w:ascii="Times New Roman" w:hAnsi="Times New Roman" w:cs="Times New Roman"/>
        </w:rPr>
        <w:t xml:space="preserve">Grant </w:t>
      </w:r>
      <w:r w:rsidRPr="001C4D71">
        <w:rPr>
          <w:rFonts w:ascii="Times New Roman" w:hAnsi="Times New Roman" w:cs="Times New Roman"/>
          <w:lang w:val="sr-Latn-RS"/>
        </w:rPr>
        <w:t>Agreement</w:t>
      </w:r>
      <w:r w:rsidRPr="001C4D71">
        <w:rPr>
          <w:rFonts w:ascii="Times New Roman" w:hAnsi="Times New Roman" w:cs="Times New Roman"/>
          <w:lang w:val="mk-MK"/>
        </w:rPr>
        <w:t xml:space="preserve">, and </w:t>
      </w:r>
    </w:p>
    <w:p w14:paraId="57A1617E" w14:textId="77777777" w:rsidR="00DB60FB" w:rsidRPr="001C4D71" w:rsidRDefault="00DB60FB" w:rsidP="005E33E4">
      <w:pPr>
        <w:pStyle w:val="ListParagraph"/>
        <w:numPr>
          <w:ilvl w:val="0"/>
          <w:numId w:val="274"/>
        </w:num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a copy of the card of deposited signatures of the persons authorized to represent</w:t>
      </w:r>
      <w:r w:rsidRPr="001C4D71">
        <w:rPr>
          <w:rFonts w:ascii="Times New Roman" w:hAnsi="Times New Roman" w:cs="Times New Roman"/>
          <w:lang w:val="sr-Latn-RS"/>
        </w:rPr>
        <w:t xml:space="preserve"> the LSG</w:t>
      </w:r>
      <w:r w:rsidRPr="001C4D71">
        <w:rPr>
          <w:rFonts w:ascii="Times New Roman" w:hAnsi="Times New Roman" w:cs="Times New Roman"/>
          <w:lang w:val="mk-MK"/>
        </w:rPr>
        <w:t xml:space="preserve">, issued by the commercial bank specified in the bill of exchange authorization. </w:t>
      </w:r>
    </w:p>
    <w:p w14:paraId="6526092B" w14:textId="77777777" w:rsidR="00DB60FB" w:rsidRPr="001C4D71" w:rsidRDefault="00DB60FB" w:rsidP="005E33E4">
      <w:pPr>
        <w:spacing w:after="0" w:line="276" w:lineRule="auto"/>
        <w:ind w:left="709" w:right="808"/>
        <w:jc w:val="both"/>
        <w:rPr>
          <w:rFonts w:ascii="Times New Roman" w:hAnsi="Times New Roman" w:cs="Times New Roman"/>
          <w:lang w:val="mk-MK"/>
        </w:rPr>
      </w:pPr>
    </w:p>
    <w:p w14:paraId="7F3AB41F"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validity period of the bill of exchange </w:t>
      </w:r>
      <w:r w:rsidRPr="001C4D71">
        <w:rPr>
          <w:rFonts w:ascii="Times New Roman" w:hAnsi="Times New Roman" w:cs="Times New Roman"/>
          <w:lang w:val="sr-Latn-RS"/>
        </w:rPr>
        <w:t xml:space="preserve">from the paragraph 3 of this Article </w:t>
      </w:r>
      <w:r w:rsidRPr="001C4D71">
        <w:rPr>
          <w:rFonts w:ascii="Times New Roman" w:hAnsi="Times New Roman" w:cs="Times New Roman"/>
          <w:lang w:val="mk-MK"/>
        </w:rPr>
        <w:t>must be 30 (thirty) days longer than the final deadline for the completion of the</w:t>
      </w:r>
      <w:r w:rsidRPr="001C4D71">
        <w:rPr>
          <w:rFonts w:ascii="Times New Roman" w:hAnsi="Times New Roman" w:cs="Times New Roman"/>
          <w:lang w:val="sr-Latn-RS"/>
        </w:rPr>
        <w:t xml:space="preserve"> Parties’</w:t>
      </w:r>
      <w:r w:rsidRPr="001C4D71">
        <w:rPr>
          <w:rFonts w:ascii="Times New Roman" w:hAnsi="Times New Roman" w:cs="Times New Roman"/>
          <w:lang w:val="mk-MK"/>
        </w:rPr>
        <w:t xml:space="preserve"> obligation</w:t>
      </w:r>
      <w:r w:rsidRPr="001C4D71">
        <w:rPr>
          <w:rFonts w:ascii="Times New Roman" w:hAnsi="Times New Roman" w:cs="Times New Roman"/>
          <w:lang w:val="sr-Latn-RS"/>
        </w:rPr>
        <w:t>s</w:t>
      </w:r>
      <w:r w:rsidRPr="001C4D71">
        <w:rPr>
          <w:rFonts w:ascii="Times New Roman" w:hAnsi="Times New Roman" w:cs="Times New Roman"/>
          <w:lang w:val="mk-MK"/>
        </w:rPr>
        <w:t>.</w:t>
      </w:r>
    </w:p>
    <w:p w14:paraId="0A1D12FC" w14:textId="77777777" w:rsidR="00DB60FB" w:rsidRPr="001C4D71" w:rsidRDefault="00DB60FB" w:rsidP="005E33E4">
      <w:pPr>
        <w:spacing w:after="0" w:line="276" w:lineRule="auto"/>
        <w:ind w:left="709" w:right="808"/>
        <w:jc w:val="both"/>
        <w:rPr>
          <w:rFonts w:ascii="Times New Roman" w:hAnsi="Times New Roman" w:cs="Times New Roman"/>
        </w:rPr>
      </w:pPr>
    </w:p>
    <w:p w14:paraId="186DFB7B" w14:textId="77777777" w:rsidR="00DB60FB" w:rsidRPr="001C4D71" w:rsidRDefault="00DB60FB" w:rsidP="005E33E4">
      <w:pPr>
        <w:spacing w:after="0" w:line="276" w:lineRule="auto"/>
        <w:ind w:left="709" w:right="808"/>
        <w:jc w:val="both"/>
        <w:rPr>
          <w:rFonts w:ascii="Times New Roman" w:hAnsi="Times New Roman" w:cs="Times New Roman"/>
        </w:rPr>
      </w:pPr>
    </w:p>
    <w:p w14:paraId="4E555E6C"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sr-Latn-RS"/>
        </w:rPr>
        <w:t>5</w:t>
      </w:r>
    </w:p>
    <w:p w14:paraId="3C142CAD"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6D02C1B6"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w:t>
      </w:r>
      <w:r w:rsidRPr="001C4D71">
        <w:rPr>
          <w:rFonts w:ascii="Times New Roman" w:hAnsi="Times New Roman" w:cs="Times New Roman"/>
          <w:lang w:val="sr-Latn-RS"/>
        </w:rPr>
        <w:t xml:space="preserve">LSG  </w:t>
      </w:r>
      <w:r w:rsidRPr="001C4D71">
        <w:rPr>
          <w:rFonts w:ascii="Times New Roman" w:hAnsi="Times New Roman" w:cs="Times New Roman"/>
          <w:lang w:val="mk-MK"/>
        </w:rPr>
        <w:t xml:space="preserve">undertakes to use the awarded </w:t>
      </w:r>
      <w:r w:rsidRPr="001C4D71">
        <w:rPr>
          <w:rFonts w:ascii="Times New Roman" w:hAnsi="Times New Roman" w:cs="Times New Roman"/>
          <w:lang w:val="sr-Latn-RS"/>
        </w:rPr>
        <w:t>funds</w:t>
      </w:r>
      <w:r w:rsidRPr="001C4D71">
        <w:rPr>
          <w:rFonts w:ascii="Times New Roman" w:hAnsi="Times New Roman" w:cs="Times New Roman"/>
          <w:lang w:val="mk-MK"/>
        </w:rPr>
        <w:t xml:space="preserve"> exclusively for the </w:t>
      </w:r>
      <w:r w:rsidRPr="001C4D71">
        <w:rPr>
          <w:rFonts w:ascii="Times New Roman" w:hAnsi="Times New Roman" w:cs="Times New Roman"/>
          <w:lang w:val="sr-Latn-RS"/>
        </w:rPr>
        <w:t xml:space="preserve">Project </w:t>
      </w:r>
      <w:r w:rsidRPr="001C4D71">
        <w:rPr>
          <w:rFonts w:ascii="Times New Roman" w:hAnsi="Times New Roman" w:cs="Times New Roman"/>
          <w:lang w:val="mk-MK"/>
        </w:rPr>
        <w:t>specified in Article 1 of this</w:t>
      </w:r>
      <w:r w:rsidRPr="001C4D71">
        <w:rPr>
          <w:rFonts w:ascii="Times New Roman" w:hAnsi="Times New Roman" w:cs="Times New Roman"/>
        </w:rPr>
        <w:t xml:space="preserve"> Grant</w:t>
      </w:r>
      <w:r w:rsidRPr="001C4D71">
        <w:rPr>
          <w:rFonts w:ascii="Times New Roman" w:hAnsi="Times New Roman" w:cs="Times New Roman"/>
          <w:lang w:val="mk-MK"/>
        </w:rPr>
        <w:t xml:space="preserve"> </w:t>
      </w:r>
      <w:r w:rsidRPr="001C4D71">
        <w:rPr>
          <w:rFonts w:ascii="Times New Roman" w:hAnsi="Times New Roman" w:cs="Times New Roman"/>
          <w:lang w:val="sr-Latn-RS"/>
        </w:rPr>
        <w:t>Agreement</w:t>
      </w:r>
      <w:r w:rsidRPr="001C4D71">
        <w:rPr>
          <w:rFonts w:ascii="Times New Roman" w:hAnsi="Times New Roman" w:cs="Times New Roman"/>
          <w:lang w:val="mk-MK"/>
        </w:rPr>
        <w:t xml:space="preserve">, in accordance with the </w:t>
      </w:r>
      <w:r w:rsidRPr="001C4D71">
        <w:rPr>
          <w:rFonts w:ascii="Times New Roman" w:hAnsi="Times New Roman" w:cs="Times New Roman"/>
          <w:lang w:val="sr-Latn-RS"/>
        </w:rPr>
        <w:t xml:space="preserve">Project proposal and the </w:t>
      </w:r>
      <w:r w:rsidRPr="001C4D71">
        <w:rPr>
          <w:rFonts w:ascii="Times New Roman" w:hAnsi="Times New Roman" w:cs="Times New Roman"/>
          <w:lang w:val="mk-MK"/>
        </w:rPr>
        <w:t xml:space="preserve">documentation </w:t>
      </w:r>
      <w:r w:rsidRPr="001C4D71">
        <w:rPr>
          <w:rFonts w:ascii="Times New Roman" w:hAnsi="Times New Roman" w:cs="Times New Roman"/>
          <w:lang w:val="sr-Latn-RS"/>
        </w:rPr>
        <w:t>submitted to the MCTI</w:t>
      </w:r>
      <w:r w:rsidRPr="001C4D71">
        <w:rPr>
          <w:rFonts w:ascii="Times New Roman" w:hAnsi="Times New Roman" w:cs="Times New Roman"/>
          <w:lang w:val="mk-MK"/>
        </w:rPr>
        <w:t xml:space="preserve">, </w:t>
      </w:r>
      <w:r w:rsidRPr="001C4D71">
        <w:rPr>
          <w:rFonts w:ascii="Times New Roman" w:hAnsi="Times New Roman" w:cs="Times New Roman"/>
          <w:lang w:val="sr-Latn-RS"/>
        </w:rPr>
        <w:t xml:space="preserve">and only </w:t>
      </w:r>
      <w:r w:rsidRPr="001C4D71">
        <w:rPr>
          <w:rFonts w:ascii="Times New Roman" w:hAnsi="Times New Roman" w:cs="Times New Roman"/>
          <w:lang w:val="mk-MK"/>
        </w:rPr>
        <w:t xml:space="preserve">in order to achieve the goals defined by the </w:t>
      </w:r>
      <w:r w:rsidRPr="001C4D71">
        <w:rPr>
          <w:rFonts w:ascii="Times New Roman" w:hAnsi="Times New Roman" w:cs="Times New Roman"/>
          <w:lang w:val="sr-Latn-RS"/>
        </w:rPr>
        <w:t>Project</w:t>
      </w:r>
      <w:r w:rsidRPr="001C4D71">
        <w:rPr>
          <w:rFonts w:ascii="Times New Roman" w:hAnsi="Times New Roman" w:cs="Times New Roman"/>
          <w:lang w:val="mk-MK"/>
        </w:rPr>
        <w:t>.</w:t>
      </w:r>
    </w:p>
    <w:p w14:paraId="1DCE4D4B" w14:textId="77777777" w:rsidR="00DB60FB" w:rsidRPr="001C4D71" w:rsidRDefault="00DB60FB" w:rsidP="005E33E4">
      <w:pPr>
        <w:spacing w:after="0" w:line="276" w:lineRule="auto"/>
        <w:ind w:left="709" w:right="808"/>
        <w:jc w:val="both"/>
        <w:rPr>
          <w:rFonts w:ascii="Times New Roman" w:hAnsi="Times New Roman" w:cs="Times New Roman"/>
          <w:lang w:val="mk-MK"/>
        </w:rPr>
      </w:pPr>
    </w:p>
    <w:p w14:paraId="0E77F890"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w:t>
      </w:r>
      <w:r w:rsidRPr="001C4D71">
        <w:rPr>
          <w:rFonts w:ascii="Times New Roman" w:hAnsi="Times New Roman" w:cs="Times New Roman"/>
          <w:lang w:val="sr-Latn-RS"/>
        </w:rPr>
        <w:t>LSG</w:t>
      </w:r>
      <w:r w:rsidRPr="001C4D71">
        <w:rPr>
          <w:rFonts w:ascii="Times New Roman" w:hAnsi="Times New Roman" w:cs="Times New Roman"/>
          <w:lang w:val="mk-MK"/>
        </w:rPr>
        <w:t xml:space="preserve"> is obliged to submit to the MCTI, within </w:t>
      </w:r>
      <w:r w:rsidRPr="001C4D71">
        <w:rPr>
          <w:rFonts w:ascii="Times New Roman" w:hAnsi="Times New Roman" w:cs="Times New Roman"/>
          <w:lang w:val="sr-Latn-RS"/>
        </w:rPr>
        <w:t>14</w:t>
      </w:r>
      <w:r w:rsidRPr="001C4D71">
        <w:rPr>
          <w:rFonts w:ascii="Times New Roman" w:hAnsi="Times New Roman" w:cs="Times New Roman"/>
          <w:lang w:val="mk-MK"/>
        </w:rPr>
        <w:t xml:space="preserve"> days from the day of signing th</w:t>
      </w:r>
      <w:r w:rsidRPr="001C4D71">
        <w:rPr>
          <w:rFonts w:ascii="Times New Roman" w:hAnsi="Times New Roman" w:cs="Times New Roman"/>
          <w:lang w:val="sr-Latn-RS"/>
        </w:rPr>
        <w:t>is</w:t>
      </w:r>
      <w:r w:rsidRPr="001C4D71">
        <w:rPr>
          <w:rFonts w:ascii="Times New Roman" w:hAnsi="Times New Roman" w:cs="Times New Roman"/>
        </w:rPr>
        <w:t xml:space="preserve"> Grant</w:t>
      </w:r>
      <w:r w:rsidRPr="001C4D71">
        <w:rPr>
          <w:rFonts w:ascii="Times New Roman" w:hAnsi="Times New Roman" w:cs="Times New Roman"/>
          <w:lang w:val="mk-MK"/>
        </w:rPr>
        <w:t xml:space="preserve"> </w:t>
      </w:r>
      <w:r w:rsidRPr="001C4D71">
        <w:rPr>
          <w:rFonts w:ascii="Times New Roman" w:hAnsi="Times New Roman" w:cs="Times New Roman"/>
          <w:lang w:val="sr-Latn-RS"/>
        </w:rPr>
        <w:t>Agreement</w:t>
      </w:r>
      <w:r w:rsidRPr="001C4D71">
        <w:rPr>
          <w:rFonts w:ascii="Times New Roman" w:hAnsi="Times New Roman" w:cs="Times New Roman"/>
          <w:lang w:val="mk-MK"/>
        </w:rPr>
        <w:t>, a dynamic plan of activities and a financial plan for spending the funds for approval.</w:t>
      </w:r>
    </w:p>
    <w:p w14:paraId="2B875646" w14:textId="77777777" w:rsidR="00DB60FB" w:rsidRPr="001C4D71" w:rsidRDefault="00DB60FB" w:rsidP="005E33E4">
      <w:pPr>
        <w:spacing w:after="0" w:line="276" w:lineRule="auto"/>
        <w:ind w:left="709" w:right="808"/>
        <w:jc w:val="both"/>
        <w:rPr>
          <w:rFonts w:ascii="Times New Roman" w:hAnsi="Times New Roman" w:cs="Times New Roman"/>
          <w:lang w:val="mk-MK"/>
        </w:rPr>
      </w:pPr>
    </w:p>
    <w:p w14:paraId="02058A7C"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w:t>
      </w:r>
      <w:r w:rsidRPr="001C4D71">
        <w:rPr>
          <w:rFonts w:ascii="Times New Roman" w:hAnsi="Times New Roman" w:cs="Times New Roman"/>
          <w:lang w:val="sr-Latn-RS"/>
        </w:rPr>
        <w:t>LSG</w:t>
      </w:r>
      <w:r w:rsidRPr="001C4D71">
        <w:rPr>
          <w:rFonts w:ascii="Times New Roman" w:hAnsi="Times New Roman" w:cs="Times New Roman"/>
          <w:lang w:val="mk-MK"/>
        </w:rPr>
        <w:t xml:space="preserve"> is obliged to, upon request, provide the MCTI with an insight into the manner and dynamics of the use of funds.</w:t>
      </w:r>
    </w:p>
    <w:p w14:paraId="299E5C5D" w14:textId="77777777" w:rsidR="00DB60FB" w:rsidRPr="001C4D71" w:rsidRDefault="00DB60FB" w:rsidP="005E33E4">
      <w:pPr>
        <w:spacing w:after="0" w:line="276" w:lineRule="auto"/>
        <w:ind w:left="709" w:right="808"/>
        <w:jc w:val="both"/>
        <w:rPr>
          <w:rFonts w:ascii="Times New Roman" w:hAnsi="Times New Roman" w:cs="Times New Roman"/>
          <w:lang w:val="mk-MK"/>
        </w:rPr>
      </w:pPr>
    </w:p>
    <w:p w14:paraId="3B4A20CC"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In case of un</w:t>
      </w:r>
      <w:r w:rsidRPr="001C4D71">
        <w:rPr>
          <w:rFonts w:ascii="Times New Roman" w:hAnsi="Times New Roman" w:cs="Times New Roman"/>
          <w:lang w:val="sr-Latn-RS"/>
        </w:rPr>
        <w:t>athorized</w:t>
      </w:r>
      <w:r w:rsidRPr="001C4D71">
        <w:rPr>
          <w:rFonts w:ascii="Times New Roman" w:hAnsi="Times New Roman" w:cs="Times New Roman"/>
          <w:lang w:val="mk-MK"/>
        </w:rPr>
        <w:t xml:space="preserve"> </w:t>
      </w:r>
      <w:r w:rsidRPr="001C4D71">
        <w:rPr>
          <w:rFonts w:ascii="Times New Roman" w:hAnsi="Times New Roman" w:cs="Times New Roman"/>
        </w:rPr>
        <w:t xml:space="preserve">or </w:t>
      </w:r>
      <w:r w:rsidRPr="001C4D71">
        <w:rPr>
          <w:rFonts w:ascii="Times New Roman" w:hAnsi="Times New Roman" w:cs="Times New Roman"/>
          <w:lang w:val="mk-MK"/>
        </w:rPr>
        <w:t xml:space="preserve">illegal spending of allocated funds, the </w:t>
      </w:r>
      <w:r w:rsidRPr="001C4D71">
        <w:rPr>
          <w:rFonts w:ascii="Times New Roman" w:hAnsi="Times New Roman" w:cs="Times New Roman"/>
          <w:lang w:val="sr-Latn-RS"/>
        </w:rPr>
        <w:t>LSG</w:t>
      </w:r>
      <w:r w:rsidRPr="001C4D71">
        <w:rPr>
          <w:rFonts w:ascii="Times New Roman" w:hAnsi="Times New Roman" w:cs="Times New Roman"/>
          <w:lang w:val="mk-MK"/>
        </w:rPr>
        <w:t xml:space="preserve"> is obliged to return the funds allocated by this </w:t>
      </w:r>
      <w:r w:rsidRPr="001C4D71">
        <w:rPr>
          <w:rFonts w:ascii="Times New Roman" w:hAnsi="Times New Roman" w:cs="Times New Roman"/>
        </w:rPr>
        <w:t xml:space="preserve">Grant </w:t>
      </w:r>
      <w:r w:rsidRPr="001C4D71">
        <w:rPr>
          <w:rFonts w:ascii="Times New Roman" w:hAnsi="Times New Roman" w:cs="Times New Roman"/>
          <w:lang w:val="sr-Latn-RS"/>
        </w:rPr>
        <w:t>Agreement</w:t>
      </w:r>
      <w:r w:rsidRPr="001C4D71">
        <w:rPr>
          <w:rFonts w:ascii="Times New Roman" w:hAnsi="Times New Roman" w:cs="Times New Roman"/>
          <w:lang w:val="mk-MK"/>
        </w:rPr>
        <w:t>, with the corresponding legal default interest from the day of payment to the day of return of funds, otherwise collateral will be activated.</w:t>
      </w:r>
    </w:p>
    <w:p w14:paraId="25D907C1" w14:textId="77777777" w:rsidR="00DB60FB" w:rsidRPr="001C4D71" w:rsidRDefault="00DB60FB" w:rsidP="005E33E4">
      <w:pPr>
        <w:spacing w:after="0" w:line="276" w:lineRule="auto"/>
        <w:ind w:left="709" w:right="808"/>
        <w:jc w:val="both"/>
        <w:rPr>
          <w:rFonts w:ascii="Times New Roman" w:hAnsi="Times New Roman" w:cs="Times New Roman"/>
          <w:lang w:val="mk-MK"/>
        </w:rPr>
      </w:pPr>
    </w:p>
    <w:p w14:paraId="120B4232" w14:textId="77777777" w:rsidR="00DB60FB" w:rsidRPr="001C4D71" w:rsidRDefault="00DB60FB" w:rsidP="005E33E4">
      <w:pPr>
        <w:spacing w:after="0" w:line="276" w:lineRule="auto"/>
        <w:ind w:left="709" w:right="808"/>
        <w:jc w:val="both"/>
        <w:rPr>
          <w:rFonts w:ascii="Times New Roman" w:hAnsi="Times New Roman" w:cs="Times New Roman"/>
          <w:lang w:val="mk-MK"/>
        </w:rPr>
      </w:pPr>
      <w:r w:rsidRPr="001C4D71">
        <w:rPr>
          <w:rFonts w:ascii="Times New Roman" w:hAnsi="Times New Roman" w:cs="Times New Roman"/>
          <w:lang w:val="mk-MK"/>
        </w:rPr>
        <w:t xml:space="preserve">The control of the </w:t>
      </w:r>
      <w:r w:rsidRPr="001C4D71">
        <w:rPr>
          <w:rFonts w:ascii="Times New Roman" w:hAnsi="Times New Roman" w:cs="Times New Roman"/>
          <w:lang w:val="sr-Latn-RS"/>
        </w:rPr>
        <w:t xml:space="preserve">authorised </w:t>
      </w:r>
      <w:r w:rsidRPr="001C4D71">
        <w:rPr>
          <w:rFonts w:ascii="Times New Roman" w:hAnsi="Times New Roman" w:cs="Times New Roman"/>
          <w:lang w:val="mk-MK"/>
        </w:rPr>
        <w:t>and legal use of the approved funds and the undertaking of measures will be performed by the competent state bodies.</w:t>
      </w:r>
    </w:p>
    <w:p w14:paraId="54F72BCA" w14:textId="77777777" w:rsidR="00DB60FB" w:rsidRPr="001C4D71" w:rsidRDefault="00DB60FB" w:rsidP="005E33E4">
      <w:pPr>
        <w:spacing w:after="0" w:line="276" w:lineRule="auto"/>
        <w:ind w:left="709" w:right="808"/>
        <w:jc w:val="both"/>
        <w:rPr>
          <w:rFonts w:ascii="Times New Roman" w:hAnsi="Times New Roman" w:cs="Times New Roman"/>
          <w:b/>
        </w:rPr>
      </w:pPr>
    </w:p>
    <w:p w14:paraId="2957C3FE" w14:textId="77777777" w:rsidR="00DB60FB" w:rsidRPr="001C4D71" w:rsidRDefault="00DB60FB" w:rsidP="005E33E4">
      <w:pPr>
        <w:spacing w:after="0" w:line="276" w:lineRule="auto"/>
        <w:ind w:left="709" w:right="808"/>
        <w:jc w:val="both"/>
        <w:rPr>
          <w:rFonts w:ascii="Times New Roman" w:hAnsi="Times New Roman" w:cs="Times New Roman"/>
          <w:b/>
        </w:rPr>
      </w:pPr>
    </w:p>
    <w:p w14:paraId="2706B86C"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sr-Latn-RS"/>
        </w:rPr>
        <w:t>6</w:t>
      </w:r>
    </w:p>
    <w:p w14:paraId="47DDD635" w14:textId="77777777" w:rsidR="00DB60FB" w:rsidRPr="001C4D71" w:rsidRDefault="00DB60FB" w:rsidP="005E33E4">
      <w:pPr>
        <w:spacing w:after="0" w:line="276" w:lineRule="auto"/>
        <w:ind w:left="709" w:right="808"/>
        <w:rPr>
          <w:rFonts w:ascii="Times New Roman" w:hAnsi="Times New Roman" w:cs="Times New Roman"/>
          <w:lang w:val="mk-MK"/>
        </w:rPr>
      </w:pPr>
    </w:p>
    <w:p w14:paraId="246F9A54"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The following Annexes shall be considered an integral part of this Grant Agreement:</w:t>
      </w:r>
    </w:p>
    <w:p w14:paraId="688051A5" w14:textId="77777777" w:rsidR="00DB60FB" w:rsidRPr="001C4D71" w:rsidRDefault="00DB60FB" w:rsidP="005E33E4">
      <w:pPr>
        <w:spacing w:after="0" w:line="276" w:lineRule="auto"/>
        <w:ind w:left="709" w:right="808"/>
        <w:jc w:val="both"/>
        <w:rPr>
          <w:rFonts w:ascii="Times New Roman" w:hAnsi="Times New Roman" w:cs="Times New Roman"/>
        </w:rPr>
      </w:pPr>
    </w:p>
    <w:p w14:paraId="1DC90B93"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1</w:t>
      </w:r>
      <w:r w:rsidRPr="001C4D71">
        <w:rPr>
          <w:rFonts w:ascii="Times New Roman" w:hAnsi="Times New Roman" w:cs="Times New Roman"/>
        </w:rPr>
        <w:t>: Detailed description of the Project (</w:t>
      </w:r>
      <w:r w:rsidRPr="001C4D71">
        <w:rPr>
          <w:rFonts w:ascii="Times New Roman" w:hAnsi="Times New Roman" w:cs="Times New Roman"/>
          <w:i/>
        </w:rPr>
        <w:t>local transport infrastructure rehabilitation and reconstruction and/or minor greenfield investments, and technical assistance for the preparation of documents related to the Project</w:t>
      </w:r>
      <w:r w:rsidRPr="001C4D71">
        <w:rPr>
          <w:rFonts w:ascii="Times New Roman" w:hAnsi="Times New Roman" w:cs="Times New Roman"/>
        </w:rPr>
        <w:t xml:space="preserve">), including the information on compliance with the selection and eligibility criteria for the </w:t>
      </w:r>
      <w:r w:rsidRPr="001C4D71">
        <w:rPr>
          <w:rFonts w:ascii="Times New Roman" w:hAnsi="Times New Roman" w:cs="Times New Roman"/>
          <w:lang w:val="sr-Latn-RS"/>
        </w:rPr>
        <w:t xml:space="preserve">LIID </w:t>
      </w:r>
      <w:r w:rsidRPr="001C4D71">
        <w:rPr>
          <w:rFonts w:ascii="Times New Roman" w:hAnsi="Times New Roman" w:cs="Times New Roman"/>
        </w:rPr>
        <w:t>Project;</w:t>
      </w:r>
    </w:p>
    <w:p w14:paraId="44CDB7B5" w14:textId="77777777" w:rsidR="00DB60FB" w:rsidRPr="001C4D71" w:rsidRDefault="00DB60FB" w:rsidP="005E33E4">
      <w:pPr>
        <w:spacing w:after="0" w:line="276" w:lineRule="auto"/>
        <w:ind w:left="709" w:right="808"/>
        <w:jc w:val="both"/>
        <w:rPr>
          <w:rFonts w:ascii="Times New Roman" w:hAnsi="Times New Roman" w:cs="Times New Roman"/>
        </w:rPr>
      </w:pPr>
    </w:p>
    <w:p w14:paraId="230D622A"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2</w:t>
      </w:r>
      <w:r w:rsidRPr="001C4D71">
        <w:rPr>
          <w:rFonts w:ascii="Times New Roman" w:hAnsi="Times New Roman" w:cs="Times New Roman"/>
        </w:rPr>
        <w:t xml:space="preserve">: Planning document or Decision adopted by the Municipality Council, number </w:t>
      </w:r>
      <w:r w:rsidRPr="001C4D71">
        <w:rPr>
          <w:rFonts w:ascii="Times New Roman" w:hAnsi="Times New Roman" w:cs="Times New Roman"/>
          <w:lang w:val="mk-MK"/>
        </w:rPr>
        <w:t>ХХХХ</w:t>
      </w:r>
      <w:r w:rsidRPr="001C4D71">
        <w:rPr>
          <w:rFonts w:ascii="Times New Roman" w:hAnsi="Times New Roman" w:cs="Times New Roman"/>
        </w:rPr>
        <w:t xml:space="preserve"> dated </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ХХ</w:t>
      </w:r>
      <w:r w:rsidRPr="001C4D71">
        <w:rPr>
          <w:rFonts w:ascii="Times New Roman" w:hAnsi="Times New Roman" w:cs="Times New Roman"/>
          <w:lang w:val="sr-Latn-RS"/>
        </w:rPr>
        <w:t>X</w:t>
      </w:r>
      <w:r w:rsidRPr="001C4D71">
        <w:rPr>
          <w:rFonts w:ascii="Times New Roman" w:hAnsi="Times New Roman" w:cs="Times New Roman"/>
          <w:lang w:val="mk-MK"/>
        </w:rPr>
        <w:t>Х</w:t>
      </w:r>
      <w:r w:rsidRPr="001C4D71">
        <w:rPr>
          <w:rFonts w:ascii="Times New Roman" w:hAnsi="Times New Roman" w:cs="Times New Roman"/>
        </w:rPr>
        <w:t xml:space="preserve"> defining the project as priority investment (“Official Gazette of the Municipality / City of   ….., number ________ issued </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w:t>
      </w:r>
      <w:r w:rsidRPr="001C4D71">
        <w:rPr>
          <w:rFonts w:ascii="Times New Roman" w:hAnsi="Times New Roman" w:cs="Times New Roman"/>
          <w:lang w:val="sr-Latn-RS"/>
        </w:rPr>
        <w:t>X</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rPr>
        <w:t>”);</w:t>
      </w:r>
    </w:p>
    <w:p w14:paraId="537B9CB4" w14:textId="77777777" w:rsidR="00DB60FB" w:rsidRPr="001C4D71" w:rsidRDefault="00DB60FB" w:rsidP="005E33E4">
      <w:pPr>
        <w:spacing w:after="0" w:line="276" w:lineRule="auto"/>
        <w:ind w:left="709" w:right="808"/>
        <w:jc w:val="both"/>
        <w:rPr>
          <w:rFonts w:ascii="Times New Roman" w:hAnsi="Times New Roman" w:cs="Times New Roman"/>
        </w:rPr>
      </w:pPr>
    </w:p>
    <w:p w14:paraId="48378F1D"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3</w:t>
      </w:r>
      <w:r w:rsidRPr="001C4D71">
        <w:rPr>
          <w:rFonts w:ascii="Times New Roman" w:hAnsi="Times New Roman" w:cs="Times New Roman"/>
        </w:rPr>
        <w:t xml:space="preserve">: Decision adopted by the Municipality Council, number </w:t>
      </w:r>
      <w:r w:rsidRPr="001C4D71">
        <w:rPr>
          <w:rFonts w:ascii="Times New Roman" w:hAnsi="Times New Roman" w:cs="Times New Roman"/>
          <w:lang w:val="mk-MK"/>
        </w:rPr>
        <w:t>ХХХХ</w:t>
      </w:r>
      <w:r w:rsidRPr="001C4D71">
        <w:rPr>
          <w:rFonts w:ascii="Times New Roman" w:hAnsi="Times New Roman" w:cs="Times New Roman"/>
        </w:rPr>
        <w:t xml:space="preserve"> dated </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ХХ</w:t>
      </w:r>
      <w:r w:rsidRPr="001C4D71">
        <w:rPr>
          <w:rFonts w:ascii="Times New Roman" w:hAnsi="Times New Roman" w:cs="Times New Roman"/>
          <w:lang w:val="sr-Latn-RS"/>
        </w:rPr>
        <w:t>X</w:t>
      </w:r>
      <w:r w:rsidRPr="001C4D71">
        <w:rPr>
          <w:rFonts w:ascii="Times New Roman" w:hAnsi="Times New Roman" w:cs="Times New Roman"/>
          <w:lang w:val="mk-MK"/>
        </w:rPr>
        <w:t>Х</w:t>
      </w:r>
      <w:r w:rsidRPr="001C4D71">
        <w:rPr>
          <w:rFonts w:ascii="Times New Roman" w:hAnsi="Times New Roman" w:cs="Times New Roman"/>
          <w:lang w:val="sr-Latn-RS"/>
        </w:rPr>
        <w:t>.</w:t>
      </w:r>
      <w:r w:rsidRPr="001C4D71">
        <w:rPr>
          <w:rFonts w:ascii="Times New Roman" w:hAnsi="Times New Roman" w:cs="Times New Roman"/>
        </w:rPr>
        <w:t xml:space="preserve"> for the approval and authorization of the Mayor/President of the Municipality to sign the Grant Agreement;</w:t>
      </w:r>
    </w:p>
    <w:p w14:paraId="167A30B1" w14:textId="77777777" w:rsidR="00DB60FB" w:rsidRPr="001C4D71" w:rsidRDefault="00DB60FB" w:rsidP="005E33E4">
      <w:pPr>
        <w:spacing w:after="0" w:line="276" w:lineRule="auto"/>
        <w:ind w:left="709" w:right="808"/>
        <w:jc w:val="both"/>
        <w:rPr>
          <w:rFonts w:ascii="Times New Roman" w:hAnsi="Times New Roman" w:cs="Times New Roman"/>
        </w:rPr>
      </w:pPr>
    </w:p>
    <w:p w14:paraId="68AAB204"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4</w:t>
      </w:r>
      <w:r w:rsidRPr="001C4D71">
        <w:rPr>
          <w:rFonts w:ascii="Times New Roman" w:hAnsi="Times New Roman" w:cs="Times New Roman"/>
        </w:rPr>
        <w:t xml:space="preserve">: Construction permit (or other document necessary for the start of the implementation of the Project according to national legislation) no. </w:t>
      </w:r>
      <w:r w:rsidRPr="001C4D71">
        <w:rPr>
          <w:rFonts w:ascii="Times New Roman" w:hAnsi="Times New Roman" w:cs="Times New Roman"/>
          <w:lang w:val="mk-MK"/>
        </w:rPr>
        <w:t>ХХХХХХХ</w:t>
      </w:r>
      <w:r w:rsidRPr="001C4D71">
        <w:rPr>
          <w:rFonts w:ascii="Times New Roman" w:hAnsi="Times New Roman" w:cs="Times New Roman"/>
        </w:rPr>
        <w:t xml:space="preserve">, dated </w:t>
      </w:r>
      <w:r w:rsidRPr="001C4D71">
        <w:rPr>
          <w:rFonts w:ascii="Times New Roman" w:hAnsi="Times New Roman" w:cs="Times New Roman"/>
          <w:lang w:val="mk-MK"/>
        </w:rPr>
        <w:t>ХХ</w:t>
      </w:r>
      <w:r w:rsidRPr="001C4D71">
        <w:rPr>
          <w:rFonts w:ascii="Times New Roman" w:hAnsi="Times New Roman" w:cs="Times New Roman"/>
          <w:lang w:val="sr-Latn-RS"/>
        </w:rPr>
        <w:t>.</w:t>
      </w:r>
      <w:r w:rsidRPr="001C4D71">
        <w:rPr>
          <w:rFonts w:ascii="Times New Roman" w:hAnsi="Times New Roman" w:cs="Times New Roman"/>
          <w:lang w:val="mk-MK"/>
        </w:rPr>
        <w:t>ХХ</w:t>
      </w:r>
      <w:r w:rsidRPr="001C4D71">
        <w:rPr>
          <w:rFonts w:ascii="Times New Roman" w:hAnsi="Times New Roman" w:cs="Times New Roman"/>
          <w:lang w:val="sr-Latn-RS"/>
        </w:rPr>
        <w:t>.X</w:t>
      </w:r>
      <w:r w:rsidRPr="001C4D71">
        <w:rPr>
          <w:rFonts w:ascii="Times New Roman" w:hAnsi="Times New Roman" w:cs="Times New Roman"/>
          <w:lang w:val="mk-MK"/>
        </w:rPr>
        <w:t>ХХХ</w:t>
      </w:r>
      <w:r w:rsidRPr="001C4D71">
        <w:rPr>
          <w:rFonts w:ascii="Times New Roman" w:hAnsi="Times New Roman" w:cs="Times New Roman"/>
        </w:rPr>
        <w:t>, issued by the ____________________________;</w:t>
      </w:r>
    </w:p>
    <w:p w14:paraId="777C3ABC" w14:textId="77777777" w:rsidR="00DB60FB" w:rsidRPr="001C4D71" w:rsidRDefault="00DB60FB" w:rsidP="005E33E4">
      <w:pPr>
        <w:spacing w:after="0" w:line="276" w:lineRule="auto"/>
        <w:ind w:left="709" w:right="808"/>
        <w:jc w:val="both"/>
        <w:rPr>
          <w:rFonts w:ascii="Times New Roman" w:hAnsi="Times New Roman" w:cs="Times New Roman"/>
        </w:rPr>
      </w:pPr>
    </w:p>
    <w:p w14:paraId="73E64517" w14:textId="77777777" w:rsidR="00DB60FB" w:rsidRPr="001C4D71" w:rsidRDefault="00DB60FB" w:rsidP="005E33E4">
      <w:pPr>
        <w:spacing w:after="0" w:line="276" w:lineRule="auto"/>
        <w:ind w:left="709" w:right="808"/>
        <w:jc w:val="both"/>
        <w:rPr>
          <w:rFonts w:ascii="Times New Roman" w:hAnsi="Times New Roman" w:cs="Times New Roman"/>
          <w:bCs/>
        </w:rPr>
      </w:pPr>
      <w:r w:rsidRPr="001C4D71">
        <w:rPr>
          <w:rFonts w:ascii="Times New Roman" w:hAnsi="Times New Roman" w:cs="Times New Roman"/>
          <w:b/>
          <w:bCs/>
        </w:rPr>
        <w:t>ANNEX 5:</w:t>
      </w:r>
      <w:r w:rsidRPr="001C4D71">
        <w:rPr>
          <w:rFonts w:ascii="Times New Roman" w:hAnsi="Times New Roman" w:cs="Times New Roman"/>
          <w:bCs/>
        </w:rPr>
        <w:t xml:space="preserve"> Appointment by the Mayor of a person from the LSG who shall be responsible for all administrative and technical issues in the course of the Project’s implementation;</w:t>
      </w:r>
    </w:p>
    <w:p w14:paraId="63F57ADD" w14:textId="77777777" w:rsidR="00DB60FB" w:rsidRPr="001C4D71" w:rsidRDefault="00DB60FB" w:rsidP="005E33E4">
      <w:pPr>
        <w:spacing w:after="0" w:line="276" w:lineRule="auto"/>
        <w:ind w:left="709" w:right="808"/>
        <w:jc w:val="both"/>
        <w:rPr>
          <w:rFonts w:ascii="Times New Roman" w:hAnsi="Times New Roman" w:cs="Times New Roman"/>
        </w:rPr>
      </w:pPr>
    </w:p>
    <w:p w14:paraId="5B7765B2"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6</w:t>
      </w:r>
      <w:r w:rsidRPr="001C4D71">
        <w:rPr>
          <w:rFonts w:ascii="Times New Roman" w:hAnsi="Times New Roman" w:cs="Times New Roman"/>
        </w:rPr>
        <w:t>: Appointment by the Mayor of a person from the LSG who shall be responsible for environment and social aspects and compliant with the environmental and social standard relevant for the project as set in the Environmental and Social Commitment Plan (ESCP), which is a part of the Loan Agreement with the Bank;</w:t>
      </w:r>
    </w:p>
    <w:p w14:paraId="0E854FB5" w14:textId="77777777" w:rsidR="00DB60FB" w:rsidRPr="001C4D71" w:rsidRDefault="00DB60FB" w:rsidP="005E33E4">
      <w:pPr>
        <w:spacing w:after="0" w:line="276" w:lineRule="auto"/>
        <w:ind w:left="709" w:right="808"/>
        <w:jc w:val="both"/>
        <w:rPr>
          <w:rFonts w:ascii="Times New Roman" w:hAnsi="Times New Roman" w:cs="Times New Roman"/>
        </w:rPr>
      </w:pPr>
    </w:p>
    <w:p w14:paraId="2B4F97C4"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7</w:t>
      </w:r>
      <w:r w:rsidRPr="001C4D71">
        <w:rPr>
          <w:rFonts w:ascii="Times New Roman" w:hAnsi="Times New Roman" w:cs="Times New Roman"/>
        </w:rPr>
        <w:t>: Communication plan for the communication between the LSG and the MCTI, and the LSG and local communities;</w:t>
      </w:r>
    </w:p>
    <w:p w14:paraId="277DF8D8" w14:textId="77777777" w:rsidR="00DB60FB" w:rsidRPr="001C4D71" w:rsidRDefault="00DB60FB" w:rsidP="005E33E4">
      <w:pPr>
        <w:spacing w:after="0" w:line="276" w:lineRule="auto"/>
        <w:ind w:left="709" w:right="808"/>
        <w:jc w:val="both"/>
        <w:rPr>
          <w:rFonts w:ascii="Times New Roman" w:hAnsi="Times New Roman" w:cs="Times New Roman"/>
        </w:rPr>
      </w:pPr>
    </w:p>
    <w:p w14:paraId="26C04A9D"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b/>
          <w:bCs/>
        </w:rPr>
        <w:t>ANNEX 8</w:t>
      </w:r>
      <w:r w:rsidRPr="001C4D71">
        <w:rPr>
          <w:rFonts w:ascii="Times New Roman" w:hAnsi="Times New Roman" w:cs="Times New Roman"/>
        </w:rPr>
        <w:t>: Decision by the Mayor authorizing supervisor on behalf of the LSG (if required by the legislation).</w:t>
      </w:r>
    </w:p>
    <w:p w14:paraId="39FB4233" w14:textId="77777777" w:rsidR="00DB60FB" w:rsidRPr="001C4D71" w:rsidRDefault="00DB60FB" w:rsidP="005E33E4">
      <w:pPr>
        <w:spacing w:after="0" w:line="276" w:lineRule="auto"/>
        <w:ind w:left="709" w:right="808"/>
        <w:jc w:val="both"/>
        <w:rPr>
          <w:rFonts w:ascii="Times New Roman" w:hAnsi="Times New Roman" w:cs="Times New Roman"/>
          <w:b/>
        </w:rPr>
      </w:pPr>
    </w:p>
    <w:p w14:paraId="77277E35" w14:textId="77777777" w:rsidR="00DB60FB" w:rsidRPr="001C4D71" w:rsidRDefault="00DB60FB" w:rsidP="005E33E4">
      <w:pPr>
        <w:spacing w:after="0" w:line="276" w:lineRule="auto"/>
        <w:ind w:left="709" w:right="808"/>
        <w:jc w:val="both"/>
        <w:rPr>
          <w:rFonts w:ascii="Times New Roman" w:hAnsi="Times New Roman" w:cs="Times New Roman"/>
          <w:b/>
        </w:rPr>
      </w:pPr>
    </w:p>
    <w:p w14:paraId="4121B5BC" w14:textId="77777777" w:rsidR="00DB60FB" w:rsidRPr="001C4D71" w:rsidRDefault="00DB60FB" w:rsidP="005E33E4">
      <w:pPr>
        <w:spacing w:after="0" w:line="276" w:lineRule="auto"/>
        <w:ind w:left="709" w:right="808"/>
        <w:jc w:val="center"/>
        <w:rPr>
          <w:rFonts w:ascii="Times New Roman" w:hAnsi="Times New Roman" w:cs="Times New Roman"/>
        </w:rPr>
      </w:pPr>
      <w:r w:rsidRPr="001C4D71">
        <w:rPr>
          <w:rFonts w:ascii="Times New Roman" w:hAnsi="Times New Roman" w:cs="Times New Roman"/>
        </w:rPr>
        <w:t>Article 7</w:t>
      </w:r>
    </w:p>
    <w:p w14:paraId="4545B826" w14:textId="77777777" w:rsidR="00DB60FB" w:rsidRPr="001C4D71" w:rsidRDefault="00DB60FB" w:rsidP="005E33E4">
      <w:pPr>
        <w:spacing w:after="0" w:line="276" w:lineRule="auto"/>
        <w:ind w:left="709" w:right="808"/>
        <w:jc w:val="center"/>
        <w:rPr>
          <w:rFonts w:ascii="Times New Roman" w:hAnsi="Times New Roman" w:cs="Times New Roman"/>
        </w:rPr>
      </w:pPr>
    </w:p>
    <w:p w14:paraId="1EB67541"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Obligations of the MCTI are to:</w:t>
      </w:r>
    </w:p>
    <w:p w14:paraId="58BD0438" w14:textId="77777777" w:rsidR="00DB60FB" w:rsidRPr="001C4D71" w:rsidRDefault="00DB60FB" w:rsidP="005E33E4">
      <w:pPr>
        <w:pStyle w:val="Numberedparagraph"/>
        <w:numPr>
          <w:ilvl w:val="2"/>
          <w:numId w:val="725"/>
        </w:numPr>
        <w:spacing w:after="0" w:line="276" w:lineRule="auto"/>
        <w:ind w:left="709" w:right="808"/>
        <w:rPr>
          <w:sz w:val="22"/>
          <w:szCs w:val="22"/>
        </w:rPr>
      </w:pPr>
      <w:r w:rsidRPr="001C4D71">
        <w:rPr>
          <w:sz w:val="22"/>
          <w:szCs w:val="22"/>
        </w:rPr>
        <w:t>check and approve interim payment certificates for completed works under the Grant Agreement, in line with its authorizations, and complete the payment;</w:t>
      </w:r>
    </w:p>
    <w:p w14:paraId="6657CEBA" w14:textId="77777777" w:rsidR="00DB60FB" w:rsidRPr="001C4D71" w:rsidRDefault="00DB60FB" w:rsidP="005E33E4">
      <w:pPr>
        <w:pStyle w:val="Numberedparagraph"/>
        <w:numPr>
          <w:ilvl w:val="2"/>
          <w:numId w:val="725"/>
        </w:numPr>
        <w:spacing w:after="0" w:line="276" w:lineRule="auto"/>
        <w:ind w:left="709" w:right="808"/>
        <w:rPr>
          <w:sz w:val="22"/>
          <w:szCs w:val="22"/>
        </w:rPr>
      </w:pPr>
      <w:r w:rsidRPr="001C4D71">
        <w:rPr>
          <w:sz w:val="22"/>
          <w:szCs w:val="22"/>
        </w:rPr>
        <w:t>prepare project Environmental and Social Management Plan (hereinafter referred to as “ESMP”) and Checklists and provide needed support to the LSG in in ensuring compliance with applicable Bank’s Environmental and Social Standards (hereinafter referred to as “ESS”) and ESCP, as provided for in all applicable provisions of the Loan Agreements and the POGM.</w:t>
      </w:r>
    </w:p>
    <w:p w14:paraId="51A2B579" w14:textId="77777777" w:rsidR="00DB60FB" w:rsidRPr="001C4D71" w:rsidRDefault="00DB60FB" w:rsidP="005E33E4">
      <w:pPr>
        <w:pStyle w:val="Numberedparagraph"/>
        <w:numPr>
          <w:ilvl w:val="2"/>
          <w:numId w:val="725"/>
        </w:numPr>
        <w:spacing w:after="0" w:line="276" w:lineRule="auto"/>
        <w:ind w:left="709" w:right="808"/>
        <w:rPr>
          <w:sz w:val="22"/>
          <w:szCs w:val="22"/>
        </w:rPr>
      </w:pPr>
      <w:r w:rsidRPr="001C4D71">
        <w:rPr>
          <w:sz w:val="22"/>
          <w:szCs w:val="22"/>
        </w:rPr>
        <w:t>provide support, if needed, to the LSG to develop procurement documents, and evaluate proposals.</w:t>
      </w:r>
    </w:p>
    <w:p w14:paraId="6A18BF1E" w14:textId="77777777" w:rsidR="00DB60FB" w:rsidRDefault="00DB60FB" w:rsidP="005E33E4">
      <w:pPr>
        <w:pStyle w:val="Numberedparagraph"/>
        <w:numPr>
          <w:ilvl w:val="2"/>
          <w:numId w:val="725"/>
        </w:numPr>
        <w:spacing w:after="0" w:line="276" w:lineRule="auto"/>
        <w:ind w:left="709" w:right="808"/>
        <w:rPr>
          <w:sz w:val="22"/>
          <w:szCs w:val="22"/>
        </w:rPr>
      </w:pPr>
      <w:r w:rsidRPr="001C4D71">
        <w:rPr>
          <w:sz w:val="22"/>
          <w:szCs w:val="22"/>
        </w:rPr>
        <w:t xml:space="preserve">provide support to the LSGs in selection and preparation of projects, review of the designs, and strengthen supervision. </w:t>
      </w:r>
    </w:p>
    <w:p w14:paraId="5268CBC5" w14:textId="77777777" w:rsidR="00DB60FB" w:rsidRPr="001C4D71" w:rsidRDefault="00DB60FB" w:rsidP="005E33E4">
      <w:pPr>
        <w:pStyle w:val="Numberedparagraph"/>
        <w:numPr>
          <w:ilvl w:val="0"/>
          <w:numId w:val="0"/>
        </w:numPr>
        <w:spacing w:after="0" w:line="276" w:lineRule="auto"/>
        <w:ind w:left="709" w:right="808"/>
        <w:rPr>
          <w:sz w:val="22"/>
          <w:szCs w:val="22"/>
        </w:rPr>
      </w:pPr>
    </w:p>
    <w:p w14:paraId="195E37A9" w14:textId="77777777" w:rsidR="00DB60FB" w:rsidRPr="001C4D71" w:rsidRDefault="00DB60FB" w:rsidP="005E33E4">
      <w:pPr>
        <w:pStyle w:val="Numberedparagraph"/>
        <w:numPr>
          <w:ilvl w:val="0"/>
          <w:numId w:val="0"/>
        </w:numPr>
        <w:spacing w:line="276" w:lineRule="auto"/>
        <w:ind w:left="709" w:right="808"/>
        <w:rPr>
          <w:sz w:val="22"/>
          <w:szCs w:val="22"/>
        </w:rPr>
      </w:pPr>
      <w:r w:rsidRPr="001C4D71">
        <w:rPr>
          <w:sz w:val="22"/>
          <w:szCs w:val="22"/>
        </w:rPr>
        <w:t>The MCTI has the rights to protect its interests and those of the Bank, including the right to suspend or terminate the right of the LSG to use the proceeds of the Grant, or obtain a refund of all or any part of the amount of the Grant then withdrawn, upon the LSG’s failure to perform any of its obligations under this Grant Agreement.</w:t>
      </w:r>
    </w:p>
    <w:p w14:paraId="4E8A01DF" w14:textId="77777777" w:rsidR="00DB60FB" w:rsidRPr="001C4D71" w:rsidRDefault="00DB60FB" w:rsidP="005E33E4">
      <w:pPr>
        <w:spacing w:after="0" w:line="276" w:lineRule="auto"/>
        <w:ind w:left="709" w:right="808"/>
        <w:jc w:val="both"/>
        <w:rPr>
          <w:rFonts w:ascii="Times New Roman" w:eastAsia="Times New Roman" w:hAnsi="Times New Roman" w:cs="Times New Roman"/>
        </w:rPr>
      </w:pPr>
      <w:r w:rsidRPr="001C4D71">
        <w:rPr>
          <w:rFonts w:ascii="Times New Roman" w:hAnsi="Times New Roman" w:cs="Times New Roman"/>
        </w:rPr>
        <w:t xml:space="preserve">The MCTI will exercise its rights and carry out its obligations under this Grant Agreement in such manner as to protect the interests of the Republic of Serbia and the Bank and to accomplish the purposes of the Project. Except as the Bank shall otherwise agree </w:t>
      </w:r>
      <w:r w:rsidRPr="001C4D71">
        <w:rPr>
          <w:rFonts w:ascii="Times New Roman" w:hAnsi="Times New Roman" w:cs="Times New Roman"/>
          <w:spacing w:val="-4"/>
        </w:rPr>
        <w:t>in writing</w:t>
      </w:r>
      <w:r w:rsidRPr="001C4D71">
        <w:rPr>
          <w:rFonts w:ascii="Times New Roman" w:hAnsi="Times New Roman" w:cs="Times New Roman"/>
        </w:rPr>
        <w:t>, the MCTI shall not assign, amend, abrogate or waive this Grant Agreement or any of its provisions.</w:t>
      </w:r>
    </w:p>
    <w:p w14:paraId="1F7699B0" w14:textId="77777777" w:rsidR="00DB60FB" w:rsidRPr="001C4D71" w:rsidRDefault="00DB60FB" w:rsidP="005E33E4">
      <w:pPr>
        <w:spacing w:after="0" w:line="276" w:lineRule="auto"/>
        <w:ind w:left="709" w:right="808"/>
        <w:jc w:val="both"/>
        <w:rPr>
          <w:rFonts w:ascii="Times New Roman" w:hAnsi="Times New Roman" w:cs="Times New Roman"/>
        </w:rPr>
      </w:pPr>
    </w:p>
    <w:p w14:paraId="23F2A7F7" w14:textId="77777777" w:rsidR="00DB60FB" w:rsidRPr="001C4D71" w:rsidRDefault="00DB60FB" w:rsidP="005E33E4">
      <w:pPr>
        <w:spacing w:after="0" w:line="276" w:lineRule="auto"/>
        <w:ind w:left="709" w:right="808"/>
        <w:jc w:val="both"/>
        <w:rPr>
          <w:rFonts w:ascii="Times New Roman" w:hAnsi="Times New Roman" w:cs="Times New Roman"/>
        </w:rPr>
      </w:pPr>
    </w:p>
    <w:p w14:paraId="2F227CF5" w14:textId="77777777" w:rsidR="00DB60FB" w:rsidRPr="001C4D71" w:rsidRDefault="00DB60FB" w:rsidP="005E33E4">
      <w:pPr>
        <w:spacing w:after="0" w:line="276" w:lineRule="auto"/>
        <w:ind w:left="709" w:right="808"/>
        <w:jc w:val="center"/>
        <w:rPr>
          <w:rFonts w:ascii="Times New Roman" w:hAnsi="Times New Roman" w:cs="Times New Roman"/>
        </w:rPr>
      </w:pPr>
      <w:r w:rsidRPr="001C4D71">
        <w:rPr>
          <w:rFonts w:ascii="Times New Roman" w:hAnsi="Times New Roman" w:cs="Times New Roman"/>
        </w:rPr>
        <w:t>Article 8</w:t>
      </w:r>
    </w:p>
    <w:p w14:paraId="59208EC1" w14:textId="77777777" w:rsidR="00DB60FB" w:rsidRPr="001C4D71" w:rsidRDefault="00DB60FB" w:rsidP="005E33E4">
      <w:pPr>
        <w:spacing w:after="0" w:line="276" w:lineRule="auto"/>
        <w:ind w:left="709" w:right="808"/>
        <w:rPr>
          <w:rFonts w:ascii="Times New Roman" w:hAnsi="Times New Roman" w:cs="Times New Roman"/>
        </w:rPr>
      </w:pPr>
    </w:p>
    <w:p w14:paraId="51117474"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Obligations of the LSG are to: </w:t>
      </w:r>
    </w:p>
    <w:p w14:paraId="25AD6706"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carry out the Project with due diligence and efficiency and in accordance with sound technical, economic, financial, managerial, environmental and social standards and practices satisfactory to the Bank (including carrying out the applicable measures and actions specified in the ESCP with due diligence and efficiency, and as further specified in the ESCP), the Bank’s Anti-Corruption Guidelines applicable to recipients of loan proceeds other than the Borrower, the POGM and the Loan Agreements;</w:t>
      </w:r>
    </w:p>
    <w:p w14:paraId="085625B4"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provide, promptly as needed, the resources required for the purpose;</w:t>
      </w:r>
    </w:p>
    <w:p w14:paraId="6BF119AB"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procure the works, goods and services to be financed out of the Grant in accordance with the provisions of the Loan Agreement and this Grant Agreement;</w:t>
      </w:r>
    </w:p>
    <w:p w14:paraId="1B72A691"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maintain policies and procedures adequate to enable it to monitor and evaluate in accordance with indicators acceptable to the Bank, the progress of the Project and the achievement of its objectives;</w:t>
      </w:r>
    </w:p>
    <w:p w14:paraId="186CBC4E"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 xml:space="preserve">(i) maintain a financial management system and prepare financial statements in accordance with consistently applied accounting standards acceptable to the Bank, both in a manner adequate to reflect its operations, including the operations, resources and expenditures related to the Project; and (ii) at the Bank’s or the MCTI’s request, have such financial statements audited by independent auditors acceptable to the Bank, in accordance with consistently applied auditing standards acceptable to the Bank, and promptly furnish the statements as so audited to the MCTI and the Bank, and permit the Bank to make such statements as so audited available to the public, along with the Grant Agreement; </w:t>
      </w:r>
    </w:p>
    <w:p w14:paraId="1E80B595"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 xml:space="preserve">enable the MCTI and the Bank to inspect the Project, its operation and any relevant records and documents; </w:t>
      </w:r>
    </w:p>
    <w:p w14:paraId="4AC2E647"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prepare and furnish to the MCTI and the Bank all such information as the MCTI or the Bank shall reasonably request relating to the foregoing; and</w:t>
      </w:r>
    </w:p>
    <w:p w14:paraId="320900C5" w14:textId="77777777" w:rsidR="00DB60FB" w:rsidRPr="001C4D71" w:rsidRDefault="00DB60FB" w:rsidP="005E33E4">
      <w:pPr>
        <w:pStyle w:val="Numberedparagraph"/>
        <w:numPr>
          <w:ilvl w:val="2"/>
          <w:numId w:val="726"/>
        </w:numPr>
        <w:spacing w:after="0" w:line="276" w:lineRule="auto"/>
        <w:ind w:left="709" w:right="808"/>
        <w:rPr>
          <w:sz w:val="22"/>
          <w:szCs w:val="22"/>
        </w:rPr>
      </w:pPr>
      <w:r w:rsidRPr="001C4D71">
        <w:rPr>
          <w:sz w:val="22"/>
          <w:szCs w:val="22"/>
        </w:rPr>
        <w:t>comply with a</w:t>
      </w:r>
      <w:r w:rsidRPr="001C4D71">
        <w:rPr>
          <w:rFonts w:eastAsia="Calibri"/>
          <w:sz w:val="22"/>
          <w:szCs w:val="22"/>
        </w:rPr>
        <w:t>dditional obligations, as set forth under the POGM, with regard to project planning and budgeting, transparency in procurement, preparation of projects, data delivery, and supervision of works.</w:t>
      </w:r>
    </w:p>
    <w:p w14:paraId="1E6F4A47" w14:textId="77777777" w:rsidR="00DB60FB" w:rsidRPr="001C4D71" w:rsidRDefault="00DB60FB" w:rsidP="005E33E4">
      <w:pPr>
        <w:spacing w:after="0" w:line="276" w:lineRule="auto"/>
        <w:ind w:left="709" w:right="808"/>
        <w:jc w:val="center"/>
        <w:rPr>
          <w:rFonts w:ascii="Times New Roman" w:hAnsi="Times New Roman" w:cs="Times New Roman"/>
        </w:rPr>
      </w:pPr>
    </w:p>
    <w:p w14:paraId="2E814EED"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sr-Latn-RS"/>
        </w:rPr>
        <w:t>9</w:t>
      </w:r>
    </w:p>
    <w:p w14:paraId="31BD985D"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518AFF73" w14:textId="77777777" w:rsidR="00DB60FB" w:rsidRPr="001C4D71" w:rsidRDefault="00DB60FB" w:rsidP="005E33E4">
      <w:pPr>
        <w:spacing w:after="0" w:line="276" w:lineRule="auto"/>
        <w:ind w:left="709" w:right="808"/>
        <w:rPr>
          <w:rFonts w:ascii="Times New Roman" w:hAnsi="Times New Roman" w:cs="Times New Roman"/>
          <w:lang w:val="sr-Latn-RS"/>
        </w:rPr>
      </w:pPr>
      <w:r w:rsidRPr="001C4D71">
        <w:rPr>
          <w:rFonts w:ascii="Times New Roman" w:hAnsi="Times New Roman" w:cs="Times New Roman"/>
          <w:lang w:val="sr-Latn-RS"/>
        </w:rPr>
        <w:t>The deadline for the LSG to fulfill the obligations from this Grant Agreement is XX.XX.2024.</w:t>
      </w:r>
    </w:p>
    <w:p w14:paraId="5C76CC8C" w14:textId="77777777" w:rsidR="00DB60FB" w:rsidRPr="001C4D71" w:rsidRDefault="00DB60FB" w:rsidP="005E33E4">
      <w:pPr>
        <w:spacing w:after="0" w:line="276" w:lineRule="auto"/>
        <w:ind w:left="709" w:right="808"/>
        <w:rPr>
          <w:rFonts w:ascii="Times New Roman" w:hAnsi="Times New Roman" w:cs="Times New Roman"/>
          <w:lang w:val="sr-Latn-RS"/>
        </w:rPr>
      </w:pPr>
    </w:p>
    <w:p w14:paraId="5491F4AB"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rPr>
      </w:pPr>
      <w:r w:rsidRPr="001C4D71">
        <w:rPr>
          <w:rFonts w:ascii="Times New Roman" w:hAnsi="Times New Roman" w:cs="Times New Roman"/>
          <w:color w:val="000000" w:themeColor="text1"/>
        </w:rPr>
        <w:t>The LSG is obliged to return the unspent funds upon the completion of the project, or after the expiration of the deadline defined in the paragraph 1 of this article, immediately, to the account of the budget of the Republic of Serbia.</w:t>
      </w:r>
    </w:p>
    <w:p w14:paraId="7E642DD7" w14:textId="77777777" w:rsidR="00DB60FB" w:rsidRPr="001C4D71" w:rsidRDefault="00DB60FB" w:rsidP="005E33E4">
      <w:pPr>
        <w:spacing w:after="0" w:line="276" w:lineRule="auto"/>
        <w:ind w:left="709" w:right="808" w:firstLine="270"/>
        <w:jc w:val="both"/>
        <w:rPr>
          <w:rFonts w:ascii="Times New Roman" w:hAnsi="Times New Roman" w:cs="Times New Roman"/>
          <w:color w:val="000000" w:themeColor="text1"/>
        </w:rPr>
      </w:pPr>
    </w:p>
    <w:p w14:paraId="643F9C9F"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lang w:val="mk-MK"/>
        </w:rPr>
      </w:pPr>
      <w:r w:rsidRPr="001C4D71">
        <w:rPr>
          <w:rFonts w:ascii="Times New Roman" w:hAnsi="Times New Roman" w:cs="Times New Roman"/>
          <w:color w:val="000000" w:themeColor="text1"/>
        </w:rPr>
        <w:t>The unspent funds from the paragraph 2 of this Article are to be transferred to the account number _______________________ reference _____________________________ at the Treasury.</w:t>
      </w:r>
    </w:p>
    <w:p w14:paraId="776861D7" w14:textId="77777777" w:rsidR="00DB60FB" w:rsidRPr="001C4D71" w:rsidRDefault="00DB60FB" w:rsidP="005E33E4">
      <w:pPr>
        <w:spacing w:after="0" w:line="276" w:lineRule="auto"/>
        <w:ind w:left="709" w:right="808"/>
        <w:rPr>
          <w:rFonts w:ascii="Times New Roman" w:hAnsi="Times New Roman" w:cs="Times New Roman"/>
          <w:color w:val="000000" w:themeColor="text1"/>
          <w:lang w:val="sr-Latn-RS"/>
        </w:rPr>
      </w:pPr>
    </w:p>
    <w:p w14:paraId="7A7E6C63" w14:textId="77777777" w:rsidR="00DB60FB" w:rsidRPr="001C4D71" w:rsidRDefault="00DB60FB" w:rsidP="005E33E4">
      <w:pPr>
        <w:spacing w:after="0" w:line="276" w:lineRule="auto"/>
        <w:ind w:left="709" w:right="808"/>
        <w:jc w:val="center"/>
        <w:rPr>
          <w:rFonts w:ascii="Times New Roman" w:hAnsi="Times New Roman" w:cs="Times New Roman"/>
          <w:color w:val="000000" w:themeColor="text1"/>
          <w:lang w:val="sr-Latn-RS"/>
        </w:rPr>
      </w:pPr>
      <w:r w:rsidRPr="001C4D71">
        <w:rPr>
          <w:rFonts w:ascii="Times New Roman" w:hAnsi="Times New Roman" w:cs="Times New Roman"/>
          <w:color w:val="000000" w:themeColor="text1"/>
        </w:rPr>
        <w:t xml:space="preserve">Article </w:t>
      </w:r>
      <w:r w:rsidRPr="001C4D71">
        <w:rPr>
          <w:rFonts w:ascii="Times New Roman" w:hAnsi="Times New Roman" w:cs="Times New Roman"/>
          <w:color w:val="000000" w:themeColor="text1"/>
          <w:lang w:val="sr-Latn-RS"/>
        </w:rPr>
        <w:t>10</w:t>
      </w:r>
    </w:p>
    <w:p w14:paraId="5F1118C2" w14:textId="77777777" w:rsidR="00DB60FB" w:rsidRPr="001C4D71" w:rsidRDefault="00DB60FB" w:rsidP="005E33E4">
      <w:pPr>
        <w:spacing w:after="0" w:line="276" w:lineRule="auto"/>
        <w:ind w:left="709" w:right="808"/>
        <w:jc w:val="center"/>
        <w:rPr>
          <w:rFonts w:ascii="Times New Roman" w:hAnsi="Times New Roman" w:cs="Times New Roman"/>
          <w:color w:val="000000" w:themeColor="text1"/>
          <w:lang w:val="mk-MK"/>
        </w:rPr>
      </w:pPr>
    </w:p>
    <w:p w14:paraId="2DEFC1FD"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rPr>
      </w:pPr>
      <w:r w:rsidRPr="001C4D71">
        <w:rPr>
          <w:rFonts w:ascii="Times New Roman" w:hAnsi="Times New Roman" w:cs="Times New Roman"/>
          <w:color w:val="000000" w:themeColor="text1"/>
        </w:rPr>
        <w:t xml:space="preserve">The LSG is obliged to submit reports </w:t>
      </w:r>
      <w:r w:rsidRPr="001C4D71">
        <w:rPr>
          <w:rStyle w:val="normaltextrun"/>
          <w:rFonts w:ascii="Times New Roman" w:hAnsi="Times New Roman" w:cs="Times New Roman"/>
          <w:bCs/>
          <w:color w:val="000000" w:themeColor="text1"/>
        </w:rPr>
        <w:t>in the defined format to the MCTI</w:t>
      </w:r>
      <w:r w:rsidRPr="001C4D71">
        <w:rPr>
          <w:rFonts w:ascii="Times New Roman" w:hAnsi="Times New Roman" w:cs="Times New Roman"/>
          <w:color w:val="000000" w:themeColor="text1"/>
        </w:rPr>
        <w:t xml:space="preserve"> on the realization of the Project</w:t>
      </w:r>
      <w:r w:rsidRPr="001C4D71">
        <w:rPr>
          <w:rStyle w:val="normaltextrun"/>
          <w:rFonts w:ascii="Times New Roman" w:hAnsi="Times New Roman" w:cs="Times New Roman"/>
          <w:bCs/>
          <w:color w:val="000000" w:themeColor="text1"/>
        </w:rPr>
        <w:t xml:space="preserve"> </w:t>
      </w:r>
      <w:r w:rsidRPr="001C4D71">
        <w:rPr>
          <w:rFonts w:ascii="Times New Roman" w:hAnsi="Times New Roman" w:cs="Times New Roman"/>
          <w:color w:val="000000" w:themeColor="text1"/>
        </w:rPr>
        <w:t>monthly, no later than the 5th (five) of the month for the previous month</w:t>
      </w:r>
      <w:r w:rsidRPr="001C4D71">
        <w:rPr>
          <w:rStyle w:val="normaltextrun"/>
          <w:rFonts w:ascii="Times New Roman" w:hAnsi="Times New Roman" w:cs="Times New Roman"/>
          <w:bCs/>
          <w:color w:val="000000" w:themeColor="text1"/>
        </w:rPr>
        <w:t xml:space="preserve">, </w:t>
      </w:r>
      <w:r w:rsidRPr="001C4D71">
        <w:rPr>
          <w:rFonts w:ascii="Times New Roman" w:hAnsi="Times New Roman" w:cs="Times New Roman"/>
          <w:color w:val="000000" w:themeColor="text1"/>
        </w:rPr>
        <w:t>or at the request of the MCTI not later than five days upon the receipt of such a request.</w:t>
      </w:r>
    </w:p>
    <w:p w14:paraId="61F1D5E2"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rPr>
      </w:pPr>
    </w:p>
    <w:p w14:paraId="15A72A2D"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rPr>
      </w:pPr>
      <w:r w:rsidRPr="001C4D71">
        <w:rPr>
          <w:rFonts w:ascii="Times New Roman" w:hAnsi="Times New Roman" w:cs="Times New Roman"/>
          <w:color w:val="000000" w:themeColor="text1"/>
        </w:rPr>
        <w:t>The LSG is obliged to submit to the MCTI a final report on the realization of this Grant Agreement (descriptive - narrative), and a financial report on the use of funds with a specification of costs, within 30 days from the day when it fully uses the funds specified in Article 2 of this Grant Agreement, and no later than 30 days from the date of expiration of the deadline referred to in Article 8 of this Grant Agreement.</w:t>
      </w:r>
    </w:p>
    <w:p w14:paraId="4909C97A"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rPr>
      </w:pPr>
    </w:p>
    <w:p w14:paraId="178331F4" w14:textId="235CA50E" w:rsidR="00DB60FB" w:rsidRPr="001C4D71" w:rsidRDefault="00DB60FB" w:rsidP="005E33E4">
      <w:pPr>
        <w:spacing w:after="0" w:line="276" w:lineRule="auto"/>
        <w:ind w:left="709" w:right="808"/>
        <w:jc w:val="both"/>
        <w:rPr>
          <w:rStyle w:val="normaltextrun"/>
          <w:rFonts w:ascii="Times New Roman" w:eastAsiaTheme="majorEastAsia" w:hAnsi="Times New Roman" w:cs="Times New Roman"/>
          <w:color w:val="000000" w:themeColor="text1"/>
        </w:rPr>
      </w:pPr>
      <w:r w:rsidRPr="001C4D71">
        <w:rPr>
          <w:rFonts w:ascii="Times New Roman" w:hAnsi="Times New Roman" w:cs="Times New Roman"/>
          <w:color w:val="000000" w:themeColor="text1"/>
        </w:rPr>
        <w:t xml:space="preserve">The financial report must contain evidence of funds spent, with complete documentation justifying the intended and legal use of the funds received (certified copies of invoices, </w:t>
      </w:r>
      <w:r w:rsidR="00D23E88" w:rsidRPr="001C4D71">
        <w:rPr>
          <w:rFonts w:ascii="Times New Roman" w:hAnsi="Times New Roman" w:cs="Times New Roman"/>
          <w:color w:val="000000" w:themeColor="text1"/>
        </w:rPr>
        <w:t>i.e.,</w:t>
      </w:r>
      <w:r w:rsidRPr="001C4D71">
        <w:rPr>
          <w:rFonts w:ascii="Times New Roman" w:hAnsi="Times New Roman" w:cs="Times New Roman"/>
          <w:color w:val="000000" w:themeColor="text1"/>
        </w:rPr>
        <w:t xml:space="preserve"> temporary and completed situations; proof - statement from the Treasury that payment was made on invoices or situations).</w:t>
      </w:r>
      <w:r w:rsidRPr="001C4D71">
        <w:rPr>
          <w:rStyle w:val="normaltextrun"/>
          <w:rFonts w:ascii="Times New Roman" w:eastAsiaTheme="majorEastAsia" w:hAnsi="Times New Roman" w:cs="Times New Roman"/>
          <w:color w:val="000000" w:themeColor="text1"/>
        </w:rPr>
        <w:t xml:space="preserve"> </w:t>
      </w:r>
    </w:p>
    <w:p w14:paraId="1F200EF2" w14:textId="77777777" w:rsidR="00DB60FB" w:rsidRPr="001C4D71" w:rsidRDefault="00DB60FB" w:rsidP="005E33E4">
      <w:pPr>
        <w:spacing w:after="0" w:line="276" w:lineRule="auto"/>
        <w:ind w:left="709" w:right="808"/>
        <w:jc w:val="both"/>
        <w:rPr>
          <w:rStyle w:val="normaltextrun"/>
          <w:rFonts w:ascii="Times New Roman" w:eastAsiaTheme="majorEastAsia" w:hAnsi="Times New Roman" w:cs="Times New Roman"/>
          <w:color w:val="000000" w:themeColor="text1"/>
        </w:rPr>
      </w:pPr>
    </w:p>
    <w:p w14:paraId="2BEA2153" w14:textId="77777777" w:rsidR="00DB60FB" w:rsidRPr="001C4D71" w:rsidRDefault="00DB60FB" w:rsidP="005E33E4">
      <w:pPr>
        <w:spacing w:after="0" w:line="276" w:lineRule="auto"/>
        <w:ind w:left="709" w:right="808"/>
        <w:jc w:val="both"/>
        <w:rPr>
          <w:rFonts w:ascii="Times New Roman" w:hAnsi="Times New Roman" w:cs="Times New Roman"/>
          <w:color w:val="000000" w:themeColor="text1"/>
        </w:rPr>
      </w:pPr>
      <w:r w:rsidRPr="001C4D71">
        <w:rPr>
          <w:rStyle w:val="normaltextrun"/>
          <w:rFonts w:ascii="Times New Roman" w:eastAsiaTheme="majorEastAsia" w:hAnsi="Times New Roman" w:cs="Times New Roman"/>
          <w:color w:val="000000"/>
        </w:rPr>
        <w:t xml:space="preserve">Field control, or any other model of control, by the MCTI </w:t>
      </w:r>
      <w:r w:rsidRPr="001C4D71">
        <w:rPr>
          <w:rStyle w:val="normaltextrun"/>
          <w:rFonts w:ascii="Times New Roman" w:hAnsi="Times New Roman" w:cs="Times New Roman"/>
          <w:color w:val="000000"/>
        </w:rPr>
        <w:t xml:space="preserve">may be made at any </w:t>
      </w:r>
      <w:r w:rsidRPr="001C4D71">
        <w:rPr>
          <w:rStyle w:val="normaltextrun"/>
          <w:rFonts w:ascii="Times New Roman" w:eastAsiaTheme="majorEastAsia" w:hAnsi="Times New Roman" w:cs="Times New Roman"/>
          <w:color w:val="000000"/>
        </w:rPr>
        <w:t xml:space="preserve">time of the </w:t>
      </w:r>
      <w:r w:rsidRPr="001C4D71">
        <w:rPr>
          <w:rFonts w:ascii="Times New Roman" w:hAnsi="Times New Roman" w:cs="Times New Roman"/>
          <w:color w:val="000000" w:themeColor="text1"/>
        </w:rPr>
        <w:t xml:space="preserve">Grant Agreement </w:t>
      </w:r>
      <w:r w:rsidRPr="001C4D71">
        <w:rPr>
          <w:rStyle w:val="normaltextrun"/>
          <w:rFonts w:ascii="Times New Roman" w:eastAsiaTheme="majorEastAsia" w:hAnsi="Times New Roman" w:cs="Times New Roman"/>
          <w:color w:val="000000"/>
        </w:rPr>
        <w:t xml:space="preserve">duration, </w:t>
      </w:r>
      <w:r w:rsidRPr="001C4D71">
        <w:rPr>
          <w:rStyle w:val="normaltextrun"/>
          <w:rFonts w:ascii="Times New Roman" w:hAnsi="Times New Roman" w:cs="Times New Roman"/>
          <w:color w:val="000000"/>
        </w:rPr>
        <w:t xml:space="preserve">to check whether the on-the-spot situation is congruent with the information provided in </w:t>
      </w:r>
      <w:r w:rsidRPr="001C4D71">
        <w:rPr>
          <w:rStyle w:val="normaltextrun"/>
          <w:rFonts w:ascii="Times New Roman" w:eastAsiaTheme="majorEastAsia" w:hAnsi="Times New Roman" w:cs="Times New Roman"/>
          <w:color w:val="000000"/>
        </w:rPr>
        <w:t xml:space="preserve">the </w:t>
      </w:r>
      <w:r w:rsidRPr="001C4D71">
        <w:rPr>
          <w:rStyle w:val="normaltextrun"/>
          <w:rFonts w:ascii="Times New Roman" w:hAnsi="Times New Roman" w:cs="Times New Roman"/>
          <w:color w:val="000000"/>
        </w:rPr>
        <w:t>LSG</w:t>
      </w:r>
      <w:r w:rsidRPr="001C4D71">
        <w:rPr>
          <w:rStyle w:val="normaltextrun"/>
          <w:rFonts w:ascii="Times New Roman" w:eastAsiaTheme="majorEastAsia" w:hAnsi="Times New Roman" w:cs="Times New Roman"/>
          <w:color w:val="000000"/>
        </w:rPr>
        <w:t>’</w:t>
      </w:r>
      <w:r w:rsidRPr="001C4D71">
        <w:rPr>
          <w:rStyle w:val="normaltextrun"/>
          <w:rFonts w:ascii="Times New Roman" w:hAnsi="Times New Roman" w:cs="Times New Roman"/>
          <w:color w:val="000000"/>
        </w:rPr>
        <w:t>s financial reports. </w:t>
      </w:r>
      <w:r w:rsidRPr="001C4D71">
        <w:rPr>
          <w:rStyle w:val="eop"/>
          <w:rFonts w:ascii="Times New Roman" w:hAnsi="Times New Roman" w:cs="Times New Roman"/>
          <w:color w:val="000000"/>
        </w:rPr>
        <w:t> </w:t>
      </w:r>
    </w:p>
    <w:p w14:paraId="500D2499" w14:textId="77777777" w:rsidR="00DB60FB" w:rsidRPr="001C4D71" w:rsidRDefault="00DB60FB" w:rsidP="005E33E4">
      <w:pPr>
        <w:spacing w:after="0" w:line="276" w:lineRule="auto"/>
        <w:ind w:left="709" w:right="808"/>
        <w:jc w:val="center"/>
        <w:rPr>
          <w:rFonts w:ascii="Times New Roman" w:hAnsi="Times New Roman" w:cs="Times New Roman"/>
        </w:rPr>
      </w:pPr>
    </w:p>
    <w:p w14:paraId="2341EB4F" w14:textId="77777777" w:rsidR="00DB60FB" w:rsidRPr="001C4D71" w:rsidRDefault="00DB60FB" w:rsidP="005E33E4">
      <w:pPr>
        <w:spacing w:after="0" w:line="276" w:lineRule="auto"/>
        <w:ind w:left="709" w:right="808"/>
        <w:jc w:val="center"/>
        <w:rPr>
          <w:rFonts w:ascii="Times New Roman" w:hAnsi="Times New Roman" w:cs="Times New Roman"/>
        </w:rPr>
      </w:pPr>
    </w:p>
    <w:p w14:paraId="32ECF47E"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sr-Latn-RS"/>
        </w:rPr>
        <w:t>11</w:t>
      </w:r>
    </w:p>
    <w:p w14:paraId="476C417E"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1F194FB3"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The LSG is obliged to state in written materials, as well as when addressing the public in connection with the realization of the Project, that the MCTI participated as a financier.</w:t>
      </w:r>
    </w:p>
    <w:p w14:paraId="29134019" w14:textId="77777777" w:rsidR="00DB60FB" w:rsidRPr="001C4D71" w:rsidRDefault="00DB60FB" w:rsidP="005E33E4">
      <w:pPr>
        <w:spacing w:after="0" w:line="276" w:lineRule="auto"/>
        <w:ind w:left="709" w:right="808"/>
        <w:jc w:val="both"/>
        <w:rPr>
          <w:rFonts w:ascii="Times New Roman" w:hAnsi="Times New Roman" w:cs="Times New Roman"/>
          <w:b/>
        </w:rPr>
      </w:pPr>
    </w:p>
    <w:p w14:paraId="628ED027" w14:textId="77777777" w:rsidR="00DB60FB" w:rsidRPr="001C4D71" w:rsidRDefault="00DB60FB" w:rsidP="005E33E4">
      <w:pPr>
        <w:spacing w:after="0" w:line="276" w:lineRule="auto"/>
        <w:ind w:left="709" w:right="808"/>
        <w:jc w:val="both"/>
        <w:rPr>
          <w:rFonts w:ascii="Times New Roman" w:hAnsi="Times New Roman" w:cs="Times New Roman"/>
          <w:b/>
        </w:rPr>
      </w:pPr>
    </w:p>
    <w:p w14:paraId="1BD4568A" w14:textId="77777777" w:rsidR="00DB60FB" w:rsidRPr="001C4D71" w:rsidRDefault="00DB60FB" w:rsidP="005E33E4">
      <w:pPr>
        <w:spacing w:before="100" w:beforeAutospacing="1" w:after="100" w:afterAutospacing="1" w:line="276" w:lineRule="auto"/>
        <w:ind w:left="709" w:right="808"/>
        <w:jc w:val="both"/>
        <w:rPr>
          <w:rFonts w:ascii="Times New Roman" w:hAnsi="Times New Roman" w:cs="Times New Roman"/>
          <w:b/>
        </w:rPr>
      </w:pPr>
      <w:r w:rsidRPr="001C4D71">
        <w:rPr>
          <w:rFonts w:ascii="Times New Roman" w:hAnsi="Times New Roman" w:cs="Times New Roman"/>
          <w:b/>
        </w:rPr>
        <w:t xml:space="preserve">FINAL PROVISIONS </w:t>
      </w:r>
    </w:p>
    <w:p w14:paraId="3C08B4F7" w14:textId="77777777" w:rsidR="00DB60FB" w:rsidRPr="001C4D71" w:rsidRDefault="00DB60FB" w:rsidP="005E33E4">
      <w:pPr>
        <w:spacing w:before="100" w:beforeAutospacing="1" w:after="100" w:afterAutospacing="1" w:line="276" w:lineRule="auto"/>
        <w:ind w:left="709" w:right="808"/>
        <w:jc w:val="center"/>
        <w:rPr>
          <w:rFonts w:ascii="Times New Roman" w:hAnsi="Times New Roman" w:cs="Times New Roman"/>
        </w:rPr>
      </w:pPr>
      <w:r w:rsidRPr="001C4D71">
        <w:rPr>
          <w:rFonts w:ascii="Times New Roman" w:hAnsi="Times New Roman" w:cs="Times New Roman"/>
        </w:rPr>
        <w:t>Article</w:t>
      </w:r>
      <w:r w:rsidRPr="001C4D71">
        <w:rPr>
          <w:rFonts w:ascii="Times New Roman" w:hAnsi="Times New Roman" w:cs="Times New Roman"/>
          <w:lang w:val="mk-MK"/>
        </w:rPr>
        <w:t xml:space="preserve"> 1</w:t>
      </w:r>
      <w:r w:rsidRPr="001C4D71">
        <w:rPr>
          <w:rFonts w:ascii="Times New Roman" w:hAnsi="Times New Roman" w:cs="Times New Roman"/>
          <w:lang w:val="sr-Latn-RS"/>
        </w:rPr>
        <w:t>2</w:t>
      </w:r>
    </w:p>
    <w:p w14:paraId="3513307D"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All amendments to this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are subject to the Bank’s prior and written authorization, and must be made in writing, by signing an annex to the </w:t>
      </w:r>
      <w:r w:rsidRPr="001C4D71">
        <w:rPr>
          <w:rFonts w:ascii="Times New Roman" w:hAnsi="Times New Roman" w:cs="Times New Roman"/>
          <w:color w:val="000000" w:themeColor="text1"/>
        </w:rPr>
        <w:t>Grant Agreement</w:t>
      </w:r>
      <w:r w:rsidRPr="001C4D71">
        <w:rPr>
          <w:rFonts w:ascii="Times New Roman" w:hAnsi="Times New Roman" w:cs="Times New Roman"/>
        </w:rPr>
        <w:t>.</w:t>
      </w:r>
    </w:p>
    <w:p w14:paraId="3C37ED33" w14:textId="77777777" w:rsidR="00DB60FB" w:rsidRPr="001C4D71" w:rsidRDefault="00DB60FB" w:rsidP="005E33E4">
      <w:pPr>
        <w:spacing w:after="0" w:line="276" w:lineRule="auto"/>
        <w:ind w:left="709" w:right="808"/>
        <w:jc w:val="both"/>
        <w:rPr>
          <w:rFonts w:ascii="Times New Roman" w:hAnsi="Times New Roman" w:cs="Times New Roman"/>
        </w:rPr>
      </w:pPr>
    </w:p>
    <w:p w14:paraId="4893836F" w14:textId="66D1C98D"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Either Party may unilaterally terminate the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in the event that the other Party fails to </w:t>
      </w:r>
      <w:r w:rsidR="00D23E88" w:rsidRPr="001C4D71">
        <w:rPr>
          <w:rFonts w:ascii="Times New Roman" w:hAnsi="Times New Roman" w:cs="Times New Roman"/>
        </w:rPr>
        <w:t>fulfil</w:t>
      </w:r>
      <w:r w:rsidRPr="001C4D71">
        <w:rPr>
          <w:rFonts w:ascii="Times New Roman" w:hAnsi="Times New Roman" w:cs="Times New Roman"/>
        </w:rPr>
        <w:t xml:space="preserve"> or does not timely </w:t>
      </w:r>
      <w:r w:rsidR="00D23E88" w:rsidRPr="001C4D71">
        <w:rPr>
          <w:rFonts w:ascii="Times New Roman" w:hAnsi="Times New Roman" w:cs="Times New Roman"/>
        </w:rPr>
        <w:t>fulfil</w:t>
      </w:r>
      <w:r w:rsidRPr="001C4D71">
        <w:rPr>
          <w:rFonts w:ascii="Times New Roman" w:hAnsi="Times New Roman" w:cs="Times New Roman"/>
        </w:rPr>
        <w:t xml:space="preserve"> its obligations under the </w:t>
      </w:r>
      <w:r w:rsidRPr="001C4D71">
        <w:rPr>
          <w:rFonts w:ascii="Times New Roman" w:hAnsi="Times New Roman" w:cs="Times New Roman"/>
          <w:color w:val="000000" w:themeColor="text1"/>
        </w:rPr>
        <w:t>Grant Agreement</w:t>
      </w:r>
      <w:r w:rsidRPr="001C4D71">
        <w:rPr>
          <w:rFonts w:ascii="Times New Roman" w:hAnsi="Times New Roman" w:cs="Times New Roman"/>
        </w:rPr>
        <w:t>.</w:t>
      </w:r>
    </w:p>
    <w:p w14:paraId="5E262538" w14:textId="77777777" w:rsidR="00DB60FB" w:rsidRPr="001C4D71" w:rsidRDefault="00DB60FB" w:rsidP="005E33E4">
      <w:pPr>
        <w:spacing w:after="0" w:line="276" w:lineRule="auto"/>
        <w:ind w:left="709" w:right="808"/>
        <w:jc w:val="both"/>
        <w:rPr>
          <w:rFonts w:ascii="Times New Roman" w:hAnsi="Times New Roman" w:cs="Times New Roman"/>
        </w:rPr>
      </w:pPr>
    </w:p>
    <w:p w14:paraId="786EC4C2"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MCTI may unilaterally terminate the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if the LSG uses the funds in contrary to the established purpose and if the LSG does not submit to the MCTI the complete documentation referred to in this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within the deadlines provided by this </w:t>
      </w:r>
      <w:r w:rsidRPr="001C4D71">
        <w:rPr>
          <w:rFonts w:ascii="Times New Roman" w:hAnsi="Times New Roman" w:cs="Times New Roman"/>
          <w:color w:val="000000" w:themeColor="text1"/>
        </w:rPr>
        <w:t>Grant Agreement</w:t>
      </w:r>
      <w:r w:rsidRPr="001C4D71">
        <w:rPr>
          <w:rFonts w:ascii="Times New Roman" w:hAnsi="Times New Roman" w:cs="Times New Roman"/>
        </w:rPr>
        <w:t>.</w:t>
      </w:r>
    </w:p>
    <w:p w14:paraId="4C7F4A80" w14:textId="77777777" w:rsidR="00DB60FB" w:rsidRPr="001C4D71" w:rsidRDefault="00DB60FB" w:rsidP="005E33E4">
      <w:pPr>
        <w:spacing w:after="0" w:line="276" w:lineRule="auto"/>
        <w:ind w:left="709" w:right="808"/>
        <w:jc w:val="both"/>
        <w:rPr>
          <w:rFonts w:ascii="Times New Roman" w:hAnsi="Times New Roman" w:cs="Times New Roman"/>
        </w:rPr>
      </w:pPr>
    </w:p>
    <w:p w14:paraId="4A59EC49"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Party to this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is obliged to inform the other Party in writing about its intention to terminate this </w:t>
      </w:r>
      <w:r w:rsidRPr="001C4D71">
        <w:rPr>
          <w:rFonts w:ascii="Times New Roman" w:hAnsi="Times New Roman" w:cs="Times New Roman"/>
          <w:color w:val="000000" w:themeColor="text1"/>
        </w:rPr>
        <w:t>Grant Agreement</w:t>
      </w:r>
      <w:r w:rsidRPr="001C4D71">
        <w:rPr>
          <w:rFonts w:ascii="Times New Roman" w:hAnsi="Times New Roman" w:cs="Times New Roman"/>
        </w:rPr>
        <w:t>.</w:t>
      </w:r>
    </w:p>
    <w:p w14:paraId="76CA99E9" w14:textId="77777777" w:rsidR="00DB60FB" w:rsidRPr="001C4D71" w:rsidRDefault="00DB60FB" w:rsidP="005E33E4">
      <w:pPr>
        <w:spacing w:after="0" w:line="276" w:lineRule="auto"/>
        <w:ind w:left="709" w:right="808"/>
        <w:jc w:val="both"/>
        <w:rPr>
          <w:rFonts w:ascii="Times New Roman" w:hAnsi="Times New Roman" w:cs="Times New Roman"/>
        </w:rPr>
      </w:pPr>
    </w:p>
    <w:p w14:paraId="557F8757"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will be considered terminated after the expiration of 15 days from the date of receipt of the written notice.</w:t>
      </w:r>
    </w:p>
    <w:p w14:paraId="1877ECA6" w14:textId="77777777" w:rsidR="00DB60FB" w:rsidRPr="001C4D71" w:rsidRDefault="00DB60FB" w:rsidP="005E33E4">
      <w:pPr>
        <w:spacing w:after="0" w:line="276" w:lineRule="auto"/>
        <w:ind w:left="709" w:right="808"/>
        <w:jc w:val="both"/>
        <w:rPr>
          <w:rFonts w:ascii="Times New Roman" w:hAnsi="Times New Roman" w:cs="Times New Roman"/>
        </w:rPr>
      </w:pPr>
    </w:p>
    <w:p w14:paraId="4BBE6030"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 xml:space="preserve">Article </w:t>
      </w:r>
      <w:r w:rsidRPr="001C4D71">
        <w:rPr>
          <w:rFonts w:ascii="Times New Roman" w:hAnsi="Times New Roman" w:cs="Times New Roman"/>
          <w:lang w:val="mk-MK"/>
        </w:rPr>
        <w:t>1</w:t>
      </w:r>
      <w:r w:rsidRPr="001C4D71">
        <w:rPr>
          <w:rFonts w:ascii="Times New Roman" w:hAnsi="Times New Roman" w:cs="Times New Roman"/>
          <w:lang w:val="sr-Latn-RS"/>
        </w:rPr>
        <w:t>3</w:t>
      </w:r>
    </w:p>
    <w:p w14:paraId="617D0101"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139C6EF7"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Parties agree that the provisions of the Law on Obligations (″Official Gazette of the Socialist Federal Republic of Yugoslavia″, Nos. 29/78, 39/85, 45/89 and 57/89, ″Official Gazette of the Federal Republic of Yugoslavia″, No. 31/93, ″Official Gazette of Serbia and Montenegro″, No. 1/03-Constitutional Charter and ″Official Gazette of the Republic of Serbia″, No. 18/20) shall be directly applied to all mutual relations, which are not defined by this </w:t>
      </w:r>
      <w:r w:rsidRPr="001C4D71">
        <w:rPr>
          <w:rFonts w:ascii="Times New Roman" w:hAnsi="Times New Roman" w:cs="Times New Roman"/>
          <w:color w:val="000000" w:themeColor="text1"/>
        </w:rPr>
        <w:t>Grant Agreement</w:t>
      </w:r>
      <w:r w:rsidRPr="001C4D71">
        <w:rPr>
          <w:rFonts w:ascii="Times New Roman" w:hAnsi="Times New Roman" w:cs="Times New Roman"/>
        </w:rPr>
        <w:t>.</w:t>
      </w:r>
    </w:p>
    <w:p w14:paraId="7359A6E9" w14:textId="77777777" w:rsidR="00DB60FB" w:rsidRPr="001C4D71" w:rsidRDefault="00DB60FB" w:rsidP="005E33E4">
      <w:pPr>
        <w:spacing w:after="0" w:line="276" w:lineRule="auto"/>
        <w:ind w:left="709" w:right="808"/>
        <w:jc w:val="both"/>
        <w:rPr>
          <w:rFonts w:ascii="Times New Roman" w:hAnsi="Times New Roman" w:cs="Times New Roman"/>
        </w:rPr>
      </w:pPr>
    </w:p>
    <w:p w14:paraId="516526CA" w14:textId="77777777" w:rsidR="00DB60FB" w:rsidRPr="001C4D71" w:rsidRDefault="00DB60FB" w:rsidP="005E33E4">
      <w:pPr>
        <w:spacing w:after="0" w:line="276" w:lineRule="auto"/>
        <w:ind w:left="709" w:right="808"/>
        <w:jc w:val="both"/>
        <w:rPr>
          <w:rFonts w:ascii="Times New Roman" w:hAnsi="Times New Roman" w:cs="Times New Roman"/>
        </w:rPr>
      </w:pPr>
    </w:p>
    <w:p w14:paraId="308DEDAC"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Article 1</w:t>
      </w:r>
      <w:r w:rsidRPr="001C4D71">
        <w:rPr>
          <w:rFonts w:ascii="Times New Roman" w:hAnsi="Times New Roman" w:cs="Times New Roman"/>
          <w:lang w:val="sr-Latn-RS"/>
        </w:rPr>
        <w:t>4</w:t>
      </w:r>
    </w:p>
    <w:p w14:paraId="4FE3B49A" w14:textId="77777777" w:rsidR="00DB60FB" w:rsidRPr="001C4D71" w:rsidRDefault="00DB60FB" w:rsidP="005E33E4">
      <w:pPr>
        <w:spacing w:after="0" w:line="276" w:lineRule="auto"/>
        <w:ind w:left="709" w:right="808"/>
        <w:jc w:val="both"/>
        <w:rPr>
          <w:rFonts w:ascii="Times New Roman" w:hAnsi="Times New Roman" w:cs="Times New Roman"/>
        </w:rPr>
      </w:pPr>
    </w:p>
    <w:p w14:paraId="6D945EF8" w14:textId="77777777" w:rsidR="00DB60FB" w:rsidRPr="001C4D71" w:rsidRDefault="00DB60FB" w:rsidP="005E33E4">
      <w:pPr>
        <w:spacing w:after="0" w:line="276" w:lineRule="auto"/>
        <w:ind w:left="709" w:right="808"/>
        <w:jc w:val="both"/>
        <w:rPr>
          <w:rFonts w:ascii="Times New Roman" w:hAnsi="Times New Roman" w:cs="Times New Roman"/>
        </w:rPr>
      </w:pPr>
      <w:r w:rsidRPr="001C4D71">
        <w:rPr>
          <w:rFonts w:ascii="Times New Roman" w:hAnsi="Times New Roman" w:cs="Times New Roman"/>
        </w:rPr>
        <w:t xml:space="preserve">The Parties agree to resolve any disputes related to this </w:t>
      </w:r>
      <w:r w:rsidRPr="001C4D71">
        <w:rPr>
          <w:rFonts w:ascii="Times New Roman" w:hAnsi="Times New Roman" w:cs="Times New Roman"/>
          <w:color w:val="000000" w:themeColor="text1"/>
        </w:rPr>
        <w:t>Grant Agreement</w:t>
      </w:r>
      <w:r w:rsidRPr="001C4D71">
        <w:rPr>
          <w:rFonts w:ascii="Times New Roman" w:hAnsi="Times New Roman" w:cs="Times New Roman"/>
        </w:rPr>
        <w:t xml:space="preserve"> amicably and in the spirit of good mutual cooperation, otherwise the dispute will be resolved by the competent court in Belgrade.</w:t>
      </w:r>
    </w:p>
    <w:p w14:paraId="700C46ED" w14:textId="77777777" w:rsidR="00DB60FB" w:rsidRPr="001C4D71" w:rsidRDefault="00DB60FB" w:rsidP="005E33E4">
      <w:pPr>
        <w:spacing w:after="0" w:line="276" w:lineRule="auto"/>
        <w:ind w:left="709" w:right="808"/>
        <w:jc w:val="center"/>
        <w:rPr>
          <w:rFonts w:ascii="Times New Roman" w:hAnsi="Times New Roman" w:cs="Times New Roman"/>
        </w:rPr>
      </w:pPr>
    </w:p>
    <w:p w14:paraId="2209F573" w14:textId="77777777" w:rsidR="00DB60FB" w:rsidRPr="001C4D71" w:rsidRDefault="00DB60FB" w:rsidP="005E33E4">
      <w:pPr>
        <w:spacing w:after="0" w:line="276" w:lineRule="auto"/>
        <w:ind w:left="709" w:right="808"/>
        <w:jc w:val="center"/>
        <w:rPr>
          <w:rFonts w:ascii="Times New Roman" w:hAnsi="Times New Roman" w:cs="Times New Roman"/>
        </w:rPr>
      </w:pPr>
    </w:p>
    <w:p w14:paraId="731A0049" w14:textId="77777777" w:rsidR="00DB60FB" w:rsidRPr="001C4D71" w:rsidRDefault="00DB60FB" w:rsidP="005E33E4">
      <w:pPr>
        <w:spacing w:after="0" w:line="276" w:lineRule="auto"/>
        <w:ind w:left="709" w:right="808"/>
        <w:jc w:val="center"/>
        <w:rPr>
          <w:rFonts w:ascii="Times New Roman" w:hAnsi="Times New Roman" w:cs="Times New Roman"/>
          <w:lang w:val="sr-Latn-RS"/>
        </w:rPr>
      </w:pPr>
      <w:r w:rsidRPr="001C4D71">
        <w:rPr>
          <w:rFonts w:ascii="Times New Roman" w:hAnsi="Times New Roman" w:cs="Times New Roman"/>
        </w:rPr>
        <w:t>Article 1</w:t>
      </w:r>
      <w:r w:rsidRPr="001C4D71">
        <w:rPr>
          <w:rFonts w:ascii="Times New Roman" w:hAnsi="Times New Roman" w:cs="Times New Roman"/>
          <w:lang w:val="sr-Latn-RS"/>
        </w:rPr>
        <w:t>5</w:t>
      </w:r>
    </w:p>
    <w:p w14:paraId="4789E39C" w14:textId="77777777" w:rsidR="00DB60FB" w:rsidRPr="001C4D71" w:rsidRDefault="00DB60FB" w:rsidP="005E33E4">
      <w:pPr>
        <w:spacing w:after="0" w:line="276" w:lineRule="auto"/>
        <w:ind w:left="709" w:right="808"/>
        <w:jc w:val="center"/>
        <w:rPr>
          <w:rFonts w:ascii="Times New Roman" w:hAnsi="Times New Roman" w:cs="Times New Roman"/>
          <w:lang w:val="mk-MK"/>
        </w:rPr>
      </w:pPr>
    </w:p>
    <w:p w14:paraId="0FEDB184" w14:textId="77777777" w:rsidR="00DB60FB" w:rsidRDefault="00DB60FB" w:rsidP="005E33E4">
      <w:pPr>
        <w:spacing w:after="0" w:line="276" w:lineRule="auto"/>
        <w:ind w:left="709" w:right="808"/>
        <w:rPr>
          <w:rFonts w:ascii="Times New Roman" w:hAnsi="Times New Roman" w:cs="Times New Roman"/>
          <w:b/>
        </w:rPr>
      </w:pPr>
      <w:r w:rsidRPr="001C4D71">
        <w:rPr>
          <w:rFonts w:ascii="Times New Roman" w:hAnsi="Times New Roman" w:cs="Times New Roman"/>
        </w:rPr>
        <w:t xml:space="preserve">This </w:t>
      </w:r>
      <w:r w:rsidRPr="001C4D71">
        <w:rPr>
          <w:rFonts w:ascii="Times New Roman" w:hAnsi="Times New Roman" w:cs="Times New Roman"/>
          <w:color w:val="000000" w:themeColor="text1"/>
        </w:rPr>
        <w:t xml:space="preserve">Grant Agreement </w:t>
      </w:r>
      <w:r w:rsidRPr="001C4D71">
        <w:rPr>
          <w:rFonts w:ascii="Times New Roman" w:hAnsi="Times New Roman" w:cs="Times New Roman"/>
        </w:rPr>
        <w:t>shall be signed in 4 (four) original copies, 2 (two) originals for the MCTI and 2 (two) originals for the LSG.</w:t>
      </w:r>
    </w:p>
    <w:p w14:paraId="2CBFC043" w14:textId="77777777" w:rsidR="00DB60FB" w:rsidRDefault="00DB60FB" w:rsidP="005E33E4">
      <w:pPr>
        <w:spacing w:after="0" w:line="276" w:lineRule="auto"/>
        <w:ind w:left="709" w:right="808"/>
        <w:rPr>
          <w:rFonts w:ascii="Times New Roman" w:hAnsi="Times New Roman" w:cs="Times New Roman"/>
          <w:b/>
        </w:rPr>
      </w:pPr>
    </w:p>
    <w:p w14:paraId="533FA3BA" w14:textId="77777777" w:rsidR="00DB60FB" w:rsidRPr="001C4D71" w:rsidRDefault="00DB60FB" w:rsidP="005E33E4">
      <w:pPr>
        <w:spacing w:after="0" w:line="276" w:lineRule="auto"/>
        <w:ind w:left="709" w:right="808"/>
        <w:rPr>
          <w:rFonts w:ascii="Times New Roman" w:hAnsi="Times New Roman" w:cs="Times New Roman"/>
          <w:b/>
        </w:rPr>
      </w:pPr>
    </w:p>
    <w:p w14:paraId="4B790B29" w14:textId="77777777" w:rsidR="00DB60FB" w:rsidRDefault="00DB60FB" w:rsidP="005E33E4">
      <w:pPr>
        <w:spacing w:after="0" w:line="276" w:lineRule="auto"/>
        <w:ind w:left="709" w:right="808"/>
        <w:jc w:val="center"/>
        <w:rPr>
          <w:rFonts w:ascii="Times New Roman" w:hAnsi="Times New Roman" w:cs="Times New Roman"/>
          <w:b/>
        </w:rPr>
      </w:pPr>
      <w:r w:rsidRPr="001C4D71">
        <w:rPr>
          <w:rFonts w:ascii="Times New Roman" w:hAnsi="Times New Roman" w:cs="Times New Roman"/>
          <w:b/>
        </w:rPr>
        <w:t>PARTIES TO THIS GRANT AGREEMENT:</w:t>
      </w:r>
    </w:p>
    <w:p w14:paraId="7DADEFA5" w14:textId="77777777" w:rsidR="00DB60FB" w:rsidRDefault="00DB60FB" w:rsidP="005E33E4">
      <w:pPr>
        <w:spacing w:after="0" w:line="276" w:lineRule="auto"/>
        <w:ind w:left="709" w:right="808"/>
        <w:jc w:val="center"/>
        <w:rPr>
          <w:rFonts w:ascii="Times New Roman" w:hAnsi="Times New Roman" w:cs="Times New Roman"/>
          <w:b/>
        </w:rPr>
      </w:pPr>
    </w:p>
    <w:p w14:paraId="14CF7F49" w14:textId="77777777" w:rsidR="00DB60FB" w:rsidRDefault="00DB60FB" w:rsidP="005E33E4">
      <w:pPr>
        <w:spacing w:after="0" w:line="276" w:lineRule="auto"/>
        <w:ind w:left="709" w:right="808"/>
        <w:jc w:val="center"/>
        <w:rPr>
          <w:rFonts w:ascii="Times New Roman" w:hAnsi="Times New Roman" w:cs="Times New Roman"/>
          <w:b/>
        </w:rPr>
      </w:pPr>
    </w:p>
    <w:p w14:paraId="7752CE09" w14:textId="77777777" w:rsidR="00DB60FB" w:rsidRPr="001C4D71" w:rsidRDefault="00DB60FB" w:rsidP="005E33E4">
      <w:pPr>
        <w:spacing w:after="0" w:line="276" w:lineRule="auto"/>
        <w:ind w:left="709" w:right="808"/>
        <w:jc w:val="center"/>
        <w:rPr>
          <w:rFonts w:ascii="Times New Roman" w:hAnsi="Times New Roman" w:cs="Times New Roman"/>
          <w:b/>
        </w:rPr>
      </w:pPr>
    </w:p>
    <w:tbl>
      <w:tblPr>
        <w:tblStyle w:val="TableGrid"/>
        <w:tblW w:w="94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702"/>
      </w:tblGrid>
      <w:tr w:rsidR="00DB60FB" w:rsidRPr="001C4D71" w14:paraId="559AFBE0" w14:textId="77777777" w:rsidTr="000168B6">
        <w:trPr>
          <w:trHeight w:val="1346"/>
        </w:trPr>
        <w:tc>
          <w:tcPr>
            <w:tcW w:w="4702" w:type="dxa"/>
          </w:tcPr>
          <w:p w14:paraId="3EB72A27" w14:textId="77777777" w:rsidR="00DB60FB" w:rsidRPr="001C4D71" w:rsidRDefault="00DB60FB" w:rsidP="005E33E4">
            <w:pPr>
              <w:spacing w:line="276" w:lineRule="auto"/>
              <w:ind w:left="709" w:right="808"/>
              <w:rPr>
                <w:rFonts w:ascii="Times New Roman" w:hAnsi="Times New Roman" w:cs="Times New Roman"/>
                <w:b/>
                <w:lang w:val="mk-MK"/>
              </w:rPr>
            </w:pPr>
            <w:r w:rsidRPr="001C4D71">
              <w:rPr>
                <w:rFonts w:ascii="Times New Roman" w:hAnsi="Times New Roman" w:cs="Times New Roman"/>
                <w:b/>
                <w:lang w:val="mk-MK"/>
              </w:rPr>
              <w:t xml:space="preserve">       </w:t>
            </w:r>
            <w:r w:rsidRPr="001C4D71">
              <w:rPr>
                <w:rFonts w:ascii="Times New Roman" w:hAnsi="Times New Roman" w:cs="Times New Roman"/>
                <w:b/>
              </w:rPr>
              <w:t xml:space="preserve"> FOR THE MCTI</w:t>
            </w:r>
            <w:r w:rsidRPr="001C4D71">
              <w:rPr>
                <w:rFonts w:ascii="Times New Roman" w:hAnsi="Times New Roman" w:cs="Times New Roman"/>
                <w:b/>
                <w:lang w:val="mk-MK"/>
              </w:rPr>
              <w:t>:</w:t>
            </w:r>
          </w:p>
          <w:p w14:paraId="13D8EFD0" w14:textId="77777777" w:rsidR="00DB60FB" w:rsidRPr="001C4D71" w:rsidRDefault="00DB60FB" w:rsidP="005E33E4">
            <w:pPr>
              <w:spacing w:line="276" w:lineRule="auto"/>
              <w:ind w:left="709" w:right="808"/>
              <w:rPr>
                <w:rFonts w:ascii="Times New Roman" w:hAnsi="Times New Roman" w:cs="Times New Roman"/>
                <w:b/>
                <w:lang w:val="mk-MK"/>
              </w:rPr>
            </w:pPr>
          </w:p>
          <w:p w14:paraId="0474C9A5" w14:textId="77777777" w:rsidR="00DB60FB" w:rsidRPr="001C4D71" w:rsidRDefault="00DB60FB" w:rsidP="005E33E4">
            <w:pPr>
              <w:spacing w:line="276" w:lineRule="auto"/>
              <w:ind w:left="709" w:right="808"/>
              <w:rPr>
                <w:rFonts w:ascii="Times New Roman" w:hAnsi="Times New Roman" w:cs="Times New Roman"/>
                <w:b/>
              </w:rPr>
            </w:pPr>
            <w:r w:rsidRPr="001C4D71">
              <w:rPr>
                <w:rFonts w:ascii="Times New Roman" w:hAnsi="Times New Roman" w:cs="Times New Roman"/>
                <w:b/>
                <w:lang w:val="mk-MK"/>
              </w:rPr>
              <w:t xml:space="preserve">                  </w:t>
            </w:r>
            <w:r w:rsidRPr="001C4D71">
              <w:rPr>
                <w:rFonts w:ascii="Times New Roman" w:hAnsi="Times New Roman" w:cs="Times New Roman"/>
                <w:b/>
              </w:rPr>
              <w:t>Minister</w:t>
            </w:r>
          </w:p>
          <w:p w14:paraId="0F687292" w14:textId="77777777" w:rsidR="00DB60FB" w:rsidRPr="001C4D71" w:rsidRDefault="00DB60FB" w:rsidP="005E33E4">
            <w:pPr>
              <w:spacing w:line="276" w:lineRule="auto"/>
              <w:ind w:left="709" w:right="808"/>
              <w:rPr>
                <w:rFonts w:ascii="Times New Roman" w:hAnsi="Times New Roman" w:cs="Times New Roman"/>
                <w:b/>
                <w:lang w:val="mk-MK"/>
              </w:rPr>
            </w:pPr>
            <w:r w:rsidRPr="001C4D71">
              <w:rPr>
                <w:rFonts w:ascii="Times New Roman" w:hAnsi="Times New Roman" w:cs="Times New Roman"/>
                <w:b/>
                <w:lang w:val="mk-MK"/>
              </w:rPr>
              <w:t xml:space="preserve">           </w:t>
            </w:r>
            <w:r w:rsidRPr="001C4D71">
              <w:rPr>
                <w:rFonts w:ascii="Times New Roman" w:hAnsi="Times New Roman" w:cs="Times New Roman"/>
                <w:b/>
              </w:rPr>
              <w:t>_________________</w:t>
            </w:r>
            <w:r w:rsidRPr="001C4D71">
              <w:rPr>
                <w:rFonts w:ascii="Times New Roman" w:hAnsi="Times New Roman" w:cs="Times New Roman"/>
                <w:b/>
                <w:lang w:val="mk-MK"/>
              </w:rPr>
              <w:t xml:space="preserve"> </w:t>
            </w:r>
          </w:p>
        </w:tc>
        <w:tc>
          <w:tcPr>
            <w:tcW w:w="4702" w:type="dxa"/>
          </w:tcPr>
          <w:p w14:paraId="35000449" w14:textId="77777777" w:rsidR="00DB60FB" w:rsidRPr="001C4D71" w:rsidRDefault="00DB60FB" w:rsidP="005E33E4">
            <w:pPr>
              <w:spacing w:line="276" w:lineRule="auto"/>
              <w:ind w:left="709" w:right="808"/>
              <w:rPr>
                <w:rFonts w:ascii="Times New Roman" w:hAnsi="Times New Roman" w:cs="Times New Roman"/>
                <w:b/>
                <w:lang w:val="mk-MK"/>
              </w:rPr>
            </w:pPr>
            <w:r>
              <w:rPr>
                <w:rFonts w:ascii="Times New Roman" w:hAnsi="Times New Roman" w:cs="Times New Roman"/>
                <w:b/>
                <w:lang w:val="sr-Latn-RS"/>
              </w:rPr>
              <w:t xml:space="preserve">                           </w:t>
            </w:r>
            <w:r w:rsidRPr="001C4D71">
              <w:rPr>
                <w:rFonts w:ascii="Times New Roman" w:hAnsi="Times New Roman" w:cs="Times New Roman"/>
                <w:b/>
              </w:rPr>
              <w:t>FOR THE LSG</w:t>
            </w:r>
            <w:r w:rsidRPr="001C4D71">
              <w:rPr>
                <w:rFonts w:ascii="Times New Roman" w:hAnsi="Times New Roman" w:cs="Times New Roman"/>
                <w:b/>
                <w:lang w:val="mk-MK"/>
              </w:rPr>
              <w:t>:</w:t>
            </w:r>
          </w:p>
          <w:p w14:paraId="5CB135AA" w14:textId="77777777" w:rsidR="00DB60FB" w:rsidRPr="001C4D71" w:rsidRDefault="00DB60FB" w:rsidP="005E33E4">
            <w:pPr>
              <w:spacing w:line="276" w:lineRule="auto"/>
              <w:ind w:left="709" w:right="808"/>
              <w:rPr>
                <w:rFonts w:ascii="Times New Roman" w:hAnsi="Times New Roman" w:cs="Times New Roman"/>
                <w:b/>
              </w:rPr>
            </w:pPr>
            <w:r w:rsidRPr="001C4D71">
              <w:rPr>
                <w:rFonts w:ascii="Times New Roman" w:hAnsi="Times New Roman" w:cs="Times New Roman"/>
                <w:b/>
                <w:lang w:val="mk-MK"/>
              </w:rPr>
              <w:t xml:space="preserve">                         </w:t>
            </w:r>
          </w:p>
          <w:p w14:paraId="1564B019" w14:textId="77777777" w:rsidR="00DB60FB" w:rsidRPr="001C4D71" w:rsidRDefault="00DB60FB" w:rsidP="005E33E4">
            <w:pPr>
              <w:spacing w:line="276" w:lineRule="auto"/>
              <w:ind w:left="709" w:right="808"/>
              <w:rPr>
                <w:rFonts w:ascii="Times New Roman" w:hAnsi="Times New Roman" w:cs="Times New Roman"/>
                <w:b/>
              </w:rPr>
            </w:pPr>
            <w:r w:rsidRPr="001C4D71">
              <w:rPr>
                <w:rFonts w:ascii="Times New Roman" w:hAnsi="Times New Roman" w:cs="Times New Roman"/>
                <w:b/>
                <w:lang w:val="sr-Latn-RS"/>
              </w:rPr>
              <w:t xml:space="preserve">    </w:t>
            </w:r>
            <w:r w:rsidRPr="001C4D71">
              <w:rPr>
                <w:rFonts w:ascii="Times New Roman" w:hAnsi="Times New Roman" w:cs="Times New Roman"/>
                <w:b/>
              </w:rPr>
              <w:t>Mayor/President of the Municipality</w:t>
            </w:r>
          </w:p>
          <w:p w14:paraId="52C473CA" w14:textId="77777777" w:rsidR="00DB60FB" w:rsidRPr="001C4D71" w:rsidRDefault="00DB60FB" w:rsidP="005E33E4">
            <w:pPr>
              <w:spacing w:line="276" w:lineRule="auto"/>
              <w:ind w:left="709" w:right="808"/>
              <w:rPr>
                <w:rFonts w:ascii="Times New Roman" w:hAnsi="Times New Roman" w:cs="Times New Roman"/>
                <w:b/>
                <w:bCs/>
              </w:rPr>
            </w:pPr>
            <w:r w:rsidRPr="001C4D71">
              <w:rPr>
                <w:rFonts w:ascii="Times New Roman" w:hAnsi="Times New Roman" w:cs="Times New Roman"/>
                <w:b/>
                <w:bCs/>
                <w:lang w:val="mk-MK"/>
              </w:rPr>
              <w:t xml:space="preserve">                           </w:t>
            </w:r>
            <w:r w:rsidRPr="001C4D71">
              <w:rPr>
                <w:rFonts w:ascii="Times New Roman" w:hAnsi="Times New Roman" w:cs="Times New Roman"/>
                <w:b/>
                <w:bCs/>
              </w:rPr>
              <w:t xml:space="preserve">________________   </w:t>
            </w:r>
            <w:r w:rsidRPr="001C4D71">
              <w:rPr>
                <w:rFonts w:ascii="Times New Roman" w:hAnsi="Times New Roman" w:cs="Times New Roman"/>
                <w:b/>
                <w:bCs/>
                <w:lang w:val="mk-MK"/>
              </w:rPr>
              <w:t xml:space="preserve">                        </w:t>
            </w:r>
          </w:p>
        </w:tc>
      </w:tr>
      <w:tr w:rsidR="00DB60FB" w:rsidRPr="001C4D71" w14:paraId="2C31CD50" w14:textId="77777777" w:rsidTr="000168B6">
        <w:trPr>
          <w:trHeight w:val="1346"/>
        </w:trPr>
        <w:tc>
          <w:tcPr>
            <w:tcW w:w="4702" w:type="dxa"/>
          </w:tcPr>
          <w:p w14:paraId="35BDA501" w14:textId="77777777" w:rsidR="00DB60FB" w:rsidRPr="001C4D71" w:rsidRDefault="00DB60FB" w:rsidP="005E33E4">
            <w:pPr>
              <w:spacing w:line="276" w:lineRule="auto"/>
              <w:ind w:left="709" w:right="808"/>
              <w:rPr>
                <w:rFonts w:ascii="Times New Roman" w:hAnsi="Times New Roman" w:cs="Times New Roman"/>
                <w:b/>
                <w:lang w:val="mk-MK"/>
              </w:rPr>
            </w:pPr>
          </w:p>
        </w:tc>
        <w:tc>
          <w:tcPr>
            <w:tcW w:w="4702" w:type="dxa"/>
          </w:tcPr>
          <w:p w14:paraId="476FEF07" w14:textId="77777777" w:rsidR="00DB60FB" w:rsidRPr="001C4D71" w:rsidDel="001C4D71" w:rsidRDefault="00DB60FB" w:rsidP="005E33E4">
            <w:pPr>
              <w:spacing w:line="276" w:lineRule="auto"/>
              <w:ind w:left="709" w:right="808"/>
              <w:rPr>
                <w:rFonts w:ascii="Times New Roman" w:hAnsi="Times New Roman" w:cs="Times New Roman"/>
                <w:b/>
                <w:lang w:val="mk-MK"/>
              </w:rPr>
            </w:pPr>
          </w:p>
        </w:tc>
      </w:tr>
    </w:tbl>
    <w:p w14:paraId="0D9E53E0" w14:textId="77777777" w:rsidR="00DB60FB" w:rsidRPr="001C4D71" w:rsidRDefault="00DB60FB" w:rsidP="005E33E4">
      <w:pPr>
        <w:spacing w:line="276" w:lineRule="auto"/>
        <w:ind w:left="709" w:right="808"/>
        <w:rPr>
          <w:rFonts w:ascii="Times New Roman" w:hAnsi="Times New Roman" w:cs="Times New Roman"/>
        </w:rPr>
      </w:pPr>
    </w:p>
    <w:bookmarkEnd w:id="709"/>
    <w:p w14:paraId="3AB252E9" w14:textId="77777777" w:rsidR="003D0F0A" w:rsidRPr="00D01979" w:rsidRDefault="003D0F0A" w:rsidP="00D01979">
      <w:pPr>
        <w:spacing w:after="120" w:line="276" w:lineRule="auto"/>
        <w:jc w:val="both"/>
        <w:rPr>
          <w:rFonts w:ascii="Times New Roman" w:hAnsi="Times New Roman" w:cs="Times New Roman"/>
          <w:color w:val="FF0000"/>
        </w:rPr>
      </w:pPr>
    </w:p>
    <w:p w14:paraId="40F40900" w14:textId="77777777" w:rsidR="003C5D41" w:rsidRDefault="003C5D41" w:rsidP="00D01979">
      <w:pPr>
        <w:spacing w:after="120" w:line="276" w:lineRule="auto"/>
        <w:jc w:val="both"/>
        <w:rPr>
          <w:rFonts w:ascii="Times New Roman" w:hAnsi="Times New Roman" w:cs="Times New Roman"/>
          <w:color w:val="FF0000"/>
        </w:rPr>
        <w:sectPr w:rsidR="003C5D41" w:rsidSect="002D62FD">
          <w:type w:val="continuous"/>
          <w:pgSz w:w="11910" w:h="16840" w:code="9"/>
          <w:pgMar w:top="839" w:right="720" w:bottom="1418" w:left="743" w:header="454" w:footer="340" w:gutter="0"/>
          <w:cols w:space="720"/>
        </w:sectPr>
      </w:pPr>
    </w:p>
    <w:p w14:paraId="16751617" w14:textId="5F85737C" w:rsidR="0077740F" w:rsidRPr="00D01979" w:rsidRDefault="00E2669C" w:rsidP="00D01979">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10" w:name="_Toc93342334"/>
      <w:r>
        <w:rPr>
          <w:rFonts w:ascii="Times New Roman" w:hAnsi="Times New Roman" w:cs="Times New Roman"/>
          <w:smallCaps w:val="0"/>
          <w:color w:val="auto"/>
          <w:sz w:val="28"/>
          <w:szCs w:val="30"/>
        </w:rPr>
        <w:t>Annex 5</w:t>
      </w:r>
      <w:r w:rsidR="0077740F" w:rsidRPr="00D01979">
        <w:rPr>
          <w:rFonts w:ascii="Times New Roman" w:hAnsi="Times New Roman" w:cs="Times New Roman"/>
          <w:smallCaps w:val="0"/>
          <w:color w:val="auto"/>
          <w:sz w:val="28"/>
          <w:szCs w:val="30"/>
        </w:rPr>
        <w:t xml:space="preserve">: </w:t>
      </w:r>
      <w:r w:rsidR="003C5D41">
        <w:rPr>
          <w:rFonts w:ascii="Times New Roman" w:hAnsi="Times New Roman" w:cs="Times New Roman"/>
          <w:smallCaps w:val="0"/>
          <w:color w:val="auto"/>
          <w:sz w:val="28"/>
          <w:szCs w:val="30"/>
        </w:rPr>
        <w:t>Model Bidding Document for Works</w:t>
      </w:r>
      <w:bookmarkEnd w:id="710"/>
      <w:r w:rsidR="003C5D41">
        <w:rPr>
          <w:rFonts w:ascii="Times New Roman" w:hAnsi="Times New Roman" w:cs="Times New Roman"/>
          <w:smallCaps w:val="0"/>
          <w:color w:val="auto"/>
          <w:sz w:val="28"/>
          <w:szCs w:val="30"/>
        </w:rPr>
        <w:t xml:space="preserve"> </w:t>
      </w:r>
    </w:p>
    <w:p w14:paraId="46CDC633" w14:textId="56282F54" w:rsidR="003719F9" w:rsidRDefault="005E19B5"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5EAC8573" wp14:editId="3043A9A3">
            <wp:extent cx="5354382" cy="8431619"/>
            <wp:effectExtent l="0" t="0" r="0" b="7620"/>
            <wp:docPr id="1073742031" name="Picture 107374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1.jpg"/>
                    <pic:cNvPicPr/>
                  </pic:nvPicPr>
                  <pic:blipFill rotWithShape="1">
                    <a:blip r:embed="rId47">
                      <a:extLst>
                        <a:ext uri="{28A0092B-C50C-407E-A947-70E740481C1C}">
                          <a14:useLocalDpi xmlns:a14="http://schemas.microsoft.com/office/drawing/2010/main" val="0"/>
                        </a:ext>
                      </a:extLst>
                    </a:blip>
                    <a:srcRect b="8850"/>
                    <a:stretch/>
                  </pic:blipFill>
                  <pic:spPr bwMode="auto">
                    <a:xfrm>
                      <a:off x="0" y="0"/>
                      <a:ext cx="5354955" cy="8432521"/>
                    </a:xfrm>
                    <a:prstGeom prst="rect">
                      <a:avLst/>
                    </a:prstGeom>
                    <a:ln>
                      <a:noFill/>
                    </a:ln>
                    <a:extLst>
                      <a:ext uri="{53640926-AAD7-44D8-BBD7-CCE9431645EC}">
                        <a14:shadowObscured xmlns:a14="http://schemas.microsoft.com/office/drawing/2010/main"/>
                      </a:ext>
                    </a:extLst>
                  </pic:spPr>
                </pic:pic>
              </a:graphicData>
            </a:graphic>
          </wp:inline>
        </w:drawing>
      </w:r>
    </w:p>
    <w:p w14:paraId="09CA1A6E" w14:textId="2DF2EDEC" w:rsidR="005E42E4" w:rsidRDefault="005E42E4" w:rsidP="005E19B5">
      <w:pPr>
        <w:tabs>
          <w:tab w:val="left" w:pos="-3119"/>
        </w:tabs>
        <w:rPr>
          <w:rFonts w:ascii="Times New Roman" w:eastAsia="MS Mincho" w:hAnsi="Times New Roman" w:cs="Times New Roman"/>
        </w:rPr>
      </w:pPr>
    </w:p>
    <w:p w14:paraId="12AF5246" w14:textId="6C11B468" w:rsidR="005E42E4" w:rsidRDefault="005E19B5" w:rsidP="005E19B5">
      <w:pPr>
        <w:tabs>
          <w:tab w:val="left" w:pos="-3119"/>
        </w:tabs>
        <w:rPr>
          <w:rFonts w:ascii="Times New Roman" w:eastAsia="MS Mincho" w:hAnsi="Times New Roman" w:cs="Times New Roman"/>
          <w:noProof/>
          <w:lang w:val="en-US"/>
        </w:rPr>
      </w:pPr>
      <w:r>
        <w:rPr>
          <w:rFonts w:ascii="Times New Roman" w:eastAsia="MS Mincho" w:hAnsi="Times New Roman" w:cs="Times New Roman"/>
          <w:noProof/>
          <w:lang w:val="en-US"/>
        </w:rPr>
        <w:drawing>
          <wp:inline distT="0" distB="0" distL="0" distR="0" wp14:anchorId="7E42F675" wp14:editId="607D23DC">
            <wp:extent cx="5367020" cy="9251315"/>
            <wp:effectExtent l="0" t="0" r="5080" b="6985"/>
            <wp:docPr id="1073742032" name="Picture 107374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2.jpg"/>
                    <pic:cNvPicPr/>
                  </pic:nvPicPr>
                  <pic:blipFill>
                    <a:blip r:embed="rId48">
                      <a:extLst>
                        <a:ext uri="{28A0092B-C50C-407E-A947-70E740481C1C}">
                          <a14:useLocalDpi xmlns:a14="http://schemas.microsoft.com/office/drawing/2010/main" val="0"/>
                        </a:ext>
                      </a:extLst>
                    </a:blip>
                    <a:stretch>
                      <a:fillRect/>
                    </a:stretch>
                  </pic:blipFill>
                  <pic:spPr>
                    <a:xfrm>
                      <a:off x="0" y="0"/>
                      <a:ext cx="5367020" cy="9251315"/>
                    </a:xfrm>
                    <a:prstGeom prst="rect">
                      <a:avLst/>
                    </a:prstGeom>
                  </pic:spPr>
                </pic:pic>
              </a:graphicData>
            </a:graphic>
          </wp:inline>
        </w:drawing>
      </w:r>
    </w:p>
    <w:p w14:paraId="6296AD68" w14:textId="0EC07AE8" w:rsidR="005E42E4" w:rsidRDefault="005E19B5" w:rsidP="005E19B5">
      <w:pPr>
        <w:tabs>
          <w:tab w:val="left" w:pos="-3119"/>
        </w:tabs>
        <w:rPr>
          <w:rFonts w:ascii="Times New Roman" w:eastAsia="MS Mincho" w:hAnsi="Times New Roman" w:cs="Times New Roman"/>
          <w:noProof/>
          <w:lang w:val="en-US"/>
        </w:rPr>
      </w:pPr>
      <w:r>
        <w:rPr>
          <w:rFonts w:ascii="Times New Roman" w:eastAsia="MS Mincho" w:hAnsi="Times New Roman" w:cs="Times New Roman"/>
          <w:noProof/>
          <w:lang w:val="en-US"/>
        </w:rPr>
        <w:drawing>
          <wp:inline distT="0" distB="0" distL="0" distR="0" wp14:anchorId="0937C1F8" wp14:editId="0910FC76">
            <wp:extent cx="6103088" cy="8756065"/>
            <wp:effectExtent l="0" t="0" r="0" b="6985"/>
            <wp:docPr id="1073742033" name="Picture 107374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3.jpg"/>
                    <pic:cNvPicPr/>
                  </pic:nvPicPr>
                  <pic:blipFill rotWithShape="1">
                    <a:blip r:embed="rId49">
                      <a:extLst>
                        <a:ext uri="{28A0092B-C50C-407E-A947-70E740481C1C}">
                          <a14:useLocalDpi xmlns:a14="http://schemas.microsoft.com/office/drawing/2010/main" val="0"/>
                        </a:ext>
                      </a:extLst>
                    </a:blip>
                    <a:srcRect b="12661"/>
                    <a:stretch/>
                  </pic:blipFill>
                  <pic:spPr bwMode="auto">
                    <a:xfrm>
                      <a:off x="0" y="0"/>
                      <a:ext cx="6100224" cy="8751956"/>
                    </a:xfrm>
                    <a:prstGeom prst="rect">
                      <a:avLst/>
                    </a:prstGeom>
                    <a:ln>
                      <a:noFill/>
                    </a:ln>
                    <a:extLst>
                      <a:ext uri="{53640926-AAD7-44D8-BBD7-CCE9431645EC}">
                        <a14:shadowObscured xmlns:a14="http://schemas.microsoft.com/office/drawing/2010/main"/>
                      </a:ext>
                    </a:extLst>
                  </pic:spPr>
                </pic:pic>
              </a:graphicData>
            </a:graphic>
          </wp:inline>
        </w:drawing>
      </w:r>
    </w:p>
    <w:p w14:paraId="519B62C4" w14:textId="77777777" w:rsidR="005E42E4" w:rsidRDefault="005E42E4" w:rsidP="005E19B5">
      <w:pPr>
        <w:tabs>
          <w:tab w:val="left" w:pos="-3119"/>
        </w:tabs>
        <w:rPr>
          <w:rFonts w:ascii="Times New Roman" w:eastAsia="MS Mincho" w:hAnsi="Times New Roman" w:cs="Times New Roman"/>
          <w:noProof/>
          <w:lang w:val="en-US"/>
        </w:rPr>
      </w:pPr>
    </w:p>
    <w:p w14:paraId="5128CED8" w14:textId="70D18532" w:rsidR="005E42E4" w:rsidRDefault="004556EB" w:rsidP="005E19B5">
      <w:pPr>
        <w:tabs>
          <w:tab w:val="left" w:pos="-3119"/>
        </w:tabs>
        <w:rPr>
          <w:rFonts w:ascii="Times New Roman" w:eastAsia="MS Mincho" w:hAnsi="Times New Roman" w:cs="Times New Roman"/>
          <w:noProof/>
          <w:lang w:val="en-US"/>
        </w:rPr>
      </w:pPr>
      <w:r>
        <w:rPr>
          <w:rFonts w:ascii="Times New Roman" w:eastAsia="MS Mincho" w:hAnsi="Times New Roman" w:cs="Times New Roman"/>
          <w:noProof/>
          <w:lang w:val="en-US"/>
        </w:rPr>
        <w:drawing>
          <wp:inline distT="0" distB="0" distL="0" distR="0" wp14:anchorId="30EFB4EB" wp14:editId="37F3B1E7">
            <wp:extent cx="5624623" cy="8846096"/>
            <wp:effectExtent l="0" t="0" r="0" b="0"/>
            <wp:docPr id="1073742034" name="Picture 107374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4.jpg"/>
                    <pic:cNvPicPr/>
                  </pic:nvPicPr>
                  <pic:blipFill rotWithShape="1">
                    <a:blip r:embed="rId50">
                      <a:extLst>
                        <a:ext uri="{28A0092B-C50C-407E-A947-70E740481C1C}">
                          <a14:useLocalDpi xmlns:a14="http://schemas.microsoft.com/office/drawing/2010/main" val="0"/>
                        </a:ext>
                      </a:extLst>
                    </a:blip>
                    <a:srcRect t="4258"/>
                    <a:stretch/>
                  </pic:blipFill>
                  <pic:spPr bwMode="auto">
                    <a:xfrm>
                      <a:off x="0" y="0"/>
                      <a:ext cx="5631815" cy="8857407"/>
                    </a:xfrm>
                    <a:prstGeom prst="rect">
                      <a:avLst/>
                    </a:prstGeom>
                    <a:ln>
                      <a:noFill/>
                    </a:ln>
                    <a:extLst>
                      <a:ext uri="{53640926-AAD7-44D8-BBD7-CCE9431645EC}">
                        <a14:shadowObscured xmlns:a14="http://schemas.microsoft.com/office/drawing/2010/main"/>
                      </a:ext>
                    </a:extLst>
                  </pic:spPr>
                </pic:pic>
              </a:graphicData>
            </a:graphic>
          </wp:inline>
        </w:drawing>
      </w:r>
    </w:p>
    <w:p w14:paraId="259425EA" w14:textId="32AD299A" w:rsidR="005E42E4" w:rsidRDefault="005E42E4" w:rsidP="005E19B5">
      <w:pPr>
        <w:tabs>
          <w:tab w:val="left" w:pos="-3119"/>
        </w:tabs>
        <w:rPr>
          <w:rFonts w:ascii="Times New Roman" w:eastAsia="MS Mincho" w:hAnsi="Times New Roman" w:cs="Times New Roman"/>
          <w:noProof/>
          <w:lang w:val="en-US"/>
        </w:rPr>
      </w:pPr>
    </w:p>
    <w:p w14:paraId="4A4981AA" w14:textId="6D689FE8" w:rsidR="005E42E4" w:rsidRDefault="004556EB" w:rsidP="005E19B5">
      <w:pPr>
        <w:tabs>
          <w:tab w:val="left" w:pos="-3119"/>
        </w:tabs>
        <w:rPr>
          <w:rFonts w:ascii="Times New Roman" w:eastAsia="MS Mincho" w:hAnsi="Times New Roman" w:cs="Times New Roman"/>
          <w:noProof/>
          <w:lang w:val="en-US"/>
        </w:rPr>
      </w:pPr>
      <w:r>
        <w:rPr>
          <w:rFonts w:ascii="Times New Roman" w:eastAsia="MS Mincho" w:hAnsi="Times New Roman" w:cs="Times New Roman"/>
          <w:noProof/>
          <w:lang w:val="en-US"/>
        </w:rPr>
        <w:drawing>
          <wp:inline distT="0" distB="0" distL="0" distR="0" wp14:anchorId="61CB71C1" wp14:editId="2D572521">
            <wp:extent cx="6103088" cy="8593466"/>
            <wp:effectExtent l="0" t="0" r="0" b="0"/>
            <wp:docPr id="1073742035" name="Picture 107374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5.jpg"/>
                    <pic:cNvPicPr/>
                  </pic:nvPicPr>
                  <pic:blipFill rotWithShape="1">
                    <a:blip r:embed="rId51">
                      <a:extLst>
                        <a:ext uri="{28A0092B-C50C-407E-A947-70E740481C1C}">
                          <a14:useLocalDpi xmlns:a14="http://schemas.microsoft.com/office/drawing/2010/main" val="0"/>
                        </a:ext>
                      </a:extLst>
                    </a:blip>
                    <a:srcRect t="4600" b="9080"/>
                    <a:stretch/>
                  </pic:blipFill>
                  <pic:spPr bwMode="auto">
                    <a:xfrm>
                      <a:off x="0" y="0"/>
                      <a:ext cx="6107180" cy="8599228"/>
                    </a:xfrm>
                    <a:prstGeom prst="rect">
                      <a:avLst/>
                    </a:prstGeom>
                    <a:ln>
                      <a:noFill/>
                    </a:ln>
                    <a:extLst>
                      <a:ext uri="{53640926-AAD7-44D8-BBD7-CCE9431645EC}">
                        <a14:shadowObscured xmlns:a14="http://schemas.microsoft.com/office/drawing/2010/main"/>
                      </a:ext>
                    </a:extLst>
                  </pic:spPr>
                </pic:pic>
              </a:graphicData>
            </a:graphic>
          </wp:inline>
        </w:drawing>
      </w:r>
    </w:p>
    <w:p w14:paraId="1609F59D" w14:textId="247EC3FF" w:rsidR="005E42E4" w:rsidRDefault="005E42E4" w:rsidP="005E19B5">
      <w:pPr>
        <w:tabs>
          <w:tab w:val="left" w:pos="-3119"/>
        </w:tabs>
        <w:rPr>
          <w:rFonts w:ascii="Times New Roman" w:eastAsia="MS Mincho" w:hAnsi="Times New Roman" w:cs="Times New Roman"/>
        </w:rPr>
      </w:pPr>
    </w:p>
    <w:p w14:paraId="30C83D79" w14:textId="77777777" w:rsidR="005E42E4" w:rsidRDefault="005E42E4" w:rsidP="005E19B5">
      <w:pPr>
        <w:tabs>
          <w:tab w:val="left" w:pos="-3119"/>
        </w:tabs>
        <w:rPr>
          <w:rFonts w:ascii="Times New Roman" w:eastAsia="MS Mincho" w:hAnsi="Times New Roman" w:cs="Times New Roman"/>
        </w:rPr>
      </w:pPr>
    </w:p>
    <w:p w14:paraId="0CEB148A" w14:textId="1AAB7A6E" w:rsidR="005E42E4"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3F848C74" wp14:editId="511FC6E8">
            <wp:extent cx="6092456" cy="7439938"/>
            <wp:effectExtent l="0" t="0" r="3810" b="8890"/>
            <wp:docPr id="1073742036" name="Picture 107374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6.jpg"/>
                    <pic:cNvPicPr/>
                  </pic:nvPicPr>
                  <pic:blipFill rotWithShape="1">
                    <a:blip r:embed="rId52">
                      <a:extLst>
                        <a:ext uri="{28A0092B-C50C-407E-A947-70E740481C1C}">
                          <a14:useLocalDpi xmlns:a14="http://schemas.microsoft.com/office/drawing/2010/main" val="0"/>
                        </a:ext>
                      </a:extLst>
                    </a:blip>
                    <a:srcRect t="3565" b="22146"/>
                    <a:stretch/>
                  </pic:blipFill>
                  <pic:spPr bwMode="auto">
                    <a:xfrm>
                      <a:off x="0" y="0"/>
                      <a:ext cx="6096119" cy="7444412"/>
                    </a:xfrm>
                    <a:prstGeom prst="rect">
                      <a:avLst/>
                    </a:prstGeom>
                    <a:ln>
                      <a:noFill/>
                    </a:ln>
                    <a:extLst>
                      <a:ext uri="{53640926-AAD7-44D8-BBD7-CCE9431645EC}">
                        <a14:shadowObscured xmlns:a14="http://schemas.microsoft.com/office/drawing/2010/main"/>
                      </a:ext>
                    </a:extLst>
                  </pic:spPr>
                </pic:pic>
              </a:graphicData>
            </a:graphic>
          </wp:inline>
        </w:drawing>
      </w:r>
    </w:p>
    <w:p w14:paraId="317FB3D9" w14:textId="25362DF4" w:rsidR="005E42E4" w:rsidRDefault="005E42E4" w:rsidP="005E19B5">
      <w:pPr>
        <w:tabs>
          <w:tab w:val="left" w:pos="-3119"/>
        </w:tabs>
        <w:rPr>
          <w:rFonts w:ascii="Times New Roman" w:eastAsia="MS Mincho" w:hAnsi="Times New Roman" w:cs="Times New Roman"/>
        </w:rPr>
      </w:pPr>
    </w:p>
    <w:p w14:paraId="0B234AC6" w14:textId="77777777" w:rsidR="005E42E4" w:rsidRDefault="005E42E4" w:rsidP="005E19B5">
      <w:pPr>
        <w:tabs>
          <w:tab w:val="left" w:pos="-3119"/>
        </w:tabs>
        <w:rPr>
          <w:rFonts w:ascii="Times New Roman" w:eastAsia="MS Mincho" w:hAnsi="Times New Roman" w:cs="Times New Roman"/>
        </w:rPr>
      </w:pPr>
    </w:p>
    <w:p w14:paraId="63F85795" w14:textId="77777777" w:rsidR="005E42E4" w:rsidRDefault="005E42E4" w:rsidP="005E19B5">
      <w:pPr>
        <w:tabs>
          <w:tab w:val="left" w:pos="-3119"/>
        </w:tabs>
        <w:rPr>
          <w:rFonts w:ascii="Times New Roman" w:eastAsia="MS Mincho" w:hAnsi="Times New Roman" w:cs="Times New Roman"/>
        </w:rPr>
      </w:pPr>
    </w:p>
    <w:p w14:paraId="4944DE2C" w14:textId="77777777" w:rsidR="005E42E4" w:rsidRDefault="005E42E4" w:rsidP="005E19B5">
      <w:pPr>
        <w:tabs>
          <w:tab w:val="left" w:pos="-3119"/>
        </w:tabs>
        <w:rPr>
          <w:rFonts w:ascii="Times New Roman" w:eastAsia="MS Mincho" w:hAnsi="Times New Roman" w:cs="Times New Roman"/>
        </w:rPr>
      </w:pPr>
    </w:p>
    <w:p w14:paraId="720C1F2A" w14:textId="77777777" w:rsidR="005E42E4" w:rsidRDefault="005E42E4" w:rsidP="005E19B5">
      <w:pPr>
        <w:tabs>
          <w:tab w:val="left" w:pos="-3119"/>
        </w:tabs>
        <w:rPr>
          <w:rFonts w:ascii="Times New Roman" w:eastAsia="MS Mincho" w:hAnsi="Times New Roman" w:cs="Times New Roman"/>
        </w:rPr>
      </w:pPr>
    </w:p>
    <w:p w14:paraId="56147EA6" w14:textId="77777777" w:rsidR="005E42E4" w:rsidRDefault="005E42E4" w:rsidP="005E19B5">
      <w:pPr>
        <w:tabs>
          <w:tab w:val="left" w:pos="-3119"/>
        </w:tabs>
        <w:rPr>
          <w:rFonts w:ascii="Times New Roman" w:eastAsia="MS Mincho" w:hAnsi="Times New Roman" w:cs="Times New Roman"/>
        </w:rPr>
      </w:pPr>
    </w:p>
    <w:p w14:paraId="6B4B91D3" w14:textId="6C404676" w:rsidR="005E42E4"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78DBFEB8" wp14:editId="13546388">
            <wp:extent cx="6113721" cy="8779848"/>
            <wp:effectExtent l="0" t="0" r="1905" b="2540"/>
            <wp:docPr id="1073742037" name="Picture 107374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7.jpg"/>
                    <pic:cNvPicPr/>
                  </pic:nvPicPr>
                  <pic:blipFill rotWithShape="1">
                    <a:blip r:embed="rId53">
                      <a:extLst>
                        <a:ext uri="{28A0092B-C50C-407E-A947-70E740481C1C}">
                          <a14:useLocalDpi xmlns:a14="http://schemas.microsoft.com/office/drawing/2010/main" val="0"/>
                        </a:ext>
                      </a:extLst>
                    </a:blip>
                    <a:srcRect t="4224" b="8199"/>
                    <a:stretch/>
                  </pic:blipFill>
                  <pic:spPr bwMode="auto">
                    <a:xfrm>
                      <a:off x="0" y="0"/>
                      <a:ext cx="6110151" cy="8774721"/>
                    </a:xfrm>
                    <a:prstGeom prst="rect">
                      <a:avLst/>
                    </a:prstGeom>
                    <a:ln>
                      <a:noFill/>
                    </a:ln>
                    <a:extLst>
                      <a:ext uri="{53640926-AAD7-44D8-BBD7-CCE9431645EC}">
                        <a14:shadowObscured xmlns:a14="http://schemas.microsoft.com/office/drawing/2010/main"/>
                      </a:ext>
                    </a:extLst>
                  </pic:spPr>
                </pic:pic>
              </a:graphicData>
            </a:graphic>
          </wp:inline>
        </w:drawing>
      </w:r>
    </w:p>
    <w:p w14:paraId="4D263E98" w14:textId="77777777" w:rsidR="005E42E4" w:rsidRDefault="005E42E4" w:rsidP="005E19B5">
      <w:pPr>
        <w:tabs>
          <w:tab w:val="left" w:pos="-3119"/>
        </w:tabs>
        <w:rPr>
          <w:rFonts w:ascii="Times New Roman" w:eastAsia="MS Mincho" w:hAnsi="Times New Roman" w:cs="Times New Roman"/>
        </w:rPr>
      </w:pPr>
    </w:p>
    <w:p w14:paraId="4F3C191F" w14:textId="0C90C3EA" w:rsidR="005E42E4"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28B8A560" wp14:editId="60BBF7E9">
            <wp:extent cx="6134986" cy="8979491"/>
            <wp:effectExtent l="0" t="0" r="0" b="0"/>
            <wp:docPr id="1073742038" name="Picture 107374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8.jpg"/>
                    <pic:cNvPicPr/>
                  </pic:nvPicPr>
                  <pic:blipFill rotWithShape="1">
                    <a:blip r:embed="rId54">
                      <a:extLst>
                        <a:ext uri="{28A0092B-C50C-407E-A947-70E740481C1C}">
                          <a14:useLocalDpi xmlns:a14="http://schemas.microsoft.com/office/drawing/2010/main" val="0"/>
                        </a:ext>
                      </a:extLst>
                    </a:blip>
                    <a:srcRect t="4779" b="5777"/>
                    <a:stretch/>
                  </pic:blipFill>
                  <pic:spPr bwMode="auto">
                    <a:xfrm>
                      <a:off x="0" y="0"/>
                      <a:ext cx="6148652" cy="8999493"/>
                    </a:xfrm>
                    <a:prstGeom prst="rect">
                      <a:avLst/>
                    </a:prstGeom>
                    <a:ln>
                      <a:noFill/>
                    </a:ln>
                    <a:extLst>
                      <a:ext uri="{53640926-AAD7-44D8-BBD7-CCE9431645EC}">
                        <a14:shadowObscured xmlns:a14="http://schemas.microsoft.com/office/drawing/2010/main"/>
                      </a:ext>
                    </a:extLst>
                  </pic:spPr>
                </pic:pic>
              </a:graphicData>
            </a:graphic>
          </wp:inline>
        </w:drawing>
      </w:r>
    </w:p>
    <w:p w14:paraId="277B23F0" w14:textId="1927942E"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1E6C6FF8" wp14:editId="165FDBD0">
            <wp:extent cx="6113035" cy="8250865"/>
            <wp:effectExtent l="0" t="0" r="2540" b="0"/>
            <wp:docPr id="1073742039" name="Picture 107374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09.jpg"/>
                    <pic:cNvPicPr/>
                  </pic:nvPicPr>
                  <pic:blipFill rotWithShape="1">
                    <a:blip r:embed="rId55">
                      <a:extLst>
                        <a:ext uri="{28A0092B-C50C-407E-A947-70E740481C1C}">
                          <a14:useLocalDpi xmlns:a14="http://schemas.microsoft.com/office/drawing/2010/main" val="0"/>
                        </a:ext>
                      </a:extLst>
                    </a:blip>
                    <a:srcRect t="4027" b="13808"/>
                    <a:stretch/>
                  </pic:blipFill>
                  <pic:spPr bwMode="auto">
                    <a:xfrm>
                      <a:off x="0" y="0"/>
                      <a:ext cx="6120852" cy="8261415"/>
                    </a:xfrm>
                    <a:prstGeom prst="rect">
                      <a:avLst/>
                    </a:prstGeom>
                    <a:ln>
                      <a:noFill/>
                    </a:ln>
                    <a:extLst>
                      <a:ext uri="{53640926-AAD7-44D8-BBD7-CCE9431645EC}">
                        <a14:shadowObscured xmlns:a14="http://schemas.microsoft.com/office/drawing/2010/main"/>
                      </a:ext>
                    </a:extLst>
                  </pic:spPr>
                </pic:pic>
              </a:graphicData>
            </a:graphic>
          </wp:inline>
        </w:drawing>
      </w:r>
    </w:p>
    <w:p w14:paraId="3A1E7C43" w14:textId="77777777" w:rsidR="004556EB" w:rsidRDefault="004556EB" w:rsidP="005E19B5">
      <w:pPr>
        <w:tabs>
          <w:tab w:val="left" w:pos="-3119"/>
        </w:tabs>
        <w:rPr>
          <w:rFonts w:ascii="Times New Roman" w:eastAsia="MS Mincho" w:hAnsi="Times New Roman" w:cs="Times New Roman"/>
        </w:rPr>
      </w:pPr>
    </w:p>
    <w:p w14:paraId="3E91FA85" w14:textId="77777777" w:rsidR="004556EB" w:rsidRDefault="004556EB" w:rsidP="005E19B5">
      <w:pPr>
        <w:tabs>
          <w:tab w:val="left" w:pos="-3119"/>
        </w:tabs>
        <w:rPr>
          <w:rFonts w:ascii="Times New Roman" w:eastAsia="MS Mincho" w:hAnsi="Times New Roman" w:cs="Times New Roman"/>
        </w:rPr>
      </w:pPr>
    </w:p>
    <w:p w14:paraId="0144948A" w14:textId="77777777" w:rsidR="004556EB" w:rsidRDefault="004556EB" w:rsidP="005E19B5">
      <w:pPr>
        <w:tabs>
          <w:tab w:val="left" w:pos="-3119"/>
        </w:tabs>
        <w:rPr>
          <w:rFonts w:ascii="Times New Roman" w:eastAsia="MS Mincho" w:hAnsi="Times New Roman" w:cs="Times New Roman"/>
        </w:rPr>
      </w:pPr>
    </w:p>
    <w:p w14:paraId="3F032BE7" w14:textId="37B40B2F"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111DEC02" wp14:editId="63D67079">
            <wp:extent cx="6103088" cy="8506959"/>
            <wp:effectExtent l="0" t="0" r="0" b="8890"/>
            <wp:docPr id="1073742040" name="Picture 107374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0.jpg"/>
                    <pic:cNvPicPr/>
                  </pic:nvPicPr>
                  <pic:blipFill rotWithShape="1">
                    <a:blip r:embed="rId56">
                      <a:extLst>
                        <a:ext uri="{28A0092B-C50C-407E-A947-70E740481C1C}">
                          <a14:useLocalDpi xmlns:a14="http://schemas.microsoft.com/office/drawing/2010/main" val="0"/>
                        </a:ext>
                      </a:extLst>
                    </a:blip>
                    <a:srcRect t="5218" b="9928"/>
                    <a:stretch/>
                  </pic:blipFill>
                  <pic:spPr bwMode="auto">
                    <a:xfrm>
                      <a:off x="0" y="0"/>
                      <a:ext cx="6100224" cy="8502967"/>
                    </a:xfrm>
                    <a:prstGeom prst="rect">
                      <a:avLst/>
                    </a:prstGeom>
                    <a:ln>
                      <a:noFill/>
                    </a:ln>
                    <a:extLst>
                      <a:ext uri="{53640926-AAD7-44D8-BBD7-CCE9431645EC}">
                        <a14:shadowObscured xmlns:a14="http://schemas.microsoft.com/office/drawing/2010/main"/>
                      </a:ext>
                    </a:extLst>
                  </pic:spPr>
                </pic:pic>
              </a:graphicData>
            </a:graphic>
          </wp:inline>
        </w:drawing>
      </w:r>
    </w:p>
    <w:p w14:paraId="77B8187A" w14:textId="77777777" w:rsidR="004556EB" w:rsidRDefault="004556EB" w:rsidP="005E19B5">
      <w:pPr>
        <w:tabs>
          <w:tab w:val="left" w:pos="-3119"/>
        </w:tabs>
        <w:rPr>
          <w:rFonts w:ascii="Times New Roman" w:eastAsia="MS Mincho" w:hAnsi="Times New Roman" w:cs="Times New Roman"/>
        </w:rPr>
      </w:pPr>
    </w:p>
    <w:p w14:paraId="6C900AA3" w14:textId="77777777" w:rsidR="004556EB" w:rsidRDefault="004556EB" w:rsidP="005E19B5">
      <w:pPr>
        <w:tabs>
          <w:tab w:val="left" w:pos="-3119"/>
        </w:tabs>
        <w:rPr>
          <w:rFonts w:ascii="Times New Roman" w:eastAsia="MS Mincho" w:hAnsi="Times New Roman" w:cs="Times New Roman"/>
        </w:rPr>
      </w:pPr>
    </w:p>
    <w:p w14:paraId="6CF4F4E4" w14:textId="583A238A"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49725094" wp14:editId="7D50EAE4">
            <wp:extent cx="6103088" cy="8823999"/>
            <wp:effectExtent l="0" t="0" r="0" b="0"/>
            <wp:docPr id="1073742041" name="Picture 107374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1.jpg"/>
                    <pic:cNvPicPr/>
                  </pic:nvPicPr>
                  <pic:blipFill rotWithShape="1">
                    <a:blip r:embed="rId57">
                      <a:extLst>
                        <a:ext uri="{28A0092B-C50C-407E-A947-70E740481C1C}">
                          <a14:useLocalDpi xmlns:a14="http://schemas.microsoft.com/office/drawing/2010/main" val="0"/>
                        </a:ext>
                      </a:extLst>
                    </a:blip>
                    <a:srcRect t="5303" b="6629"/>
                    <a:stretch/>
                  </pic:blipFill>
                  <pic:spPr bwMode="auto">
                    <a:xfrm>
                      <a:off x="0" y="0"/>
                      <a:ext cx="6103550" cy="8824666"/>
                    </a:xfrm>
                    <a:prstGeom prst="rect">
                      <a:avLst/>
                    </a:prstGeom>
                    <a:ln>
                      <a:noFill/>
                    </a:ln>
                    <a:extLst>
                      <a:ext uri="{53640926-AAD7-44D8-BBD7-CCE9431645EC}">
                        <a14:shadowObscured xmlns:a14="http://schemas.microsoft.com/office/drawing/2010/main"/>
                      </a:ext>
                    </a:extLst>
                  </pic:spPr>
                </pic:pic>
              </a:graphicData>
            </a:graphic>
          </wp:inline>
        </w:drawing>
      </w:r>
    </w:p>
    <w:p w14:paraId="0C63BB67" w14:textId="77777777" w:rsidR="004556EB" w:rsidRDefault="004556EB" w:rsidP="005E19B5">
      <w:pPr>
        <w:tabs>
          <w:tab w:val="left" w:pos="-3119"/>
        </w:tabs>
        <w:rPr>
          <w:rFonts w:ascii="Times New Roman" w:eastAsia="MS Mincho" w:hAnsi="Times New Roman" w:cs="Times New Roman"/>
        </w:rPr>
      </w:pPr>
    </w:p>
    <w:p w14:paraId="69191989" w14:textId="33A2B4A8"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03F95A9D" wp14:editId="7005B4BB">
            <wp:extent cx="6102423" cy="7740503"/>
            <wp:effectExtent l="0" t="0" r="0" b="0"/>
            <wp:docPr id="1073742042" name="Picture 107374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2.jpg"/>
                    <pic:cNvPicPr/>
                  </pic:nvPicPr>
                  <pic:blipFill rotWithShape="1">
                    <a:blip r:embed="rId58">
                      <a:extLst>
                        <a:ext uri="{28A0092B-C50C-407E-A947-70E740481C1C}">
                          <a14:useLocalDpi xmlns:a14="http://schemas.microsoft.com/office/drawing/2010/main" val="0"/>
                        </a:ext>
                      </a:extLst>
                    </a:blip>
                    <a:srcRect t="4833" b="17950"/>
                    <a:stretch/>
                  </pic:blipFill>
                  <pic:spPr bwMode="auto">
                    <a:xfrm>
                      <a:off x="0" y="0"/>
                      <a:ext cx="6110226" cy="7750401"/>
                    </a:xfrm>
                    <a:prstGeom prst="rect">
                      <a:avLst/>
                    </a:prstGeom>
                    <a:ln>
                      <a:noFill/>
                    </a:ln>
                    <a:extLst>
                      <a:ext uri="{53640926-AAD7-44D8-BBD7-CCE9431645EC}">
                        <a14:shadowObscured xmlns:a14="http://schemas.microsoft.com/office/drawing/2010/main"/>
                      </a:ext>
                    </a:extLst>
                  </pic:spPr>
                </pic:pic>
              </a:graphicData>
            </a:graphic>
          </wp:inline>
        </w:drawing>
      </w:r>
    </w:p>
    <w:p w14:paraId="02F582AD" w14:textId="77777777" w:rsidR="004556EB" w:rsidRDefault="004556EB" w:rsidP="005E19B5">
      <w:pPr>
        <w:tabs>
          <w:tab w:val="left" w:pos="-3119"/>
        </w:tabs>
        <w:rPr>
          <w:rFonts w:ascii="Times New Roman" w:eastAsia="MS Mincho" w:hAnsi="Times New Roman" w:cs="Times New Roman"/>
        </w:rPr>
      </w:pPr>
    </w:p>
    <w:p w14:paraId="1FA2DB86" w14:textId="77777777" w:rsidR="004556EB" w:rsidRDefault="004556EB" w:rsidP="005E19B5">
      <w:pPr>
        <w:tabs>
          <w:tab w:val="left" w:pos="-3119"/>
        </w:tabs>
        <w:rPr>
          <w:rFonts w:ascii="Times New Roman" w:eastAsia="MS Mincho" w:hAnsi="Times New Roman" w:cs="Times New Roman"/>
        </w:rPr>
      </w:pPr>
    </w:p>
    <w:p w14:paraId="45CC71C2" w14:textId="77777777" w:rsidR="004556EB" w:rsidRDefault="004556EB" w:rsidP="005E19B5">
      <w:pPr>
        <w:tabs>
          <w:tab w:val="left" w:pos="-3119"/>
        </w:tabs>
        <w:rPr>
          <w:rFonts w:ascii="Times New Roman" w:eastAsia="MS Mincho" w:hAnsi="Times New Roman" w:cs="Times New Roman"/>
        </w:rPr>
      </w:pPr>
    </w:p>
    <w:p w14:paraId="4F34F44B" w14:textId="77777777" w:rsidR="004556EB" w:rsidRDefault="004556EB" w:rsidP="005E19B5">
      <w:pPr>
        <w:tabs>
          <w:tab w:val="left" w:pos="-3119"/>
        </w:tabs>
        <w:rPr>
          <w:rFonts w:ascii="Times New Roman" w:eastAsia="MS Mincho" w:hAnsi="Times New Roman" w:cs="Times New Roman"/>
        </w:rPr>
      </w:pPr>
    </w:p>
    <w:p w14:paraId="3D8CD2C3" w14:textId="77777777" w:rsidR="004556EB" w:rsidRDefault="004556EB" w:rsidP="005E19B5">
      <w:pPr>
        <w:tabs>
          <w:tab w:val="left" w:pos="-3119"/>
        </w:tabs>
        <w:rPr>
          <w:rFonts w:ascii="Times New Roman" w:eastAsia="MS Mincho" w:hAnsi="Times New Roman" w:cs="Times New Roman"/>
        </w:rPr>
      </w:pPr>
    </w:p>
    <w:p w14:paraId="5E7E63CC" w14:textId="741CA222"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0984D87C" wp14:editId="33669C30">
            <wp:extent cx="6092456" cy="8613513"/>
            <wp:effectExtent l="0" t="0" r="3810" b="0"/>
            <wp:docPr id="1073742044" name="Picture 107374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3.jpg"/>
                    <pic:cNvPicPr/>
                  </pic:nvPicPr>
                  <pic:blipFill rotWithShape="1">
                    <a:blip r:embed="rId59">
                      <a:extLst>
                        <a:ext uri="{28A0092B-C50C-407E-A947-70E740481C1C}">
                          <a14:useLocalDpi xmlns:a14="http://schemas.microsoft.com/office/drawing/2010/main" val="0"/>
                        </a:ext>
                      </a:extLst>
                    </a:blip>
                    <a:srcRect t="4138" b="12989"/>
                    <a:stretch/>
                  </pic:blipFill>
                  <pic:spPr bwMode="auto">
                    <a:xfrm>
                      <a:off x="0" y="0"/>
                      <a:ext cx="6093108" cy="8614434"/>
                    </a:xfrm>
                    <a:prstGeom prst="rect">
                      <a:avLst/>
                    </a:prstGeom>
                    <a:ln>
                      <a:noFill/>
                    </a:ln>
                    <a:extLst>
                      <a:ext uri="{53640926-AAD7-44D8-BBD7-CCE9431645EC}">
                        <a14:shadowObscured xmlns:a14="http://schemas.microsoft.com/office/drawing/2010/main"/>
                      </a:ext>
                    </a:extLst>
                  </pic:spPr>
                </pic:pic>
              </a:graphicData>
            </a:graphic>
          </wp:inline>
        </w:drawing>
      </w:r>
    </w:p>
    <w:p w14:paraId="3E81A00E" w14:textId="77777777" w:rsidR="004556EB" w:rsidRDefault="004556EB" w:rsidP="005E19B5">
      <w:pPr>
        <w:tabs>
          <w:tab w:val="left" w:pos="-3119"/>
        </w:tabs>
        <w:rPr>
          <w:rFonts w:ascii="Times New Roman" w:eastAsia="MS Mincho" w:hAnsi="Times New Roman" w:cs="Times New Roman"/>
        </w:rPr>
      </w:pPr>
    </w:p>
    <w:p w14:paraId="0DE60B83" w14:textId="77777777" w:rsidR="004556EB" w:rsidRDefault="004556EB" w:rsidP="005E19B5">
      <w:pPr>
        <w:tabs>
          <w:tab w:val="left" w:pos="-3119"/>
        </w:tabs>
        <w:rPr>
          <w:rFonts w:ascii="Times New Roman" w:eastAsia="MS Mincho" w:hAnsi="Times New Roman" w:cs="Times New Roman"/>
        </w:rPr>
      </w:pPr>
    </w:p>
    <w:p w14:paraId="4D544C93" w14:textId="6C5369BD"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570C60F0" wp14:editId="324C3E0C">
            <wp:extent cx="6099754" cy="7187610"/>
            <wp:effectExtent l="0" t="0" r="0" b="0"/>
            <wp:docPr id="1073742045" name="Picture 107374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4.jpg"/>
                    <pic:cNvPicPr/>
                  </pic:nvPicPr>
                  <pic:blipFill rotWithShape="1">
                    <a:blip r:embed="rId60">
                      <a:extLst>
                        <a:ext uri="{28A0092B-C50C-407E-A947-70E740481C1C}">
                          <a14:useLocalDpi xmlns:a14="http://schemas.microsoft.com/office/drawing/2010/main" val="0"/>
                        </a:ext>
                      </a:extLst>
                    </a:blip>
                    <a:srcRect t="8966" b="17311"/>
                    <a:stretch/>
                  </pic:blipFill>
                  <pic:spPr bwMode="auto">
                    <a:xfrm>
                      <a:off x="0" y="0"/>
                      <a:ext cx="6114518" cy="7205007"/>
                    </a:xfrm>
                    <a:prstGeom prst="rect">
                      <a:avLst/>
                    </a:prstGeom>
                    <a:ln>
                      <a:noFill/>
                    </a:ln>
                    <a:extLst>
                      <a:ext uri="{53640926-AAD7-44D8-BBD7-CCE9431645EC}">
                        <a14:shadowObscured xmlns:a14="http://schemas.microsoft.com/office/drawing/2010/main"/>
                      </a:ext>
                    </a:extLst>
                  </pic:spPr>
                </pic:pic>
              </a:graphicData>
            </a:graphic>
          </wp:inline>
        </w:drawing>
      </w:r>
    </w:p>
    <w:p w14:paraId="360A6EC8" w14:textId="77777777" w:rsidR="004556EB" w:rsidRDefault="004556EB" w:rsidP="005E19B5">
      <w:pPr>
        <w:tabs>
          <w:tab w:val="left" w:pos="-3119"/>
        </w:tabs>
        <w:rPr>
          <w:rFonts w:ascii="Times New Roman" w:eastAsia="MS Mincho" w:hAnsi="Times New Roman" w:cs="Times New Roman"/>
        </w:rPr>
      </w:pPr>
    </w:p>
    <w:p w14:paraId="4948BE28" w14:textId="77777777" w:rsidR="004556EB" w:rsidRDefault="004556EB" w:rsidP="005E19B5">
      <w:pPr>
        <w:tabs>
          <w:tab w:val="left" w:pos="-3119"/>
        </w:tabs>
        <w:rPr>
          <w:rFonts w:ascii="Times New Roman" w:eastAsia="MS Mincho" w:hAnsi="Times New Roman" w:cs="Times New Roman"/>
        </w:rPr>
      </w:pPr>
    </w:p>
    <w:p w14:paraId="06B3D3A9" w14:textId="77777777" w:rsidR="004556EB" w:rsidRDefault="004556EB" w:rsidP="005E19B5">
      <w:pPr>
        <w:tabs>
          <w:tab w:val="left" w:pos="-3119"/>
        </w:tabs>
        <w:rPr>
          <w:rFonts w:ascii="Times New Roman" w:eastAsia="MS Mincho" w:hAnsi="Times New Roman" w:cs="Times New Roman"/>
        </w:rPr>
      </w:pPr>
    </w:p>
    <w:p w14:paraId="3BCBA6AE" w14:textId="77777777" w:rsidR="004556EB" w:rsidRDefault="004556EB" w:rsidP="005E19B5">
      <w:pPr>
        <w:tabs>
          <w:tab w:val="left" w:pos="-3119"/>
        </w:tabs>
        <w:rPr>
          <w:rFonts w:ascii="Times New Roman" w:eastAsia="MS Mincho" w:hAnsi="Times New Roman" w:cs="Times New Roman"/>
        </w:rPr>
      </w:pPr>
    </w:p>
    <w:p w14:paraId="0EC6221A" w14:textId="77777777" w:rsidR="004556EB" w:rsidRDefault="004556EB" w:rsidP="005E19B5">
      <w:pPr>
        <w:tabs>
          <w:tab w:val="left" w:pos="-3119"/>
        </w:tabs>
        <w:rPr>
          <w:rFonts w:ascii="Times New Roman" w:eastAsia="MS Mincho" w:hAnsi="Times New Roman" w:cs="Times New Roman"/>
        </w:rPr>
      </w:pPr>
    </w:p>
    <w:p w14:paraId="6216FE75" w14:textId="77777777" w:rsidR="004556EB" w:rsidRDefault="004556EB" w:rsidP="005E19B5">
      <w:pPr>
        <w:tabs>
          <w:tab w:val="left" w:pos="-3119"/>
        </w:tabs>
        <w:rPr>
          <w:rFonts w:ascii="Times New Roman" w:eastAsia="MS Mincho" w:hAnsi="Times New Roman" w:cs="Times New Roman"/>
        </w:rPr>
      </w:pPr>
    </w:p>
    <w:p w14:paraId="272CC57E" w14:textId="77777777" w:rsidR="004556EB" w:rsidRDefault="004556EB" w:rsidP="005E19B5">
      <w:pPr>
        <w:tabs>
          <w:tab w:val="left" w:pos="-3119"/>
        </w:tabs>
        <w:rPr>
          <w:rFonts w:ascii="Times New Roman" w:eastAsia="MS Mincho" w:hAnsi="Times New Roman" w:cs="Times New Roman"/>
        </w:rPr>
      </w:pPr>
    </w:p>
    <w:p w14:paraId="7BA13754" w14:textId="2115C718"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5B83BAA2" wp14:editId="666AC2A5">
            <wp:extent cx="6092456" cy="8984512"/>
            <wp:effectExtent l="0" t="0" r="3810" b="7620"/>
            <wp:docPr id="1073742046" name="Picture 107374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5.jpg"/>
                    <pic:cNvPicPr/>
                  </pic:nvPicPr>
                  <pic:blipFill rotWithShape="1">
                    <a:blip r:embed="rId61">
                      <a:extLst>
                        <a:ext uri="{28A0092B-C50C-407E-A947-70E740481C1C}">
                          <a14:useLocalDpi xmlns:a14="http://schemas.microsoft.com/office/drawing/2010/main" val="0"/>
                        </a:ext>
                      </a:extLst>
                    </a:blip>
                    <a:srcRect t="4374" b="4498"/>
                    <a:stretch/>
                  </pic:blipFill>
                  <pic:spPr bwMode="auto">
                    <a:xfrm>
                      <a:off x="0" y="0"/>
                      <a:ext cx="6093666" cy="8986296"/>
                    </a:xfrm>
                    <a:prstGeom prst="rect">
                      <a:avLst/>
                    </a:prstGeom>
                    <a:ln>
                      <a:noFill/>
                    </a:ln>
                    <a:extLst>
                      <a:ext uri="{53640926-AAD7-44D8-BBD7-CCE9431645EC}">
                        <a14:shadowObscured xmlns:a14="http://schemas.microsoft.com/office/drawing/2010/main"/>
                      </a:ext>
                    </a:extLst>
                  </pic:spPr>
                </pic:pic>
              </a:graphicData>
            </a:graphic>
          </wp:inline>
        </w:drawing>
      </w:r>
    </w:p>
    <w:p w14:paraId="72D4996F" w14:textId="05A3D857"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79AF2F9C" wp14:editId="0A5FD401">
            <wp:extent cx="6103088" cy="8155779"/>
            <wp:effectExtent l="0" t="0" r="0" b="0"/>
            <wp:docPr id="1073742047" name="Picture 107374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6.jpg"/>
                    <pic:cNvPicPr/>
                  </pic:nvPicPr>
                  <pic:blipFill rotWithShape="1">
                    <a:blip r:embed="rId62">
                      <a:extLst>
                        <a:ext uri="{28A0092B-C50C-407E-A947-70E740481C1C}">
                          <a14:useLocalDpi xmlns:a14="http://schemas.microsoft.com/office/drawing/2010/main" val="0"/>
                        </a:ext>
                      </a:extLst>
                    </a:blip>
                    <a:srcRect t="4774" b="6707"/>
                    <a:stretch/>
                  </pic:blipFill>
                  <pic:spPr bwMode="auto">
                    <a:xfrm>
                      <a:off x="0" y="0"/>
                      <a:ext cx="6107670" cy="8161902"/>
                    </a:xfrm>
                    <a:prstGeom prst="rect">
                      <a:avLst/>
                    </a:prstGeom>
                    <a:ln>
                      <a:noFill/>
                    </a:ln>
                    <a:extLst>
                      <a:ext uri="{53640926-AAD7-44D8-BBD7-CCE9431645EC}">
                        <a14:shadowObscured xmlns:a14="http://schemas.microsoft.com/office/drawing/2010/main"/>
                      </a:ext>
                    </a:extLst>
                  </pic:spPr>
                </pic:pic>
              </a:graphicData>
            </a:graphic>
          </wp:inline>
        </w:drawing>
      </w:r>
    </w:p>
    <w:p w14:paraId="610F2431" w14:textId="77777777" w:rsidR="004556EB" w:rsidRDefault="004556EB" w:rsidP="005E19B5">
      <w:pPr>
        <w:tabs>
          <w:tab w:val="left" w:pos="-3119"/>
        </w:tabs>
        <w:rPr>
          <w:rFonts w:ascii="Times New Roman" w:eastAsia="MS Mincho" w:hAnsi="Times New Roman" w:cs="Times New Roman"/>
        </w:rPr>
      </w:pPr>
    </w:p>
    <w:p w14:paraId="1CEC6929" w14:textId="77777777" w:rsidR="004556EB" w:rsidRDefault="004556EB" w:rsidP="005E19B5">
      <w:pPr>
        <w:tabs>
          <w:tab w:val="left" w:pos="-3119"/>
        </w:tabs>
        <w:rPr>
          <w:rFonts w:ascii="Times New Roman" w:eastAsia="MS Mincho" w:hAnsi="Times New Roman" w:cs="Times New Roman"/>
        </w:rPr>
      </w:pPr>
    </w:p>
    <w:p w14:paraId="348AF8F3" w14:textId="77777777" w:rsidR="004556EB" w:rsidRDefault="004556EB" w:rsidP="005E19B5">
      <w:pPr>
        <w:tabs>
          <w:tab w:val="left" w:pos="-3119"/>
        </w:tabs>
        <w:rPr>
          <w:rFonts w:ascii="Times New Roman" w:eastAsia="MS Mincho" w:hAnsi="Times New Roman" w:cs="Times New Roman"/>
        </w:rPr>
      </w:pPr>
    </w:p>
    <w:p w14:paraId="527D5ED0" w14:textId="6AD76FDB"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65EB2429" wp14:editId="7734CE13">
            <wp:extent cx="6103088" cy="8643641"/>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7.jpg"/>
                    <pic:cNvPicPr/>
                  </pic:nvPicPr>
                  <pic:blipFill rotWithShape="1">
                    <a:blip r:embed="rId63">
                      <a:extLst>
                        <a:ext uri="{28A0092B-C50C-407E-A947-70E740481C1C}">
                          <a14:useLocalDpi xmlns:a14="http://schemas.microsoft.com/office/drawing/2010/main" val="0"/>
                        </a:ext>
                      </a:extLst>
                    </a:blip>
                    <a:srcRect t="4970" b="7754"/>
                    <a:stretch/>
                  </pic:blipFill>
                  <pic:spPr bwMode="auto">
                    <a:xfrm>
                      <a:off x="0" y="0"/>
                      <a:ext cx="6104301" cy="8645359"/>
                    </a:xfrm>
                    <a:prstGeom prst="rect">
                      <a:avLst/>
                    </a:prstGeom>
                    <a:ln>
                      <a:noFill/>
                    </a:ln>
                    <a:extLst>
                      <a:ext uri="{53640926-AAD7-44D8-BBD7-CCE9431645EC}">
                        <a14:shadowObscured xmlns:a14="http://schemas.microsoft.com/office/drawing/2010/main"/>
                      </a:ext>
                    </a:extLst>
                  </pic:spPr>
                </pic:pic>
              </a:graphicData>
            </a:graphic>
          </wp:inline>
        </w:drawing>
      </w:r>
    </w:p>
    <w:p w14:paraId="2EAB37EA" w14:textId="77777777" w:rsidR="004556EB" w:rsidRDefault="004556EB" w:rsidP="005E19B5">
      <w:pPr>
        <w:tabs>
          <w:tab w:val="left" w:pos="-3119"/>
        </w:tabs>
        <w:rPr>
          <w:rFonts w:ascii="Times New Roman" w:eastAsia="MS Mincho" w:hAnsi="Times New Roman" w:cs="Times New Roman"/>
        </w:rPr>
      </w:pPr>
    </w:p>
    <w:p w14:paraId="798CEA7D" w14:textId="110A4B2E" w:rsidR="004556EB" w:rsidRDefault="004556EB"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52F2ED97" wp14:editId="76C87D5D">
            <wp:extent cx="6103088" cy="869827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8.jpg"/>
                    <pic:cNvPicPr/>
                  </pic:nvPicPr>
                  <pic:blipFill rotWithShape="1">
                    <a:blip r:embed="rId64">
                      <a:extLst>
                        <a:ext uri="{28A0092B-C50C-407E-A947-70E740481C1C}">
                          <a14:useLocalDpi xmlns:a14="http://schemas.microsoft.com/office/drawing/2010/main" val="0"/>
                        </a:ext>
                      </a:extLst>
                    </a:blip>
                    <a:srcRect t="4771" b="7158"/>
                    <a:stretch/>
                  </pic:blipFill>
                  <pic:spPr bwMode="auto">
                    <a:xfrm>
                      <a:off x="0" y="0"/>
                      <a:ext cx="6104299" cy="8699997"/>
                    </a:xfrm>
                    <a:prstGeom prst="rect">
                      <a:avLst/>
                    </a:prstGeom>
                    <a:ln>
                      <a:noFill/>
                    </a:ln>
                    <a:extLst>
                      <a:ext uri="{53640926-AAD7-44D8-BBD7-CCE9431645EC}">
                        <a14:shadowObscured xmlns:a14="http://schemas.microsoft.com/office/drawing/2010/main"/>
                      </a:ext>
                    </a:extLst>
                  </pic:spPr>
                </pic:pic>
              </a:graphicData>
            </a:graphic>
          </wp:inline>
        </w:drawing>
      </w:r>
    </w:p>
    <w:p w14:paraId="2E0CBF7D" w14:textId="77777777" w:rsidR="004556EB" w:rsidRDefault="004556EB" w:rsidP="005E19B5">
      <w:pPr>
        <w:tabs>
          <w:tab w:val="left" w:pos="-3119"/>
        </w:tabs>
        <w:rPr>
          <w:rFonts w:ascii="Times New Roman" w:eastAsia="MS Mincho" w:hAnsi="Times New Roman" w:cs="Times New Roman"/>
        </w:rPr>
      </w:pPr>
    </w:p>
    <w:p w14:paraId="3A1ADE79" w14:textId="4A0FDE23" w:rsidR="004556EB" w:rsidRDefault="00BD27DC"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5DC9C91E" wp14:editId="6C0A5483">
            <wp:extent cx="6113721" cy="8158119"/>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19.jpg"/>
                    <pic:cNvPicPr/>
                  </pic:nvPicPr>
                  <pic:blipFill rotWithShape="1">
                    <a:blip r:embed="rId65">
                      <a:extLst>
                        <a:ext uri="{28A0092B-C50C-407E-A947-70E740481C1C}">
                          <a14:useLocalDpi xmlns:a14="http://schemas.microsoft.com/office/drawing/2010/main" val="0"/>
                        </a:ext>
                      </a:extLst>
                    </a:blip>
                    <a:srcRect t="5174" b="11455"/>
                    <a:stretch/>
                  </pic:blipFill>
                  <pic:spPr bwMode="auto">
                    <a:xfrm>
                      <a:off x="0" y="0"/>
                      <a:ext cx="6120147" cy="8166693"/>
                    </a:xfrm>
                    <a:prstGeom prst="rect">
                      <a:avLst/>
                    </a:prstGeom>
                    <a:ln>
                      <a:noFill/>
                    </a:ln>
                    <a:extLst>
                      <a:ext uri="{53640926-AAD7-44D8-BBD7-CCE9431645EC}">
                        <a14:shadowObscured xmlns:a14="http://schemas.microsoft.com/office/drawing/2010/main"/>
                      </a:ext>
                    </a:extLst>
                  </pic:spPr>
                </pic:pic>
              </a:graphicData>
            </a:graphic>
          </wp:inline>
        </w:drawing>
      </w:r>
    </w:p>
    <w:p w14:paraId="33D5AD69" w14:textId="77777777" w:rsidR="004556EB" w:rsidRDefault="004556EB" w:rsidP="005E19B5">
      <w:pPr>
        <w:tabs>
          <w:tab w:val="left" w:pos="-3119"/>
        </w:tabs>
        <w:rPr>
          <w:rFonts w:ascii="Times New Roman" w:eastAsia="MS Mincho" w:hAnsi="Times New Roman" w:cs="Times New Roman"/>
        </w:rPr>
      </w:pPr>
    </w:p>
    <w:p w14:paraId="276A6CBD" w14:textId="77777777" w:rsidR="004556EB" w:rsidRDefault="004556EB" w:rsidP="005E19B5">
      <w:pPr>
        <w:tabs>
          <w:tab w:val="left" w:pos="-3119"/>
        </w:tabs>
        <w:rPr>
          <w:rFonts w:ascii="Times New Roman" w:eastAsia="MS Mincho" w:hAnsi="Times New Roman" w:cs="Times New Roman"/>
        </w:rPr>
      </w:pPr>
    </w:p>
    <w:p w14:paraId="38DA4F19" w14:textId="77777777" w:rsidR="004556EB" w:rsidRDefault="004556EB" w:rsidP="005E19B5">
      <w:pPr>
        <w:tabs>
          <w:tab w:val="left" w:pos="-3119"/>
        </w:tabs>
        <w:rPr>
          <w:rFonts w:ascii="Times New Roman" w:eastAsia="MS Mincho" w:hAnsi="Times New Roman" w:cs="Times New Roman"/>
        </w:rPr>
      </w:pPr>
    </w:p>
    <w:p w14:paraId="2A195404" w14:textId="6DB5725F" w:rsidR="004556EB" w:rsidRDefault="00BD27DC"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64F18F69" wp14:editId="4E5C0024">
            <wp:extent cx="6092456" cy="8420785"/>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20.jpg"/>
                    <pic:cNvPicPr/>
                  </pic:nvPicPr>
                  <pic:blipFill rotWithShape="1">
                    <a:blip r:embed="rId66">
                      <a:extLst>
                        <a:ext uri="{28A0092B-C50C-407E-A947-70E740481C1C}">
                          <a14:useLocalDpi xmlns:a14="http://schemas.microsoft.com/office/drawing/2010/main" val="0"/>
                        </a:ext>
                      </a:extLst>
                    </a:blip>
                    <a:srcRect t="4981" b="8545"/>
                    <a:stretch/>
                  </pic:blipFill>
                  <pic:spPr bwMode="auto">
                    <a:xfrm>
                      <a:off x="0" y="0"/>
                      <a:ext cx="6107203" cy="8441167"/>
                    </a:xfrm>
                    <a:prstGeom prst="rect">
                      <a:avLst/>
                    </a:prstGeom>
                    <a:ln>
                      <a:noFill/>
                    </a:ln>
                    <a:extLst>
                      <a:ext uri="{53640926-AAD7-44D8-BBD7-CCE9431645EC}">
                        <a14:shadowObscured xmlns:a14="http://schemas.microsoft.com/office/drawing/2010/main"/>
                      </a:ext>
                    </a:extLst>
                  </pic:spPr>
                </pic:pic>
              </a:graphicData>
            </a:graphic>
          </wp:inline>
        </w:drawing>
      </w:r>
    </w:p>
    <w:p w14:paraId="28B8E071" w14:textId="77777777" w:rsidR="004556EB" w:rsidRDefault="004556EB" w:rsidP="005E19B5">
      <w:pPr>
        <w:tabs>
          <w:tab w:val="left" w:pos="-3119"/>
        </w:tabs>
        <w:rPr>
          <w:rFonts w:ascii="Times New Roman" w:eastAsia="MS Mincho" w:hAnsi="Times New Roman" w:cs="Times New Roman"/>
        </w:rPr>
      </w:pPr>
    </w:p>
    <w:p w14:paraId="5787115C" w14:textId="77777777" w:rsidR="004556EB" w:rsidRDefault="004556EB" w:rsidP="005E19B5">
      <w:pPr>
        <w:tabs>
          <w:tab w:val="left" w:pos="-3119"/>
        </w:tabs>
        <w:rPr>
          <w:rFonts w:ascii="Times New Roman" w:eastAsia="MS Mincho" w:hAnsi="Times New Roman" w:cs="Times New Roman"/>
        </w:rPr>
      </w:pPr>
    </w:p>
    <w:p w14:paraId="73B1ED1B" w14:textId="169FC1CC" w:rsidR="004556EB" w:rsidRDefault="00BD27DC"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09DA783E" wp14:editId="219FE1B9">
            <wp:extent cx="6103088" cy="8742089"/>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21.jpg"/>
                    <pic:cNvPicPr/>
                  </pic:nvPicPr>
                  <pic:blipFill rotWithShape="1">
                    <a:blip r:embed="rId67">
                      <a:extLst>
                        <a:ext uri="{28A0092B-C50C-407E-A947-70E740481C1C}">
                          <a14:useLocalDpi xmlns:a14="http://schemas.microsoft.com/office/drawing/2010/main" val="0"/>
                        </a:ext>
                      </a:extLst>
                    </a:blip>
                    <a:srcRect t="4970" b="6760"/>
                    <a:stretch/>
                  </pic:blipFill>
                  <pic:spPr bwMode="auto">
                    <a:xfrm>
                      <a:off x="0" y="0"/>
                      <a:ext cx="6104301" cy="8743826"/>
                    </a:xfrm>
                    <a:prstGeom prst="rect">
                      <a:avLst/>
                    </a:prstGeom>
                    <a:ln>
                      <a:noFill/>
                    </a:ln>
                    <a:extLst>
                      <a:ext uri="{53640926-AAD7-44D8-BBD7-CCE9431645EC}">
                        <a14:shadowObscured xmlns:a14="http://schemas.microsoft.com/office/drawing/2010/main"/>
                      </a:ext>
                    </a:extLst>
                  </pic:spPr>
                </pic:pic>
              </a:graphicData>
            </a:graphic>
          </wp:inline>
        </w:drawing>
      </w:r>
    </w:p>
    <w:p w14:paraId="0BE21A3A" w14:textId="77777777" w:rsidR="004556EB" w:rsidRDefault="004556EB" w:rsidP="005E19B5">
      <w:pPr>
        <w:tabs>
          <w:tab w:val="left" w:pos="-3119"/>
        </w:tabs>
        <w:rPr>
          <w:rFonts w:ascii="Times New Roman" w:eastAsia="MS Mincho" w:hAnsi="Times New Roman" w:cs="Times New Roman"/>
        </w:rPr>
      </w:pPr>
    </w:p>
    <w:p w14:paraId="7C14C875" w14:textId="4AB62B63" w:rsidR="004556EB" w:rsidRDefault="00BD27DC" w:rsidP="005E19B5">
      <w:pPr>
        <w:tabs>
          <w:tab w:val="left" w:pos="-3119"/>
        </w:tabs>
        <w:rPr>
          <w:rFonts w:ascii="Times New Roman" w:eastAsia="MS Mincho" w:hAnsi="Times New Roman" w:cs="Times New Roman"/>
        </w:rPr>
      </w:pPr>
      <w:r>
        <w:rPr>
          <w:rFonts w:ascii="Times New Roman" w:eastAsia="MS Mincho" w:hAnsi="Times New Roman" w:cs="Times New Roman"/>
          <w:noProof/>
          <w:lang w:val="en-US"/>
        </w:rPr>
        <w:drawing>
          <wp:inline distT="0" distB="0" distL="0" distR="0" wp14:anchorId="49AB5D1D" wp14:editId="53015D00">
            <wp:extent cx="6103088" cy="7556289"/>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114 09 Model bidding document -Works_Page_22.jpg"/>
                    <pic:cNvPicPr/>
                  </pic:nvPicPr>
                  <pic:blipFill rotWithShape="1">
                    <a:blip r:embed="rId68">
                      <a:extLst>
                        <a:ext uri="{28A0092B-C50C-407E-A947-70E740481C1C}">
                          <a14:useLocalDpi xmlns:a14="http://schemas.microsoft.com/office/drawing/2010/main" val="0"/>
                        </a:ext>
                      </a:extLst>
                    </a:blip>
                    <a:srcRect t="4175" b="22067"/>
                    <a:stretch/>
                  </pic:blipFill>
                  <pic:spPr bwMode="auto">
                    <a:xfrm>
                      <a:off x="0" y="0"/>
                      <a:ext cx="6104301" cy="7557791"/>
                    </a:xfrm>
                    <a:prstGeom prst="rect">
                      <a:avLst/>
                    </a:prstGeom>
                    <a:ln>
                      <a:noFill/>
                    </a:ln>
                    <a:extLst>
                      <a:ext uri="{53640926-AAD7-44D8-BBD7-CCE9431645EC}">
                        <a14:shadowObscured xmlns:a14="http://schemas.microsoft.com/office/drawing/2010/main"/>
                      </a:ext>
                    </a:extLst>
                  </pic:spPr>
                </pic:pic>
              </a:graphicData>
            </a:graphic>
          </wp:inline>
        </w:drawing>
      </w:r>
    </w:p>
    <w:p w14:paraId="04AAC051" w14:textId="77777777" w:rsidR="005E42E4" w:rsidRDefault="005E42E4" w:rsidP="005E19B5">
      <w:pPr>
        <w:ind w:left="720"/>
        <w:rPr>
          <w:rFonts w:ascii="Times New Roman" w:eastAsia="MS Mincho" w:hAnsi="Times New Roman" w:cs="Times New Roman"/>
        </w:rPr>
      </w:pPr>
    </w:p>
    <w:p w14:paraId="25A0854C" w14:textId="77777777" w:rsidR="005E42E4" w:rsidRDefault="005E42E4" w:rsidP="00480190">
      <w:pPr>
        <w:ind w:left="720"/>
        <w:jc w:val="both"/>
        <w:rPr>
          <w:rFonts w:ascii="Times New Roman" w:eastAsia="MS Mincho" w:hAnsi="Times New Roman" w:cs="Times New Roman"/>
        </w:rPr>
      </w:pPr>
    </w:p>
    <w:p w14:paraId="5C2FAA2D" w14:textId="053C2D65" w:rsidR="0094281C" w:rsidRPr="009C3B24" w:rsidRDefault="0094281C" w:rsidP="00480190">
      <w:pPr>
        <w:jc w:val="both"/>
        <w:rPr>
          <w:rFonts w:ascii="Times New Roman" w:eastAsia="MS Mincho" w:hAnsi="Times New Roman" w:cs="Times New Roman"/>
        </w:rPr>
        <w:sectPr w:rsidR="0094281C" w:rsidRPr="009C3B24" w:rsidSect="00516023">
          <w:footerReference w:type="default" r:id="rId69"/>
          <w:pgSz w:w="11905" w:h="16837" w:code="9"/>
          <w:pgMar w:top="1134" w:right="1134" w:bottom="1134" w:left="1134" w:header="510" w:footer="340" w:gutter="0"/>
          <w:cols w:space="720"/>
          <w:docGrid w:linePitch="360"/>
        </w:sectPr>
      </w:pPr>
    </w:p>
    <w:p w14:paraId="071C666C" w14:textId="3A190C9E" w:rsidR="00B8679A" w:rsidRPr="00C3640F" w:rsidRDefault="00ED0773" w:rsidP="00C3640F">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11" w:name="_Toc93342335"/>
      <w:r w:rsidRPr="00C3640F">
        <w:rPr>
          <w:rFonts w:ascii="Times New Roman" w:hAnsi="Times New Roman" w:cs="Times New Roman"/>
          <w:smallCaps w:val="0"/>
          <w:color w:val="auto"/>
          <w:sz w:val="28"/>
          <w:szCs w:val="30"/>
        </w:rPr>
        <w:t xml:space="preserve">Annex </w:t>
      </w:r>
      <w:r w:rsidR="00E2669C">
        <w:rPr>
          <w:rFonts w:ascii="Times New Roman" w:hAnsi="Times New Roman" w:cs="Times New Roman"/>
          <w:smallCaps w:val="0"/>
          <w:color w:val="auto"/>
          <w:sz w:val="28"/>
          <w:szCs w:val="30"/>
        </w:rPr>
        <w:t>6</w:t>
      </w:r>
      <w:r w:rsidRPr="00C3640F">
        <w:rPr>
          <w:rFonts w:ascii="Times New Roman" w:hAnsi="Times New Roman" w:cs="Times New Roman"/>
          <w:smallCaps w:val="0"/>
          <w:color w:val="auto"/>
          <w:sz w:val="28"/>
          <w:szCs w:val="30"/>
        </w:rPr>
        <w:t>: Draft Procurement Plan</w:t>
      </w:r>
      <w:bookmarkEnd w:id="711"/>
      <w:r w:rsidRPr="00C3640F">
        <w:rPr>
          <w:rFonts w:ascii="Times New Roman" w:hAnsi="Times New Roman" w:cs="Times New Roman"/>
          <w:smallCaps w:val="0"/>
          <w:color w:val="auto"/>
          <w:sz w:val="28"/>
          <w:szCs w:val="30"/>
        </w:rPr>
        <w:t xml:space="preserve"> </w:t>
      </w:r>
    </w:p>
    <w:p w14:paraId="4E336BEE" w14:textId="77777777" w:rsidR="002008A1" w:rsidRPr="00CD27F9" w:rsidRDefault="002008A1" w:rsidP="00CD27F9">
      <w:pPr>
        <w:spacing w:after="0" w:line="240" w:lineRule="auto"/>
        <w:jc w:val="both"/>
        <w:rPr>
          <w:rFonts w:ascii="Times New Roman" w:eastAsia="MS Mincho" w:hAnsi="Times New Roman" w:cs="Times New Roman"/>
          <w:sz w:val="2"/>
        </w:rPr>
      </w:pPr>
    </w:p>
    <w:tbl>
      <w:tblPr>
        <w:tblW w:w="14394" w:type="dxa"/>
        <w:tblInd w:w="93" w:type="dxa"/>
        <w:tblCellMar>
          <w:top w:w="28" w:type="dxa"/>
          <w:left w:w="28" w:type="dxa"/>
          <w:bottom w:w="28" w:type="dxa"/>
          <w:right w:w="28" w:type="dxa"/>
        </w:tblCellMar>
        <w:tblLook w:val="04A0" w:firstRow="1" w:lastRow="0" w:firstColumn="1" w:lastColumn="0" w:noHBand="0" w:noVBand="1"/>
      </w:tblPr>
      <w:tblGrid>
        <w:gridCol w:w="900"/>
        <w:gridCol w:w="8429"/>
        <w:gridCol w:w="897"/>
        <w:gridCol w:w="755"/>
        <w:gridCol w:w="243"/>
        <w:gridCol w:w="476"/>
        <w:gridCol w:w="133"/>
        <w:gridCol w:w="76"/>
        <w:gridCol w:w="1493"/>
        <w:gridCol w:w="992"/>
      </w:tblGrid>
      <w:tr w:rsidR="007F7FFC" w:rsidRPr="002008A1" w14:paraId="6ADD7DB0" w14:textId="77777777" w:rsidTr="007F7FFC">
        <w:trPr>
          <w:trHeight w:val="1531"/>
          <w:tblHeader/>
        </w:trPr>
        <w:tc>
          <w:tcPr>
            <w:tcW w:w="900" w:type="dxa"/>
            <w:tcBorders>
              <w:top w:val="single" w:sz="8" w:space="0" w:color="auto"/>
              <w:left w:val="single" w:sz="8" w:space="0" w:color="auto"/>
              <w:bottom w:val="single" w:sz="4" w:space="0" w:color="auto"/>
              <w:right w:val="single" w:sz="4" w:space="0" w:color="auto"/>
            </w:tcBorders>
            <w:shd w:val="clear" w:color="000000" w:fill="BFBFBF"/>
            <w:noWrap/>
            <w:textDirection w:val="btLr"/>
            <w:hideMark/>
          </w:tcPr>
          <w:p w14:paraId="4E57311E"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Reference</w:t>
            </w:r>
          </w:p>
        </w:tc>
        <w:tc>
          <w:tcPr>
            <w:tcW w:w="8429" w:type="dxa"/>
            <w:tcBorders>
              <w:top w:val="single" w:sz="8" w:space="0" w:color="auto"/>
              <w:left w:val="nil"/>
              <w:bottom w:val="single" w:sz="4" w:space="0" w:color="auto"/>
              <w:right w:val="single" w:sz="4" w:space="0" w:color="auto"/>
            </w:tcBorders>
            <w:shd w:val="clear" w:color="000000" w:fill="BFBFBF"/>
            <w:noWrap/>
            <w:hideMark/>
          </w:tcPr>
          <w:p w14:paraId="0204315B"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Description of contract package</w:t>
            </w:r>
          </w:p>
        </w:tc>
        <w:tc>
          <w:tcPr>
            <w:tcW w:w="897" w:type="dxa"/>
            <w:tcBorders>
              <w:top w:val="single" w:sz="8" w:space="0" w:color="auto"/>
              <w:left w:val="nil"/>
              <w:bottom w:val="single" w:sz="4" w:space="0" w:color="auto"/>
              <w:right w:val="single" w:sz="4" w:space="0" w:color="auto"/>
            </w:tcBorders>
            <w:shd w:val="clear" w:color="000000" w:fill="BFBFBF"/>
            <w:noWrap/>
            <w:textDirection w:val="btLr"/>
            <w:hideMark/>
          </w:tcPr>
          <w:p w14:paraId="75E62149"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Procurement type</w:t>
            </w:r>
          </w:p>
        </w:tc>
        <w:tc>
          <w:tcPr>
            <w:tcW w:w="755" w:type="dxa"/>
            <w:tcBorders>
              <w:top w:val="single" w:sz="8" w:space="0" w:color="auto"/>
              <w:left w:val="nil"/>
              <w:bottom w:val="single" w:sz="4" w:space="0" w:color="auto"/>
              <w:right w:val="single" w:sz="4" w:space="0" w:color="auto"/>
            </w:tcBorders>
            <w:shd w:val="clear" w:color="000000" w:fill="BFBFBF"/>
            <w:noWrap/>
            <w:textDirection w:val="btLr"/>
            <w:hideMark/>
          </w:tcPr>
          <w:p w14:paraId="1897D454"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Procurement method</w:t>
            </w:r>
          </w:p>
        </w:tc>
        <w:tc>
          <w:tcPr>
            <w:tcW w:w="719" w:type="dxa"/>
            <w:gridSpan w:val="2"/>
            <w:tcBorders>
              <w:top w:val="single" w:sz="8" w:space="0" w:color="auto"/>
              <w:left w:val="nil"/>
              <w:bottom w:val="single" w:sz="4" w:space="0" w:color="auto"/>
              <w:right w:val="single" w:sz="4" w:space="0" w:color="auto"/>
            </w:tcBorders>
            <w:shd w:val="clear" w:color="000000" w:fill="BFBFBF"/>
            <w:noWrap/>
            <w:textDirection w:val="btLr"/>
            <w:hideMark/>
          </w:tcPr>
          <w:p w14:paraId="13B946A7"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Prior/post review by the Bank</w:t>
            </w:r>
          </w:p>
        </w:tc>
        <w:tc>
          <w:tcPr>
            <w:tcW w:w="1702" w:type="dxa"/>
            <w:gridSpan w:val="3"/>
            <w:tcBorders>
              <w:top w:val="single" w:sz="8" w:space="0" w:color="auto"/>
              <w:left w:val="nil"/>
              <w:bottom w:val="single" w:sz="4" w:space="0" w:color="auto"/>
              <w:right w:val="nil"/>
            </w:tcBorders>
            <w:shd w:val="clear" w:color="000000" w:fill="BFBFBF"/>
            <w:noWrap/>
            <w:textDirection w:val="btLr"/>
            <w:hideMark/>
          </w:tcPr>
          <w:p w14:paraId="45D8279F" w14:textId="61D990EA"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Estimated cost of the project</w:t>
            </w:r>
            <w:r w:rsidRPr="002008A1">
              <w:rPr>
                <w:rFonts w:ascii="Times New Roman" w:eastAsia="Times New Roman" w:hAnsi="Times New Roman" w:cs="Times New Roman"/>
                <w:b/>
                <w:bCs/>
                <w:color w:val="000000"/>
                <w:lang w:val="en-US"/>
              </w:rPr>
              <w:br/>
              <w:t>(USD)</w:t>
            </w:r>
          </w:p>
        </w:tc>
        <w:tc>
          <w:tcPr>
            <w:tcW w:w="992" w:type="dxa"/>
            <w:tcBorders>
              <w:top w:val="single" w:sz="8" w:space="0" w:color="auto"/>
              <w:left w:val="single" w:sz="8" w:space="0" w:color="auto"/>
              <w:bottom w:val="nil"/>
              <w:right w:val="single" w:sz="8" w:space="0" w:color="auto"/>
            </w:tcBorders>
            <w:shd w:val="clear" w:color="000000" w:fill="BFBFBF"/>
            <w:noWrap/>
            <w:textDirection w:val="btLr"/>
            <w:hideMark/>
          </w:tcPr>
          <w:p w14:paraId="1074C606"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Quarter of tender announcement</w:t>
            </w:r>
          </w:p>
        </w:tc>
      </w:tr>
      <w:tr w:rsidR="007F7FFC" w:rsidRPr="002008A1" w14:paraId="65588253" w14:textId="77777777" w:rsidTr="007F7FFC">
        <w:trPr>
          <w:trHeight w:val="340"/>
        </w:trPr>
        <w:tc>
          <w:tcPr>
            <w:tcW w:w="900" w:type="dxa"/>
            <w:tcBorders>
              <w:top w:val="nil"/>
              <w:left w:val="single" w:sz="8" w:space="0" w:color="auto"/>
              <w:bottom w:val="single" w:sz="8" w:space="0" w:color="auto"/>
              <w:right w:val="single" w:sz="4" w:space="0" w:color="auto"/>
            </w:tcBorders>
            <w:shd w:val="clear" w:color="000000" w:fill="BFBFBF"/>
            <w:noWrap/>
            <w:textDirection w:val="btLr"/>
            <w:hideMark/>
          </w:tcPr>
          <w:p w14:paraId="4E2BBAE7" w14:textId="72995DB0"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8429" w:type="dxa"/>
            <w:tcBorders>
              <w:top w:val="nil"/>
              <w:left w:val="nil"/>
              <w:bottom w:val="single" w:sz="8" w:space="0" w:color="auto"/>
              <w:right w:val="single" w:sz="4" w:space="0" w:color="auto"/>
            </w:tcBorders>
            <w:shd w:val="clear" w:color="000000" w:fill="BFBFBF"/>
            <w:noWrap/>
            <w:hideMark/>
          </w:tcPr>
          <w:p w14:paraId="7EAE1465" w14:textId="00AC0C5F"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897" w:type="dxa"/>
            <w:tcBorders>
              <w:top w:val="nil"/>
              <w:left w:val="nil"/>
              <w:bottom w:val="single" w:sz="8" w:space="0" w:color="auto"/>
              <w:right w:val="single" w:sz="4" w:space="0" w:color="auto"/>
            </w:tcBorders>
            <w:shd w:val="clear" w:color="000000" w:fill="BFBFBF"/>
            <w:noWrap/>
            <w:textDirection w:val="btLr"/>
            <w:hideMark/>
          </w:tcPr>
          <w:p w14:paraId="775156C8" w14:textId="63634D7C"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755" w:type="dxa"/>
            <w:tcBorders>
              <w:top w:val="nil"/>
              <w:left w:val="nil"/>
              <w:bottom w:val="single" w:sz="8" w:space="0" w:color="auto"/>
              <w:right w:val="single" w:sz="4" w:space="0" w:color="auto"/>
            </w:tcBorders>
            <w:shd w:val="clear" w:color="000000" w:fill="BFBFBF"/>
            <w:noWrap/>
            <w:textDirection w:val="btLr"/>
            <w:hideMark/>
          </w:tcPr>
          <w:p w14:paraId="067B2CAC" w14:textId="73A077FE"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719" w:type="dxa"/>
            <w:gridSpan w:val="2"/>
            <w:tcBorders>
              <w:top w:val="nil"/>
              <w:left w:val="nil"/>
              <w:bottom w:val="single" w:sz="8" w:space="0" w:color="auto"/>
              <w:right w:val="single" w:sz="4" w:space="0" w:color="auto"/>
            </w:tcBorders>
            <w:shd w:val="clear" w:color="000000" w:fill="BFBFBF"/>
            <w:noWrap/>
            <w:textDirection w:val="btLr"/>
            <w:hideMark/>
          </w:tcPr>
          <w:p w14:paraId="3E6D7942" w14:textId="6E2850CB"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1702" w:type="dxa"/>
            <w:gridSpan w:val="3"/>
            <w:tcBorders>
              <w:top w:val="nil"/>
              <w:left w:val="nil"/>
              <w:bottom w:val="single" w:sz="8" w:space="0" w:color="auto"/>
              <w:right w:val="nil"/>
            </w:tcBorders>
            <w:shd w:val="clear" w:color="000000" w:fill="BFBFBF"/>
            <w:noWrap/>
            <w:textDirection w:val="btLr"/>
            <w:hideMark/>
          </w:tcPr>
          <w:p w14:paraId="08D1AA5A" w14:textId="1BB06FD0"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992" w:type="dxa"/>
            <w:tcBorders>
              <w:top w:val="nil"/>
              <w:left w:val="single" w:sz="8" w:space="0" w:color="auto"/>
              <w:bottom w:val="single" w:sz="8" w:space="0" w:color="auto"/>
              <w:right w:val="single" w:sz="8" w:space="0" w:color="auto"/>
            </w:tcBorders>
            <w:shd w:val="clear" w:color="000000" w:fill="BFBFBF"/>
            <w:noWrap/>
            <w:textDirection w:val="btLr"/>
            <w:hideMark/>
          </w:tcPr>
          <w:p w14:paraId="6E80FC35" w14:textId="5ABE3FF9"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4CCFBBDD" w14:textId="77777777" w:rsidTr="007F7FFC">
        <w:trPr>
          <w:trHeight w:val="340"/>
        </w:trPr>
        <w:tc>
          <w:tcPr>
            <w:tcW w:w="9329" w:type="dxa"/>
            <w:gridSpan w:val="2"/>
            <w:tcBorders>
              <w:top w:val="nil"/>
              <w:left w:val="single" w:sz="4" w:space="0" w:color="auto"/>
              <w:bottom w:val="single" w:sz="4" w:space="0" w:color="auto"/>
              <w:right w:val="single" w:sz="4" w:space="0" w:color="auto"/>
            </w:tcBorders>
            <w:shd w:val="clear" w:color="000000" w:fill="FCE4D6"/>
            <w:noWrap/>
            <w:hideMark/>
          </w:tcPr>
          <w:p w14:paraId="7E461988" w14:textId="5C79E2FB"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 xml:space="preserve">Component 1 Climate </w:t>
            </w:r>
            <w:r w:rsidR="000F157C">
              <w:rPr>
                <w:rFonts w:ascii="Times New Roman" w:eastAsia="Times New Roman" w:hAnsi="Times New Roman" w:cs="Times New Roman"/>
                <w:b/>
                <w:bCs/>
                <w:color w:val="000000"/>
                <w:lang w:val="en-US"/>
              </w:rPr>
              <w:t>smart</w:t>
            </w:r>
            <w:r w:rsidRPr="002008A1">
              <w:rPr>
                <w:rFonts w:ascii="Times New Roman" w:eastAsia="Times New Roman" w:hAnsi="Times New Roman" w:cs="Times New Roman"/>
                <w:b/>
                <w:bCs/>
                <w:color w:val="000000"/>
                <w:lang w:val="en-US"/>
              </w:rPr>
              <w:t xml:space="preserve"> mobility</w:t>
            </w:r>
          </w:p>
          <w:p w14:paraId="201A51A2" w14:textId="26BA2864"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897" w:type="dxa"/>
            <w:tcBorders>
              <w:top w:val="nil"/>
              <w:left w:val="nil"/>
              <w:bottom w:val="single" w:sz="4" w:space="0" w:color="auto"/>
              <w:right w:val="single" w:sz="4" w:space="0" w:color="auto"/>
            </w:tcBorders>
            <w:shd w:val="clear" w:color="000000" w:fill="FCE4D6"/>
            <w:noWrap/>
            <w:hideMark/>
          </w:tcPr>
          <w:p w14:paraId="2CBA7411" w14:textId="4EAC4B82"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755" w:type="dxa"/>
            <w:tcBorders>
              <w:top w:val="nil"/>
              <w:left w:val="nil"/>
              <w:bottom w:val="single" w:sz="4" w:space="0" w:color="auto"/>
              <w:right w:val="single" w:sz="4" w:space="0" w:color="auto"/>
            </w:tcBorders>
            <w:shd w:val="clear" w:color="000000" w:fill="FCE4D6"/>
            <w:noWrap/>
            <w:hideMark/>
          </w:tcPr>
          <w:p w14:paraId="08037D35" w14:textId="42D9A97F"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719" w:type="dxa"/>
            <w:gridSpan w:val="2"/>
            <w:tcBorders>
              <w:top w:val="nil"/>
              <w:left w:val="nil"/>
              <w:bottom w:val="single" w:sz="4" w:space="0" w:color="auto"/>
              <w:right w:val="single" w:sz="4" w:space="0" w:color="auto"/>
            </w:tcBorders>
            <w:shd w:val="clear" w:color="000000" w:fill="FCE4D6"/>
            <w:noWrap/>
            <w:hideMark/>
          </w:tcPr>
          <w:p w14:paraId="08E7033E" w14:textId="33483CDD"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1702" w:type="dxa"/>
            <w:gridSpan w:val="3"/>
            <w:tcBorders>
              <w:top w:val="nil"/>
              <w:left w:val="nil"/>
              <w:bottom w:val="single" w:sz="4" w:space="0" w:color="auto"/>
              <w:right w:val="single" w:sz="4" w:space="0" w:color="auto"/>
            </w:tcBorders>
            <w:shd w:val="clear" w:color="000000" w:fill="FCE4D6"/>
            <w:noWrap/>
            <w:hideMark/>
          </w:tcPr>
          <w:p w14:paraId="217422B7" w14:textId="7553A7F3"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281.999.800,00</w:t>
            </w:r>
          </w:p>
        </w:tc>
        <w:tc>
          <w:tcPr>
            <w:tcW w:w="992" w:type="dxa"/>
            <w:tcBorders>
              <w:top w:val="single" w:sz="8" w:space="0" w:color="auto"/>
              <w:left w:val="nil"/>
              <w:bottom w:val="single" w:sz="4" w:space="0" w:color="auto"/>
              <w:right w:val="single" w:sz="4" w:space="0" w:color="auto"/>
            </w:tcBorders>
            <w:shd w:val="clear" w:color="000000" w:fill="FCE4D6"/>
            <w:noWrap/>
            <w:hideMark/>
          </w:tcPr>
          <w:p w14:paraId="7F647B00" w14:textId="255F01ED"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7D259F15" w14:textId="77777777" w:rsidTr="007F7FFC">
        <w:trPr>
          <w:trHeight w:val="340"/>
        </w:trPr>
        <w:tc>
          <w:tcPr>
            <w:tcW w:w="9329" w:type="dxa"/>
            <w:gridSpan w:val="2"/>
            <w:tcBorders>
              <w:top w:val="nil"/>
              <w:left w:val="single" w:sz="4" w:space="0" w:color="auto"/>
              <w:bottom w:val="single" w:sz="4" w:space="0" w:color="auto"/>
              <w:right w:val="single" w:sz="4" w:space="0" w:color="auto"/>
            </w:tcBorders>
            <w:shd w:val="clear" w:color="000000" w:fill="FCE4D6"/>
            <w:noWrap/>
            <w:hideMark/>
          </w:tcPr>
          <w:p w14:paraId="3665FBD8" w14:textId="3478ECBA"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 xml:space="preserve">Subcomponent 1.1 </w:t>
            </w:r>
            <w:r w:rsidR="00DC08F0" w:rsidRPr="00DC08F0">
              <w:rPr>
                <w:rFonts w:ascii="Times New Roman" w:eastAsia="Times New Roman" w:hAnsi="Times New Roman" w:cs="Times New Roman"/>
                <w:b/>
                <w:bCs/>
                <w:color w:val="000000"/>
                <w:lang w:val="en-US"/>
              </w:rPr>
              <w:t>Investments in Climate Smart Mobility</w:t>
            </w:r>
          </w:p>
          <w:p w14:paraId="0186683A" w14:textId="605343FC"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897" w:type="dxa"/>
            <w:tcBorders>
              <w:top w:val="nil"/>
              <w:left w:val="nil"/>
              <w:bottom w:val="single" w:sz="4" w:space="0" w:color="auto"/>
              <w:right w:val="single" w:sz="4" w:space="0" w:color="auto"/>
            </w:tcBorders>
            <w:shd w:val="clear" w:color="000000" w:fill="FCE4D6"/>
            <w:noWrap/>
            <w:hideMark/>
          </w:tcPr>
          <w:p w14:paraId="1C5939E3" w14:textId="7563FA14"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755" w:type="dxa"/>
            <w:tcBorders>
              <w:top w:val="nil"/>
              <w:left w:val="nil"/>
              <w:bottom w:val="single" w:sz="4" w:space="0" w:color="auto"/>
              <w:right w:val="single" w:sz="4" w:space="0" w:color="auto"/>
            </w:tcBorders>
            <w:shd w:val="clear" w:color="000000" w:fill="FCE4D6"/>
            <w:noWrap/>
            <w:hideMark/>
          </w:tcPr>
          <w:p w14:paraId="260E7184" w14:textId="177DC1D0"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719" w:type="dxa"/>
            <w:gridSpan w:val="2"/>
            <w:tcBorders>
              <w:top w:val="nil"/>
              <w:left w:val="nil"/>
              <w:bottom w:val="single" w:sz="4" w:space="0" w:color="auto"/>
              <w:right w:val="single" w:sz="4" w:space="0" w:color="auto"/>
            </w:tcBorders>
            <w:shd w:val="clear" w:color="000000" w:fill="FCE4D6"/>
            <w:noWrap/>
            <w:hideMark/>
          </w:tcPr>
          <w:p w14:paraId="13258ED7" w14:textId="4E80F54B"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c>
          <w:tcPr>
            <w:tcW w:w="1702" w:type="dxa"/>
            <w:gridSpan w:val="3"/>
            <w:tcBorders>
              <w:top w:val="nil"/>
              <w:left w:val="nil"/>
              <w:bottom w:val="single" w:sz="4" w:space="0" w:color="auto"/>
              <w:right w:val="single" w:sz="4" w:space="0" w:color="auto"/>
            </w:tcBorders>
            <w:shd w:val="clear" w:color="000000" w:fill="FCE4D6"/>
            <w:noWrap/>
            <w:hideMark/>
          </w:tcPr>
          <w:p w14:paraId="22E57A94" w14:textId="444F28F2"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273.424.800,00</w:t>
            </w:r>
          </w:p>
        </w:tc>
        <w:tc>
          <w:tcPr>
            <w:tcW w:w="992" w:type="dxa"/>
            <w:tcBorders>
              <w:top w:val="nil"/>
              <w:left w:val="nil"/>
              <w:bottom w:val="single" w:sz="4" w:space="0" w:color="auto"/>
              <w:right w:val="single" w:sz="4" w:space="0" w:color="auto"/>
            </w:tcBorders>
            <w:shd w:val="clear" w:color="000000" w:fill="FCE4D6"/>
            <w:noWrap/>
            <w:hideMark/>
          </w:tcPr>
          <w:p w14:paraId="589C3EE4" w14:textId="2BE29891"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186F86F7" w14:textId="77777777" w:rsidTr="007F7FFC">
        <w:trPr>
          <w:trHeight w:val="340"/>
        </w:trPr>
        <w:tc>
          <w:tcPr>
            <w:tcW w:w="9329" w:type="dxa"/>
            <w:gridSpan w:val="2"/>
            <w:tcBorders>
              <w:top w:val="single" w:sz="4" w:space="0" w:color="auto"/>
              <w:left w:val="single" w:sz="4" w:space="0" w:color="auto"/>
              <w:bottom w:val="single" w:sz="4" w:space="0" w:color="auto"/>
              <w:right w:val="nil"/>
            </w:tcBorders>
            <w:shd w:val="clear" w:color="000000" w:fill="FCE4D6"/>
            <w:noWrap/>
            <w:hideMark/>
          </w:tcPr>
          <w:p w14:paraId="2754E097" w14:textId="2F03C58C"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r w:rsidRPr="002008A1">
              <w:rPr>
                <w:rFonts w:ascii="Times New Roman" w:eastAsia="Times New Roman" w:hAnsi="Times New Roman" w:cs="Times New Roman"/>
                <w:i/>
                <w:iCs/>
                <w:color w:val="000000"/>
                <w:lang w:val="en-US"/>
              </w:rPr>
              <w:t>1.1.1 Infrastructure investments</w:t>
            </w:r>
          </w:p>
        </w:tc>
        <w:tc>
          <w:tcPr>
            <w:tcW w:w="897" w:type="dxa"/>
            <w:tcBorders>
              <w:top w:val="nil"/>
              <w:left w:val="nil"/>
              <w:bottom w:val="single" w:sz="4" w:space="0" w:color="auto"/>
              <w:right w:val="nil"/>
            </w:tcBorders>
            <w:shd w:val="clear" w:color="000000" w:fill="FCE4D6"/>
            <w:noWrap/>
            <w:hideMark/>
          </w:tcPr>
          <w:p w14:paraId="7E38D359" w14:textId="3EBE61A7"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755" w:type="dxa"/>
            <w:tcBorders>
              <w:top w:val="nil"/>
              <w:left w:val="nil"/>
              <w:bottom w:val="single" w:sz="4" w:space="0" w:color="auto"/>
              <w:right w:val="nil"/>
            </w:tcBorders>
            <w:shd w:val="clear" w:color="000000" w:fill="FCE4D6"/>
            <w:noWrap/>
            <w:hideMark/>
          </w:tcPr>
          <w:p w14:paraId="6510FD02" w14:textId="28B51CAF"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719" w:type="dxa"/>
            <w:gridSpan w:val="2"/>
            <w:tcBorders>
              <w:top w:val="nil"/>
              <w:left w:val="nil"/>
              <w:bottom w:val="single" w:sz="4" w:space="0" w:color="auto"/>
              <w:right w:val="single" w:sz="4" w:space="0" w:color="auto"/>
            </w:tcBorders>
            <w:shd w:val="clear" w:color="000000" w:fill="FCE4D6"/>
            <w:noWrap/>
            <w:hideMark/>
          </w:tcPr>
          <w:p w14:paraId="57C72358" w14:textId="471A3752"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1702" w:type="dxa"/>
            <w:gridSpan w:val="3"/>
            <w:tcBorders>
              <w:top w:val="nil"/>
              <w:left w:val="nil"/>
              <w:bottom w:val="single" w:sz="4" w:space="0" w:color="auto"/>
              <w:right w:val="single" w:sz="4" w:space="0" w:color="auto"/>
            </w:tcBorders>
            <w:shd w:val="clear" w:color="000000" w:fill="FCE4D6"/>
            <w:noWrap/>
            <w:hideMark/>
          </w:tcPr>
          <w:p w14:paraId="0DA3DD36" w14:textId="53C92525"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r w:rsidRPr="002008A1">
              <w:rPr>
                <w:rFonts w:ascii="Times New Roman" w:eastAsia="Times New Roman" w:hAnsi="Times New Roman" w:cs="Times New Roman"/>
                <w:i/>
                <w:iCs/>
                <w:color w:val="000000"/>
                <w:lang w:val="en-US"/>
              </w:rPr>
              <w:t>272.424.800,00</w:t>
            </w:r>
          </w:p>
        </w:tc>
        <w:tc>
          <w:tcPr>
            <w:tcW w:w="992" w:type="dxa"/>
            <w:tcBorders>
              <w:top w:val="nil"/>
              <w:left w:val="nil"/>
              <w:bottom w:val="single" w:sz="4" w:space="0" w:color="auto"/>
              <w:right w:val="single" w:sz="4" w:space="0" w:color="auto"/>
            </w:tcBorders>
            <w:shd w:val="clear" w:color="000000" w:fill="FCE4D6"/>
            <w:noWrap/>
            <w:hideMark/>
          </w:tcPr>
          <w:p w14:paraId="626A05DB" w14:textId="66A2ECE8"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61BEA211"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CE4D6"/>
            <w:noWrap/>
            <w:hideMark/>
          </w:tcPr>
          <w:p w14:paraId="0999747F"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111</w:t>
            </w:r>
          </w:p>
        </w:tc>
        <w:tc>
          <w:tcPr>
            <w:tcW w:w="8429" w:type="dxa"/>
            <w:tcBorders>
              <w:top w:val="nil"/>
              <w:left w:val="nil"/>
              <w:bottom w:val="single" w:sz="4" w:space="0" w:color="auto"/>
              <w:right w:val="single" w:sz="4" w:space="0" w:color="auto"/>
            </w:tcBorders>
            <w:shd w:val="clear" w:color="000000" w:fill="FCE4D6"/>
            <w:noWrap/>
            <w:hideMark/>
          </w:tcPr>
          <w:p w14:paraId="5F16D98B" w14:textId="1E1E5D2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Investments in mobility and resilience infrastructure (rehabilitation, reconstruction, small green </w:t>
            </w:r>
            <w:r w:rsidR="00835C1A" w:rsidRPr="002008A1">
              <w:rPr>
                <w:rFonts w:ascii="Times New Roman" w:eastAsia="Times New Roman" w:hAnsi="Times New Roman" w:cs="Times New Roman"/>
                <w:lang w:val="en-US"/>
              </w:rPr>
              <w:t>fields</w:t>
            </w:r>
            <w:r w:rsidRPr="002008A1">
              <w:rPr>
                <w:rFonts w:ascii="Times New Roman" w:eastAsia="Times New Roman" w:hAnsi="Times New Roman" w:cs="Times New Roman"/>
                <w:lang w:val="en-US"/>
              </w:rPr>
              <w:t>)</w:t>
            </w:r>
          </w:p>
        </w:tc>
        <w:tc>
          <w:tcPr>
            <w:tcW w:w="897" w:type="dxa"/>
            <w:tcBorders>
              <w:top w:val="nil"/>
              <w:left w:val="nil"/>
              <w:bottom w:val="single" w:sz="4" w:space="0" w:color="auto"/>
              <w:right w:val="single" w:sz="4" w:space="0" w:color="auto"/>
            </w:tcBorders>
            <w:shd w:val="clear" w:color="000000" w:fill="FCE4D6"/>
            <w:noWrap/>
            <w:hideMark/>
          </w:tcPr>
          <w:p w14:paraId="0AA4863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755" w:type="dxa"/>
            <w:tcBorders>
              <w:top w:val="nil"/>
              <w:left w:val="nil"/>
              <w:bottom w:val="single" w:sz="4" w:space="0" w:color="auto"/>
              <w:right w:val="single" w:sz="4" w:space="0" w:color="auto"/>
            </w:tcBorders>
            <w:shd w:val="clear" w:color="000000" w:fill="FCE4D6"/>
            <w:noWrap/>
            <w:hideMark/>
          </w:tcPr>
          <w:p w14:paraId="64BC86FF"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719" w:type="dxa"/>
            <w:gridSpan w:val="2"/>
            <w:tcBorders>
              <w:top w:val="nil"/>
              <w:left w:val="nil"/>
              <w:bottom w:val="single" w:sz="4" w:space="0" w:color="auto"/>
              <w:right w:val="single" w:sz="4" w:space="0" w:color="auto"/>
            </w:tcBorders>
            <w:shd w:val="clear" w:color="000000" w:fill="FCE4D6"/>
            <w:noWrap/>
            <w:hideMark/>
          </w:tcPr>
          <w:p w14:paraId="2F93E13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1702" w:type="dxa"/>
            <w:gridSpan w:val="3"/>
            <w:tcBorders>
              <w:top w:val="nil"/>
              <w:left w:val="nil"/>
              <w:bottom w:val="single" w:sz="4" w:space="0" w:color="auto"/>
              <w:right w:val="nil"/>
            </w:tcBorders>
            <w:shd w:val="clear" w:color="000000" w:fill="FCE4D6"/>
            <w:noWrap/>
            <w:hideMark/>
          </w:tcPr>
          <w:p w14:paraId="5734E3FC" w14:textId="136772C6"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272.424.800,00</w:t>
            </w:r>
          </w:p>
        </w:tc>
        <w:tc>
          <w:tcPr>
            <w:tcW w:w="992" w:type="dxa"/>
            <w:tcBorders>
              <w:top w:val="nil"/>
              <w:left w:val="single" w:sz="4" w:space="0" w:color="auto"/>
              <w:bottom w:val="single" w:sz="4" w:space="0" w:color="auto"/>
              <w:right w:val="single" w:sz="4" w:space="0" w:color="auto"/>
            </w:tcBorders>
            <w:shd w:val="clear" w:color="000000" w:fill="FCE4D6"/>
            <w:noWrap/>
            <w:hideMark/>
          </w:tcPr>
          <w:p w14:paraId="231B19EF"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798B8BB9" w14:textId="77777777" w:rsidTr="007F7FFC">
        <w:trPr>
          <w:trHeight w:val="340"/>
        </w:trPr>
        <w:tc>
          <w:tcPr>
            <w:tcW w:w="9329" w:type="dxa"/>
            <w:gridSpan w:val="2"/>
            <w:tcBorders>
              <w:top w:val="single" w:sz="4" w:space="0" w:color="auto"/>
              <w:left w:val="single" w:sz="4" w:space="0" w:color="auto"/>
              <w:bottom w:val="single" w:sz="4" w:space="0" w:color="auto"/>
              <w:right w:val="nil"/>
            </w:tcBorders>
            <w:shd w:val="clear" w:color="000000" w:fill="FCE4D6"/>
            <w:noWrap/>
            <w:hideMark/>
          </w:tcPr>
          <w:p w14:paraId="695C4183" w14:textId="02AADE64"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1.1.2 Investment support activities</w:t>
            </w:r>
          </w:p>
        </w:tc>
        <w:tc>
          <w:tcPr>
            <w:tcW w:w="897" w:type="dxa"/>
            <w:tcBorders>
              <w:top w:val="nil"/>
              <w:left w:val="nil"/>
              <w:bottom w:val="single" w:sz="4" w:space="0" w:color="auto"/>
              <w:right w:val="nil"/>
            </w:tcBorders>
            <w:shd w:val="clear" w:color="000000" w:fill="FCE4D6"/>
            <w:noWrap/>
            <w:hideMark/>
          </w:tcPr>
          <w:p w14:paraId="134A288B" w14:textId="7022483D" w:rsidR="002008A1" w:rsidRPr="002008A1" w:rsidRDefault="002008A1" w:rsidP="007F7FFC">
            <w:pPr>
              <w:spacing w:after="0" w:line="240" w:lineRule="auto"/>
              <w:jc w:val="center"/>
              <w:rPr>
                <w:rFonts w:ascii="Times New Roman" w:eastAsia="Times New Roman" w:hAnsi="Times New Roman" w:cs="Times New Roman"/>
                <w:i/>
                <w:iCs/>
                <w:lang w:val="en-US"/>
              </w:rPr>
            </w:pPr>
          </w:p>
        </w:tc>
        <w:tc>
          <w:tcPr>
            <w:tcW w:w="755" w:type="dxa"/>
            <w:tcBorders>
              <w:top w:val="nil"/>
              <w:left w:val="nil"/>
              <w:bottom w:val="single" w:sz="4" w:space="0" w:color="auto"/>
              <w:right w:val="nil"/>
            </w:tcBorders>
            <w:shd w:val="clear" w:color="000000" w:fill="FCE4D6"/>
            <w:noWrap/>
            <w:hideMark/>
          </w:tcPr>
          <w:p w14:paraId="1F0209D4" w14:textId="6E3A48EA" w:rsidR="002008A1" w:rsidRPr="002008A1" w:rsidRDefault="002008A1" w:rsidP="007F7FFC">
            <w:pPr>
              <w:spacing w:after="0" w:line="240" w:lineRule="auto"/>
              <w:jc w:val="center"/>
              <w:rPr>
                <w:rFonts w:ascii="Times New Roman" w:eastAsia="Times New Roman" w:hAnsi="Times New Roman" w:cs="Times New Roman"/>
                <w:i/>
                <w:iCs/>
                <w:lang w:val="en-US"/>
              </w:rPr>
            </w:pPr>
          </w:p>
        </w:tc>
        <w:tc>
          <w:tcPr>
            <w:tcW w:w="719" w:type="dxa"/>
            <w:gridSpan w:val="2"/>
            <w:tcBorders>
              <w:top w:val="nil"/>
              <w:left w:val="nil"/>
              <w:bottom w:val="single" w:sz="4" w:space="0" w:color="auto"/>
              <w:right w:val="single" w:sz="4" w:space="0" w:color="auto"/>
            </w:tcBorders>
            <w:shd w:val="clear" w:color="000000" w:fill="FCE4D6"/>
            <w:noWrap/>
            <w:hideMark/>
          </w:tcPr>
          <w:p w14:paraId="2C3FDFBC" w14:textId="4D0C3A69" w:rsidR="002008A1" w:rsidRPr="002008A1" w:rsidRDefault="002008A1" w:rsidP="007F7FFC">
            <w:pPr>
              <w:spacing w:after="0" w:line="240" w:lineRule="auto"/>
              <w:jc w:val="center"/>
              <w:rPr>
                <w:rFonts w:ascii="Times New Roman" w:eastAsia="Times New Roman" w:hAnsi="Times New Roman" w:cs="Times New Roman"/>
                <w:i/>
                <w:iCs/>
                <w:lang w:val="en-US"/>
              </w:rPr>
            </w:pPr>
          </w:p>
        </w:tc>
        <w:tc>
          <w:tcPr>
            <w:tcW w:w="1702" w:type="dxa"/>
            <w:gridSpan w:val="3"/>
            <w:tcBorders>
              <w:top w:val="nil"/>
              <w:left w:val="nil"/>
              <w:bottom w:val="single" w:sz="4" w:space="0" w:color="auto"/>
              <w:right w:val="single" w:sz="4" w:space="0" w:color="auto"/>
            </w:tcBorders>
            <w:shd w:val="clear" w:color="000000" w:fill="FCE4D6"/>
            <w:noWrap/>
            <w:hideMark/>
          </w:tcPr>
          <w:p w14:paraId="29770158" w14:textId="69299C4B"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1.000.000,00</w:t>
            </w:r>
          </w:p>
        </w:tc>
        <w:tc>
          <w:tcPr>
            <w:tcW w:w="992" w:type="dxa"/>
            <w:tcBorders>
              <w:top w:val="nil"/>
              <w:left w:val="nil"/>
              <w:bottom w:val="single" w:sz="4" w:space="0" w:color="auto"/>
              <w:right w:val="single" w:sz="4" w:space="0" w:color="auto"/>
            </w:tcBorders>
            <w:shd w:val="clear" w:color="000000" w:fill="FCE4D6"/>
            <w:noWrap/>
            <w:hideMark/>
          </w:tcPr>
          <w:p w14:paraId="557B62D6" w14:textId="7C5DD464" w:rsidR="002008A1" w:rsidRPr="002008A1" w:rsidRDefault="002008A1" w:rsidP="007F7FFC">
            <w:pPr>
              <w:spacing w:after="0" w:line="240" w:lineRule="auto"/>
              <w:jc w:val="center"/>
              <w:rPr>
                <w:rFonts w:ascii="Times New Roman" w:eastAsia="Times New Roman" w:hAnsi="Times New Roman" w:cs="Times New Roman"/>
                <w:b/>
                <w:bCs/>
                <w:lang w:val="en-US"/>
              </w:rPr>
            </w:pPr>
          </w:p>
        </w:tc>
      </w:tr>
      <w:tr w:rsidR="007F7FFC" w:rsidRPr="002008A1" w14:paraId="29745D89"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CE4D6"/>
            <w:noWrap/>
            <w:hideMark/>
          </w:tcPr>
          <w:p w14:paraId="797C2C3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112A</w:t>
            </w:r>
          </w:p>
        </w:tc>
        <w:tc>
          <w:tcPr>
            <w:tcW w:w="8429" w:type="dxa"/>
            <w:tcBorders>
              <w:top w:val="nil"/>
              <w:left w:val="nil"/>
              <w:bottom w:val="single" w:sz="4" w:space="0" w:color="auto"/>
              <w:right w:val="single" w:sz="4" w:space="0" w:color="auto"/>
            </w:tcBorders>
            <w:shd w:val="clear" w:color="000000" w:fill="FCE4D6"/>
            <w:noWrap/>
            <w:hideMark/>
          </w:tcPr>
          <w:p w14:paraId="2BB85AE6" w14:textId="0DE7B8B9"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assistance for </w:t>
            </w:r>
            <w:r w:rsidR="00835C1A" w:rsidRPr="002008A1">
              <w:rPr>
                <w:rFonts w:ascii="Times New Roman" w:eastAsia="Times New Roman" w:hAnsi="Times New Roman" w:cs="Times New Roman"/>
                <w:lang w:val="en-US"/>
              </w:rPr>
              <w:t>carrying</w:t>
            </w:r>
            <w:r w:rsidRPr="002008A1">
              <w:rPr>
                <w:rFonts w:ascii="Times New Roman" w:eastAsia="Times New Roman" w:hAnsi="Times New Roman" w:cs="Times New Roman"/>
                <w:lang w:val="en-US"/>
              </w:rPr>
              <w:t xml:space="preserve"> out the independent technical audits of civil works on the municipal sub-projects under LIID implementation</w:t>
            </w:r>
          </w:p>
        </w:tc>
        <w:tc>
          <w:tcPr>
            <w:tcW w:w="897" w:type="dxa"/>
            <w:tcBorders>
              <w:top w:val="nil"/>
              <w:left w:val="nil"/>
              <w:bottom w:val="single" w:sz="4" w:space="0" w:color="auto"/>
              <w:right w:val="single" w:sz="4" w:space="0" w:color="auto"/>
            </w:tcBorders>
            <w:shd w:val="clear" w:color="000000" w:fill="FCE4D6"/>
            <w:noWrap/>
            <w:hideMark/>
          </w:tcPr>
          <w:p w14:paraId="5A83F03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CE4D6"/>
            <w:noWrap/>
            <w:hideMark/>
          </w:tcPr>
          <w:p w14:paraId="12A32C7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CQS</w:t>
            </w:r>
          </w:p>
        </w:tc>
        <w:tc>
          <w:tcPr>
            <w:tcW w:w="719" w:type="dxa"/>
            <w:gridSpan w:val="2"/>
            <w:tcBorders>
              <w:top w:val="nil"/>
              <w:left w:val="nil"/>
              <w:bottom w:val="single" w:sz="4" w:space="0" w:color="auto"/>
              <w:right w:val="single" w:sz="4" w:space="0" w:color="auto"/>
            </w:tcBorders>
            <w:shd w:val="clear" w:color="000000" w:fill="FCE4D6"/>
            <w:noWrap/>
            <w:hideMark/>
          </w:tcPr>
          <w:p w14:paraId="18EDE42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CE4D6"/>
            <w:noWrap/>
            <w:hideMark/>
          </w:tcPr>
          <w:p w14:paraId="795700A9" w14:textId="316D83F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280.000,00</w:t>
            </w:r>
          </w:p>
        </w:tc>
        <w:tc>
          <w:tcPr>
            <w:tcW w:w="992" w:type="dxa"/>
            <w:tcBorders>
              <w:top w:val="nil"/>
              <w:left w:val="single" w:sz="4" w:space="0" w:color="auto"/>
              <w:bottom w:val="single" w:sz="4" w:space="0" w:color="auto"/>
              <w:right w:val="single" w:sz="4" w:space="0" w:color="auto"/>
            </w:tcBorders>
            <w:shd w:val="clear" w:color="000000" w:fill="FCE4D6"/>
            <w:noWrap/>
            <w:hideMark/>
          </w:tcPr>
          <w:p w14:paraId="19C158B2"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2023 Q3</w:t>
            </w:r>
          </w:p>
        </w:tc>
      </w:tr>
      <w:tr w:rsidR="007F7FFC" w:rsidRPr="002008A1" w14:paraId="4D9F776A"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CE4D6"/>
            <w:noWrap/>
            <w:hideMark/>
          </w:tcPr>
          <w:p w14:paraId="7035257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112B</w:t>
            </w:r>
          </w:p>
        </w:tc>
        <w:tc>
          <w:tcPr>
            <w:tcW w:w="8429" w:type="dxa"/>
            <w:tcBorders>
              <w:top w:val="nil"/>
              <w:left w:val="nil"/>
              <w:bottom w:val="single" w:sz="4" w:space="0" w:color="auto"/>
              <w:right w:val="single" w:sz="4" w:space="0" w:color="auto"/>
            </w:tcBorders>
            <w:shd w:val="clear" w:color="000000" w:fill="FCE4D6"/>
            <w:noWrap/>
            <w:hideMark/>
          </w:tcPr>
          <w:p w14:paraId="41EA1D44" w14:textId="516C79B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ESMPs and RAPs plus Trainings to LSG employees in supervision, safeguards ESMP and RAP, and designs</w:t>
            </w:r>
          </w:p>
        </w:tc>
        <w:tc>
          <w:tcPr>
            <w:tcW w:w="897" w:type="dxa"/>
            <w:tcBorders>
              <w:top w:val="nil"/>
              <w:left w:val="nil"/>
              <w:bottom w:val="single" w:sz="4" w:space="0" w:color="auto"/>
              <w:right w:val="single" w:sz="4" w:space="0" w:color="auto"/>
            </w:tcBorders>
            <w:shd w:val="clear" w:color="000000" w:fill="FCE4D6"/>
            <w:noWrap/>
            <w:hideMark/>
          </w:tcPr>
          <w:p w14:paraId="4D71A2FA"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CE4D6"/>
            <w:noWrap/>
            <w:hideMark/>
          </w:tcPr>
          <w:p w14:paraId="1B863288"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FCE4D6"/>
            <w:noWrap/>
            <w:hideMark/>
          </w:tcPr>
          <w:p w14:paraId="064D397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CE4D6"/>
            <w:noWrap/>
            <w:hideMark/>
          </w:tcPr>
          <w:p w14:paraId="5BA33F15" w14:textId="49872DCA"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400.000,00</w:t>
            </w:r>
          </w:p>
        </w:tc>
        <w:tc>
          <w:tcPr>
            <w:tcW w:w="992" w:type="dxa"/>
            <w:tcBorders>
              <w:top w:val="nil"/>
              <w:left w:val="single" w:sz="4" w:space="0" w:color="auto"/>
              <w:bottom w:val="single" w:sz="4" w:space="0" w:color="auto"/>
              <w:right w:val="single" w:sz="4" w:space="0" w:color="auto"/>
            </w:tcBorders>
            <w:shd w:val="clear" w:color="000000" w:fill="FCE4D6"/>
            <w:noWrap/>
            <w:hideMark/>
          </w:tcPr>
          <w:p w14:paraId="20B7FE32"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7734B12B"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CE4D6"/>
            <w:noWrap/>
            <w:hideMark/>
          </w:tcPr>
          <w:p w14:paraId="79B500A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112C</w:t>
            </w:r>
          </w:p>
        </w:tc>
        <w:tc>
          <w:tcPr>
            <w:tcW w:w="8429" w:type="dxa"/>
            <w:tcBorders>
              <w:top w:val="nil"/>
              <w:left w:val="nil"/>
              <w:bottom w:val="single" w:sz="4" w:space="0" w:color="auto"/>
              <w:right w:val="single" w:sz="4" w:space="0" w:color="auto"/>
            </w:tcBorders>
            <w:shd w:val="clear" w:color="000000" w:fill="FCE4D6"/>
            <w:noWrap/>
            <w:hideMark/>
          </w:tcPr>
          <w:p w14:paraId="2FE652F8"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Technical assistance for road safety audit of selected financed projects</w:t>
            </w:r>
          </w:p>
        </w:tc>
        <w:tc>
          <w:tcPr>
            <w:tcW w:w="897" w:type="dxa"/>
            <w:tcBorders>
              <w:top w:val="nil"/>
              <w:left w:val="nil"/>
              <w:bottom w:val="single" w:sz="4" w:space="0" w:color="auto"/>
              <w:right w:val="single" w:sz="4" w:space="0" w:color="auto"/>
            </w:tcBorders>
            <w:shd w:val="clear" w:color="000000" w:fill="FCE4D6"/>
            <w:noWrap/>
            <w:hideMark/>
          </w:tcPr>
          <w:p w14:paraId="3209C13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CE4D6"/>
            <w:noWrap/>
            <w:hideMark/>
          </w:tcPr>
          <w:p w14:paraId="3B45717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FCE4D6"/>
            <w:noWrap/>
            <w:hideMark/>
          </w:tcPr>
          <w:p w14:paraId="721F5F1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CE4D6"/>
            <w:noWrap/>
            <w:hideMark/>
          </w:tcPr>
          <w:p w14:paraId="3890B6CC" w14:textId="61F467F6"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320.000,00</w:t>
            </w:r>
          </w:p>
        </w:tc>
        <w:tc>
          <w:tcPr>
            <w:tcW w:w="992" w:type="dxa"/>
            <w:tcBorders>
              <w:top w:val="nil"/>
              <w:left w:val="single" w:sz="4" w:space="0" w:color="auto"/>
              <w:bottom w:val="single" w:sz="4" w:space="0" w:color="auto"/>
              <w:right w:val="single" w:sz="4" w:space="0" w:color="auto"/>
            </w:tcBorders>
            <w:shd w:val="clear" w:color="000000" w:fill="FCE4D6"/>
            <w:noWrap/>
            <w:hideMark/>
          </w:tcPr>
          <w:p w14:paraId="22C19317"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2023 Q3</w:t>
            </w:r>
          </w:p>
        </w:tc>
      </w:tr>
      <w:tr w:rsidR="007F7FFC" w:rsidRPr="002008A1" w14:paraId="210C2A7C" w14:textId="77777777" w:rsidTr="007F7FFC">
        <w:trPr>
          <w:trHeight w:val="340"/>
        </w:trPr>
        <w:tc>
          <w:tcPr>
            <w:tcW w:w="9329" w:type="dxa"/>
            <w:gridSpan w:val="2"/>
            <w:tcBorders>
              <w:top w:val="nil"/>
              <w:left w:val="single" w:sz="4" w:space="0" w:color="auto"/>
              <w:bottom w:val="single" w:sz="4" w:space="0" w:color="auto"/>
              <w:right w:val="single" w:sz="4" w:space="0" w:color="auto"/>
            </w:tcBorders>
            <w:shd w:val="clear" w:color="000000" w:fill="FCE4D6"/>
            <w:noWrap/>
            <w:hideMark/>
          </w:tcPr>
          <w:p w14:paraId="70F349D0" w14:textId="0DA63CBE" w:rsidR="007F7FFC" w:rsidRPr="002008A1" w:rsidRDefault="007F7FFC"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Sub</w:t>
            </w:r>
            <w:r w:rsidR="00112766">
              <w:rPr>
                <w:rFonts w:ascii="Times New Roman" w:eastAsia="Times New Roman" w:hAnsi="Times New Roman" w:cs="Times New Roman"/>
                <w:b/>
                <w:bCs/>
                <w:lang w:val="en-US"/>
              </w:rPr>
              <w:t>c</w:t>
            </w:r>
            <w:r w:rsidRPr="002008A1">
              <w:rPr>
                <w:rFonts w:ascii="Times New Roman" w:eastAsia="Times New Roman" w:hAnsi="Times New Roman" w:cs="Times New Roman"/>
                <w:b/>
                <w:bCs/>
                <w:lang w:val="en-US"/>
              </w:rPr>
              <w:t>omponent 1.2 Sustainable Mobility</w:t>
            </w:r>
          </w:p>
          <w:p w14:paraId="6161FE28" w14:textId="1160445B"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897" w:type="dxa"/>
            <w:tcBorders>
              <w:top w:val="nil"/>
              <w:left w:val="nil"/>
              <w:bottom w:val="single" w:sz="4" w:space="0" w:color="auto"/>
              <w:right w:val="single" w:sz="4" w:space="0" w:color="auto"/>
            </w:tcBorders>
            <w:shd w:val="clear" w:color="000000" w:fill="FCE4D6"/>
            <w:noWrap/>
            <w:hideMark/>
          </w:tcPr>
          <w:p w14:paraId="076035FA" w14:textId="352B20B7"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755" w:type="dxa"/>
            <w:tcBorders>
              <w:top w:val="nil"/>
              <w:left w:val="nil"/>
              <w:bottom w:val="single" w:sz="4" w:space="0" w:color="auto"/>
              <w:right w:val="single" w:sz="4" w:space="0" w:color="auto"/>
            </w:tcBorders>
            <w:shd w:val="clear" w:color="000000" w:fill="FCE4D6"/>
            <w:noWrap/>
            <w:hideMark/>
          </w:tcPr>
          <w:p w14:paraId="11036B73" w14:textId="5292D529"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719" w:type="dxa"/>
            <w:gridSpan w:val="2"/>
            <w:tcBorders>
              <w:top w:val="nil"/>
              <w:left w:val="nil"/>
              <w:bottom w:val="single" w:sz="4" w:space="0" w:color="auto"/>
              <w:right w:val="single" w:sz="4" w:space="0" w:color="auto"/>
            </w:tcBorders>
            <w:shd w:val="clear" w:color="000000" w:fill="FCE4D6"/>
            <w:noWrap/>
            <w:hideMark/>
          </w:tcPr>
          <w:p w14:paraId="4B3DD406" w14:textId="66086713"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1702" w:type="dxa"/>
            <w:gridSpan w:val="3"/>
            <w:tcBorders>
              <w:top w:val="nil"/>
              <w:left w:val="nil"/>
              <w:bottom w:val="single" w:sz="4" w:space="0" w:color="auto"/>
              <w:right w:val="single" w:sz="4" w:space="0" w:color="auto"/>
            </w:tcBorders>
            <w:shd w:val="clear" w:color="000000" w:fill="FCE4D6"/>
            <w:noWrap/>
            <w:hideMark/>
          </w:tcPr>
          <w:p w14:paraId="1DFBBB54" w14:textId="6B67344B" w:rsidR="007F7FFC" w:rsidRPr="002008A1" w:rsidRDefault="007F7FFC"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8.500.000,00</w:t>
            </w:r>
          </w:p>
        </w:tc>
        <w:tc>
          <w:tcPr>
            <w:tcW w:w="992" w:type="dxa"/>
            <w:tcBorders>
              <w:top w:val="nil"/>
              <w:left w:val="nil"/>
              <w:bottom w:val="single" w:sz="4" w:space="0" w:color="auto"/>
              <w:right w:val="single" w:sz="4" w:space="0" w:color="auto"/>
            </w:tcBorders>
            <w:shd w:val="clear" w:color="000000" w:fill="FCE4D6"/>
            <w:noWrap/>
            <w:hideMark/>
          </w:tcPr>
          <w:p w14:paraId="5D4E547D" w14:textId="714E0CC4"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1F115E29"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CE4D6"/>
            <w:noWrap/>
            <w:hideMark/>
          </w:tcPr>
          <w:p w14:paraId="6AC6A02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121</w:t>
            </w:r>
          </w:p>
        </w:tc>
        <w:tc>
          <w:tcPr>
            <w:tcW w:w="8429" w:type="dxa"/>
            <w:tcBorders>
              <w:top w:val="nil"/>
              <w:left w:val="nil"/>
              <w:bottom w:val="single" w:sz="4" w:space="0" w:color="auto"/>
              <w:right w:val="single" w:sz="4" w:space="0" w:color="auto"/>
            </w:tcBorders>
            <w:shd w:val="clear" w:color="000000" w:fill="FCE4D6"/>
            <w:noWrap/>
            <w:hideMark/>
          </w:tcPr>
          <w:p w14:paraId="60FBC2FA" w14:textId="3D750CF5"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Advisory for Improvement Local Road Management including development of national policy for management and financing, inventories and RAMS, multiannual infrastructure planning and pipeline identification, and climate </w:t>
            </w:r>
            <w:r w:rsidR="00835C1A" w:rsidRPr="002008A1">
              <w:rPr>
                <w:rFonts w:ascii="Times New Roman" w:eastAsia="Times New Roman" w:hAnsi="Times New Roman" w:cs="Times New Roman"/>
                <w:lang w:val="en-US"/>
              </w:rPr>
              <w:t>vulnerability</w:t>
            </w:r>
            <w:r w:rsidRPr="002008A1">
              <w:rPr>
                <w:rFonts w:ascii="Times New Roman" w:eastAsia="Times New Roman" w:hAnsi="Times New Roman" w:cs="Times New Roman"/>
                <w:lang w:val="en-US"/>
              </w:rPr>
              <w:t xml:space="preserve"> screening and air pollution and noise monitoring</w:t>
            </w:r>
          </w:p>
        </w:tc>
        <w:tc>
          <w:tcPr>
            <w:tcW w:w="897" w:type="dxa"/>
            <w:tcBorders>
              <w:top w:val="nil"/>
              <w:left w:val="nil"/>
              <w:bottom w:val="single" w:sz="4" w:space="0" w:color="auto"/>
              <w:right w:val="single" w:sz="4" w:space="0" w:color="auto"/>
            </w:tcBorders>
            <w:shd w:val="clear" w:color="000000" w:fill="FCE4D6"/>
            <w:noWrap/>
            <w:hideMark/>
          </w:tcPr>
          <w:p w14:paraId="3573C89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CE4D6"/>
            <w:noWrap/>
            <w:hideMark/>
          </w:tcPr>
          <w:p w14:paraId="35E20AB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FCE4D6"/>
            <w:noWrap/>
            <w:hideMark/>
          </w:tcPr>
          <w:p w14:paraId="3BC0DBA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single" w:sz="4" w:space="0" w:color="auto"/>
              <w:right w:val="single" w:sz="4" w:space="0" w:color="auto"/>
            </w:tcBorders>
            <w:shd w:val="clear" w:color="000000" w:fill="FCE4D6"/>
            <w:noWrap/>
            <w:hideMark/>
          </w:tcPr>
          <w:p w14:paraId="70B67339" w14:textId="5A4CAE3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3.600.000,00</w:t>
            </w:r>
          </w:p>
        </w:tc>
        <w:tc>
          <w:tcPr>
            <w:tcW w:w="992" w:type="dxa"/>
            <w:tcBorders>
              <w:top w:val="nil"/>
              <w:left w:val="nil"/>
              <w:bottom w:val="single" w:sz="4" w:space="0" w:color="auto"/>
              <w:right w:val="single" w:sz="4" w:space="0" w:color="auto"/>
            </w:tcBorders>
            <w:shd w:val="clear" w:color="000000" w:fill="FCE4D6"/>
            <w:noWrap/>
            <w:hideMark/>
          </w:tcPr>
          <w:p w14:paraId="226F3357"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Q4</w:t>
            </w:r>
          </w:p>
        </w:tc>
      </w:tr>
      <w:tr w:rsidR="007F7FFC" w:rsidRPr="002008A1" w14:paraId="149A5C13"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CE4D6"/>
            <w:noWrap/>
            <w:hideMark/>
          </w:tcPr>
          <w:p w14:paraId="7855FE4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122</w:t>
            </w:r>
          </w:p>
        </w:tc>
        <w:tc>
          <w:tcPr>
            <w:tcW w:w="8429" w:type="dxa"/>
            <w:tcBorders>
              <w:top w:val="nil"/>
              <w:left w:val="nil"/>
              <w:bottom w:val="single" w:sz="4" w:space="0" w:color="auto"/>
              <w:right w:val="single" w:sz="4" w:space="0" w:color="auto"/>
            </w:tcBorders>
            <w:shd w:val="clear" w:color="000000" w:fill="FCE4D6"/>
            <w:noWrap/>
            <w:hideMark/>
          </w:tcPr>
          <w:p w14:paraId="1609745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Technical assistance for improving road safety of children, preparation of intervention action plan, sample BDs for typical situation, and training to the municipal staff</w:t>
            </w:r>
          </w:p>
        </w:tc>
        <w:tc>
          <w:tcPr>
            <w:tcW w:w="897" w:type="dxa"/>
            <w:tcBorders>
              <w:top w:val="nil"/>
              <w:left w:val="nil"/>
              <w:bottom w:val="single" w:sz="4" w:space="0" w:color="auto"/>
              <w:right w:val="single" w:sz="4" w:space="0" w:color="auto"/>
            </w:tcBorders>
            <w:shd w:val="clear" w:color="000000" w:fill="FCE4D6"/>
            <w:noWrap/>
            <w:hideMark/>
          </w:tcPr>
          <w:p w14:paraId="03BFFEA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CE4D6"/>
            <w:noWrap/>
            <w:hideMark/>
          </w:tcPr>
          <w:p w14:paraId="7798FB1F"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FCE4D6"/>
            <w:noWrap/>
            <w:hideMark/>
          </w:tcPr>
          <w:p w14:paraId="42E6C5C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single" w:sz="4" w:space="0" w:color="auto"/>
            </w:tcBorders>
            <w:shd w:val="clear" w:color="000000" w:fill="FCE4D6"/>
            <w:noWrap/>
            <w:hideMark/>
          </w:tcPr>
          <w:p w14:paraId="2A3E4454" w14:textId="4AC46D4A"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300.000,00</w:t>
            </w:r>
          </w:p>
        </w:tc>
        <w:tc>
          <w:tcPr>
            <w:tcW w:w="992" w:type="dxa"/>
            <w:tcBorders>
              <w:top w:val="nil"/>
              <w:left w:val="nil"/>
              <w:bottom w:val="single" w:sz="4" w:space="0" w:color="auto"/>
              <w:right w:val="single" w:sz="4" w:space="0" w:color="auto"/>
            </w:tcBorders>
            <w:shd w:val="clear" w:color="000000" w:fill="FCE4D6"/>
            <w:noWrap/>
            <w:hideMark/>
          </w:tcPr>
          <w:p w14:paraId="31D0069C"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Q3</w:t>
            </w:r>
          </w:p>
        </w:tc>
      </w:tr>
      <w:tr w:rsidR="007F7FFC" w:rsidRPr="002008A1" w14:paraId="1261EF01" w14:textId="77777777" w:rsidTr="007F7FFC">
        <w:trPr>
          <w:trHeight w:val="340"/>
        </w:trPr>
        <w:tc>
          <w:tcPr>
            <w:tcW w:w="900" w:type="dxa"/>
            <w:tcBorders>
              <w:top w:val="nil"/>
              <w:left w:val="single" w:sz="4" w:space="0" w:color="auto"/>
              <w:bottom w:val="nil"/>
              <w:right w:val="single" w:sz="4" w:space="0" w:color="auto"/>
            </w:tcBorders>
            <w:shd w:val="clear" w:color="000000" w:fill="FCE4D6"/>
            <w:noWrap/>
            <w:hideMark/>
          </w:tcPr>
          <w:p w14:paraId="00CB10B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123</w:t>
            </w:r>
          </w:p>
        </w:tc>
        <w:tc>
          <w:tcPr>
            <w:tcW w:w="8429" w:type="dxa"/>
            <w:tcBorders>
              <w:top w:val="nil"/>
              <w:left w:val="nil"/>
              <w:bottom w:val="nil"/>
              <w:right w:val="single" w:sz="4" w:space="0" w:color="auto"/>
            </w:tcBorders>
            <w:shd w:val="clear" w:color="000000" w:fill="FCE4D6"/>
            <w:noWrap/>
            <w:hideMark/>
          </w:tcPr>
          <w:p w14:paraId="094DA8E2" w14:textId="417B9D75"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assistance for pilot development of missing </w:t>
            </w:r>
            <w:r w:rsidR="00835C1A" w:rsidRPr="002008A1">
              <w:rPr>
                <w:rFonts w:ascii="Times New Roman" w:eastAsia="Times New Roman" w:hAnsi="Times New Roman" w:cs="Times New Roman"/>
                <w:lang w:val="en-US"/>
              </w:rPr>
              <w:t>Sustainable</w:t>
            </w:r>
            <w:r w:rsidRPr="002008A1">
              <w:rPr>
                <w:rFonts w:ascii="Times New Roman" w:eastAsia="Times New Roman" w:hAnsi="Times New Roman" w:cs="Times New Roman"/>
                <w:lang w:val="en-US"/>
              </w:rPr>
              <w:t xml:space="preserve"> Urban Mobility Plans (SUMPS) </w:t>
            </w:r>
            <w:r w:rsidR="00835C1A" w:rsidRPr="002008A1">
              <w:rPr>
                <w:rFonts w:ascii="Times New Roman" w:eastAsia="Times New Roman" w:hAnsi="Times New Roman" w:cs="Times New Roman"/>
                <w:lang w:val="en-US"/>
              </w:rPr>
              <w:t>across</w:t>
            </w:r>
            <w:r w:rsidRPr="002008A1">
              <w:rPr>
                <w:rFonts w:ascii="Times New Roman" w:eastAsia="Times New Roman" w:hAnsi="Times New Roman" w:cs="Times New Roman"/>
                <w:lang w:val="en-US"/>
              </w:rPr>
              <w:t xml:space="preserve"> Serbia by taking into consideration women, vulnerable groups, active mobility, and public transport and </w:t>
            </w:r>
            <w:r w:rsidR="00835C1A" w:rsidRPr="002008A1">
              <w:rPr>
                <w:rFonts w:ascii="Times New Roman" w:eastAsia="Times New Roman" w:hAnsi="Times New Roman" w:cs="Times New Roman"/>
                <w:lang w:val="en-US"/>
              </w:rPr>
              <w:t>establishment</w:t>
            </w:r>
            <w:r w:rsidRPr="002008A1">
              <w:rPr>
                <w:rFonts w:ascii="Times New Roman" w:eastAsia="Times New Roman" w:hAnsi="Times New Roman" w:cs="Times New Roman"/>
                <w:lang w:val="en-US"/>
              </w:rPr>
              <w:t xml:space="preserve"> of Community of practice (CoP) and interactive</w:t>
            </w:r>
            <w:r w:rsidR="001B4196">
              <w:rPr>
                <w:rFonts w:ascii="Times New Roman" w:eastAsia="Times New Roman" w:hAnsi="Times New Roman" w:cs="Times New Roman"/>
                <w:lang w:val="en-US"/>
              </w:rPr>
              <w:t xml:space="preserve"> </w:t>
            </w:r>
            <w:r w:rsidRPr="002008A1">
              <w:rPr>
                <w:rFonts w:ascii="Times New Roman" w:eastAsia="Times New Roman" w:hAnsi="Times New Roman" w:cs="Times New Roman"/>
                <w:lang w:val="en-US"/>
              </w:rPr>
              <w:t>guidelines</w:t>
            </w:r>
          </w:p>
        </w:tc>
        <w:tc>
          <w:tcPr>
            <w:tcW w:w="897" w:type="dxa"/>
            <w:tcBorders>
              <w:top w:val="nil"/>
              <w:left w:val="nil"/>
              <w:bottom w:val="nil"/>
              <w:right w:val="single" w:sz="4" w:space="0" w:color="auto"/>
            </w:tcBorders>
            <w:shd w:val="clear" w:color="000000" w:fill="FCE4D6"/>
            <w:noWrap/>
            <w:hideMark/>
          </w:tcPr>
          <w:p w14:paraId="03549C8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nil"/>
              <w:right w:val="single" w:sz="4" w:space="0" w:color="auto"/>
            </w:tcBorders>
            <w:shd w:val="clear" w:color="000000" w:fill="FCE4D6"/>
            <w:noWrap/>
            <w:hideMark/>
          </w:tcPr>
          <w:p w14:paraId="6004BAE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nil"/>
              <w:right w:val="single" w:sz="4" w:space="0" w:color="auto"/>
            </w:tcBorders>
            <w:shd w:val="clear" w:color="000000" w:fill="FCE4D6"/>
            <w:noWrap/>
            <w:hideMark/>
          </w:tcPr>
          <w:p w14:paraId="3082C3F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nil"/>
              <w:right w:val="nil"/>
            </w:tcBorders>
            <w:shd w:val="clear" w:color="000000" w:fill="FCE4D6"/>
            <w:noWrap/>
            <w:hideMark/>
          </w:tcPr>
          <w:p w14:paraId="23A4A895" w14:textId="0C9D6AD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3.900.000,00</w:t>
            </w:r>
          </w:p>
        </w:tc>
        <w:tc>
          <w:tcPr>
            <w:tcW w:w="992" w:type="dxa"/>
            <w:tcBorders>
              <w:top w:val="nil"/>
              <w:left w:val="single" w:sz="4" w:space="0" w:color="auto"/>
              <w:bottom w:val="nil"/>
              <w:right w:val="single" w:sz="4" w:space="0" w:color="auto"/>
            </w:tcBorders>
            <w:shd w:val="clear" w:color="000000" w:fill="FCE4D6"/>
            <w:noWrap/>
            <w:hideMark/>
          </w:tcPr>
          <w:p w14:paraId="7EE42B66"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Q3</w:t>
            </w:r>
          </w:p>
        </w:tc>
      </w:tr>
      <w:tr w:rsidR="007F7FFC" w:rsidRPr="002008A1" w14:paraId="323FFCA9" w14:textId="77777777" w:rsidTr="007F7FFC">
        <w:trPr>
          <w:trHeight w:val="340"/>
        </w:trPr>
        <w:tc>
          <w:tcPr>
            <w:tcW w:w="900" w:type="dxa"/>
            <w:tcBorders>
              <w:top w:val="single" w:sz="4" w:space="0" w:color="auto"/>
              <w:left w:val="single" w:sz="4" w:space="0" w:color="auto"/>
              <w:bottom w:val="single" w:sz="4" w:space="0" w:color="auto"/>
              <w:right w:val="single" w:sz="4" w:space="0" w:color="auto"/>
            </w:tcBorders>
            <w:shd w:val="clear" w:color="000000" w:fill="FCE4D6"/>
            <w:noWrap/>
            <w:hideMark/>
          </w:tcPr>
          <w:p w14:paraId="521AB21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124</w:t>
            </w:r>
          </w:p>
        </w:tc>
        <w:tc>
          <w:tcPr>
            <w:tcW w:w="8429" w:type="dxa"/>
            <w:tcBorders>
              <w:top w:val="single" w:sz="4" w:space="0" w:color="auto"/>
              <w:left w:val="nil"/>
              <w:bottom w:val="single" w:sz="4" w:space="0" w:color="auto"/>
              <w:right w:val="single" w:sz="4" w:space="0" w:color="auto"/>
            </w:tcBorders>
            <w:shd w:val="clear" w:color="000000" w:fill="FCE4D6"/>
            <w:noWrap/>
            <w:hideMark/>
          </w:tcPr>
          <w:p w14:paraId="652EBCB9" w14:textId="24F10BEC"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Call for proposal to finance</w:t>
            </w:r>
            <w:r w:rsidR="001B4196">
              <w:rPr>
                <w:rFonts w:ascii="Times New Roman" w:eastAsia="Times New Roman" w:hAnsi="Times New Roman" w:cs="Times New Roman"/>
                <w:lang w:val="en-US"/>
              </w:rPr>
              <w:t xml:space="preserve"> </w:t>
            </w:r>
            <w:r w:rsidRPr="002008A1">
              <w:rPr>
                <w:rFonts w:ascii="Times New Roman" w:eastAsia="Times New Roman" w:hAnsi="Times New Roman" w:cs="Times New Roman"/>
                <w:lang w:val="en-US"/>
              </w:rPr>
              <w:t>7 smart urban mobility pilots and templates for Smart City contracts, open data where possible</w:t>
            </w:r>
          </w:p>
        </w:tc>
        <w:tc>
          <w:tcPr>
            <w:tcW w:w="897" w:type="dxa"/>
            <w:tcBorders>
              <w:top w:val="single" w:sz="4" w:space="0" w:color="auto"/>
              <w:left w:val="nil"/>
              <w:bottom w:val="single" w:sz="4" w:space="0" w:color="auto"/>
              <w:right w:val="single" w:sz="4" w:space="0" w:color="auto"/>
            </w:tcBorders>
            <w:shd w:val="clear" w:color="000000" w:fill="FCE4D6"/>
            <w:noWrap/>
            <w:hideMark/>
          </w:tcPr>
          <w:p w14:paraId="4D0AF10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755" w:type="dxa"/>
            <w:tcBorders>
              <w:top w:val="single" w:sz="4" w:space="0" w:color="auto"/>
              <w:left w:val="nil"/>
              <w:bottom w:val="single" w:sz="4" w:space="0" w:color="auto"/>
              <w:right w:val="single" w:sz="4" w:space="0" w:color="auto"/>
            </w:tcBorders>
            <w:shd w:val="clear" w:color="000000" w:fill="FCE4D6"/>
            <w:noWrap/>
            <w:hideMark/>
          </w:tcPr>
          <w:p w14:paraId="37CD81F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719" w:type="dxa"/>
            <w:gridSpan w:val="2"/>
            <w:tcBorders>
              <w:top w:val="single" w:sz="4" w:space="0" w:color="auto"/>
              <w:left w:val="nil"/>
              <w:bottom w:val="single" w:sz="4" w:space="0" w:color="auto"/>
              <w:right w:val="single" w:sz="4" w:space="0" w:color="auto"/>
            </w:tcBorders>
            <w:shd w:val="clear" w:color="000000" w:fill="FCE4D6"/>
            <w:noWrap/>
            <w:hideMark/>
          </w:tcPr>
          <w:p w14:paraId="6200CF0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1702" w:type="dxa"/>
            <w:gridSpan w:val="3"/>
            <w:tcBorders>
              <w:top w:val="single" w:sz="4" w:space="0" w:color="auto"/>
              <w:left w:val="nil"/>
              <w:bottom w:val="single" w:sz="4" w:space="0" w:color="auto"/>
              <w:right w:val="single" w:sz="4" w:space="0" w:color="auto"/>
            </w:tcBorders>
            <w:shd w:val="clear" w:color="000000" w:fill="FCE4D6"/>
            <w:noWrap/>
            <w:hideMark/>
          </w:tcPr>
          <w:p w14:paraId="5414277F" w14:textId="590B8BFE"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700.000,00</w:t>
            </w:r>
          </w:p>
        </w:tc>
        <w:tc>
          <w:tcPr>
            <w:tcW w:w="992" w:type="dxa"/>
            <w:tcBorders>
              <w:top w:val="single" w:sz="4" w:space="0" w:color="auto"/>
              <w:left w:val="nil"/>
              <w:bottom w:val="single" w:sz="4" w:space="0" w:color="auto"/>
              <w:right w:val="single" w:sz="4" w:space="0" w:color="auto"/>
            </w:tcBorders>
            <w:shd w:val="clear" w:color="000000" w:fill="FCE4D6"/>
            <w:noWrap/>
            <w:hideMark/>
          </w:tcPr>
          <w:p w14:paraId="243C240E"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Q4</w:t>
            </w:r>
          </w:p>
        </w:tc>
      </w:tr>
      <w:tr w:rsidR="007F7FFC" w:rsidRPr="002008A1" w14:paraId="1FD51D2D" w14:textId="77777777" w:rsidTr="007F7FFC">
        <w:trPr>
          <w:trHeight w:val="340"/>
        </w:trPr>
        <w:tc>
          <w:tcPr>
            <w:tcW w:w="900" w:type="dxa"/>
            <w:tcBorders>
              <w:top w:val="nil"/>
              <w:left w:val="single" w:sz="4" w:space="0" w:color="auto"/>
              <w:bottom w:val="single" w:sz="4" w:space="0" w:color="auto"/>
              <w:right w:val="nil"/>
            </w:tcBorders>
            <w:shd w:val="clear" w:color="000000" w:fill="FCE4D6"/>
            <w:noWrap/>
            <w:hideMark/>
          </w:tcPr>
          <w:p w14:paraId="5BCCB57C" w14:textId="2B066704"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nil"/>
            </w:tcBorders>
            <w:shd w:val="clear" w:color="000000" w:fill="FCE4D6"/>
            <w:noWrap/>
            <w:hideMark/>
          </w:tcPr>
          <w:p w14:paraId="575B4AEF" w14:textId="2FAAD2D4"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97" w:type="dxa"/>
            <w:tcBorders>
              <w:top w:val="nil"/>
              <w:left w:val="nil"/>
              <w:bottom w:val="single" w:sz="4" w:space="0" w:color="auto"/>
              <w:right w:val="nil"/>
            </w:tcBorders>
            <w:shd w:val="clear" w:color="000000" w:fill="FCE4D6"/>
            <w:noWrap/>
            <w:hideMark/>
          </w:tcPr>
          <w:p w14:paraId="64569A73" w14:textId="4766E8B4"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755" w:type="dxa"/>
            <w:tcBorders>
              <w:top w:val="nil"/>
              <w:left w:val="nil"/>
              <w:bottom w:val="single" w:sz="4" w:space="0" w:color="auto"/>
              <w:right w:val="nil"/>
            </w:tcBorders>
            <w:shd w:val="clear" w:color="000000" w:fill="FCE4D6"/>
            <w:noWrap/>
            <w:hideMark/>
          </w:tcPr>
          <w:p w14:paraId="69700FA2" w14:textId="51FA2B7D"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719" w:type="dxa"/>
            <w:gridSpan w:val="2"/>
            <w:tcBorders>
              <w:top w:val="nil"/>
              <w:left w:val="nil"/>
              <w:bottom w:val="single" w:sz="4" w:space="0" w:color="auto"/>
              <w:right w:val="single" w:sz="4" w:space="0" w:color="auto"/>
            </w:tcBorders>
            <w:shd w:val="clear" w:color="000000" w:fill="FCE4D6"/>
            <w:noWrap/>
            <w:hideMark/>
          </w:tcPr>
          <w:p w14:paraId="0B149C3C" w14:textId="05633C0C"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1702" w:type="dxa"/>
            <w:gridSpan w:val="3"/>
            <w:tcBorders>
              <w:top w:val="nil"/>
              <w:left w:val="nil"/>
              <w:bottom w:val="single" w:sz="4" w:space="0" w:color="auto"/>
              <w:right w:val="single" w:sz="4" w:space="0" w:color="auto"/>
            </w:tcBorders>
            <w:shd w:val="clear" w:color="000000" w:fill="FCE4D6"/>
            <w:noWrap/>
            <w:hideMark/>
          </w:tcPr>
          <w:p w14:paraId="30BA703B" w14:textId="4B033F79"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992" w:type="dxa"/>
            <w:tcBorders>
              <w:top w:val="nil"/>
              <w:left w:val="nil"/>
              <w:bottom w:val="single" w:sz="4" w:space="0" w:color="auto"/>
              <w:right w:val="single" w:sz="4" w:space="0" w:color="auto"/>
            </w:tcBorders>
            <w:shd w:val="clear" w:color="000000" w:fill="FCE4D6"/>
            <w:noWrap/>
            <w:hideMark/>
          </w:tcPr>
          <w:p w14:paraId="7B705761" w14:textId="56A6D7C0"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1D3A8423" w14:textId="77777777" w:rsidTr="007F7FFC">
        <w:trPr>
          <w:trHeight w:val="340"/>
        </w:trPr>
        <w:tc>
          <w:tcPr>
            <w:tcW w:w="9329" w:type="dxa"/>
            <w:gridSpan w:val="2"/>
            <w:tcBorders>
              <w:top w:val="nil"/>
              <w:left w:val="single" w:sz="4" w:space="0" w:color="auto"/>
              <w:bottom w:val="single" w:sz="4" w:space="0" w:color="auto"/>
              <w:right w:val="nil"/>
            </w:tcBorders>
            <w:shd w:val="clear" w:color="000000" w:fill="DDEBF7"/>
            <w:noWrap/>
            <w:hideMark/>
          </w:tcPr>
          <w:p w14:paraId="4DCD0144" w14:textId="000EA0CF" w:rsidR="002008A1" w:rsidRPr="002008A1" w:rsidRDefault="002008A1" w:rsidP="00C307B0">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 xml:space="preserve">Component 2 </w:t>
            </w:r>
            <w:r w:rsidR="000F157C">
              <w:rPr>
                <w:rFonts w:ascii="Times New Roman" w:eastAsia="Times New Roman" w:hAnsi="Times New Roman" w:cs="Times New Roman"/>
                <w:b/>
                <w:bCs/>
                <w:lang w:val="en-US"/>
              </w:rPr>
              <w:t>S</w:t>
            </w:r>
            <w:r w:rsidR="00835C1A" w:rsidRPr="002008A1">
              <w:rPr>
                <w:rFonts w:ascii="Times New Roman" w:eastAsia="Times New Roman" w:hAnsi="Times New Roman" w:cs="Times New Roman"/>
                <w:b/>
                <w:bCs/>
                <w:lang w:val="en-US"/>
              </w:rPr>
              <w:t>trengthening</w:t>
            </w:r>
            <w:r w:rsidRPr="002008A1">
              <w:rPr>
                <w:rFonts w:ascii="Times New Roman" w:eastAsia="Times New Roman" w:hAnsi="Times New Roman" w:cs="Times New Roman"/>
                <w:b/>
                <w:bCs/>
                <w:lang w:val="en-US"/>
              </w:rPr>
              <w:t xml:space="preserve"> </w:t>
            </w:r>
            <w:r w:rsidR="000F157C">
              <w:rPr>
                <w:rFonts w:ascii="Times New Roman" w:eastAsia="Times New Roman" w:hAnsi="Times New Roman" w:cs="Times New Roman"/>
                <w:b/>
                <w:bCs/>
                <w:lang w:val="en-US"/>
              </w:rPr>
              <w:t>capacity</w:t>
            </w:r>
            <w:r w:rsidRPr="002008A1">
              <w:rPr>
                <w:rFonts w:ascii="Times New Roman" w:eastAsia="Times New Roman" w:hAnsi="Times New Roman" w:cs="Times New Roman"/>
                <w:b/>
                <w:bCs/>
                <w:lang w:val="en-US"/>
              </w:rPr>
              <w:t xml:space="preserve"> for infrastructure service delivery</w:t>
            </w:r>
          </w:p>
        </w:tc>
        <w:tc>
          <w:tcPr>
            <w:tcW w:w="897" w:type="dxa"/>
            <w:tcBorders>
              <w:top w:val="nil"/>
              <w:left w:val="nil"/>
              <w:bottom w:val="single" w:sz="4" w:space="0" w:color="auto"/>
              <w:right w:val="nil"/>
            </w:tcBorders>
            <w:shd w:val="clear" w:color="000000" w:fill="DDEBF7"/>
            <w:noWrap/>
            <w:hideMark/>
          </w:tcPr>
          <w:p w14:paraId="4CB67734" w14:textId="49AF3553"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755" w:type="dxa"/>
            <w:tcBorders>
              <w:top w:val="nil"/>
              <w:left w:val="nil"/>
              <w:bottom w:val="single" w:sz="4" w:space="0" w:color="auto"/>
              <w:right w:val="nil"/>
            </w:tcBorders>
            <w:shd w:val="clear" w:color="000000" w:fill="DDEBF7"/>
            <w:noWrap/>
            <w:hideMark/>
          </w:tcPr>
          <w:p w14:paraId="0F07D624" w14:textId="619D8286"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719" w:type="dxa"/>
            <w:gridSpan w:val="2"/>
            <w:tcBorders>
              <w:top w:val="nil"/>
              <w:left w:val="nil"/>
              <w:bottom w:val="single" w:sz="4" w:space="0" w:color="auto"/>
              <w:right w:val="single" w:sz="4" w:space="0" w:color="auto"/>
            </w:tcBorders>
            <w:shd w:val="clear" w:color="000000" w:fill="DDEBF7"/>
            <w:noWrap/>
            <w:hideMark/>
          </w:tcPr>
          <w:p w14:paraId="3AAEEB29" w14:textId="72A5328E"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1702" w:type="dxa"/>
            <w:gridSpan w:val="3"/>
            <w:tcBorders>
              <w:top w:val="nil"/>
              <w:left w:val="nil"/>
              <w:bottom w:val="single" w:sz="4" w:space="0" w:color="auto"/>
              <w:right w:val="single" w:sz="4" w:space="0" w:color="auto"/>
            </w:tcBorders>
            <w:shd w:val="clear" w:color="000000" w:fill="DDEBF7"/>
            <w:noWrap/>
            <w:hideMark/>
          </w:tcPr>
          <w:p w14:paraId="638053B1" w14:textId="469176A9"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11.500.000,00</w:t>
            </w:r>
          </w:p>
        </w:tc>
        <w:tc>
          <w:tcPr>
            <w:tcW w:w="992" w:type="dxa"/>
            <w:tcBorders>
              <w:top w:val="nil"/>
              <w:left w:val="nil"/>
              <w:bottom w:val="single" w:sz="4" w:space="0" w:color="auto"/>
              <w:right w:val="single" w:sz="4" w:space="0" w:color="auto"/>
            </w:tcBorders>
            <w:shd w:val="clear" w:color="000000" w:fill="D9E1F2"/>
            <w:noWrap/>
            <w:hideMark/>
          </w:tcPr>
          <w:p w14:paraId="4D17984C" w14:textId="5581FBA6" w:rsidR="002008A1" w:rsidRPr="002008A1" w:rsidRDefault="002008A1" w:rsidP="007F7FFC">
            <w:pPr>
              <w:spacing w:after="0" w:line="240" w:lineRule="auto"/>
              <w:jc w:val="center"/>
              <w:rPr>
                <w:rFonts w:ascii="Times New Roman" w:eastAsia="Times New Roman" w:hAnsi="Times New Roman" w:cs="Times New Roman"/>
                <w:b/>
                <w:bCs/>
                <w:lang w:val="en-US"/>
              </w:rPr>
            </w:pPr>
          </w:p>
        </w:tc>
      </w:tr>
      <w:tr w:rsidR="007F7FFC" w:rsidRPr="002008A1" w14:paraId="667AB1C4" w14:textId="77777777" w:rsidTr="007F7FFC">
        <w:trPr>
          <w:trHeight w:val="340"/>
        </w:trPr>
        <w:tc>
          <w:tcPr>
            <w:tcW w:w="9329" w:type="dxa"/>
            <w:gridSpan w:val="2"/>
            <w:tcBorders>
              <w:top w:val="single" w:sz="4" w:space="0" w:color="auto"/>
              <w:left w:val="single" w:sz="4" w:space="0" w:color="auto"/>
              <w:bottom w:val="single" w:sz="4" w:space="0" w:color="auto"/>
              <w:right w:val="nil"/>
            </w:tcBorders>
            <w:shd w:val="clear" w:color="000000" w:fill="DDEBF7"/>
            <w:noWrap/>
            <w:hideMark/>
          </w:tcPr>
          <w:p w14:paraId="68EBF519" w14:textId="2C78F31A" w:rsidR="002008A1" w:rsidRPr="002008A1" w:rsidRDefault="002008A1" w:rsidP="00C307B0">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Sub</w:t>
            </w:r>
            <w:r w:rsidR="00112766">
              <w:rPr>
                <w:rFonts w:ascii="Times New Roman" w:eastAsia="Times New Roman" w:hAnsi="Times New Roman" w:cs="Times New Roman"/>
                <w:b/>
                <w:bCs/>
                <w:lang w:val="en-US"/>
              </w:rPr>
              <w:t>c</w:t>
            </w:r>
            <w:r w:rsidRPr="002008A1">
              <w:rPr>
                <w:rFonts w:ascii="Times New Roman" w:eastAsia="Times New Roman" w:hAnsi="Times New Roman" w:cs="Times New Roman"/>
                <w:b/>
                <w:bCs/>
                <w:lang w:val="en-US"/>
              </w:rPr>
              <w:t xml:space="preserve">omponent 2.1 </w:t>
            </w:r>
            <w:r w:rsidR="00DC08F0" w:rsidRPr="00DC08F0">
              <w:rPr>
                <w:rFonts w:ascii="Times New Roman" w:eastAsia="Times New Roman" w:hAnsi="Times New Roman" w:cs="Times New Roman"/>
                <w:b/>
                <w:bCs/>
                <w:lang w:val="en-US"/>
              </w:rPr>
              <w:t>Enhanced Participatory Planning and Preparation of Pipeline Projects</w:t>
            </w:r>
          </w:p>
        </w:tc>
        <w:tc>
          <w:tcPr>
            <w:tcW w:w="897" w:type="dxa"/>
            <w:tcBorders>
              <w:top w:val="nil"/>
              <w:left w:val="nil"/>
              <w:bottom w:val="single" w:sz="4" w:space="0" w:color="auto"/>
              <w:right w:val="nil"/>
            </w:tcBorders>
            <w:shd w:val="clear" w:color="000000" w:fill="DDEBF7"/>
            <w:noWrap/>
            <w:hideMark/>
          </w:tcPr>
          <w:p w14:paraId="3F26BDBD" w14:textId="6FC8A1B9"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755" w:type="dxa"/>
            <w:tcBorders>
              <w:top w:val="nil"/>
              <w:left w:val="nil"/>
              <w:bottom w:val="single" w:sz="4" w:space="0" w:color="auto"/>
              <w:right w:val="nil"/>
            </w:tcBorders>
            <w:shd w:val="clear" w:color="000000" w:fill="DDEBF7"/>
            <w:noWrap/>
            <w:hideMark/>
          </w:tcPr>
          <w:p w14:paraId="4C49C697" w14:textId="7EF129AB"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719" w:type="dxa"/>
            <w:gridSpan w:val="2"/>
            <w:tcBorders>
              <w:top w:val="nil"/>
              <w:left w:val="nil"/>
              <w:bottom w:val="single" w:sz="4" w:space="0" w:color="auto"/>
              <w:right w:val="single" w:sz="4" w:space="0" w:color="auto"/>
            </w:tcBorders>
            <w:shd w:val="clear" w:color="000000" w:fill="DDEBF7"/>
            <w:noWrap/>
            <w:hideMark/>
          </w:tcPr>
          <w:p w14:paraId="45545AE8" w14:textId="04D881E1"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1702" w:type="dxa"/>
            <w:gridSpan w:val="3"/>
            <w:tcBorders>
              <w:top w:val="nil"/>
              <w:left w:val="nil"/>
              <w:bottom w:val="single" w:sz="4" w:space="0" w:color="auto"/>
              <w:right w:val="single" w:sz="4" w:space="0" w:color="auto"/>
            </w:tcBorders>
            <w:shd w:val="clear" w:color="000000" w:fill="DDEBF7"/>
            <w:noWrap/>
            <w:hideMark/>
          </w:tcPr>
          <w:p w14:paraId="50305E22" w14:textId="00FB58DA"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6.700.000,00</w:t>
            </w:r>
          </w:p>
        </w:tc>
        <w:tc>
          <w:tcPr>
            <w:tcW w:w="992" w:type="dxa"/>
            <w:tcBorders>
              <w:top w:val="nil"/>
              <w:left w:val="nil"/>
              <w:bottom w:val="single" w:sz="4" w:space="0" w:color="auto"/>
              <w:right w:val="single" w:sz="4" w:space="0" w:color="auto"/>
            </w:tcBorders>
            <w:shd w:val="clear" w:color="000000" w:fill="D9E1F2"/>
            <w:noWrap/>
            <w:hideMark/>
          </w:tcPr>
          <w:p w14:paraId="6A980EBF" w14:textId="458C5AF1" w:rsidR="002008A1" w:rsidRPr="002008A1" w:rsidRDefault="002008A1" w:rsidP="007F7FFC">
            <w:pPr>
              <w:spacing w:after="0" w:line="240" w:lineRule="auto"/>
              <w:jc w:val="center"/>
              <w:rPr>
                <w:rFonts w:ascii="Times New Roman" w:eastAsia="Times New Roman" w:hAnsi="Times New Roman" w:cs="Times New Roman"/>
                <w:b/>
                <w:bCs/>
                <w:lang w:val="en-US"/>
              </w:rPr>
            </w:pPr>
          </w:p>
        </w:tc>
      </w:tr>
      <w:tr w:rsidR="007F7FFC" w:rsidRPr="002008A1" w14:paraId="68B20297"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DDEBF7"/>
            <w:noWrap/>
            <w:hideMark/>
          </w:tcPr>
          <w:p w14:paraId="0C029A2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211</w:t>
            </w:r>
          </w:p>
        </w:tc>
        <w:tc>
          <w:tcPr>
            <w:tcW w:w="8429" w:type="dxa"/>
            <w:tcBorders>
              <w:top w:val="nil"/>
              <w:left w:val="nil"/>
              <w:bottom w:val="nil"/>
              <w:right w:val="single" w:sz="4" w:space="0" w:color="auto"/>
            </w:tcBorders>
            <w:shd w:val="clear" w:color="000000" w:fill="DDEBF7"/>
            <w:noWrap/>
            <w:hideMark/>
          </w:tcPr>
          <w:p w14:paraId="5ADF8302" w14:textId="37130982"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assistance to 15 LSGs to improve local development and capital investment planning, with an emphasis on ensuring stronger citizen engagement, including in terms of women and vulnerable groups. </w:t>
            </w:r>
            <w:r w:rsidR="00835C1A" w:rsidRPr="002008A1">
              <w:rPr>
                <w:rFonts w:ascii="Times New Roman" w:eastAsia="Times New Roman" w:hAnsi="Times New Roman" w:cs="Times New Roman"/>
                <w:lang w:val="en-US"/>
              </w:rPr>
              <w:t>Issues</w:t>
            </w:r>
            <w:r w:rsidRPr="002008A1">
              <w:rPr>
                <w:rFonts w:ascii="Times New Roman" w:eastAsia="Times New Roman" w:hAnsi="Times New Roman" w:cs="Times New Roman"/>
                <w:lang w:val="en-US"/>
              </w:rPr>
              <w:t xml:space="preserve"> of climate change and resilience to be covered as part of this technical assistance.</w:t>
            </w:r>
          </w:p>
        </w:tc>
        <w:tc>
          <w:tcPr>
            <w:tcW w:w="897" w:type="dxa"/>
            <w:tcBorders>
              <w:top w:val="nil"/>
              <w:left w:val="nil"/>
              <w:bottom w:val="single" w:sz="4" w:space="0" w:color="auto"/>
              <w:right w:val="single" w:sz="4" w:space="0" w:color="auto"/>
            </w:tcBorders>
            <w:shd w:val="clear" w:color="000000" w:fill="DDEBF7"/>
            <w:noWrap/>
            <w:hideMark/>
          </w:tcPr>
          <w:p w14:paraId="4BB1C53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DDEBF7"/>
            <w:noWrap/>
            <w:hideMark/>
          </w:tcPr>
          <w:p w14:paraId="7DE7682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DDEBF7"/>
            <w:noWrap/>
            <w:hideMark/>
          </w:tcPr>
          <w:p w14:paraId="3193A19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single" w:sz="4" w:space="0" w:color="auto"/>
              <w:right w:val="nil"/>
            </w:tcBorders>
            <w:shd w:val="clear" w:color="000000" w:fill="DDEBF7"/>
            <w:noWrap/>
            <w:hideMark/>
          </w:tcPr>
          <w:p w14:paraId="07AA2C31" w14:textId="3489AEC9"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3.700.000,00</w:t>
            </w:r>
          </w:p>
        </w:tc>
        <w:tc>
          <w:tcPr>
            <w:tcW w:w="992" w:type="dxa"/>
            <w:tcBorders>
              <w:top w:val="nil"/>
              <w:left w:val="single" w:sz="4" w:space="0" w:color="auto"/>
              <w:bottom w:val="single" w:sz="4" w:space="0" w:color="auto"/>
              <w:right w:val="single" w:sz="4" w:space="0" w:color="auto"/>
            </w:tcBorders>
            <w:shd w:val="clear" w:color="000000" w:fill="D9E1F2"/>
            <w:noWrap/>
            <w:hideMark/>
          </w:tcPr>
          <w:p w14:paraId="266E1896"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Q4</w:t>
            </w:r>
          </w:p>
        </w:tc>
      </w:tr>
      <w:tr w:rsidR="007F7FFC" w:rsidRPr="002008A1" w14:paraId="3918DC5E" w14:textId="77777777" w:rsidTr="007F7FFC">
        <w:trPr>
          <w:trHeight w:val="340"/>
        </w:trPr>
        <w:tc>
          <w:tcPr>
            <w:tcW w:w="900" w:type="dxa"/>
            <w:tcBorders>
              <w:top w:val="nil"/>
              <w:left w:val="single" w:sz="4" w:space="0" w:color="auto"/>
              <w:bottom w:val="single" w:sz="4" w:space="0" w:color="auto"/>
              <w:right w:val="nil"/>
            </w:tcBorders>
            <w:shd w:val="clear" w:color="000000" w:fill="DDEBF7"/>
            <w:noWrap/>
            <w:hideMark/>
          </w:tcPr>
          <w:p w14:paraId="101A3B5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212</w:t>
            </w:r>
          </w:p>
        </w:tc>
        <w:tc>
          <w:tcPr>
            <w:tcW w:w="8429" w:type="dxa"/>
            <w:tcBorders>
              <w:top w:val="single" w:sz="4" w:space="0" w:color="000000"/>
              <w:left w:val="single" w:sz="4" w:space="0" w:color="000000"/>
              <w:bottom w:val="single" w:sz="4" w:space="0" w:color="000000"/>
              <w:right w:val="single" w:sz="4" w:space="0" w:color="000000"/>
            </w:tcBorders>
            <w:shd w:val="clear" w:color="000000" w:fill="DDEBF7"/>
            <w:noWrap/>
            <w:hideMark/>
          </w:tcPr>
          <w:p w14:paraId="596436D3" w14:textId="70608AA1"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w:t>
            </w:r>
            <w:r w:rsidR="00835C1A" w:rsidRPr="002008A1">
              <w:rPr>
                <w:rFonts w:ascii="Times New Roman" w:eastAsia="Times New Roman" w:hAnsi="Times New Roman" w:cs="Times New Roman"/>
                <w:lang w:val="en-US"/>
              </w:rPr>
              <w:t>assistance</w:t>
            </w:r>
            <w:r w:rsidRPr="002008A1">
              <w:rPr>
                <w:rFonts w:ascii="Times New Roman" w:eastAsia="Times New Roman" w:hAnsi="Times New Roman" w:cs="Times New Roman"/>
                <w:lang w:val="en-US"/>
              </w:rPr>
              <w:t xml:space="preserve"> to LSGs to support the early identification and preparation of LSG investment sub-projects that go above and beyond the scope of sectors covered under Component 1.1</w:t>
            </w:r>
          </w:p>
        </w:tc>
        <w:tc>
          <w:tcPr>
            <w:tcW w:w="897" w:type="dxa"/>
            <w:tcBorders>
              <w:top w:val="nil"/>
              <w:left w:val="nil"/>
              <w:bottom w:val="single" w:sz="4" w:space="0" w:color="auto"/>
              <w:right w:val="nil"/>
            </w:tcBorders>
            <w:shd w:val="clear" w:color="000000" w:fill="DDEBF7"/>
            <w:noWrap/>
            <w:hideMark/>
          </w:tcPr>
          <w:p w14:paraId="749826E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nil"/>
            </w:tcBorders>
            <w:shd w:val="clear" w:color="000000" w:fill="DDEBF7"/>
            <w:noWrap/>
            <w:hideMark/>
          </w:tcPr>
          <w:p w14:paraId="0C19352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DDEBF7"/>
            <w:noWrap/>
            <w:hideMark/>
          </w:tcPr>
          <w:p w14:paraId="3E17D1EF"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single" w:sz="4" w:space="0" w:color="auto"/>
              <w:right w:val="nil"/>
            </w:tcBorders>
            <w:shd w:val="clear" w:color="000000" w:fill="DDEBF7"/>
            <w:noWrap/>
            <w:hideMark/>
          </w:tcPr>
          <w:p w14:paraId="32DD9857" w14:textId="21033528"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2.800.000,00</w:t>
            </w:r>
          </w:p>
        </w:tc>
        <w:tc>
          <w:tcPr>
            <w:tcW w:w="992" w:type="dxa"/>
            <w:tcBorders>
              <w:top w:val="nil"/>
              <w:left w:val="single" w:sz="4" w:space="0" w:color="auto"/>
              <w:bottom w:val="single" w:sz="4" w:space="0" w:color="auto"/>
              <w:right w:val="single" w:sz="4" w:space="0" w:color="auto"/>
            </w:tcBorders>
            <w:shd w:val="clear" w:color="000000" w:fill="D9E1F2"/>
            <w:noWrap/>
            <w:hideMark/>
          </w:tcPr>
          <w:p w14:paraId="7A2A0543"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Q1</w:t>
            </w:r>
          </w:p>
        </w:tc>
      </w:tr>
      <w:tr w:rsidR="007F7FFC" w:rsidRPr="002008A1" w14:paraId="043AFE9F" w14:textId="77777777" w:rsidTr="007F7FFC">
        <w:trPr>
          <w:trHeight w:val="340"/>
        </w:trPr>
        <w:tc>
          <w:tcPr>
            <w:tcW w:w="900" w:type="dxa"/>
            <w:tcBorders>
              <w:top w:val="nil"/>
              <w:left w:val="single" w:sz="4" w:space="0" w:color="auto"/>
              <w:bottom w:val="single" w:sz="4" w:space="0" w:color="auto"/>
              <w:right w:val="nil"/>
            </w:tcBorders>
            <w:shd w:val="clear" w:color="000000" w:fill="DDEBF7"/>
            <w:noWrap/>
            <w:hideMark/>
          </w:tcPr>
          <w:p w14:paraId="09CAD3C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213</w:t>
            </w:r>
          </w:p>
        </w:tc>
        <w:tc>
          <w:tcPr>
            <w:tcW w:w="8429" w:type="dxa"/>
            <w:tcBorders>
              <w:top w:val="nil"/>
              <w:left w:val="nil"/>
              <w:bottom w:val="nil"/>
              <w:right w:val="nil"/>
            </w:tcBorders>
            <w:shd w:val="clear" w:color="000000" w:fill="DDEBF7"/>
            <w:noWrap/>
            <w:hideMark/>
          </w:tcPr>
          <w:p w14:paraId="452A18CF" w14:textId="131AF4BC"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Extension of the eGovernment Portal with the service supporting citizen participation</w:t>
            </w:r>
          </w:p>
        </w:tc>
        <w:tc>
          <w:tcPr>
            <w:tcW w:w="897" w:type="dxa"/>
            <w:tcBorders>
              <w:top w:val="nil"/>
              <w:left w:val="nil"/>
              <w:bottom w:val="single" w:sz="4" w:space="0" w:color="auto"/>
              <w:right w:val="nil"/>
            </w:tcBorders>
            <w:shd w:val="clear" w:color="000000" w:fill="DDEBF7"/>
            <w:noWrap/>
            <w:hideMark/>
          </w:tcPr>
          <w:p w14:paraId="7B068F8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NCS</w:t>
            </w:r>
          </w:p>
        </w:tc>
        <w:tc>
          <w:tcPr>
            <w:tcW w:w="755" w:type="dxa"/>
            <w:tcBorders>
              <w:top w:val="nil"/>
              <w:left w:val="nil"/>
              <w:bottom w:val="single" w:sz="4" w:space="0" w:color="auto"/>
              <w:right w:val="nil"/>
            </w:tcBorders>
            <w:shd w:val="clear" w:color="000000" w:fill="DDEBF7"/>
            <w:noWrap/>
            <w:hideMark/>
          </w:tcPr>
          <w:p w14:paraId="45BDB93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RFB</w:t>
            </w:r>
          </w:p>
        </w:tc>
        <w:tc>
          <w:tcPr>
            <w:tcW w:w="719" w:type="dxa"/>
            <w:gridSpan w:val="2"/>
            <w:tcBorders>
              <w:top w:val="nil"/>
              <w:left w:val="nil"/>
              <w:bottom w:val="single" w:sz="4" w:space="0" w:color="auto"/>
              <w:right w:val="single" w:sz="4" w:space="0" w:color="auto"/>
            </w:tcBorders>
            <w:shd w:val="clear" w:color="000000" w:fill="DDEBF7"/>
            <w:noWrap/>
            <w:hideMark/>
          </w:tcPr>
          <w:p w14:paraId="1A7828A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DDEBF7"/>
            <w:noWrap/>
            <w:hideMark/>
          </w:tcPr>
          <w:p w14:paraId="0EBCAA86" w14:textId="0C2B826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200.000,00</w:t>
            </w:r>
          </w:p>
        </w:tc>
        <w:tc>
          <w:tcPr>
            <w:tcW w:w="992" w:type="dxa"/>
            <w:tcBorders>
              <w:top w:val="nil"/>
              <w:left w:val="single" w:sz="4" w:space="0" w:color="auto"/>
              <w:bottom w:val="single" w:sz="4" w:space="0" w:color="auto"/>
              <w:right w:val="single" w:sz="4" w:space="0" w:color="auto"/>
            </w:tcBorders>
            <w:shd w:val="clear" w:color="000000" w:fill="D9E1F2"/>
            <w:noWrap/>
            <w:hideMark/>
          </w:tcPr>
          <w:p w14:paraId="76E682F6"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Q4</w:t>
            </w:r>
          </w:p>
        </w:tc>
      </w:tr>
      <w:tr w:rsidR="007F7FFC" w:rsidRPr="002008A1" w14:paraId="2202DC92" w14:textId="77777777" w:rsidTr="007F7FFC">
        <w:trPr>
          <w:trHeight w:val="340"/>
        </w:trPr>
        <w:tc>
          <w:tcPr>
            <w:tcW w:w="9329" w:type="dxa"/>
            <w:gridSpan w:val="2"/>
            <w:tcBorders>
              <w:top w:val="nil"/>
              <w:left w:val="single" w:sz="4" w:space="0" w:color="auto"/>
              <w:bottom w:val="single" w:sz="4" w:space="0" w:color="auto"/>
              <w:right w:val="nil"/>
            </w:tcBorders>
            <w:shd w:val="clear" w:color="000000" w:fill="DDEBF7"/>
            <w:noWrap/>
            <w:hideMark/>
          </w:tcPr>
          <w:p w14:paraId="0DFE70D4" w14:textId="6E71DBBE" w:rsidR="007F7FFC" w:rsidRPr="002008A1" w:rsidRDefault="007F7FFC"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Sub</w:t>
            </w:r>
            <w:r w:rsidR="00112766">
              <w:rPr>
                <w:rFonts w:ascii="Times New Roman" w:eastAsia="Times New Roman" w:hAnsi="Times New Roman" w:cs="Times New Roman"/>
                <w:b/>
                <w:bCs/>
                <w:lang w:val="en-US"/>
              </w:rPr>
              <w:t>c</w:t>
            </w:r>
            <w:r w:rsidRPr="002008A1">
              <w:rPr>
                <w:rFonts w:ascii="Times New Roman" w:eastAsia="Times New Roman" w:hAnsi="Times New Roman" w:cs="Times New Roman"/>
                <w:b/>
                <w:bCs/>
                <w:lang w:val="en-US"/>
              </w:rPr>
              <w:t xml:space="preserve">omponent 2.2 </w:t>
            </w:r>
            <w:r w:rsidR="00DC08F0" w:rsidRPr="00DC08F0">
              <w:rPr>
                <w:rFonts w:ascii="Times New Roman" w:eastAsia="Times New Roman" w:hAnsi="Times New Roman" w:cs="Times New Roman"/>
                <w:b/>
                <w:bCs/>
                <w:lang w:val="en-US"/>
              </w:rPr>
              <w:t>Strengthened infrastructure Service Delivery Enablers</w:t>
            </w:r>
          </w:p>
          <w:p w14:paraId="46F71AEA" w14:textId="7C3756ED"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897" w:type="dxa"/>
            <w:tcBorders>
              <w:top w:val="nil"/>
              <w:left w:val="nil"/>
              <w:bottom w:val="single" w:sz="4" w:space="0" w:color="auto"/>
              <w:right w:val="nil"/>
            </w:tcBorders>
            <w:shd w:val="clear" w:color="000000" w:fill="DDEBF7"/>
            <w:noWrap/>
            <w:hideMark/>
          </w:tcPr>
          <w:p w14:paraId="10D06DEF" w14:textId="720EBF4D"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755" w:type="dxa"/>
            <w:tcBorders>
              <w:top w:val="nil"/>
              <w:left w:val="nil"/>
              <w:bottom w:val="single" w:sz="4" w:space="0" w:color="auto"/>
              <w:right w:val="nil"/>
            </w:tcBorders>
            <w:shd w:val="clear" w:color="000000" w:fill="DDEBF7"/>
            <w:noWrap/>
            <w:hideMark/>
          </w:tcPr>
          <w:p w14:paraId="27162505" w14:textId="3ACDDAE5"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719" w:type="dxa"/>
            <w:gridSpan w:val="2"/>
            <w:tcBorders>
              <w:top w:val="nil"/>
              <w:left w:val="nil"/>
              <w:bottom w:val="single" w:sz="4" w:space="0" w:color="auto"/>
              <w:right w:val="single" w:sz="4" w:space="0" w:color="auto"/>
            </w:tcBorders>
            <w:shd w:val="clear" w:color="000000" w:fill="DDEBF7"/>
            <w:noWrap/>
            <w:hideMark/>
          </w:tcPr>
          <w:p w14:paraId="1796F754" w14:textId="065348A7" w:rsidR="007F7FFC" w:rsidRPr="002008A1" w:rsidRDefault="007F7FFC" w:rsidP="007F7FFC">
            <w:pPr>
              <w:spacing w:after="0" w:line="240" w:lineRule="auto"/>
              <w:jc w:val="center"/>
              <w:rPr>
                <w:rFonts w:ascii="Times New Roman" w:eastAsia="Times New Roman" w:hAnsi="Times New Roman" w:cs="Times New Roman"/>
                <w:b/>
                <w:bCs/>
                <w:lang w:val="en-US"/>
              </w:rPr>
            </w:pPr>
          </w:p>
        </w:tc>
        <w:tc>
          <w:tcPr>
            <w:tcW w:w="1702" w:type="dxa"/>
            <w:gridSpan w:val="3"/>
            <w:tcBorders>
              <w:top w:val="nil"/>
              <w:left w:val="nil"/>
              <w:bottom w:val="single" w:sz="4" w:space="0" w:color="auto"/>
              <w:right w:val="single" w:sz="4" w:space="0" w:color="auto"/>
            </w:tcBorders>
            <w:shd w:val="clear" w:color="000000" w:fill="DDEBF7"/>
            <w:noWrap/>
            <w:hideMark/>
          </w:tcPr>
          <w:p w14:paraId="159B0212" w14:textId="4416F0C1" w:rsidR="007F7FFC" w:rsidRPr="002008A1" w:rsidRDefault="007F7FFC"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4.800.000,00</w:t>
            </w:r>
          </w:p>
        </w:tc>
        <w:tc>
          <w:tcPr>
            <w:tcW w:w="992" w:type="dxa"/>
            <w:tcBorders>
              <w:top w:val="nil"/>
              <w:left w:val="nil"/>
              <w:bottom w:val="single" w:sz="4" w:space="0" w:color="auto"/>
              <w:right w:val="single" w:sz="4" w:space="0" w:color="auto"/>
            </w:tcBorders>
            <w:shd w:val="clear" w:color="000000" w:fill="D9E1F2"/>
            <w:noWrap/>
            <w:hideMark/>
          </w:tcPr>
          <w:p w14:paraId="76AB3AFC" w14:textId="3F1EFDE5" w:rsidR="007F7FFC" w:rsidRPr="002008A1" w:rsidRDefault="007F7FFC"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5D394BAA"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DDEBF7"/>
            <w:noWrap/>
            <w:hideMark/>
          </w:tcPr>
          <w:p w14:paraId="62D48CA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221</w:t>
            </w:r>
          </w:p>
        </w:tc>
        <w:tc>
          <w:tcPr>
            <w:tcW w:w="8429" w:type="dxa"/>
            <w:tcBorders>
              <w:top w:val="nil"/>
              <w:left w:val="nil"/>
              <w:bottom w:val="single" w:sz="4" w:space="0" w:color="auto"/>
              <w:right w:val="single" w:sz="4" w:space="0" w:color="auto"/>
            </w:tcBorders>
            <w:shd w:val="clear" w:color="000000" w:fill="DDEBF7"/>
            <w:noWrap/>
            <w:hideMark/>
          </w:tcPr>
          <w:p w14:paraId="0F24C4AD" w14:textId="1E38FBC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assistance </w:t>
            </w:r>
            <w:r w:rsidR="00835C1A" w:rsidRPr="002008A1">
              <w:rPr>
                <w:rFonts w:ascii="Times New Roman" w:eastAsia="Times New Roman" w:hAnsi="Times New Roman" w:cs="Times New Roman"/>
                <w:lang w:val="en-US"/>
              </w:rPr>
              <w:t>recommending</w:t>
            </w:r>
            <w:r w:rsidRPr="002008A1">
              <w:rPr>
                <w:rFonts w:ascii="Times New Roman" w:eastAsia="Times New Roman" w:hAnsi="Times New Roman" w:cs="Times New Roman"/>
                <w:lang w:val="en-US"/>
              </w:rPr>
              <w:t xml:space="preserve"> improvements in access to financing, </w:t>
            </w:r>
            <w:r w:rsidR="00835C1A" w:rsidRPr="002008A1">
              <w:rPr>
                <w:rFonts w:ascii="Times New Roman" w:eastAsia="Times New Roman" w:hAnsi="Times New Roman" w:cs="Times New Roman"/>
                <w:lang w:val="en-US"/>
              </w:rPr>
              <w:t>including</w:t>
            </w:r>
            <w:r w:rsidRPr="002008A1">
              <w:rPr>
                <w:rFonts w:ascii="Times New Roman" w:eastAsia="Times New Roman" w:hAnsi="Times New Roman" w:cs="Times New Roman"/>
                <w:lang w:val="en-US"/>
              </w:rPr>
              <w:t xml:space="preserve"> </w:t>
            </w:r>
            <w:r w:rsidR="00835C1A" w:rsidRPr="002008A1">
              <w:rPr>
                <w:rFonts w:ascii="Times New Roman" w:eastAsia="Times New Roman" w:hAnsi="Times New Roman" w:cs="Times New Roman"/>
                <w:lang w:val="en-US"/>
              </w:rPr>
              <w:t>addressing</w:t>
            </w:r>
            <w:r w:rsidRPr="002008A1">
              <w:rPr>
                <w:rFonts w:ascii="Times New Roman" w:eastAsia="Times New Roman" w:hAnsi="Times New Roman" w:cs="Times New Roman"/>
                <w:lang w:val="en-US"/>
              </w:rPr>
              <w:t xml:space="preserve"> fiscal decentralization framework, municipal funds, green financing, donor financing, and attracting commercial financing</w:t>
            </w:r>
          </w:p>
        </w:tc>
        <w:tc>
          <w:tcPr>
            <w:tcW w:w="897" w:type="dxa"/>
            <w:tcBorders>
              <w:top w:val="nil"/>
              <w:left w:val="nil"/>
              <w:bottom w:val="single" w:sz="4" w:space="0" w:color="auto"/>
              <w:right w:val="single" w:sz="4" w:space="0" w:color="auto"/>
            </w:tcBorders>
            <w:shd w:val="clear" w:color="000000" w:fill="DDEBF7"/>
            <w:noWrap/>
            <w:hideMark/>
          </w:tcPr>
          <w:p w14:paraId="1099EAC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DDEBF7"/>
            <w:noWrap/>
            <w:hideMark/>
          </w:tcPr>
          <w:p w14:paraId="7BD19F0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DDEBF7"/>
            <w:noWrap/>
            <w:hideMark/>
          </w:tcPr>
          <w:p w14:paraId="33CEA03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single" w:sz="4" w:space="0" w:color="auto"/>
              <w:right w:val="nil"/>
            </w:tcBorders>
            <w:shd w:val="clear" w:color="000000" w:fill="DDEBF7"/>
            <w:noWrap/>
            <w:hideMark/>
          </w:tcPr>
          <w:p w14:paraId="18E63621" w14:textId="2EECA5D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1.000.000,00</w:t>
            </w:r>
          </w:p>
        </w:tc>
        <w:tc>
          <w:tcPr>
            <w:tcW w:w="992" w:type="dxa"/>
            <w:tcBorders>
              <w:top w:val="nil"/>
              <w:left w:val="single" w:sz="4" w:space="0" w:color="auto"/>
              <w:bottom w:val="single" w:sz="4" w:space="0" w:color="auto"/>
              <w:right w:val="single" w:sz="4" w:space="0" w:color="auto"/>
            </w:tcBorders>
            <w:shd w:val="clear" w:color="000000" w:fill="D9E1F2"/>
            <w:noWrap/>
            <w:hideMark/>
          </w:tcPr>
          <w:p w14:paraId="52B74E07"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Q1</w:t>
            </w:r>
          </w:p>
        </w:tc>
      </w:tr>
      <w:tr w:rsidR="007F7FFC" w:rsidRPr="002008A1" w14:paraId="56C2399C" w14:textId="77777777" w:rsidTr="007F7FFC">
        <w:trPr>
          <w:trHeight w:val="340"/>
        </w:trPr>
        <w:tc>
          <w:tcPr>
            <w:tcW w:w="900" w:type="dxa"/>
            <w:tcBorders>
              <w:top w:val="nil"/>
              <w:left w:val="single" w:sz="4" w:space="0" w:color="auto"/>
              <w:bottom w:val="single" w:sz="4" w:space="0" w:color="auto"/>
              <w:right w:val="nil"/>
            </w:tcBorders>
            <w:shd w:val="clear" w:color="000000" w:fill="DDEBF7"/>
            <w:noWrap/>
            <w:hideMark/>
          </w:tcPr>
          <w:p w14:paraId="7A18B2E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222</w:t>
            </w:r>
          </w:p>
        </w:tc>
        <w:tc>
          <w:tcPr>
            <w:tcW w:w="8429" w:type="dxa"/>
            <w:tcBorders>
              <w:top w:val="nil"/>
              <w:left w:val="nil"/>
              <w:bottom w:val="single" w:sz="4" w:space="0" w:color="auto"/>
              <w:right w:val="nil"/>
            </w:tcBorders>
            <w:shd w:val="clear" w:color="000000" w:fill="DDEBF7"/>
            <w:noWrap/>
            <w:hideMark/>
          </w:tcPr>
          <w:p w14:paraId="2093B184" w14:textId="2E33C581"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Technical assistance to </w:t>
            </w:r>
            <w:r w:rsidR="00835C1A" w:rsidRPr="002008A1">
              <w:rPr>
                <w:rFonts w:ascii="Times New Roman" w:eastAsia="Times New Roman" w:hAnsi="Times New Roman" w:cs="Times New Roman"/>
                <w:lang w:val="en-US"/>
              </w:rPr>
              <w:t>review</w:t>
            </w:r>
            <w:r w:rsidRPr="002008A1">
              <w:rPr>
                <w:rFonts w:ascii="Times New Roman" w:eastAsia="Times New Roman" w:hAnsi="Times New Roman" w:cs="Times New Roman"/>
                <w:lang w:val="en-US"/>
              </w:rPr>
              <w:t xml:space="preserve"> currently fragmented institutions and human capital and propose consolidated approach to institutional setup and process simplification including role of SOEs and definition of necessary </w:t>
            </w:r>
            <w:r w:rsidR="00835C1A" w:rsidRPr="002008A1">
              <w:rPr>
                <w:rFonts w:ascii="Times New Roman" w:eastAsia="Times New Roman" w:hAnsi="Times New Roman" w:cs="Times New Roman"/>
                <w:lang w:val="en-US"/>
              </w:rPr>
              <w:t>trainings</w:t>
            </w:r>
            <w:r w:rsidRPr="002008A1">
              <w:rPr>
                <w:rFonts w:ascii="Times New Roman" w:eastAsia="Times New Roman" w:hAnsi="Times New Roman" w:cs="Times New Roman"/>
                <w:lang w:val="en-US"/>
              </w:rPr>
              <w:t>/</w:t>
            </w:r>
            <w:r w:rsidR="00835C1A" w:rsidRPr="002008A1">
              <w:rPr>
                <w:rFonts w:ascii="Times New Roman" w:eastAsia="Times New Roman" w:hAnsi="Times New Roman" w:cs="Times New Roman"/>
                <w:lang w:val="en-US"/>
              </w:rPr>
              <w:t>retraining</w:t>
            </w:r>
          </w:p>
        </w:tc>
        <w:tc>
          <w:tcPr>
            <w:tcW w:w="897" w:type="dxa"/>
            <w:tcBorders>
              <w:top w:val="nil"/>
              <w:left w:val="nil"/>
              <w:bottom w:val="single" w:sz="4" w:space="0" w:color="auto"/>
              <w:right w:val="nil"/>
            </w:tcBorders>
            <w:shd w:val="clear" w:color="000000" w:fill="DDEBF7"/>
            <w:noWrap/>
            <w:hideMark/>
          </w:tcPr>
          <w:p w14:paraId="5D0DE2F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nil"/>
            </w:tcBorders>
            <w:shd w:val="clear" w:color="000000" w:fill="DDEBF7"/>
            <w:noWrap/>
            <w:hideMark/>
          </w:tcPr>
          <w:p w14:paraId="78C887D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nil"/>
              <w:left w:val="nil"/>
              <w:bottom w:val="single" w:sz="4" w:space="0" w:color="auto"/>
              <w:right w:val="single" w:sz="4" w:space="0" w:color="auto"/>
            </w:tcBorders>
            <w:shd w:val="clear" w:color="000000" w:fill="DDEBF7"/>
            <w:noWrap/>
            <w:hideMark/>
          </w:tcPr>
          <w:p w14:paraId="40108E8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DDEBF7"/>
            <w:noWrap/>
            <w:hideMark/>
          </w:tcPr>
          <w:p w14:paraId="5638FD9A" w14:textId="74A9740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800.000,00</w:t>
            </w:r>
          </w:p>
        </w:tc>
        <w:tc>
          <w:tcPr>
            <w:tcW w:w="992" w:type="dxa"/>
            <w:tcBorders>
              <w:top w:val="nil"/>
              <w:left w:val="single" w:sz="4" w:space="0" w:color="auto"/>
              <w:bottom w:val="single" w:sz="4" w:space="0" w:color="auto"/>
              <w:right w:val="single" w:sz="4" w:space="0" w:color="auto"/>
            </w:tcBorders>
            <w:shd w:val="clear" w:color="000000" w:fill="D9E1F2"/>
            <w:noWrap/>
            <w:hideMark/>
          </w:tcPr>
          <w:p w14:paraId="6365E2FF"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Q4</w:t>
            </w:r>
          </w:p>
        </w:tc>
      </w:tr>
      <w:tr w:rsidR="007F7FFC" w:rsidRPr="002008A1" w14:paraId="5E1C0138"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DDEBF7"/>
            <w:noWrap/>
            <w:hideMark/>
          </w:tcPr>
          <w:p w14:paraId="742901D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223</w:t>
            </w:r>
          </w:p>
        </w:tc>
        <w:tc>
          <w:tcPr>
            <w:tcW w:w="8429" w:type="dxa"/>
            <w:tcBorders>
              <w:top w:val="nil"/>
              <w:left w:val="nil"/>
              <w:bottom w:val="single" w:sz="4" w:space="0" w:color="auto"/>
              <w:right w:val="single" w:sz="4" w:space="0" w:color="auto"/>
            </w:tcBorders>
            <w:shd w:val="clear" w:color="000000" w:fill="DDEBF7"/>
            <w:noWrap/>
            <w:hideMark/>
          </w:tcPr>
          <w:p w14:paraId="6439869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Developing PIMS database for LSG, in accordance with central level PIMS</w:t>
            </w:r>
          </w:p>
        </w:tc>
        <w:tc>
          <w:tcPr>
            <w:tcW w:w="897" w:type="dxa"/>
            <w:tcBorders>
              <w:top w:val="nil"/>
              <w:left w:val="nil"/>
              <w:bottom w:val="single" w:sz="4" w:space="0" w:color="auto"/>
              <w:right w:val="single" w:sz="4" w:space="0" w:color="auto"/>
            </w:tcBorders>
            <w:shd w:val="clear" w:color="000000" w:fill="DDEBF7"/>
            <w:noWrap/>
            <w:hideMark/>
          </w:tcPr>
          <w:p w14:paraId="0DECA90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NCS</w:t>
            </w:r>
          </w:p>
        </w:tc>
        <w:tc>
          <w:tcPr>
            <w:tcW w:w="755" w:type="dxa"/>
            <w:tcBorders>
              <w:top w:val="nil"/>
              <w:left w:val="nil"/>
              <w:bottom w:val="single" w:sz="4" w:space="0" w:color="auto"/>
              <w:right w:val="single" w:sz="4" w:space="0" w:color="auto"/>
            </w:tcBorders>
            <w:shd w:val="clear" w:color="000000" w:fill="DDEBF7"/>
            <w:noWrap/>
            <w:hideMark/>
          </w:tcPr>
          <w:p w14:paraId="4B1CE2B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RFB</w:t>
            </w:r>
          </w:p>
        </w:tc>
        <w:tc>
          <w:tcPr>
            <w:tcW w:w="719" w:type="dxa"/>
            <w:gridSpan w:val="2"/>
            <w:tcBorders>
              <w:top w:val="nil"/>
              <w:left w:val="nil"/>
              <w:bottom w:val="single" w:sz="4" w:space="0" w:color="auto"/>
              <w:right w:val="single" w:sz="4" w:space="0" w:color="auto"/>
            </w:tcBorders>
            <w:shd w:val="clear" w:color="000000" w:fill="DDEBF7"/>
            <w:noWrap/>
            <w:hideMark/>
          </w:tcPr>
          <w:p w14:paraId="2E3214F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DDEBF7"/>
            <w:noWrap/>
            <w:hideMark/>
          </w:tcPr>
          <w:p w14:paraId="525A3D90" w14:textId="23D48BF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550.000,00</w:t>
            </w:r>
          </w:p>
        </w:tc>
        <w:tc>
          <w:tcPr>
            <w:tcW w:w="992" w:type="dxa"/>
            <w:tcBorders>
              <w:top w:val="nil"/>
              <w:left w:val="single" w:sz="4" w:space="0" w:color="auto"/>
              <w:bottom w:val="single" w:sz="4" w:space="0" w:color="auto"/>
              <w:right w:val="single" w:sz="4" w:space="0" w:color="auto"/>
            </w:tcBorders>
            <w:shd w:val="clear" w:color="000000" w:fill="D9E1F2"/>
            <w:noWrap/>
            <w:hideMark/>
          </w:tcPr>
          <w:p w14:paraId="6AF8993F"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Q4</w:t>
            </w:r>
          </w:p>
        </w:tc>
      </w:tr>
      <w:tr w:rsidR="007F7FFC" w:rsidRPr="002008A1" w14:paraId="7DA92053" w14:textId="77777777" w:rsidTr="007F7FFC">
        <w:trPr>
          <w:trHeight w:val="340"/>
        </w:trPr>
        <w:tc>
          <w:tcPr>
            <w:tcW w:w="900" w:type="dxa"/>
            <w:tcBorders>
              <w:top w:val="nil"/>
              <w:left w:val="single" w:sz="4" w:space="0" w:color="auto"/>
              <w:bottom w:val="single" w:sz="4" w:space="0" w:color="auto"/>
              <w:right w:val="nil"/>
            </w:tcBorders>
            <w:shd w:val="clear" w:color="000000" w:fill="DDEBF7"/>
            <w:noWrap/>
            <w:hideMark/>
          </w:tcPr>
          <w:p w14:paraId="73679A6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224</w:t>
            </w:r>
          </w:p>
        </w:tc>
        <w:tc>
          <w:tcPr>
            <w:tcW w:w="8429" w:type="dxa"/>
            <w:tcBorders>
              <w:top w:val="nil"/>
              <w:left w:val="single" w:sz="4" w:space="0" w:color="auto"/>
              <w:bottom w:val="single" w:sz="4" w:space="0" w:color="auto"/>
              <w:right w:val="single" w:sz="4" w:space="0" w:color="auto"/>
            </w:tcBorders>
            <w:shd w:val="clear" w:color="000000" w:fill="DDEBF7"/>
            <w:noWrap/>
            <w:hideMark/>
          </w:tcPr>
          <w:p w14:paraId="689C6D0A" w14:textId="132CA2DC"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Implementation of the Project Management tool, </w:t>
            </w:r>
            <w:r w:rsidR="00835C1A" w:rsidRPr="002008A1">
              <w:rPr>
                <w:rFonts w:ascii="Times New Roman" w:eastAsia="Times New Roman" w:hAnsi="Times New Roman" w:cs="Times New Roman"/>
                <w:lang w:val="en-US"/>
              </w:rPr>
              <w:t>installation</w:t>
            </w:r>
            <w:r w:rsidRPr="002008A1">
              <w:rPr>
                <w:rFonts w:ascii="Times New Roman" w:eastAsia="Times New Roman" w:hAnsi="Times New Roman" w:cs="Times New Roman"/>
                <w:lang w:val="en-US"/>
              </w:rPr>
              <w:t xml:space="preserve"> at LSGs, trainings, guidelines</w:t>
            </w:r>
          </w:p>
        </w:tc>
        <w:tc>
          <w:tcPr>
            <w:tcW w:w="897" w:type="dxa"/>
            <w:tcBorders>
              <w:top w:val="nil"/>
              <w:left w:val="nil"/>
              <w:bottom w:val="single" w:sz="4" w:space="0" w:color="auto"/>
              <w:right w:val="single" w:sz="4" w:space="0" w:color="auto"/>
            </w:tcBorders>
            <w:shd w:val="clear" w:color="000000" w:fill="DDEBF7"/>
            <w:noWrap/>
            <w:hideMark/>
          </w:tcPr>
          <w:p w14:paraId="540FF4D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NCS</w:t>
            </w:r>
          </w:p>
        </w:tc>
        <w:tc>
          <w:tcPr>
            <w:tcW w:w="755" w:type="dxa"/>
            <w:tcBorders>
              <w:top w:val="nil"/>
              <w:left w:val="nil"/>
              <w:bottom w:val="single" w:sz="4" w:space="0" w:color="auto"/>
              <w:right w:val="single" w:sz="4" w:space="0" w:color="auto"/>
            </w:tcBorders>
            <w:shd w:val="clear" w:color="000000" w:fill="DDEBF7"/>
            <w:noWrap/>
            <w:hideMark/>
          </w:tcPr>
          <w:p w14:paraId="0331D97F"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RFB</w:t>
            </w:r>
          </w:p>
        </w:tc>
        <w:tc>
          <w:tcPr>
            <w:tcW w:w="719" w:type="dxa"/>
            <w:gridSpan w:val="2"/>
            <w:tcBorders>
              <w:top w:val="nil"/>
              <w:left w:val="nil"/>
              <w:bottom w:val="single" w:sz="4" w:space="0" w:color="auto"/>
              <w:right w:val="single" w:sz="4" w:space="0" w:color="auto"/>
            </w:tcBorders>
            <w:shd w:val="clear" w:color="000000" w:fill="DDEBF7"/>
            <w:noWrap/>
            <w:hideMark/>
          </w:tcPr>
          <w:p w14:paraId="2A717F6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DDEBF7"/>
            <w:noWrap/>
            <w:hideMark/>
          </w:tcPr>
          <w:p w14:paraId="5F308674" w14:textId="2C0ADD7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1.200.000,00</w:t>
            </w:r>
          </w:p>
        </w:tc>
        <w:tc>
          <w:tcPr>
            <w:tcW w:w="992" w:type="dxa"/>
            <w:tcBorders>
              <w:top w:val="nil"/>
              <w:left w:val="single" w:sz="4" w:space="0" w:color="auto"/>
              <w:bottom w:val="single" w:sz="4" w:space="0" w:color="auto"/>
              <w:right w:val="single" w:sz="4" w:space="0" w:color="auto"/>
            </w:tcBorders>
            <w:shd w:val="clear" w:color="000000" w:fill="DDEBF7"/>
            <w:noWrap/>
            <w:hideMark/>
          </w:tcPr>
          <w:p w14:paraId="63A2F54B"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Q1</w:t>
            </w:r>
          </w:p>
        </w:tc>
      </w:tr>
      <w:tr w:rsidR="007F7FFC" w:rsidRPr="002008A1" w14:paraId="234917E5"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DDEBF7"/>
            <w:noWrap/>
            <w:hideMark/>
          </w:tcPr>
          <w:p w14:paraId="5C4A077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225</w:t>
            </w:r>
          </w:p>
        </w:tc>
        <w:tc>
          <w:tcPr>
            <w:tcW w:w="8429" w:type="dxa"/>
            <w:tcBorders>
              <w:top w:val="nil"/>
              <w:left w:val="nil"/>
              <w:bottom w:val="single" w:sz="4" w:space="0" w:color="auto"/>
              <w:right w:val="single" w:sz="4" w:space="0" w:color="auto"/>
            </w:tcBorders>
            <w:shd w:val="clear" w:color="000000" w:fill="DDEBF7"/>
            <w:noWrap/>
            <w:hideMark/>
          </w:tcPr>
          <w:p w14:paraId="1F0C341F" w14:textId="20E5B54D"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 xml:space="preserve">40 </w:t>
            </w:r>
            <w:r w:rsidR="00835C1A" w:rsidRPr="002008A1">
              <w:rPr>
                <w:rFonts w:ascii="Times New Roman" w:eastAsia="Times New Roman" w:hAnsi="Times New Roman" w:cs="Times New Roman"/>
                <w:color w:val="000000"/>
                <w:lang w:val="en-US"/>
              </w:rPr>
              <w:t>paid</w:t>
            </w:r>
            <w:r w:rsidRPr="002008A1">
              <w:rPr>
                <w:rFonts w:ascii="Times New Roman" w:eastAsia="Times New Roman" w:hAnsi="Times New Roman" w:cs="Times New Roman"/>
                <w:color w:val="000000"/>
                <w:lang w:val="en-US"/>
              </w:rPr>
              <w:t xml:space="preserve"> </w:t>
            </w:r>
            <w:r w:rsidR="00835C1A" w:rsidRPr="002008A1">
              <w:rPr>
                <w:rFonts w:ascii="Times New Roman" w:eastAsia="Times New Roman" w:hAnsi="Times New Roman" w:cs="Times New Roman"/>
                <w:color w:val="000000"/>
                <w:lang w:val="en-US"/>
              </w:rPr>
              <w:t>internships</w:t>
            </w:r>
          </w:p>
        </w:tc>
        <w:tc>
          <w:tcPr>
            <w:tcW w:w="897" w:type="dxa"/>
            <w:tcBorders>
              <w:top w:val="nil"/>
              <w:left w:val="nil"/>
              <w:bottom w:val="single" w:sz="4" w:space="0" w:color="auto"/>
              <w:right w:val="single" w:sz="4" w:space="0" w:color="auto"/>
            </w:tcBorders>
            <w:shd w:val="clear" w:color="000000" w:fill="DDEBF7"/>
            <w:noWrap/>
            <w:hideMark/>
          </w:tcPr>
          <w:p w14:paraId="32385A56"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n/a</w:t>
            </w:r>
          </w:p>
        </w:tc>
        <w:tc>
          <w:tcPr>
            <w:tcW w:w="755" w:type="dxa"/>
            <w:tcBorders>
              <w:top w:val="nil"/>
              <w:left w:val="nil"/>
              <w:bottom w:val="single" w:sz="4" w:space="0" w:color="auto"/>
              <w:right w:val="single" w:sz="4" w:space="0" w:color="auto"/>
            </w:tcBorders>
            <w:shd w:val="clear" w:color="000000" w:fill="DDEBF7"/>
            <w:noWrap/>
            <w:hideMark/>
          </w:tcPr>
          <w:p w14:paraId="36EE5D40"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n/a</w:t>
            </w:r>
          </w:p>
        </w:tc>
        <w:tc>
          <w:tcPr>
            <w:tcW w:w="719" w:type="dxa"/>
            <w:gridSpan w:val="2"/>
            <w:tcBorders>
              <w:top w:val="nil"/>
              <w:left w:val="nil"/>
              <w:bottom w:val="single" w:sz="4" w:space="0" w:color="auto"/>
              <w:right w:val="single" w:sz="4" w:space="0" w:color="auto"/>
            </w:tcBorders>
            <w:shd w:val="clear" w:color="000000" w:fill="DDEBF7"/>
            <w:noWrap/>
            <w:hideMark/>
          </w:tcPr>
          <w:p w14:paraId="717C2914"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n/a</w:t>
            </w:r>
          </w:p>
        </w:tc>
        <w:tc>
          <w:tcPr>
            <w:tcW w:w="1702" w:type="dxa"/>
            <w:gridSpan w:val="3"/>
            <w:tcBorders>
              <w:top w:val="nil"/>
              <w:left w:val="nil"/>
              <w:bottom w:val="single" w:sz="4" w:space="0" w:color="auto"/>
              <w:right w:val="nil"/>
            </w:tcBorders>
            <w:shd w:val="clear" w:color="000000" w:fill="DDEBF7"/>
            <w:noWrap/>
            <w:hideMark/>
          </w:tcPr>
          <w:p w14:paraId="4340D362" w14:textId="64547972"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100.000,00</w:t>
            </w:r>
          </w:p>
        </w:tc>
        <w:tc>
          <w:tcPr>
            <w:tcW w:w="992" w:type="dxa"/>
            <w:tcBorders>
              <w:top w:val="nil"/>
              <w:left w:val="single" w:sz="4" w:space="0" w:color="auto"/>
              <w:bottom w:val="single" w:sz="4" w:space="0" w:color="auto"/>
              <w:right w:val="single" w:sz="4" w:space="0" w:color="auto"/>
            </w:tcBorders>
            <w:shd w:val="clear" w:color="000000" w:fill="DDEBF7"/>
            <w:noWrap/>
            <w:hideMark/>
          </w:tcPr>
          <w:p w14:paraId="28FA3ED4"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Q4</w:t>
            </w:r>
          </w:p>
        </w:tc>
      </w:tr>
      <w:tr w:rsidR="007F7FFC" w:rsidRPr="002008A1" w14:paraId="22C8B8E5" w14:textId="77777777" w:rsidTr="007F7FFC">
        <w:trPr>
          <w:trHeight w:val="340"/>
        </w:trPr>
        <w:tc>
          <w:tcPr>
            <w:tcW w:w="900" w:type="dxa"/>
            <w:tcBorders>
              <w:top w:val="nil"/>
              <w:left w:val="single" w:sz="4" w:space="0" w:color="auto"/>
              <w:bottom w:val="single" w:sz="4" w:space="0" w:color="auto"/>
              <w:right w:val="nil"/>
            </w:tcBorders>
            <w:shd w:val="clear" w:color="000000" w:fill="DDEBF7"/>
            <w:noWrap/>
            <w:hideMark/>
          </w:tcPr>
          <w:p w14:paraId="46266D9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226</w:t>
            </w:r>
          </w:p>
        </w:tc>
        <w:tc>
          <w:tcPr>
            <w:tcW w:w="8429" w:type="dxa"/>
            <w:tcBorders>
              <w:top w:val="nil"/>
              <w:left w:val="single" w:sz="4" w:space="0" w:color="auto"/>
              <w:bottom w:val="single" w:sz="4" w:space="0" w:color="auto"/>
              <w:right w:val="single" w:sz="4" w:space="0" w:color="auto"/>
            </w:tcBorders>
            <w:shd w:val="clear" w:color="000000" w:fill="DDEBF7"/>
            <w:noWrap/>
            <w:hideMark/>
          </w:tcPr>
          <w:p w14:paraId="4B479CBD"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Technical assistance to improve local treasury management and budget execution and accounting, monitoring and reporting practices for local public investments with a special focus on transparency, M&amp;E and reporting on green impacts and SOEs performances with trainings</w:t>
            </w:r>
          </w:p>
        </w:tc>
        <w:tc>
          <w:tcPr>
            <w:tcW w:w="897" w:type="dxa"/>
            <w:tcBorders>
              <w:top w:val="nil"/>
              <w:left w:val="nil"/>
              <w:bottom w:val="single" w:sz="4" w:space="0" w:color="auto"/>
              <w:right w:val="single" w:sz="4" w:space="0" w:color="auto"/>
            </w:tcBorders>
            <w:shd w:val="clear" w:color="000000" w:fill="DDEBF7"/>
            <w:noWrap/>
            <w:hideMark/>
          </w:tcPr>
          <w:p w14:paraId="1554D8CD"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CS</w:t>
            </w:r>
          </w:p>
        </w:tc>
        <w:tc>
          <w:tcPr>
            <w:tcW w:w="755" w:type="dxa"/>
            <w:tcBorders>
              <w:top w:val="nil"/>
              <w:left w:val="nil"/>
              <w:bottom w:val="single" w:sz="4" w:space="0" w:color="auto"/>
              <w:right w:val="single" w:sz="4" w:space="0" w:color="auto"/>
            </w:tcBorders>
            <w:shd w:val="clear" w:color="000000" w:fill="DDEBF7"/>
            <w:noWrap/>
            <w:hideMark/>
          </w:tcPr>
          <w:p w14:paraId="730DF7A7"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QCBS</w:t>
            </w:r>
          </w:p>
        </w:tc>
        <w:tc>
          <w:tcPr>
            <w:tcW w:w="719" w:type="dxa"/>
            <w:gridSpan w:val="2"/>
            <w:tcBorders>
              <w:top w:val="nil"/>
              <w:left w:val="nil"/>
              <w:bottom w:val="single" w:sz="4" w:space="0" w:color="auto"/>
              <w:right w:val="single" w:sz="4" w:space="0" w:color="auto"/>
            </w:tcBorders>
            <w:shd w:val="clear" w:color="000000" w:fill="DDEBF7"/>
            <w:noWrap/>
            <w:hideMark/>
          </w:tcPr>
          <w:p w14:paraId="79E2B0EF"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post</w:t>
            </w:r>
          </w:p>
        </w:tc>
        <w:tc>
          <w:tcPr>
            <w:tcW w:w="1702" w:type="dxa"/>
            <w:gridSpan w:val="3"/>
            <w:tcBorders>
              <w:top w:val="nil"/>
              <w:left w:val="nil"/>
              <w:bottom w:val="single" w:sz="4" w:space="0" w:color="auto"/>
              <w:right w:val="nil"/>
            </w:tcBorders>
            <w:shd w:val="clear" w:color="000000" w:fill="DDEBF7"/>
            <w:noWrap/>
            <w:hideMark/>
          </w:tcPr>
          <w:p w14:paraId="08AAB6FD" w14:textId="17C3F736"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500.000,00</w:t>
            </w:r>
          </w:p>
        </w:tc>
        <w:tc>
          <w:tcPr>
            <w:tcW w:w="992" w:type="dxa"/>
            <w:tcBorders>
              <w:top w:val="nil"/>
              <w:left w:val="single" w:sz="4" w:space="0" w:color="auto"/>
              <w:bottom w:val="single" w:sz="4" w:space="0" w:color="auto"/>
              <w:right w:val="single" w:sz="4" w:space="0" w:color="auto"/>
            </w:tcBorders>
            <w:shd w:val="clear" w:color="000000" w:fill="DDEBF7"/>
            <w:noWrap/>
            <w:hideMark/>
          </w:tcPr>
          <w:p w14:paraId="183ACC9F"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2023 Q1</w:t>
            </w:r>
          </w:p>
        </w:tc>
      </w:tr>
      <w:tr w:rsidR="007F7FFC" w:rsidRPr="002008A1" w14:paraId="2A4FBB41" w14:textId="77777777" w:rsidTr="007F7FFC">
        <w:trPr>
          <w:trHeight w:val="340"/>
        </w:trPr>
        <w:tc>
          <w:tcPr>
            <w:tcW w:w="900" w:type="dxa"/>
            <w:tcBorders>
              <w:top w:val="nil"/>
              <w:left w:val="single" w:sz="4" w:space="0" w:color="auto"/>
              <w:bottom w:val="single" w:sz="4" w:space="0" w:color="auto"/>
              <w:right w:val="nil"/>
            </w:tcBorders>
            <w:shd w:val="clear" w:color="000000" w:fill="DDEBF7"/>
            <w:noWrap/>
            <w:hideMark/>
          </w:tcPr>
          <w:p w14:paraId="0969E77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227</w:t>
            </w:r>
          </w:p>
        </w:tc>
        <w:tc>
          <w:tcPr>
            <w:tcW w:w="8429" w:type="dxa"/>
            <w:tcBorders>
              <w:top w:val="nil"/>
              <w:left w:val="single" w:sz="4" w:space="0" w:color="auto"/>
              <w:bottom w:val="single" w:sz="4" w:space="0" w:color="auto"/>
              <w:right w:val="single" w:sz="4" w:space="0" w:color="auto"/>
            </w:tcBorders>
            <w:shd w:val="clear" w:color="000000" w:fill="DDEBF7"/>
            <w:noWrap/>
            <w:hideMark/>
          </w:tcPr>
          <w:p w14:paraId="3EE14B2C" w14:textId="2768FC0D"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 xml:space="preserve">Technical assistance and capacity building trainings and CoPs for green cities, engineering, procurement, </w:t>
            </w:r>
            <w:r w:rsidR="00835C1A" w:rsidRPr="002008A1">
              <w:rPr>
                <w:rFonts w:ascii="Times New Roman" w:eastAsia="Times New Roman" w:hAnsi="Times New Roman" w:cs="Times New Roman"/>
                <w:color w:val="000000"/>
                <w:lang w:val="en-US"/>
              </w:rPr>
              <w:t>environmental</w:t>
            </w:r>
            <w:r w:rsidRPr="002008A1">
              <w:rPr>
                <w:rFonts w:ascii="Times New Roman" w:eastAsia="Times New Roman" w:hAnsi="Times New Roman" w:cs="Times New Roman"/>
                <w:color w:val="000000"/>
                <w:lang w:val="en-US"/>
              </w:rPr>
              <w:t xml:space="preserve"> aware design, contract management</w:t>
            </w:r>
          </w:p>
        </w:tc>
        <w:tc>
          <w:tcPr>
            <w:tcW w:w="897" w:type="dxa"/>
            <w:tcBorders>
              <w:top w:val="nil"/>
              <w:left w:val="nil"/>
              <w:bottom w:val="single" w:sz="4" w:space="0" w:color="auto"/>
              <w:right w:val="single" w:sz="4" w:space="0" w:color="auto"/>
            </w:tcBorders>
            <w:shd w:val="clear" w:color="000000" w:fill="DDEBF7"/>
            <w:noWrap/>
            <w:hideMark/>
          </w:tcPr>
          <w:p w14:paraId="640D9E64"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CS</w:t>
            </w:r>
          </w:p>
        </w:tc>
        <w:tc>
          <w:tcPr>
            <w:tcW w:w="755" w:type="dxa"/>
            <w:tcBorders>
              <w:top w:val="nil"/>
              <w:left w:val="nil"/>
              <w:bottom w:val="single" w:sz="4" w:space="0" w:color="auto"/>
              <w:right w:val="single" w:sz="4" w:space="0" w:color="auto"/>
            </w:tcBorders>
            <w:shd w:val="clear" w:color="000000" w:fill="DDEBF7"/>
            <w:noWrap/>
            <w:hideMark/>
          </w:tcPr>
          <w:p w14:paraId="79824023"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QCBS</w:t>
            </w:r>
          </w:p>
        </w:tc>
        <w:tc>
          <w:tcPr>
            <w:tcW w:w="719" w:type="dxa"/>
            <w:gridSpan w:val="2"/>
            <w:tcBorders>
              <w:top w:val="nil"/>
              <w:left w:val="nil"/>
              <w:bottom w:val="single" w:sz="4" w:space="0" w:color="auto"/>
              <w:right w:val="single" w:sz="4" w:space="0" w:color="auto"/>
            </w:tcBorders>
            <w:shd w:val="clear" w:color="000000" w:fill="DDEBF7"/>
            <w:noWrap/>
            <w:hideMark/>
          </w:tcPr>
          <w:p w14:paraId="14E36871"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post</w:t>
            </w:r>
          </w:p>
        </w:tc>
        <w:tc>
          <w:tcPr>
            <w:tcW w:w="1702" w:type="dxa"/>
            <w:gridSpan w:val="3"/>
            <w:tcBorders>
              <w:top w:val="nil"/>
              <w:left w:val="nil"/>
              <w:bottom w:val="single" w:sz="4" w:space="0" w:color="auto"/>
              <w:right w:val="nil"/>
            </w:tcBorders>
            <w:shd w:val="clear" w:color="000000" w:fill="DDEBF7"/>
            <w:noWrap/>
            <w:hideMark/>
          </w:tcPr>
          <w:p w14:paraId="732A75EA" w14:textId="2B3C6740"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650.000,00</w:t>
            </w:r>
          </w:p>
        </w:tc>
        <w:tc>
          <w:tcPr>
            <w:tcW w:w="992" w:type="dxa"/>
            <w:tcBorders>
              <w:top w:val="nil"/>
              <w:left w:val="single" w:sz="4" w:space="0" w:color="auto"/>
              <w:bottom w:val="single" w:sz="4" w:space="0" w:color="auto"/>
              <w:right w:val="single" w:sz="4" w:space="0" w:color="auto"/>
            </w:tcBorders>
            <w:shd w:val="clear" w:color="000000" w:fill="DDEBF7"/>
            <w:noWrap/>
            <w:hideMark/>
          </w:tcPr>
          <w:p w14:paraId="3EFA7B0F"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Q4</w:t>
            </w:r>
          </w:p>
        </w:tc>
      </w:tr>
      <w:tr w:rsidR="007F7FFC" w:rsidRPr="002008A1" w14:paraId="6BA2E8DB" w14:textId="77777777" w:rsidTr="007F7FFC">
        <w:trPr>
          <w:trHeight w:val="340"/>
        </w:trPr>
        <w:tc>
          <w:tcPr>
            <w:tcW w:w="9329" w:type="dxa"/>
            <w:gridSpan w:val="2"/>
            <w:tcBorders>
              <w:top w:val="dotDash" w:sz="8" w:space="0" w:color="auto"/>
              <w:left w:val="single" w:sz="4" w:space="0" w:color="auto"/>
              <w:bottom w:val="single" w:sz="4" w:space="0" w:color="auto"/>
              <w:right w:val="nil"/>
            </w:tcBorders>
            <w:shd w:val="clear" w:color="000000" w:fill="FFE699"/>
            <w:noWrap/>
            <w:hideMark/>
          </w:tcPr>
          <w:p w14:paraId="4FCF670F" w14:textId="019A579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 xml:space="preserve">Component 3 Project management and </w:t>
            </w:r>
            <w:r w:rsidR="00835C1A" w:rsidRPr="002008A1">
              <w:rPr>
                <w:rFonts w:ascii="Times New Roman" w:eastAsia="Times New Roman" w:hAnsi="Times New Roman" w:cs="Times New Roman"/>
                <w:b/>
                <w:bCs/>
                <w:lang w:val="en-US"/>
              </w:rPr>
              <w:t>awareness</w:t>
            </w:r>
            <w:r w:rsidRPr="002008A1">
              <w:rPr>
                <w:rFonts w:ascii="Times New Roman" w:eastAsia="Times New Roman" w:hAnsi="Times New Roman" w:cs="Times New Roman"/>
                <w:b/>
                <w:bCs/>
                <w:lang w:val="en-US"/>
              </w:rPr>
              <w:t xml:space="preserve"> raising</w:t>
            </w:r>
          </w:p>
        </w:tc>
        <w:tc>
          <w:tcPr>
            <w:tcW w:w="897" w:type="dxa"/>
            <w:tcBorders>
              <w:top w:val="dotDash" w:sz="8" w:space="0" w:color="auto"/>
              <w:left w:val="nil"/>
              <w:bottom w:val="single" w:sz="4" w:space="0" w:color="auto"/>
              <w:right w:val="nil"/>
            </w:tcBorders>
            <w:shd w:val="clear" w:color="000000" w:fill="FFE699"/>
            <w:noWrap/>
            <w:hideMark/>
          </w:tcPr>
          <w:p w14:paraId="62B17800" w14:textId="25ACA71F"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755" w:type="dxa"/>
            <w:tcBorders>
              <w:top w:val="dotDash" w:sz="8" w:space="0" w:color="auto"/>
              <w:left w:val="nil"/>
              <w:bottom w:val="single" w:sz="4" w:space="0" w:color="auto"/>
              <w:right w:val="nil"/>
            </w:tcBorders>
            <w:shd w:val="clear" w:color="000000" w:fill="FFE699"/>
            <w:noWrap/>
            <w:hideMark/>
          </w:tcPr>
          <w:p w14:paraId="4D5571C3" w14:textId="6B942082"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719" w:type="dxa"/>
            <w:gridSpan w:val="2"/>
            <w:tcBorders>
              <w:top w:val="dotDash" w:sz="8" w:space="0" w:color="auto"/>
              <w:left w:val="nil"/>
              <w:bottom w:val="single" w:sz="4" w:space="0" w:color="auto"/>
              <w:right w:val="single" w:sz="4" w:space="0" w:color="auto"/>
            </w:tcBorders>
            <w:shd w:val="clear" w:color="000000" w:fill="FFE699"/>
            <w:noWrap/>
            <w:hideMark/>
          </w:tcPr>
          <w:p w14:paraId="61FA36E8" w14:textId="2CB009AC" w:rsidR="002008A1" w:rsidRPr="002008A1" w:rsidRDefault="002008A1" w:rsidP="007F7FFC">
            <w:pPr>
              <w:spacing w:after="0" w:line="240" w:lineRule="auto"/>
              <w:jc w:val="center"/>
              <w:rPr>
                <w:rFonts w:ascii="Times New Roman" w:eastAsia="Times New Roman" w:hAnsi="Times New Roman" w:cs="Times New Roman"/>
                <w:b/>
                <w:bCs/>
                <w:lang w:val="en-US"/>
              </w:rPr>
            </w:pPr>
          </w:p>
        </w:tc>
        <w:tc>
          <w:tcPr>
            <w:tcW w:w="1702" w:type="dxa"/>
            <w:gridSpan w:val="3"/>
            <w:tcBorders>
              <w:top w:val="dotDash" w:sz="8" w:space="0" w:color="auto"/>
              <w:left w:val="nil"/>
              <w:bottom w:val="single" w:sz="4" w:space="0" w:color="auto"/>
              <w:right w:val="single" w:sz="4" w:space="0" w:color="auto"/>
            </w:tcBorders>
            <w:shd w:val="clear" w:color="000000" w:fill="FFE699"/>
            <w:noWrap/>
            <w:hideMark/>
          </w:tcPr>
          <w:p w14:paraId="57193FCA" w14:textId="786FDB48"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6.500.200,00</w:t>
            </w:r>
          </w:p>
        </w:tc>
        <w:tc>
          <w:tcPr>
            <w:tcW w:w="992" w:type="dxa"/>
            <w:tcBorders>
              <w:top w:val="nil"/>
              <w:left w:val="nil"/>
              <w:bottom w:val="single" w:sz="4" w:space="0" w:color="auto"/>
              <w:right w:val="single" w:sz="4" w:space="0" w:color="auto"/>
            </w:tcBorders>
            <w:shd w:val="clear" w:color="000000" w:fill="FFE699"/>
            <w:noWrap/>
            <w:hideMark/>
          </w:tcPr>
          <w:p w14:paraId="7EB11C98" w14:textId="763C4427" w:rsidR="002008A1" w:rsidRPr="002008A1" w:rsidRDefault="002008A1" w:rsidP="007F7FFC">
            <w:pPr>
              <w:spacing w:after="0" w:line="240" w:lineRule="auto"/>
              <w:jc w:val="center"/>
              <w:rPr>
                <w:rFonts w:ascii="Times New Roman" w:eastAsia="Times New Roman" w:hAnsi="Times New Roman" w:cs="Times New Roman"/>
                <w:b/>
                <w:bCs/>
                <w:lang w:val="en-US"/>
              </w:rPr>
            </w:pPr>
          </w:p>
        </w:tc>
      </w:tr>
      <w:tr w:rsidR="007F7FFC" w:rsidRPr="002008A1" w14:paraId="615F2A01" w14:textId="77777777" w:rsidTr="007F7FFC">
        <w:trPr>
          <w:trHeight w:val="340"/>
        </w:trPr>
        <w:tc>
          <w:tcPr>
            <w:tcW w:w="900" w:type="dxa"/>
            <w:tcBorders>
              <w:top w:val="nil"/>
              <w:left w:val="single" w:sz="4" w:space="0" w:color="auto"/>
              <w:bottom w:val="single" w:sz="4" w:space="0" w:color="auto"/>
              <w:right w:val="nil"/>
            </w:tcBorders>
            <w:shd w:val="clear" w:color="000000" w:fill="FFE699"/>
            <w:noWrap/>
            <w:hideMark/>
          </w:tcPr>
          <w:p w14:paraId="63CBFA24" w14:textId="77777777"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r w:rsidRPr="002008A1">
              <w:rPr>
                <w:rFonts w:ascii="Times New Roman" w:eastAsia="Times New Roman" w:hAnsi="Times New Roman" w:cs="Times New Roman"/>
                <w:i/>
                <w:iCs/>
                <w:color w:val="000000"/>
                <w:lang w:val="en-US"/>
              </w:rPr>
              <w:t>3.1 PIU</w:t>
            </w:r>
          </w:p>
        </w:tc>
        <w:tc>
          <w:tcPr>
            <w:tcW w:w="8429" w:type="dxa"/>
            <w:tcBorders>
              <w:top w:val="nil"/>
              <w:left w:val="nil"/>
              <w:bottom w:val="single" w:sz="4" w:space="0" w:color="auto"/>
              <w:right w:val="nil"/>
            </w:tcBorders>
            <w:shd w:val="clear" w:color="000000" w:fill="FFE699"/>
            <w:noWrap/>
            <w:hideMark/>
          </w:tcPr>
          <w:p w14:paraId="2348162A" w14:textId="010F74B2"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897" w:type="dxa"/>
            <w:tcBorders>
              <w:top w:val="nil"/>
              <w:left w:val="nil"/>
              <w:bottom w:val="single" w:sz="4" w:space="0" w:color="auto"/>
              <w:right w:val="nil"/>
            </w:tcBorders>
            <w:shd w:val="clear" w:color="000000" w:fill="FFE699"/>
            <w:noWrap/>
            <w:hideMark/>
          </w:tcPr>
          <w:p w14:paraId="1F870FFE" w14:textId="48FC9320"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755" w:type="dxa"/>
            <w:tcBorders>
              <w:top w:val="nil"/>
              <w:left w:val="nil"/>
              <w:bottom w:val="single" w:sz="4" w:space="0" w:color="auto"/>
              <w:right w:val="nil"/>
            </w:tcBorders>
            <w:shd w:val="clear" w:color="000000" w:fill="FFE699"/>
            <w:noWrap/>
            <w:hideMark/>
          </w:tcPr>
          <w:p w14:paraId="1B7D48BC" w14:textId="1CA510E3"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719" w:type="dxa"/>
            <w:gridSpan w:val="2"/>
            <w:tcBorders>
              <w:top w:val="nil"/>
              <w:left w:val="nil"/>
              <w:bottom w:val="single" w:sz="4" w:space="0" w:color="auto"/>
              <w:right w:val="single" w:sz="4" w:space="0" w:color="auto"/>
            </w:tcBorders>
            <w:shd w:val="clear" w:color="000000" w:fill="FFE699"/>
            <w:noWrap/>
            <w:hideMark/>
          </w:tcPr>
          <w:p w14:paraId="305C1663" w14:textId="0385A6BD"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p>
        </w:tc>
        <w:tc>
          <w:tcPr>
            <w:tcW w:w="1702" w:type="dxa"/>
            <w:gridSpan w:val="3"/>
            <w:tcBorders>
              <w:top w:val="nil"/>
              <w:left w:val="nil"/>
              <w:bottom w:val="single" w:sz="4" w:space="0" w:color="auto"/>
              <w:right w:val="single" w:sz="4" w:space="0" w:color="auto"/>
            </w:tcBorders>
            <w:shd w:val="clear" w:color="000000" w:fill="FFE699"/>
            <w:noWrap/>
            <w:hideMark/>
          </w:tcPr>
          <w:p w14:paraId="57D38F62" w14:textId="395A6512" w:rsidR="002008A1" w:rsidRPr="002008A1" w:rsidRDefault="002008A1" w:rsidP="007F7FFC">
            <w:pPr>
              <w:spacing w:after="0" w:line="240" w:lineRule="auto"/>
              <w:jc w:val="center"/>
              <w:rPr>
                <w:rFonts w:ascii="Times New Roman" w:eastAsia="Times New Roman" w:hAnsi="Times New Roman" w:cs="Times New Roman"/>
                <w:i/>
                <w:iCs/>
                <w:color w:val="000000"/>
                <w:lang w:val="en-US"/>
              </w:rPr>
            </w:pPr>
            <w:r w:rsidRPr="002008A1">
              <w:rPr>
                <w:rFonts w:ascii="Times New Roman" w:eastAsia="Times New Roman" w:hAnsi="Times New Roman" w:cs="Times New Roman"/>
                <w:i/>
                <w:iCs/>
                <w:color w:val="000000"/>
                <w:lang w:val="en-US"/>
              </w:rPr>
              <w:t>4.902.200,00</w:t>
            </w:r>
          </w:p>
        </w:tc>
        <w:tc>
          <w:tcPr>
            <w:tcW w:w="992" w:type="dxa"/>
            <w:tcBorders>
              <w:top w:val="nil"/>
              <w:left w:val="nil"/>
              <w:bottom w:val="single" w:sz="4" w:space="0" w:color="auto"/>
              <w:right w:val="single" w:sz="4" w:space="0" w:color="auto"/>
            </w:tcBorders>
            <w:shd w:val="clear" w:color="000000" w:fill="FFE699"/>
            <w:noWrap/>
            <w:hideMark/>
          </w:tcPr>
          <w:p w14:paraId="6A307E03" w14:textId="5BE43728"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1950F5D7"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1ADB5E4E" w14:textId="5D24EEA5"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6CBD861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Head of PIU</w:t>
            </w:r>
          </w:p>
        </w:tc>
        <w:tc>
          <w:tcPr>
            <w:tcW w:w="897" w:type="dxa"/>
            <w:tcBorders>
              <w:top w:val="nil"/>
              <w:left w:val="nil"/>
              <w:bottom w:val="single" w:sz="4" w:space="0" w:color="auto"/>
              <w:right w:val="single" w:sz="4" w:space="0" w:color="auto"/>
            </w:tcBorders>
            <w:shd w:val="clear" w:color="000000" w:fill="FFE699"/>
            <w:noWrap/>
            <w:hideMark/>
          </w:tcPr>
          <w:p w14:paraId="3DCD08B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7DD3A2A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IC/DS</w:t>
            </w:r>
          </w:p>
        </w:tc>
        <w:tc>
          <w:tcPr>
            <w:tcW w:w="719" w:type="dxa"/>
            <w:gridSpan w:val="2"/>
            <w:tcBorders>
              <w:top w:val="nil"/>
              <w:left w:val="nil"/>
              <w:bottom w:val="single" w:sz="4" w:space="0" w:color="auto"/>
              <w:right w:val="single" w:sz="4" w:space="0" w:color="auto"/>
            </w:tcBorders>
            <w:shd w:val="clear" w:color="000000" w:fill="FFE699"/>
            <w:noWrap/>
            <w:hideMark/>
          </w:tcPr>
          <w:p w14:paraId="3B13C28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single" w:sz="4" w:space="0" w:color="auto"/>
              <w:right w:val="nil"/>
            </w:tcBorders>
            <w:shd w:val="clear" w:color="000000" w:fill="FFE699"/>
            <w:noWrap/>
            <w:hideMark/>
          </w:tcPr>
          <w:p w14:paraId="001A7111" w14:textId="6CE4061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264.000,00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11703940"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Q1</w:t>
            </w:r>
          </w:p>
        </w:tc>
      </w:tr>
      <w:tr w:rsidR="007F7FFC" w:rsidRPr="002008A1" w14:paraId="59D54FF8"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51F3F3AE" w14:textId="02CB35AB"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16D83D8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Deputy head of PIU</w:t>
            </w:r>
          </w:p>
        </w:tc>
        <w:tc>
          <w:tcPr>
            <w:tcW w:w="897" w:type="dxa"/>
            <w:tcBorders>
              <w:top w:val="nil"/>
              <w:left w:val="nil"/>
              <w:bottom w:val="single" w:sz="4" w:space="0" w:color="auto"/>
              <w:right w:val="single" w:sz="4" w:space="0" w:color="auto"/>
            </w:tcBorders>
            <w:shd w:val="clear" w:color="000000" w:fill="FFE699"/>
            <w:noWrap/>
            <w:hideMark/>
          </w:tcPr>
          <w:p w14:paraId="00BE000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1413A9B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IC/DS</w:t>
            </w:r>
          </w:p>
        </w:tc>
        <w:tc>
          <w:tcPr>
            <w:tcW w:w="719" w:type="dxa"/>
            <w:gridSpan w:val="2"/>
            <w:tcBorders>
              <w:top w:val="nil"/>
              <w:left w:val="nil"/>
              <w:bottom w:val="single" w:sz="4" w:space="0" w:color="auto"/>
              <w:right w:val="single" w:sz="4" w:space="0" w:color="auto"/>
            </w:tcBorders>
            <w:shd w:val="clear" w:color="000000" w:fill="FFE699"/>
            <w:noWrap/>
            <w:hideMark/>
          </w:tcPr>
          <w:p w14:paraId="5161B80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Prior</w:t>
            </w:r>
          </w:p>
        </w:tc>
        <w:tc>
          <w:tcPr>
            <w:tcW w:w="1702" w:type="dxa"/>
            <w:gridSpan w:val="3"/>
            <w:tcBorders>
              <w:top w:val="nil"/>
              <w:left w:val="nil"/>
              <w:bottom w:val="single" w:sz="4" w:space="0" w:color="auto"/>
              <w:right w:val="nil"/>
            </w:tcBorders>
            <w:shd w:val="clear" w:color="000000" w:fill="FFE699"/>
            <w:noWrap/>
            <w:hideMark/>
          </w:tcPr>
          <w:p w14:paraId="2CDDC9E3" w14:textId="48D69E56"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250.800,00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5396C375"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Q1</w:t>
            </w:r>
          </w:p>
        </w:tc>
      </w:tr>
      <w:tr w:rsidR="007F7FFC" w:rsidRPr="002008A1" w14:paraId="2E017BEB"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6769CF95" w14:textId="6C853271"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614D75F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Administrative Assistant</w:t>
            </w:r>
          </w:p>
        </w:tc>
        <w:tc>
          <w:tcPr>
            <w:tcW w:w="897" w:type="dxa"/>
            <w:tcBorders>
              <w:top w:val="nil"/>
              <w:left w:val="nil"/>
              <w:bottom w:val="single" w:sz="4" w:space="0" w:color="auto"/>
              <w:right w:val="single" w:sz="4" w:space="0" w:color="auto"/>
            </w:tcBorders>
            <w:shd w:val="clear" w:color="000000" w:fill="FFE699"/>
            <w:noWrap/>
            <w:hideMark/>
          </w:tcPr>
          <w:p w14:paraId="73B2B78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2A3898F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5851994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4D72B05B" w14:textId="4CED0AC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113.400,00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43E4724B"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1B839336"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09FBA397" w14:textId="3CC3DD3F"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15BF9AB2" w14:textId="499437B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Environmental specialist</w:t>
            </w:r>
            <w:r w:rsidR="001B4196">
              <w:rPr>
                <w:rFonts w:ascii="Times New Roman" w:eastAsia="Times New Roman" w:hAnsi="Times New Roman" w:cs="Times New Roman"/>
                <w:lang w:val="en-US"/>
              </w:rPr>
              <w:t xml:space="preserve"> </w:t>
            </w:r>
            <w:r w:rsidRPr="002008A1">
              <w:rPr>
                <w:rFonts w:ascii="Times New Roman" w:eastAsia="Times New Roman" w:hAnsi="Times New Roman" w:cs="Times New Roman"/>
                <w:lang w:val="en-US"/>
              </w:rPr>
              <w:t>*2</w:t>
            </w:r>
          </w:p>
        </w:tc>
        <w:tc>
          <w:tcPr>
            <w:tcW w:w="897" w:type="dxa"/>
            <w:tcBorders>
              <w:top w:val="nil"/>
              <w:left w:val="nil"/>
              <w:bottom w:val="single" w:sz="4" w:space="0" w:color="auto"/>
              <w:right w:val="single" w:sz="4" w:space="0" w:color="auto"/>
            </w:tcBorders>
            <w:shd w:val="clear" w:color="000000" w:fill="FFE699"/>
            <w:noWrap/>
            <w:hideMark/>
          </w:tcPr>
          <w:p w14:paraId="729E530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3EE47F3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5EF095D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4EB0B8BC" w14:textId="410B890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300.000,00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6CABF284"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5ADC8C51"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21B34F9E" w14:textId="72940ABC"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7702216F" w14:textId="4EDC7F16"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Social safeguard specialist and</w:t>
            </w:r>
            <w:r w:rsidR="001B4196">
              <w:rPr>
                <w:rFonts w:ascii="Times New Roman" w:eastAsia="Times New Roman" w:hAnsi="Times New Roman" w:cs="Times New Roman"/>
                <w:lang w:val="en-US"/>
              </w:rPr>
              <w:t xml:space="preserve"> </w:t>
            </w:r>
            <w:r w:rsidRPr="002008A1">
              <w:rPr>
                <w:rFonts w:ascii="Times New Roman" w:eastAsia="Times New Roman" w:hAnsi="Times New Roman" w:cs="Times New Roman"/>
                <w:lang w:val="en-US"/>
              </w:rPr>
              <w:t>citizen engagement specialist</w:t>
            </w:r>
          </w:p>
        </w:tc>
        <w:tc>
          <w:tcPr>
            <w:tcW w:w="897" w:type="dxa"/>
            <w:tcBorders>
              <w:top w:val="nil"/>
              <w:left w:val="nil"/>
              <w:bottom w:val="single" w:sz="4" w:space="0" w:color="auto"/>
              <w:right w:val="single" w:sz="4" w:space="0" w:color="auto"/>
            </w:tcBorders>
            <w:shd w:val="clear" w:color="000000" w:fill="FFE699"/>
            <w:noWrap/>
            <w:hideMark/>
          </w:tcPr>
          <w:p w14:paraId="27C992A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7B0B6608"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7F56338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29045841" w14:textId="497DA13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176.400,00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26BA79BA"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52619E72"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59FFDEA9" w14:textId="739F71C8"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480DCE1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Human development specialist</w:t>
            </w:r>
          </w:p>
        </w:tc>
        <w:tc>
          <w:tcPr>
            <w:tcW w:w="897" w:type="dxa"/>
            <w:tcBorders>
              <w:top w:val="nil"/>
              <w:left w:val="nil"/>
              <w:bottom w:val="single" w:sz="4" w:space="0" w:color="auto"/>
              <w:right w:val="single" w:sz="4" w:space="0" w:color="auto"/>
            </w:tcBorders>
            <w:shd w:val="clear" w:color="000000" w:fill="FFE699"/>
            <w:noWrap/>
            <w:hideMark/>
          </w:tcPr>
          <w:p w14:paraId="54A71F6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2A6C288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125B9DC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5FC0DA38" w14:textId="46DCF094"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150.000,00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04808B03"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3515F5E6"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060869A3" w14:textId="25063F66"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0BC94D1D" w14:textId="191EFFA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 xml:space="preserve">Urban </w:t>
            </w:r>
            <w:r w:rsidR="00835C1A" w:rsidRPr="002008A1">
              <w:rPr>
                <w:rFonts w:ascii="Times New Roman" w:eastAsia="Times New Roman" w:hAnsi="Times New Roman" w:cs="Times New Roman"/>
                <w:lang w:val="en-US"/>
              </w:rPr>
              <w:t>mobility</w:t>
            </w:r>
            <w:r w:rsidRPr="002008A1">
              <w:rPr>
                <w:rFonts w:ascii="Times New Roman" w:eastAsia="Times New Roman" w:hAnsi="Times New Roman" w:cs="Times New Roman"/>
                <w:lang w:val="en-US"/>
              </w:rPr>
              <w:t xml:space="preserve"> experts / transport planners/traffic engineers * 4</w:t>
            </w:r>
          </w:p>
        </w:tc>
        <w:tc>
          <w:tcPr>
            <w:tcW w:w="897" w:type="dxa"/>
            <w:tcBorders>
              <w:top w:val="nil"/>
              <w:left w:val="nil"/>
              <w:bottom w:val="single" w:sz="4" w:space="0" w:color="auto"/>
              <w:right w:val="single" w:sz="4" w:space="0" w:color="auto"/>
            </w:tcBorders>
            <w:shd w:val="clear" w:color="000000" w:fill="FFE699"/>
            <w:noWrap/>
            <w:hideMark/>
          </w:tcPr>
          <w:p w14:paraId="449FFC2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4899E50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52F3E42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7183B4BB" w14:textId="7BBAF98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696.000,00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64B9559B"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22D54B82"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2687432F" w14:textId="4F03A934"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2E29389E" w14:textId="5A7EFECA"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road safety expert</w:t>
            </w:r>
          </w:p>
        </w:tc>
        <w:tc>
          <w:tcPr>
            <w:tcW w:w="897" w:type="dxa"/>
            <w:tcBorders>
              <w:top w:val="nil"/>
              <w:left w:val="nil"/>
              <w:bottom w:val="single" w:sz="4" w:space="0" w:color="auto"/>
              <w:right w:val="single" w:sz="4" w:space="0" w:color="auto"/>
            </w:tcBorders>
            <w:shd w:val="clear" w:color="000000" w:fill="FFE699"/>
            <w:noWrap/>
            <w:hideMark/>
          </w:tcPr>
          <w:p w14:paraId="7E6DD75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56EC266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3C8A6E5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25B73A60" w14:textId="55016F7C"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174.000,00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01472EA6"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40F817F8"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6BBE6C5A" w14:textId="331EDBAA"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034FB1E5" w14:textId="41DDC6A6"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Civil engineers * 5</w:t>
            </w:r>
          </w:p>
        </w:tc>
        <w:tc>
          <w:tcPr>
            <w:tcW w:w="897" w:type="dxa"/>
            <w:tcBorders>
              <w:top w:val="nil"/>
              <w:left w:val="nil"/>
              <w:bottom w:val="single" w:sz="4" w:space="0" w:color="auto"/>
              <w:right w:val="single" w:sz="4" w:space="0" w:color="auto"/>
            </w:tcBorders>
            <w:shd w:val="clear" w:color="000000" w:fill="FFE699"/>
            <w:noWrap/>
            <w:hideMark/>
          </w:tcPr>
          <w:p w14:paraId="23685D5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75D24A9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1F85891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60E8C3DE" w14:textId="741AA97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885.000,00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5CAF024C"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443F0002"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08BC5053" w14:textId="3DE522C9"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3B6241B7" w14:textId="1A7454F6"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Transport economist</w:t>
            </w:r>
          </w:p>
        </w:tc>
        <w:tc>
          <w:tcPr>
            <w:tcW w:w="897" w:type="dxa"/>
            <w:tcBorders>
              <w:top w:val="nil"/>
              <w:left w:val="nil"/>
              <w:bottom w:val="single" w:sz="4" w:space="0" w:color="auto"/>
              <w:right w:val="single" w:sz="4" w:space="0" w:color="auto"/>
            </w:tcBorders>
            <w:shd w:val="clear" w:color="000000" w:fill="FFE699"/>
            <w:noWrap/>
            <w:hideMark/>
          </w:tcPr>
          <w:p w14:paraId="437FE0D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1BE1B6B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3D2BEBD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59046582" w14:textId="7BEC0FF8"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162.400,00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18B71F78"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7FA40803"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3FF01628" w14:textId="2A2D9C8C"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788ED6A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Urban development specialist * 3</w:t>
            </w:r>
          </w:p>
        </w:tc>
        <w:tc>
          <w:tcPr>
            <w:tcW w:w="897" w:type="dxa"/>
            <w:tcBorders>
              <w:top w:val="nil"/>
              <w:left w:val="nil"/>
              <w:bottom w:val="single" w:sz="4" w:space="0" w:color="auto"/>
              <w:right w:val="single" w:sz="4" w:space="0" w:color="auto"/>
            </w:tcBorders>
            <w:shd w:val="clear" w:color="000000" w:fill="FFE699"/>
            <w:noWrap/>
            <w:hideMark/>
          </w:tcPr>
          <w:p w14:paraId="1ACE4BA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7739A80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79EFE44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0314E8BD" w14:textId="32DB7FA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460.200,00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54313AA7"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69E7F78D"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52D448C9" w14:textId="29BCE683"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34F91DDD" w14:textId="4EE3F5F2"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disaster risk management specialist</w:t>
            </w:r>
          </w:p>
        </w:tc>
        <w:tc>
          <w:tcPr>
            <w:tcW w:w="897" w:type="dxa"/>
            <w:tcBorders>
              <w:top w:val="nil"/>
              <w:left w:val="nil"/>
              <w:bottom w:val="single" w:sz="4" w:space="0" w:color="auto"/>
              <w:right w:val="single" w:sz="4" w:space="0" w:color="auto"/>
            </w:tcBorders>
            <w:shd w:val="clear" w:color="000000" w:fill="FFE699"/>
            <w:noWrap/>
            <w:hideMark/>
          </w:tcPr>
          <w:p w14:paraId="53FB6EC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6FD539F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621E37C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3C4EFF8C" w14:textId="1A5F344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168.000,00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3DAE7C6B"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6F4BA762"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0310BE88" w14:textId="51649EAB"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346A26DF" w14:textId="1C27E608"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Institutional development specialist / policy specialist</w:t>
            </w:r>
          </w:p>
        </w:tc>
        <w:tc>
          <w:tcPr>
            <w:tcW w:w="897" w:type="dxa"/>
            <w:tcBorders>
              <w:top w:val="nil"/>
              <w:left w:val="nil"/>
              <w:bottom w:val="single" w:sz="4" w:space="0" w:color="auto"/>
              <w:right w:val="single" w:sz="4" w:space="0" w:color="auto"/>
            </w:tcBorders>
            <w:shd w:val="clear" w:color="000000" w:fill="FFE699"/>
            <w:noWrap/>
            <w:hideMark/>
          </w:tcPr>
          <w:p w14:paraId="67620D1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379CC7D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14AAEAC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7BFCC6AD" w14:textId="41B08790"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168.000,00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2B5ECF83"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4BF1E69C"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44614FCA" w14:textId="2C4D842B"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643ED584" w14:textId="5543055C" w:rsidR="002008A1" w:rsidRPr="002008A1" w:rsidRDefault="00835C1A" w:rsidP="007F7FFC">
            <w:pPr>
              <w:spacing w:after="0" w:line="240" w:lineRule="auto"/>
              <w:jc w:val="center"/>
              <w:rPr>
                <w:rFonts w:ascii="Times New Roman" w:eastAsia="Times New Roman" w:hAnsi="Times New Roman" w:cs="Times New Roman"/>
                <w:lang w:val="en-US"/>
              </w:rPr>
            </w:pPr>
            <w:r>
              <w:rPr>
                <w:rFonts w:ascii="Times New Roman" w:eastAsia="Times New Roman" w:hAnsi="Times New Roman" w:cs="Times New Roman"/>
                <w:lang w:val="en-US"/>
              </w:rPr>
              <w:t>I</w:t>
            </w:r>
            <w:r w:rsidRPr="002008A1">
              <w:rPr>
                <w:rFonts w:ascii="Times New Roman" w:eastAsia="Times New Roman" w:hAnsi="Times New Roman" w:cs="Times New Roman"/>
                <w:lang w:val="en-US"/>
              </w:rPr>
              <w:t>nvestment</w:t>
            </w:r>
            <w:r w:rsidR="001B4196">
              <w:rPr>
                <w:rFonts w:ascii="Times New Roman" w:eastAsia="Times New Roman" w:hAnsi="Times New Roman" w:cs="Times New Roman"/>
                <w:lang w:val="en-US"/>
              </w:rPr>
              <w:t xml:space="preserve"> </w:t>
            </w:r>
            <w:r w:rsidR="002008A1" w:rsidRPr="002008A1">
              <w:rPr>
                <w:rFonts w:ascii="Times New Roman" w:eastAsia="Times New Roman" w:hAnsi="Times New Roman" w:cs="Times New Roman"/>
                <w:lang w:val="en-US"/>
              </w:rPr>
              <w:t>financing expert, fund raising, fund expert</w:t>
            </w:r>
          </w:p>
        </w:tc>
        <w:tc>
          <w:tcPr>
            <w:tcW w:w="897" w:type="dxa"/>
            <w:tcBorders>
              <w:top w:val="nil"/>
              <w:left w:val="nil"/>
              <w:bottom w:val="single" w:sz="4" w:space="0" w:color="auto"/>
              <w:right w:val="single" w:sz="4" w:space="0" w:color="auto"/>
            </w:tcBorders>
            <w:shd w:val="clear" w:color="000000" w:fill="FFE699"/>
            <w:noWrap/>
            <w:hideMark/>
          </w:tcPr>
          <w:p w14:paraId="599220B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55FCE3D1"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61BCA7A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1D77E279" w14:textId="34D42BD4"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145.000,00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1B37EFA9"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317CDB81"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1A28BBB3" w14:textId="4AA2456C"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27B59161" w14:textId="4E4E1F2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Procurement Capacity Development Specialist</w:t>
            </w:r>
          </w:p>
        </w:tc>
        <w:tc>
          <w:tcPr>
            <w:tcW w:w="897" w:type="dxa"/>
            <w:tcBorders>
              <w:top w:val="nil"/>
              <w:left w:val="nil"/>
              <w:bottom w:val="single" w:sz="4" w:space="0" w:color="auto"/>
              <w:right w:val="single" w:sz="4" w:space="0" w:color="auto"/>
            </w:tcBorders>
            <w:shd w:val="clear" w:color="000000" w:fill="FFE699"/>
            <w:noWrap/>
            <w:hideMark/>
          </w:tcPr>
          <w:p w14:paraId="7B96F76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699EEB7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10BCDAA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381BF927" w14:textId="260E93C8"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145.000,00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24321C85"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6626C998"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1DFDBEC1" w14:textId="18482D5C"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2A8BB241" w14:textId="2400E3C3"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Public Financial Management specialist</w:t>
            </w:r>
          </w:p>
        </w:tc>
        <w:tc>
          <w:tcPr>
            <w:tcW w:w="897" w:type="dxa"/>
            <w:tcBorders>
              <w:top w:val="nil"/>
              <w:left w:val="nil"/>
              <w:bottom w:val="single" w:sz="4" w:space="0" w:color="auto"/>
              <w:right w:val="single" w:sz="4" w:space="0" w:color="auto"/>
            </w:tcBorders>
            <w:shd w:val="clear" w:color="000000" w:fill="FFE699"/>
            <w:noWrap/>
            <w:hideMark/>
          </w:tcPr>
          <w:p w14:paraId="4C422DA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21DEF2F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011B61D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12846D57" w14:textId="512E724D"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145.000,00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7D6350FC"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4D3C2508"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7910BFFB" w14:textId="7DE3D23B"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12A1F261" w14:textId="28050E9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Public communications, awareness campaigns</w:t>
            </w:r>
          </w:p>
        </w:tc>
        <w:tc>
          <w:tcPr>
            <w:tcW w:w="897" w:type="dxa"/>
            <w:tcBorders>
              <w:top w:val="nil"/>
              <w:left w:val="nil"/>
              <w:bottom w:val="single" w:sz="4" w:space="0" w:color="auto"/>
              <w:right w:val="single" w:sz="4" w:space="0" w:color="auto"/>
            </w:tcBorders>
            <w:shd w:val="clear" w:color="000000" w:fill="FFE699"/>
            <w:noWrap/>
            <w:hideMark/>
          </w:tcPr>
          <w:p w14:paraId="69DC1FD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3CBD980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507EFF9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33212285" w14:textId="650E1CCF"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132.000,00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19362528"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39E4B539"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176571E9" w14:textId="69741C7F"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29CFAE7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IT specialist</w:t>
            </w:r>
          </w:p>
        </w:tc>
        <w:tc>
          <w:tcPr>
            <w:tcW w:w="897" w:type="dxa"/>
            <w:tcBorders>
              <w:top w:val="nil"/>
              <w:left w:val="nil"/>
              <w:bottom w:val="single" w:sz="4" w:space="0" w:color="auto"/>
              <w:right w:val="single" w:sz="4" w:space="0" w:color="auto"/>
            </w:tcBorders>
            <w:shd w:val="clear" w:color="000000" w:fill="FFE699"/>
            <w:noWrap/>
            <w:hideMark/>
          </w:tcPr>
          <w:p w14:paraId="1F65F01E"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24B9684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77E2E45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565E579C" w14:textId="2676122C"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192.000,00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7C53E77E"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4864E71C"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16092D7E" w14:textId="1AA3FA41"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7922EFD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M&amp;E Specialist</w:t>
            </w:r>
          </w:p>
        </w:tc>
        <w:tc>
          <w:tcPr>
            <w:tcW w:w="897" w:type="dxa"/>
            <w:tcBorders>
              <w:top w:val="nil"/>
              <w:left w:val="nil"/>
              <w:bottom w:val="single" w:sz="4" w:space="0" w:color="auto"/>
              <w:right w:val="single" w:sz="4" w:space="0" w:color="auto"/>
            </w:tcBorders>
            <w:shd w:val="clear" w:color="000000" w:fill="FFE699"/>
            <w:noWrap/>
            <w:hideMark/>
          </w:tcPr>
          <w:p w14:paraId="4C573C3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49AD8CE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IC/DS</w:t>
            </w:r>
          </w:p>
        </w:tc>
        <w:tc>
          <w:tcPr>
            <w:tcW w:w="719" w:type="dxa"/>
            <w:gridSpan w:val="2"/>
            <w:tcBorders>
              <w:top w:val="nil"/>
              <w:left w:val="nil"/>
              <w:bottom w:val="single" w:sz="4" w:space="0" w:color="auto"/>
              <w:right w:val="single" w:sz="4" w:space="0" w:color="auto"/>
            </w:tcBorders>
            <w:shd w:val="clear" w:color="000000" w:fill="FFE699"/>
            <w:noWrap/>
            <w:hideMark/>
          </w:tcPr>
          <w:p w14:paraId="220356FB"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752CA596" w14:textId="1FC4420B"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75.000,00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4CD9537E"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1958ED3D"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6202EAF2" w14:textId="47265CD6" w:rsidR="002008A1" w:rsidRPr="002008A1" w:rsidRDefault="002008A1" w:rsidP="007F7FFC">
            <w:pPr>
              <w:spacing w:after="0" w:line="240" w:lineRule="auto"/>
              <w:jc w:val="center"/>
              <w:rPr>
                <w:rFonts w:ascii="Times New Roman" w:eastAsia="Times New Roman" w:hAnsi="Times New Roman" w:cs="Times New Roman"/>
                <w:lang w:val="en-US"/>
              </w:rPr>
            </w:pPr>
          </w:p>
        </w:tc>
        <w:tc>
          <w:tcPr>
            <w:tcW w:w="8429" w:type="dxa"/>
            <w:tcBorders>
              <w:top w:val="nil"/>
              <w:left w:val="nil"/>
              <w:bottom w:val="single" w:sz="4" w:space="0" w:color="auto"/>
              <w:right w:val="single" w:sz="4" w:space="0" w:color="auto"/>
            </w:tcBorders>
            <w:shd w:val="clear" w:color="000000" w:fill="FFE699"/>
            <w:noWrap/>
            <w:hideMark/>
          </w:tcPr>
          <w:p w14:paraId="24FC349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Occupational, Health and Safety specialist</w:t>
            </w:r>
          </w:p>
        </w:tc>
        <w:tc>
          <w:tcPr>
            <w:tcW w:w="897" w:type="dxa"/>
            <w:tcBorders>
              <w:top w:val="nil"/>
              <w:left w:val="nil"/>
              <w:bottom w:val="single" w:sz="4" w:space="0" w:color="auto"/>
              <w:right w:val="single" w:sz="4" w:space="0" w:color="auto"/>
            </w:tcBorders>
            <w:shd w:val="clear" w:color="000000" w:fill="FFE699"/>
            <w:noWrap/>
            <w:hideMark/>
          </w:tcPr>
          <w:p w14:paraId="7A7A1CD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nil"/>
              <w:left w:val="nil"/>
              <w:bottom w:val="single" w:sz="4" w:space="0" w:color="auto"/>
              <w:right w:val="single" w:sz="4" w:space="0" w:color="auto"/>
            </w:tcBorders>
            <w:shd w:val="clear" w:color="000000" w:fill="FFE699"/>
            <w:noWrap/>
            <w:hideMark/>
          </w:tcPr>
          <w:p w14:paraId="39B0F60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IC</w:t>
            </w:r>
          </w:p>
        </w:tc>
        <w:tc>
          <w:tcPr>
            <w:tcW w:w="719" w:type="dxa"/>
            <w:gridSpan w:val="2"/>
            <w:tcBorders>
              <w:top w:val="nil"/>
              <w:left w:val="nil"/>
              <w:bottom w:val="single" w:sz="4" w:space="0" w:color="auto"/>
              <w:right w:val="single" w:sz="4" w:space="0" w:color="auto"/>
            </w:tcBorders>
            <w:shd w:val="clear" w:color="000000" w:fill="FFE699"/>
            <w:noWrap/>
            <w:hideMark/>
          </w:tcPr>
          <w:p w14:paraId="54DABAD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663DA2B7" w14:textId="25C46A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100.000,00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6598288F"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2022Q4</w:t>
            </w:r>
          </w:p>
        </w:tc>
      </w:tr>
      <w:tr w:rsidR="007F7FFC" w:rsidRPr="002008A1" w14:paraId="53DB220A" w14:textId="77777777" w:rsidTr="007F7FFC">
        <w:trPr>
          <w:trHeight w:val="340"/>
        </w:trPr>
        <w:tc>
          <w:tcPr>
            <w:tcW w:w="9329" w:type="dxa"/>
            <w:gridSpan w:val="2"/>
            <w:tcBorders>
              <w:top w:val="single" w:sz="4" w:space="0" w:color="auto"/>
              <w:left w:val="single" w:sz="4" w:space="0" w:color="auto"/>
              <w:bottom w:val="single" w:sz="4" w:space="0" w:color="auto"/>
              <w:right w:val="nil"/>
            </w:tcBorders>
            <w:shd w:val="clear" w:color="000000" w:fill="FFE699"/>
            <w:noWrap/>
            <w:hideMark/>
          </w:tcPr>
          <w:p w14:paraId="0391F73C" w14:textId="1FCD46EA"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3.2 Office equipment,</w:t>
            </w:r>
            <w:r w:rsidR="001B4196">
              <w:rPr>
                <w:rFonts w:ascii="Times New Roman" w:eastAsia="Times New Roman" w:hAnsi="Times New Roman" w:cs="Times New Roman"/>
                <w:i/>
                <w:iCs/>
                <w:lang w:val="en-US"/>
              </w:rPr>
              <w:t xml:space="preserve"> </w:t>
            </w:r>
            <w:r w:rsidRPr="002008A1">
              <w:rPr>
                <w:rFonts w:ascii="Times New Roman" w:eastAsia="Times New Roman" w:hAnsi="Times New Roman" w:cs="Times New Roman"/>
                <w:i/>
                <w:iCs/>
                <w:lang w:val="en-US"/>
              </w:rPr>
              <w:t>operating costs, awareness raising</w:t>
            </w:r>
          </w:p>
        </w:tc>
        <w:tc>
          <w:tcPr>
            <w:tcW w:w="897" w:type="dxa"/>
            <w:tcBorders>
              <w:top w:val="nil"/>
              <w:left w:val="nil"/>
              <w:bottom w:val="single" w:sz="4" w:space="0" w:color="auto"/>
              <w:right w:val="nil"/>
            </w:tcBorders>
            <w:shd w:val="clear" w:color="000000" w:fill="FFE699"/>
            <w:noWrap/>
            <w:hideMark/>
          </w:tcPr>
          <w:p w14:paraId="11C66382" w14:textId="40218E4F" w:rsidR="002008A1" w:rsidRPr="002008A1" w:rsidRDefault="002008A1" w:rsidP="007F7FFC">
            <w:pPr>
              <w:spacing w:after="0" w:line="240" w:lineRule="auto"/>
              <w:jc w:val="center"/>
              <w:rPr>
                <w:rFonts w:ascii="Times New Roman" w:eastAsia="Times New Roman" w:hAnsi="Times New Roman" w:cs="Times New Roman"/>
                <w:i/>
                <w:iCs/>
                <w:lang w:val="en-US"/>
              </w:rPr>
            </w:pPr>
          </w:p>
        </w:tc>
        <w:tc>
          <w:tcPr>
            <w:tcW w:w="755" w:type="dxa"/>
            <w:tcBorders>
              <w:top w:val="nil"/>
              <w:left w:val="nil"/>
              <w:bottom w:val="single" w:sz="4" w:space="0" w:color="auto"/>
              <w:right w:val="nil"/>
            </w:tcBorders>
            <w:shd w:val="clear" w:color="000000" w:fill="FFE699"/>
            <w:noWrap/>
            <w:hideMark/>
          </w:tcPr>
          <w:p w14:paraId="02E43A3D" w14:textId="625D4CAE" w:rsidR="002008A1" w:rsidRPr="002008A1" w:rsidRDefault="002008A1" w:rsidP="007F7FFC">
            <w:pPr>
              <w:spacing w:after="0" w:line="240" w:lineRule="auto"/>
              <w:jc w:val="center"/>
              <w:rPr>
                <w:rFonts w:ascii="Times New Roman" w:eastAsia="Times New Roman" w:hAnsi="Times New Roman" w:cs="Times New Roman"/>
                <w:i/>
                <w:iCs/>
                <w:lang w:val="en-US"/>
              </w:rPr>
            </w:pPr>
          </w:p>
        </w:tc>
        <w:tc>
          <w:tcPr>
            <w:tcW w:w="719" w:type="dxa"/>
            <w:gridSpan w:val="2"/>
            <w:tcBorders>
              <w:top w:val="nil"/>
              <w:left w:val="nil"/>
              <w:bottom w:val="single" w:sz="4" w:space="0" w:color="auto"/>
              <w:right w:val="single" w:sz="4" w:space="0" w:color="auto"/>
            </w:tcBorders>
            <w:shd w:val="clear" w:color="000000" w:fill="FFE699"/>
            <w:noWrap/>
            <w:hideMark/>
          </w:tcPr>
          <w:p w14:paraId="089AD8A2" w14:textId="3053A334" w:rsidR="002008A1" w:rsidRPr="002008A1" w:rsidRDefault="002008A1" w:rsidP="007F7FFC">
            <w:pPr>
              <w:spacing w:after="0" w:line="240" w:lineRule="auto"/>
              <w:jc w:val="center"/>
              <w:rPr>
                <w:rFonts w:ascii="Times New Roman" w:eastAsia="Times New Roman" w:hAnsi="Times New Roman" w:cs="Times New Roman"/>
                <w:i/>
                <w:iCs/>
                <w:lang w:val="en-US"/>
              </w:rPr>
            </w:pPr>
          </w:p>
        </w:tc>
        <w:tc>
          <w:tcPr>
            <w:tcW w:w="1702" w:type="dxa"/>
            <w:gridSpan w:val="3"/>
            <w:tcBorders>
              <w:top w:val="nil"/>
              <w:left w:val="nil"/>
              <w:bottom w:val="single" w:sz="4" w:space="0" w:color="auto"/>
              <w:right w:val="single" w:sz="4" w:space="0" w:color="auto"/>
            </w:tcBorders>
            <w:shd w:val="clear" w:color="000000" w:fill="FFE699"/>
            <w:noWrap/>
            <w:hideMark/>
          </w:tcPr>
          <w:p w14:paraId="3775613F" w14:textId="13A8BC43"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1.598.000,00</w:t>
            </w:r>
          </w:p>
        </w:tc>
        <w:tc>
          <w:tcPr>
            <w:tcW w:w="992" w:type="dxa"/>
            <w:tcBorders>
              <w:top w:val="nil"/>
              <w:left w:val="nil"/>
              <w:bottom w:val="single" w:sz="4" w:space="0" w:color="auto"/>
              <w:right w:val="single" w:sz="4" w:space="0" w:color="auto"/>
            </w:tcBorders>
            <w:shd w:val="clear" w:color="000000" w:fill="FFE699"/>
            <w:noWrap/>
            <w:hideMark/>
          </w:tcPr>
          <w:p w14:paraId="2D2086AB" w14:textId="4B4B1CEC" w:rsidR="002008A1" w:rsidRPr="002008A1" w:rsidRDefault="002008A1" w:rsidP="007F7FFC">
            <w:pPr>
              <w:spacing w:after="0" w:line="240" w:lineRule="auto"/>
              <w:jc w:val="center"/>
              <w:rPr>
                <w:rFonts w:ascii="Times New Roman" w:eastAsia="Times New Roman" w:hAnsi="Times New Roman" w:cs="Times New Roman"/>
                <w:lang w:val="en-US"/>
              </w:rPr>
            </w:pPr>
          </w:p>
        </w:tc>
      </w:tr>
      <w:tr w:rsidR="007F7FFC" w:rsidRPr="002008A1" w14:paraId="3E718C1B" w14:textId="77777777" w:rsidTr="007F7FFC">
        <w:trPr>
          <w:trHeight w:val="340"/>
        </w:trPr>
        <w:tc>
          <w:tcPr>
            <w:tcW w:w="900" w:type="dxa"/>
            <w:tcBorders>
              <w:top w:val="nil"/>
              <w:left w:val="single" w:sz="4" w:space="0" w:color="auto"/>
              <w:bottom w:val="single" w:sz="4" w:space="0" w:color="auto"/>
              <w:right w:val="single" w:sz="4" w:space="0" w:color="auto"/>
            </w:tcBorders>
            <w:shd w:val="clear" w:color="000000" w:fill="FFE699"/>
            <w:noWrap/>
            <w:hideMark/>
          </w:tcPr>
          <w:p w14:paraId="18B5C44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3.2.1.</w:t>
            </w:r>
          </w:p>
        </w:tc>
        <w:tc>
          <w:tcPr>
            <w:tcW w:w="8429" w:type="dxa"/>
            <w:tcBorders>
              <w:top w:val="nil"/>
              <w:left w:val="nil"/>
              <w:bottom w:val="single" w:sz="4" w:space="0" w:color="auto"/>
              <w:right w:val="single" w:sz="4" w:space="0" w:color="auto"/>
            </w:tcBorders>
            <w:shd w:val="clear" w:color="000000" w:fill="FFE699"/>
            <w:noWrap/>
            <w:hideMark/>
          </w:tcPr>
          <w:p w14:paraId="1036DDAA" w14:textId="1BA1679F"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IT Equipment</w:t>
            </w:r>
          </w:p>
        </w:tc>
        <w:tc>
          <w:tcPr>
            <w:tcW w:w="897" w:type="dxa"/>
            <w:tcBorders>
              <w:top w:val="nil"/>
              <w:left w:val="nil"/>
              <w:bottom w:val="single" w:sz="4" w:space="0" w:color="auto"/>
              <w:right w:val="single" w:sz="4" w:space="0" w:color="auto"/>
            </w:tcBorders>
            <w:shd w:val="clear" w:color="000000" w:fill="FFE699"/>
            <w:noWrap/>
            <w:hideMark/>
          </w:tcPr>
          <w:p w14:paraId="23E2736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G</w:t>
            </w:r>
          </w:p>
        </w:tc>
        <w:tc>
          <w:tcPr>
            <w:tcW w:w="755" w:type="dxa"/>
            <w:tcBorders>
              <w:top w:val="nil"/>
              <w:left w:val="nil"/>
              <w:bottom w:val="single" w:sz="4" w:space="0" w:color="auto"/>
              <w:right w:val="single" w:sz="4" w:space="0" w:color="auto"/>
            </w:tcBorders>
            <w:shd w:val="clear" w:color="000000" w:fill="FFE699"/>
            <w:noWrap/>
            <w:hideMark/>
          </w:tcPr>
          <w:p w14:paraId="4171726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RFQ</w:t>
            </w:r>
          </w:p>
        </w:tc>
        <w:tc>
          <w:tcPr>
            <w:tcW w:w="719" w:type="dxa"/>
            <w:gridSpan w:val="2"/>
            <w:tcBorders>
              <w:top w:val="nil"/>
              <w:left w:val="nil"/>
              <w:bottom w:val="single" w:sz="4" w:space="0" w:color="auto"/>
              <w:right w:val="single" w:sz="4" w:space="0" w:color="auto"/>
            </w:tcBorders>
            <w:shd w:val="clear" w:color="000000" w:fill="FFE699"/>
            <w:noWrap/>
            <w:hideMark/>
          </w:tcPr>
          <w:p w14:paraId="383DF62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single" w:sz="4" w:space="0" w:color="auto"/>
              <w:right w:val="nil"/>
            </w:tcBorders>
            <w:shd w:val="clear" w:color="000000" w:fill="FFE699"/>
            <w:noWrap/>
            <w:hideMark/>
          </w:tcPr>
          <w:p w14:paraId="3C188311" w14:textId="1A110918"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75.000,00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136901AA"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224A2EFF" w14:textId="77777777" w:rsidTr="007F7FFC">
        <w:trPr>
          <w:trHeight w:val="340"/>
        </w:trPr>
        <w:tc>
          <w:tcPr>
            <w:tcW w:w="900" w:type="dxa"/>
            <w:tcBorders>
              <w:top w:val="nil"/>
              <w:left w:val="single" w:sz="4" w:space="0" w:color="auto"/>
              <w:bottom w:val="nil"/>
              <w:right w:val="single" w:sz="4" w:space="0" w:color="auto"/>
            </w:tcBorders>
            <w:shd w:val="clear" w:color="000000" w:fill="FFE699"/>
            <w:noWrap/>
            <w:hideMark/>
          </w:tcPr>
          <w:p w14:paraId="2518CE3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3.2.2</w:t>
            </w:r>
          </w:p>
        </w:tc>
        <w:tc>
          <w:tcPr>
            <w:tcW w:w="8429" w:type="dxa"/>
            <w:tcBorders>
              <w:top w:val="nil"/>
              <w:left w:val="nil"/>
              <w:bottom w:val="nil"/>
              <w:right w:val="single" w:sz="4" w:space="0" w:color="auto"/>
            </w:tcBorders>
            <w:shd w:val="clear" w:color="000000" w:fill="FFE699"/>
            <w:noWrap/>
            <w:hideMark/>
          </w:tcPr>
          <w:p w14:paraId="43ACB94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Furniture and consumables for PIU staff office *multiple</w:t>
            </w:r>
          </w:p>
        </w:tc>
        <w:tc>
          <w:tcPr>
            <w:tcW w:w="897" w:type="dxa"/>
            <w:tcBorders>
              <w:top w:val="nil"/>
              <w:left w:val="nil"/>
              <w:bottom w:val="nil"/>
              <w:right w:val="single" w:sz="4" w:space="0" w:color="auto"/>
            </w:tcBorders>
            <w:shd w:val="clear" w:color="000000" w:fill="FFE699"/>
            <w:noWrap/>
            <w:hideMark/>
          </w:tcPr>
          <w:p w14:paraId="544BA3D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G</w:t>
            </w:r>
          </w:p>
        </w:tc>
        <w:tc>
          <w:tcPr>
            <w:tcW w:w="755" w:type="dxa"/>
            <w:tcBorders>
              <w:top w:val="nil"/>
              <w:left w:val="nil"/>
              <w:bottom w:val="nil"/>
              <w:right w:val="single" w:sz="4" w:space="0" w:color="auto"/>
            </w:tcBorders>
            <w:shd w:val="clear" w:color="000000" w:fill="FFE699"/>
            <w:noWrap/>
            <w:hideMark/>
          </w:tcPr>
          <w:p w14:paraId="74D955E7"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RFQ</w:t>
            </w:r>
          </w:p>
        </w:tc>
        <w:tc>
          <w:tcPr>
            <w:tcW w:w="719" w:type="dxa"/>
            <w:gridSpan w:val="2"/>
            <w:tcBorders>
              <w:top w:val="nil"/>
              <w:left w:val="nil"/>
              <w:bottom w:val="nil"/>
              <w:right w:val="single" w:sz="4" w:space="0" w:color="auto"/>
            </w:tcBorders>
            <w:shd w:val="clear" w:color="000000" w:fill="FFE699"/>
            <w:noWrap/>
            <w:hideMark/>
          </w:tcPr>
          <w:p w14:paraId="50C1873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nil"/>
              <w:left w:val="nil"/>
              <w:bottom w:val="nil"/>
              <w:right w:val="nil"/>
            </w:tcBorders>
            <w:shd w:val="clear" w:color="000000" w:fill="FFE699"/>
            <w:noWrap/>
            <w:hideMark/>
          </w:tcPr>
          <w:p w14:paraId="2B6D0C0B" w14:textId="1A969864"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180.000,00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1173CB47"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Q3</w:t>
            </w:r>
          </w:p>
        </w:tc>
      </w:tr>
      <w:tr w:rsidR="007F7FFC" w:rsidRPr="002008A1" w14:paraId="022A44E5" w14:textId="77777777" w:rsidTr="007F7FFC">
        <w:trPr>
          <w:trHeight w:val="340"/>
        </w:trPr>
        <w:tc>
          <w:tcPr>
            <w:tcW w:w="900" w:type="dxa"/>
            <w:tcBorders>
              <w:top w:val="single" w:sz="4" w:space="0" w:color="auto"/>
              <w:left w:val="single" w:sz="4" w:space="0" w:color="auto"/>
              <w:bottom w:val="nil"/>
              <w:right w:val="single" w:sz="4" w:space="0" w:color="auto"/>
            </w:tcBorders>
            <w:shd w:val="clear" w:color="000000" w:fill="FFE699"/>
            <w:noWrap/>
            <w:hideMark/>
          </w:tcPr>
          <w:p w14:paraId="12F9BC10"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3.2.3</w:t>
            </w:r>
          </w:p>
        </w:tc>
        <w:tc>
          <w:tcPr>
            <w:tcW w:w="8429" w:type="dxa"/>
            <w:tcBorders>
              <w:top w:val="single" w:sz="4" w:space="0" w:color="auto"/>
              <w:left w:val="nil"/>
              <w:bottom w:val="nil"/>
              <w:right w:val="single" w:sz="4" w:space="0" w:color="auto"/>
            </w:tcBorders>
            <w:shd w:val="clear" w:color="000000" w:fill="FFE699"/>
            <w:noWrap/>
            <w:hideMark/>
          </w:tcPr>
          <w:p w14:paraId="11B079F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Vehicles for PIU</w:t>
            </w:r>
          </w:p>
        </w:tc>
        <w:tc>
          <w:tcPr>
            <w:tcW w:w="897" w:type="dxa"/>
            <w:tcBorders>
              <w:top w:val="single" w:sz="4" w:space="0" w:color="auto"/>
              <w:left w:val="nil"/>
              <w:bottom w:val="nil"/>
              <w:right w:val="single" w:sz="4" w:space="0" w:color="auto"/>
            </w:tcBorders>
            <w:shd w:val="clear" w:color="000000" w:fill="FFE699"/>
            <w:noWrap/>
            <w:hideMark/>
          </w:tcPr>
          <w:p w14:paraId="3A43F5D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G</w:t>
            </w:r>
          </w:p>
        </w:tc>
        <w:tc>
          <w:tcPr>
            <w:tcW w:w="755" w:type="dxa"/>
            <w:tcBorders>
              <w:top w:val="single" w:sz="4" w:space="0" w:color="auto"/>
              <w:left w:val="nil"/>
              <w:bottom w:val="nil"/>
              <w:right w:val="single" w:sz="4" w:space="0" w:color="auto"/>
            </w:tcBorders>
            <w:shd w:val="clear" w:color="000000" w:fill="FFE699"/>
            <w:noWrap/>
            <w:hideMark/>
          </w:tcPr>
          <w:p w14:paraId="5C3BDFC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RFQ</w:t>
            </w:r>
          </w:p>
        </w:tc>
        <w:tc>
          <w:tcPr>
            <w:tcW w:w="719" w:type="dxa"/>
            <w:gridSpan w:val="2"/>
            <w:tcBorders>
              <w:top w:val="single" w:sz="4" w:space="0" w:color="auto"/>
              <w:left w:val="nil"/>
              <w:bottom w:val="nil"/>
              <w:right w:val="single" w:sz="4" w:space="0" w:color="auto"/>
            </w:tcBorders>
            <w:shd w:val="clear" w:color="000000" w:fill="FFE699"/>
            <w:noWrap/>
            <w:hideMark/>
          </w:tcPr>
          <w:p w14:paraId="00057E0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single" w:sz="4" w:space="0" w:color="auto"/>
              <w:left w:val="nil"/>
              <w:bottom w:val="nil"/>
              <w:right w:val="nil"/>
            </w:tcBorders>
            <w:shd w:val="clear" w:color="000000" w:fill="FFE699"/>
            <w:noWrap/>
            <w:hideMark/>
          </w:tcPr>
          <w:p w14:paraId="6DBFF7F4" w14:textId="1E60F06C"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73.000,00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789834B0"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Q4</w:t>
            </w:r>
          </w:p>
        </w:tc>
      </w:tr>
      <w:tr w:rsidR="007F7FFC" w:rsidRPr="002008A1" w14:paraId="11F7C21E" w14:textId="77777777" w:rsidTr="007F7FFC">
        <w:trPr>
          <w:trHeight w:val="340"/>
        </w:trPr>
        <w:tc>
          <w:tcPr>
            <w:tcW w:w="900" w:type="dxa"/>
            <w:tcBorders>
              <w:top w:val="single" w:sz="4" w:space="0" w:color="auto"/>
              <w:left w:val="single" w:sz="4" w:space="0" w:color="auto"/>
              <w:bottom w:val="nil"/>
              <w:right w:val="single" w:sz="4" w:space="0" w:color="auto"/>
            </w:tcBorders>
            <w:shd w:val="clear" w:color="000000" w:fill="FFE699"/>
            <w:noWrap/>
            <w:hideMark/>
          </w:tcPr>
          <w:p w14:paraId="2AA1A989" w14:textId="77777777"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3.2.4</w:t>
            </w:r>
          </w:p>
        </w:tc>
        <w:tc>
          <w:tcPr>
            <w:tcW w:w="8429" w:type="dxa"/>
            <w:tcBorders>
              <w:top w:val="single" w:sz="4" w:space="0" w:color="auto"/>
              <w:left w:val="nil"/>
              <w:bottom w:val="nil"/>
              <w:right w:val="single" w:sz="4" w:space="0" w:color="auto"/>
            </w:tcBorders>
            <w:shd w:val="clear" w:color="000000" w:fill="FFE699"/>
            <w:noWrap/>
            <w:hideMark/>
          </w:tcPr>
          <w:p w14:paraId="16F1A3EC"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Audit</w:t>
            </w:r>
          </w:p>
        </w:tc>
        <w:tc>
          <w:tcPr>
            <w:tcW w:w="897" w:type="dxa"/>
            <w:tcBorders>
              <w:top w:val="single" w:sz="4" w:space="0" w:color="auto"/>
              <w:left w:val="nil"/>
              <w:bottom w:val="nil"/>
              <w:right w:val="single" w:sz="4" w:space="0" w:color="auto"/>
            </w:tcBorders>
            <w:shd w:val="clear" w:color="000000" w:fill="FFE699"/>
            <w:noWrap/>
            <w:hideMark/>
          </w:tcPr>
          <w:p w14:paraId="4F2A533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single" w:sz="4" w:space="0" w:color="auto"/>
              <w:left w:val="nil"/>
              <w:bottom w:val="nil"/>
              <w:right w:val="single" w:sz="4" w:space="0" w:color="auto"/>
            </w:tcBorders>
            <w:shd w:val="clear" w:color="000000" w:fill="FFE699"/>
            <w:noWrap/>
            <w:hideMark/>
          </w:tcPr>
          <w:p w14:paraId="25C79E48"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single" w:sz="4" w:space="0" w:color="auto"/>
              <w:left w:val="nil"/>
              <w:bottom w:val="nil"/>
              <w:right w:val="single" w:sz="4" w:space="0" w:color="auto"/>
            </w:tcBorders>
            <w:shd w:val="clear" w:color="000000" w:fill="FFE699"/>
            <w:noWrap/>
            <w:hideMark/>
          </w:tcPr>
          <w:p w14:paraId="760FEB32"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single" w:sz="4" w:space="0" w:color="auto"/>
              <w:left w:val="nil"/>
              <w:bottom w:val="nil"/>
              <w:right w:val="single" w:sz="4" w:space="0" w:color="auto"/>
            </w:tcBorders>
            <w:shd w:val="clear" w:color="000000" w:fill="FFE699"/>
            <w:noWrap/>
            <w:hideMark/>
          </w:tcPr>
          <w:p w14:paraId="5BBEE276" w14:textId="07F42CA4"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100.000,00</w:t>
            </w:r>
          </w:p>
        </w:tc>
        <w:tc>
          <w:tcPr>
            <w:tcW w:w="992" w:type="dxa"/>
            <w:tcBorders>
              <w:top w:val="nil"/>
              <w:left w:val="nil"/>
              <w:bottom w:val="single" w:sz="4" w:space="0" w:color="auto"/>
              <w:right w:val="single" w:sz="4" w:space="0" w:color="auto"/>
            </w:tcBorders>
            <w:shd w:val="clear" w:color="000000" w:fill="FFE699"/>
            <w:noWrap/>
            <w:hideMark/>
          </w:tcPr>
          <w:p w14:paraId="4502A81A"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Q4</w:t>
            </w:r>
          </w:p>
        </w:tc>
      </w:tr>
      <w:tr w:rsidR="007F7FFC" w:rsidRPr="002008A1" w14:paraId="595BC148" w14:textId="77777777" w:rsidTr="007F7FFC">
        <w:trPr>
          <w:trHeight w:val="340"/>
        </w:trPr>
        <w:tc>
          <w:tcPr>
            <w:tcW w:w="900" w:type="dxa"/>
            <w:tcBorders>
              <w:top w:val="single" w:sz="4" w:space="0" w:color="auto"/>
              <w:left w:val="single" w:sz="4" w:space="0" w:color="auto"/>
              <w:bottom w:val="single" w:sz="4" w:space="0" w:color="auto"/>
              <w:right w:val="single" w:sz="4" w:space="0" w:color="auto"/>
            </w:tcBorders>
            <w:shd w:val="clear" w:color="000000" w:fill="FFE699"/>
            <w:noWrap/>
            <w:hideMark/>
          </w:tcPr>
          <w:p w14:paraId="68DEB61D"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325</w:t>
            </w:r>
          </w:p>
        </w:tc>
        <w:tc>
          <w:tcPr>
            <w:tcW w:w="8429" w:type="dxa"/>
            <w:tcBorders>
              <w:top w:val="single" w:sz="4" w:space="0" w:color="auto"/>
              <w:left w:val="nil"/>
              <w:bottom w:val="single" w:sz="4" w:space="0" w:color="auto"/>
              <w:right w:val="single" w:sz="4" w:space="0" w:color="auto"/>
            </w:tcBorders>
            <w:shd w:val="clear" w:color="000000" w:fill="FFE699"/>
            <w:noWrap/>
            <w:hideMark/>
          </w:tcPr>
          <w:p w14:paraId="42FD5FBC" w14:textId="3D61350B"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web page development, maintenance, administration, repository development</w:t>
            </w:r>
          </w:p>
        </w:tc>
        <w:tc>
          <w:tcPr>
            <w:tcW w:w="897" w:type="dxa"/>
            <w:tcBorders>
              <w:top w:val="single" w:sz="4" w:space="0" w:color="auto"/>
              <w:left w:val="nil"/>
              <w:bottom w:val="single" w:sz="4" w:space="0" w:color="auto"/>
              <w:right w:val="single" w:sz="4" w:space="0" w:color="auto"/>
            </w:tcBorders>
            <w:shd w:val="clear" w:color="000000" w:fill="FFE699"/>
            <w:noWrap/>
            <w:hideMark/>
          </w:tcPr>
          <w:p w14:paraId="0D4E8A0A"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NCS</w:t>
            </w:r>
          </w:p>
        </w:tc>
        <w:tc>
          <w:tcPr>
            <w:tcW w:w="755" w:type="dxa"/>
            <w:tcBorders>
              <w:top w:val="single" w:sz="4" w:space="0" w:color="auto"/>
              <w:left w:val="nil"/>
              <w:bottom w:val="single" w:sz="4" w:space="0" w:color="auto"/>
              <w:right w:val="single" w:sz="4" w:space="0" w:color="auto"/>
            </w:tcBorders>
            <w:shd w:val="clear" w:color="000000" w:fill="FFE699"/>
            <w:noWrap/>
            <w:hideMark/>
          </w:tcPr>
          <w:p w14:paraId="191253D6"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RfB</w:t>
            </w:r>
          </w:p>
        </w:tc>
        <w:tc>
          <w:tcPr>
            <w:tcW w:w="719" w:type="dxa"/>
            <w:gridSpan w:val="2"/>
            <w:tcBorders>
              <w:top w:val="single" w:sz="4" w:space="0" w:color="auto"/>
              <w:left w:val="nil"/>
              <w:bottom w:val="single" w:sz="4" w:space="0" w:color="auto"/>
              <w:right w:val="single" w:sz="4" w:space="0" w:color="auto"/>
            </w:tcBorders>
            <w:shd w:val="clear" w:color="000000" w:fill="FFE699"/>
            <w:noWrap/>
            <w:hideMark/>
          </w:tcPr>
          <w:p w14:paraId="6F27070A"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post</w:t>
            </w:r>
          </w:p>
        </w:tc>
        <w:tc>
          <w:tcPr>
            <w:tcW w:w="1702" w:type="dxa"/>
            <w:gridSpan w:val="3"/>
            <w:tcBorders>
              <w:top w:val="single" w:sz="4" w:space="0" w:color="auto"/>
              <w:left w:val="nil"/>
              <w:bottom w:val="single" w:sz="4" w:space="0" w:color="auto"/>
              <w:right w:val="nil"/>
            </w:tcBorders>
            <w:shd w:val="clear" w:color="000000" w:fill="FFE699"/>
            <w:noWrap/>
            <w:hideMark/>
          </w:tcPr>
          <w:p w14:paraId="474603B8" w14:textId="553CB9F1" w:rsidR="002008A1" w:rsidRPr="002008A1" w:rsidRDefault="002008A1" w:rsidP="007F7FFC">
            <w:pPr>
              <w:spacing w:after="0" w:line="240" w:lineRule="auto"/>
              <w:jc w:val="center"/>
              <w:rPr>
                <w:rFonts w:ascii="Times New Roman" w:eastAsia="Times New Roman" w:hAnsi="Times New Roman" w:cs="Times New Roman"/>
                <w:color w:val="000000"/>
                <w:lang w:val="en-US"/>
              </w:rPr>
            </w:pPr>
            <w:r w:rsidRPr="002008A1">
              <w:rPr>
                <w:rFonts w:ascii="Times New Roman" w:eastAsia="Times New Roman" w:hAnsi="Times New Roman" w:cs="Times New Roman"/>
                <w:color w:val="000000"/>
                <w:lang w:val="en-US"/>
              </w:rPr>
              <w:t>120.000,00</w:t>
            </w:r>
          </w:p>
        </w:tc>
        <w:tc>
          <w:tcPr>
            <w:tcW w:w="992" w:type="dxa"/>
            <w:tcBorders>
              <w:top w:val="nil"/>
              <w:left w:val="single" w:sz="4" w:space="0" w:color="auto"/>
              <w:bottom w:val="single" w:sz="4" w:space="0" w:color="auto"/>
              <w:right w:val="single" w:sz="4" w:space="0" w:color="auto"/>
            </w:tcBorders>
            <w:shd w:val="clear" w:color="000000" w:fill="FFE699"/>
            <w:noWrap/>
            <w:hideMark/>
          </w:tcPr>
          <w:p w14:paraId="640971B3"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2022 Q3</w:t>
            </w:r>
          </w:p>
        </w:tc>
      </w:tr>
      <w:tr w:rsidR="007F7FFC" w:rsidRPr="002008A1" w14:paraId="71A8D719" w14:textId="77777777" w:rsidTr="007F7FFC">
        <w:trPr>
          <w:trHeight w:val="340"/>
        </w:trPr>
        <w:tc>
          <w:tcPr>
            <w:tcW w:w="900" w:type="dxa"/>
            <w:tcBorders>
              <w:top w:val="nil"/>
              <w:left w:val="single" w:sz="4" w:space="0" w:color="auto"/>
              <w:bottom w:val="nil"/>
              <w:right w:val="single" w:sz="4" w:space="0" w:color="auto"/>
            </w:tcBorders>
            <w:shd w:val="clear" w:color="000000" w:fill="FFE699"/>
            <w:noWrap/>
            <w:hideMark/>
          </w:tcPr>
          <w:p w14:paraId="3012DE85" w14:textId="77777777"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326</w:t>
            </w:r>
          </w:p>
        </w:tc>
        <w:tc>
          <w:tcPr>
            <w:tcW w:w="8429" w:type="dxa"/>
            <w:tcBorders>
              <w:top w:val="nil"/>
              <w:left w:val="nil"/>
              <w:bottom w:val="nil"/>
              <w:right w:val="single" w:sz="4" w:space="0" w:color="auto"/>
            </w:tcBorders>
            <w:shd w:val="clear" w:color="000000" w:fill="FFE699"/>
            <w:noWrap/>
            <w:hideMark/>
          </w:tcPr>
          <w:p w14:paraId="5EEF555A" w14:textId="553CE4BF"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Operating costs</w:t>
            </w:r>
            <w:r w:rsidR="001B4196">
              <w:rPr>
                <w:rFonts w:ascii="Times New Roman" w:eastAsia="Times New Roman" w:hAnsi="Times New Roman" w:cs="Times New Roman"/>
                <w:i/>
                <w:iCs/>
                <w:lang w:val="en-US"/>
              </w:rPr>
              <w:t xml:space="preserve"> </w:t>
            </w:r>
            <w:r w:rsidRPr="002008A1">
              <w:rPr>
                <w:rFonts w:ascii="Times New Roman" w:eastAsia="Times New Roman" w:hAnsi="Times New Roman" w:cs="Times New Roman"/>
                <w:i/>
                <w:iCs/>
                <w:lang w:val="en-US"/>
              </w:rPr>
              <w:t>including training (including CFU staff)</w:t>
            </w:r>
          </w:p>
        </w:tc>
        <w:tc>
          <w:tcPr>
            <w:tcW w:w="897" w:type="dxa"/>
            <w:tcBorders>
              <w:top w:val="nil"/>
              <w:left w:val="nil"/>
              <w:bottom w:val="nil"/>
              <w:right w:val="single" w:sz="4" w:space="0" w:color="auto"/>
            </w:tcBorders>
            <w:shd w:val="clear" w:color="000000" w:fill="FFE699"/>
            <w:noWrap/>
            <w:hideMark/>
          </w:tcPr>
          <w:p w14:paraId="1EAA5103"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755" w:type="dxa"/>
            <w:tcBorders>
              <w:top w:val="nil"/>
              <w:left w:val="nil"/>
              <w:bottom w:val="nil"/>
              <w:right w:val="single" w:sz="4" w:space="0" w:color="auto"/>
            </w:tcBorders>
            <w:shd w:val="clear" w:color="000000" w:fill="FFE699"/>
            <w:noWrap/>
            <w:hideMark/>
          </w:tcPr>
          <w:p w14:paraId="06F2A879"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719" w:type="dxa"/>
            <w:gridSpan w:val="2"/>
            <w:tcBorders>
              <w:top w:val="nil"/>
              <w:left w:val="nil"/>
              <w:bottom w:val="nil"/>
              <w:right w:val="single" w:sz="4" w:space="0" w:color="auto"/>
            </w:tcBorders>
            <w:shd w:val="clear" w:color="000000" w:fill="FFE699"/>
            <w:noWrap/>
            <w:hideMark/>
          </w:tcPr>
          <w:p w14:paraId="2635EF45"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n/a</w:t>
            </w:r>
          </w:p>
        </w:tc>
        <w:tc>
          <w:tcPr>
            <w:tcW w:w="1702" w:type="dxa"/>
            <w:gridSpan w:val="3"/>
            <w:tcBorders>
              <w:top w:val="nil"/>
              <w:left w:val="nil"/>
              <w:bottom w:val="nil"/>
              <w:right w:val="single" w:sz="4" w:space="0" w:color="auto"/>
            </w:tcBorders>
            <w:shd w:val="clear" w:color="000000" w:fill="FFE699"/>
            <w:noWrap/>
            <w:hideMark/>
          </w:tcPr>
          <w:p w14:paraId="7E28DE37" w14:textId="15B62F51"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550.000,00</w:t>
            </w:r>
          </w:p>
        </w:tc>
        <w:tc>
          <w:tcPr>
            <w:tcW w:w="992" w:type="dxa"/>
            <w:tcBorders>
              <w:top w:val="nil"/>
              <w:left w:val="nil"/>
              <w:bottom w:val="dotDash" w:sz="8" w:space="0" w:color="auto"/>
              <w:right w:val="single" w:sz="4" w:space="0" w:color="auto"/>
            </w:tcBorders>
            <w:shd w:val="clear" w:color="000000" w:fill="FFE699"/>
            <w:noWrap/>
            <w:hideMark/>
          </w:tcPr>
          <w:p w14:paraId="00E1CE02" w14:textId="0941E4F6" w:rsidR="002008A1" w:rsidRPr="002008A1" w:rsidRDefault="002008A1" w:rsidP="007F7FFC">
            <w:pPr>
              <w:spacing w:after="0" w:line="240" w:lineRule="auto"/>
              <w:jc w:val="center"/>
              <w:rPr>
                <w:rFonts w:ascii="Times New Roman" w:eastAsia="Times New Roman" w:hAnsi="Times New Roman" w:cs="Times New Roman"/>
                <w:b/>
                <w:bCs/>
                <w:lang w:val="en-US"/>
              </w:rPr>
            </w:pPr>
          </w:p>
        </w:tc>
      </w:tr>
      <w:tr w:rsidR="007F7FFC" w:rsidRPr="002008A1" w14:paraId="1945FB79" w14:textId="77777777" w:rsidTr="007F7FFC">
        <w:trPr>
          <w:trHeight w:val="340"/>
        </w:trPr>
        <w:tc>
          <w:tcPr>
            <w:tcW w:w="900" w:type="dxa"/>
            <w:tcBorders>
              <w:top w:val="single" w:sz="4" w:space="0" w:color="auto"/>
              <w:left w:val="single" w:sz="4" w:space="0" w:color="auto"/>
              <w:bottom w:val="nil"/>
              <w:right w:val="single" w:sz="4" w:space="0" w:color="auto"/>
            </w:tcBorders>
            <w:shd w:val="clear" w:color="000000" w:fill="FFE699"/>
            <w:noWrap/>
            <w:hideMark/>
          </w:tcPr>
          <w:p w14:paraId="7550D902" w14:textId="77777777"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327</w:t>
            </w:r>
          </w:p>
        </w:tc>
        <w:tc>
          <w:tcPr>
            <w:tcW w:w="8429" w:type="dxa"/>
            <w:tcBorders>
              <w:top w:val="single" w:sz="4" w:space="0" w:color="auto"/>
              <w:left w:val="nil"/>
              <w:bottom w:val="nil"/>
              <w:right w:val="single" w:sz="4" w:space="0" w:color="auto"/>
            </w:tcBorders>
            <w:shd w:val="clear" w:color="000000" w:fill="FFE699"/>
            <w:noWrap/>
            <w:hideMark/>
          </w:tcPr>
          <w:p w14:paraId="39A221EE" w14:textId="07316F48" w:rsidR="002008A1" w:rsidRPr="002008A1" w:rsidRDefault="002008A1" w:rsidP="007F7FFC">
            <w:pPr>
              <w:spacing w:after="0" w:line="240" w:lineRule="auto"/>
              <w:jc w:val="center"/>
              <w:rPr>
                <w:rFonts w:ascii="Times New Roman" w:eastAsia="Times New Roman" w:hAnsi="Times New Roman" w:cs="Times New Roman"/>
                <w:i/>
                <w:iCs/>
                <w:lang w:val="en-US"/>
              </w:rPr>
            </w:pPr>
            <w:r w:rsidRPr="002008A1">
              <w:rPr>
                <w:rFonts w:ascii="Times New Roman" w:eastAsia="Times New Roman" w:hAnsi="Times New Roman" w:cs="Times New Roman"/>
                <w:i/>
                <w:iCs/>
                <w:lang w:val="en-US"/>
              </w:rPr>
              <w:t xml:space="preserve">Stakeholder engagement and </w:t>
            </w:r>
            <w:r w:rsidR="00835C1A" w:rsidRPr="002008A1">
              <w:rPr>
                <w:rFonts w:ascii="Times New Roman" w:eastAsia="Times New Roman" w:hAnsi="Times New Roman" w:cs="Times New Roman"/>
                <w:i/>
                <w:iCs/>
                <w:lang w:val="en-US"/>
              </w:rPr>
              <w:t>awareness</w:t>
            </w:r>
            <w:r w:rsidRPr="002008A1">
              <w:rPr>
                <w:rFonts w:ascii="Times New Roman" w:eastAsia="Times New Roman" w:hAnsi="Times New Roman" w:cs="Times New Roman"/>
                <w:i/>
                <w:iCs/>
                <w:lang w:val="en-US"/>
              </w:rPr>
              <w:t xml:space="preserve"> campaigns for civil society</w:t>
            </w:r>
          </w:p>
        </w:tc>
        <w:tc>
          <w:tcPr>
            <w:tcW w:w="897" w:type="dxa"/>
            <w:tcBorders>
              <w:top w:val="single" w:sz="4" w:space="0" w:color="auto"/>
              <w:left w:val="nil"/>
              <w:bottom w:val="nil"/>
              <w:right w:val="single" w:sz="4" w:space="0" w:color="auto"/>
            </w:tcBorders>
            <w:shd w:val="clear" w:color="000000" w:fill="FFE699"/>
            <w:noWrap/>
            <w:hideMark/>
          </w:tcPr>
          <w:p w14:paraId="1BFC7936"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CS</w:t>
            </w:r>
          </w:p>
        </w:tc>
        <w:tc>
          <w:tcPr>
            <w:tcW w:w="755" w:type="dxa"/>
            <w:tcBorders>
              <w:top w:val="single" w:sz="4" w:space="0" w:color="auto"/>
              <w:left w:val="nil"/>
              <w:bottom w:val="nil"/>
              <w:right w:val="single" w:sz="4" w:space="0" w:color="auto"/>
            </w:tcBorders>
            <w:shd w:val="clear" w:color="000000" w:fill="FFE699"/>
            <w:noWrap/>
            <w:hideMark/>
          </w:tcPr>
          <w:p w14:paraId="3FC2C69D"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QCBS</w:t>
            </w:r>
          </w:p>
        </w:tc>
        <w:tc>
          <w:tcPr>
            <w:tcW w:w="719" w:type="dxa"/>
            <w:gridSpan w:val="2"/>
            <w:tcBorders>
              <w:top w:val="single" w:sz="4" w:space="0" w:color="auto"/>
              <w:left w:val="nil"/>
              <w:bottom w:val="nil"/>
              <w:right w:val="single" w:sz="4" w:space="0" w:color="auto"/>
            </w:tcBorders>
            <w:shd w:val="clear" w:color="000000" w:fill="FFE699"/>
            <w:noWrap/>
            <w:hideMark/>
          </w:tcPr>
          <w:p w14:paraId="2E4A3F24" w14:textId="77777777"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post</w:t>
            </w:r>
          </w:p>
        </w:tc>
        <w:tc>
          <w:tcPr>
            <w:tcW w:w="1702" w:type="dxa"/>
            <w:gridSpan w:val="3"/>
            <w:tcBorders>
              <w:top w:val="single" w:sz="4" w:space="0" w:color="auto"/>
              <w:left w:val="nil"/>
              <w:bottom w:val="nil"/>
              <w:right w:val="nil"/>
            </w:tcBorders>
            <w:shd w:val="clear" w:color="000000" w:fill="FFE699"/>
            <w:noWrap/>
            <w:hideMark/>
          </w:tcPr>
          <w:p w14:paraId="71651434" w14:textId="3FF95D20" w:rsidR="002008A1" w:rsidRPr="002008A1" w:rsidRDefault="002008A1" w:rsidP="007F7FFC">
            <w:pPr>
              <w:spacing w:after="0" w:line="240" w:lineRule="auto"/>
              <w:jc w:val="center"/>
              <w:rPr>
                <w:rFonts w:ascii="Times New Roman" w:eastAsia="Times New Roman" w:hAnsi="Times New Roman" w:cs="Times New Roman"/>
                <w:lang w:val="en-US"/>
              </w:rPr>
            </w:pPr>
            <w:r w:rsidRPr="002008A1">
              <w:rPr>
                <w:rFonts w:ascii="Times New Roman" w:eastAsia="Times New Roman" w:hAnsi="Times New Roman" w:cs="Times New Roman"/>
                <w:lang w:val="en-US"/>
              </w:rPr>
              <w:t>500.000,00</w:t>
            </w:r>
          </w:p>
        </w:tc>
        <w:tc>
          <w:tcPr>
            <w:tcW w:w="992" w:type="dxa"/>
            <w:tcBorders>
              <w:top w:val="single" w:sz="4" w:space="0" w:color="auto"/>
              <w:left w:val="single" w:sz="4" w:space="0" w:color="auto"/>
              <w:bottom w:val="nil"/>
              <w:right w:val="single" w:sz="4" w:space="0" w:color="auto"/>
            </w:tcBorders>
            <w:shd w:val="clear" w:color="000000" w:fill="FFE699"/>
            <w:noWrap/>
            <w:hideMark/>
          </w:tcPr>
          <w:p w14:paraId="4DC4FDB6" w14:textId="77777777" w:rsidR="002008A1" w:rsidRPr="002008A1" w:rsidRDefault="002008A1" w:rsidP="007F7FFC">
            <w:pPr>
              <w:spacing w:after="0" w:line="240" w:lineRule="auto"/>
              <w:jc w:val="center"/>
              <w:rPr>
                <w:rFonts w:ascii="Times New Roman" w:eastAsia="Times New Roman" w:hAnsi="Times New Roman" w:cs="Times New Roman"/>
                <w:b/>
                <w:bCs/>
                <w:lang w:val="en-US"/>
              </w:rPr>
            </w:pPr>
            <w:r w:rsidRPr="002008A1">
              <w:rPr>
                <w:rFonts w:ascii="Times New Roman" w:eastAsia="Times New Roman" w:hAnsi="Times New Roman" w:cs="Times New Roman"/>
                <w:b/>
                <w:bCs/>
                <w:lang w:val="en-US"/>
              </w:rPr>
              <w:t>2022 Q4</w:t>
            </w:r>
          </w:p>
        </w:tc>
      </w:tr>
      <w:tr w:rsidR="007F7FFC" w:rsidRPr="002008A1" w14:paraId="11808AE6" w14:textId="77777777" w:rsidTr="007F7FFC">
        <w:trPr>
          <w:trHeight w:val="340"/>
        </w:trPr>
        <w:tc>
          <w:tcPr>
            <w:tcW w:w="900" w:type="dxa"/>
            <w:tcBorders>
              <w:top w:val="single" w:sz="4" w:space="0" w:color="auto"/>
              <w:left w:val="single" w:sz="4" w:space="0" w:color="auto"/>
              <w:bottom w:val="single" w:sz="4" w:space="0" w:color="auto"/>
              <w:right w:val="nil"/>
            </w:tcBorders>
            <w:shd w:val="clear" w:color="000000" w:fill="BFBFBF"/>
            <w:noWrap/>
            <w:hideMark/>
          </w:tcPr>
          <w:p w14:paraId="2CCD07F5"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TOTAL:</w:t>
            </w:r>
          </w:p>
        </w:tc>
        <w:tc>
          <w:tcPr>
            <w:tcW w:w="8429" w:type="dxa"/>
            <w:tcBorders>
              <w:top w:val="single" w:sz="4" w:space="0" w:color="auto"/>
              <w:left w:val="nil"/>
              <w:bottom w:val="single" w:sz="4" w:space="0" w:color="auto"/>
              <w:right w:val="nil"/>
            </w:tcBorders>
            <w:shd w:val="clear" w:color="000000" w:fill="BFBFBF"/>
            <w:noWrap/>
            <w:hideMark/>
          </w:tcPr>
          <w:p w14:paraId="50B701EB" w14:textId="5C767176"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897" w:type="dxa"/>
            <w:tcBorders>
              <w:top w:val="single" w:sz="4" w:space="0" w:color="auto"/>
              <w:left w:val="nil"/>
              <w:bottom w:val="single" w:sz="4" w:space="0" w:color="auto"/>
              <w:right w:val="nil"/>
            </w:tcBorders>
            <w:shd w:val="clear" w:color="000000" w:fill="BFBFBF"/>
            <w:noWrap/>
            <w:hideMark/>
          </w:tcPr>
          <w:p w14:paraId="17D16BE4" w14:textId="46EB97BB"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755" w:type="dxa"/>
            <w:tcBorders>
              <w:top w:val="single" w:sz="4" w:space="0" w:color="auto"/>
              <w:left w:val="nil"/>
              <w:bottom w:val="single" w:sz="4" w:space="0" w:color="auto"/>
              <w:right w:val="nil"/>
            </w:tcBorders>
            <w:shd w:val="clear" w:color="000000" w:fill="BFBFBF"/>
            <w:noWrap/>
            <w:hideMark/>
          </w:tcPr>
          <w:p w14:paraId="5824C34C" w14:textId="5728AEEF"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719" w:type="dxa"/>
            <w:gridSpan w:val="2"/>
            <w:tcBorders>
              <w:top w:val="single" w:sz="4" w:space="0" w:color="auto"/>
              <w:left w:val="nil"/>
              <w:bottom w:val="single" w:sz="4" w:space="0" w:color="auto"/>
              <w:right w:val="single" w:sz="4" w:space="0" w:color="auto"/>
            </w:tcBorders>
            <w:shd w:val="clear" w:color="000000" w:fill="BFBFBF"/>
            <w:noWrap/>
            <w:hideMark/>
          </w:tcPr>
          <w:p w14:paraId="156520AA" w14:textId="4ECBE409"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1702" w:type="dxa"/>
            <w:gridSpan w:val="3"/>
            <w:tcBorders>
              <w:top w:val="single" w:sz="4" w:space="0" w:color="auto"/>
              <w:left w:val="nil"/>
              <w:bottom w:val="single" w:sz="4" w:space="0" w:color="auto"/>
              <w:right w:val="single" w:sz="4" w:space="0" w:color="auto"/>
            </w:tcBorders>
            <w:shd w:val="clear" w:color="000000" w:fill="BFBFBF"/>
            <w:noWrap/>
            <w:hideMark/>
          </w:tcPr>
          <w:p w14:paraId="63A2DC5E" w14:textId="7EF8059B"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300.000.000,00</w:t>
            </w:r>
          </w:p>
        </w:tc>
        <w:tc>
          <w:tcPr>
            <w:tcW w:w="992" w:type="dxa"/>
            <w:tcBorders>
              <w:top w:val="single" w:sz="4" w:space="0" w:color="auto"/>
              <w:left w:val="nil"/>
              <w:bottom w:val="single" w:sz="4" w:space="0" w:color="auto"/>
              <w:right w:val="single" w:sz="4" w:space="0" w:color="auto"/>
            </w:tcBorders>
            <w:shd w:val="clear" w:color="000000" w:fill="BFBFBF"/>
            <w:noWrap/>
            <w:hideMark/>
          </w:tcPr>
          <w:p w14:paraId="79ECEE57" w14:textId="0BFC116F"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3F51C282" w14:textId="77777777" w:rsidTr="007F7FFC">
        <w:trPr>
          <w:trHeight w:val="340"/>
        </w:trPr>
        <w:tc>
          <w:tcPr>
            <w:tcW w:w="1170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0B5D66CF" w14:textId="77777777" w:rsidR="002008A1" w:rsidRPr="002008A1" w:rsidRDefault="002008A1" w:rsidP="007F7FFC">
            <w:pPr>
              <w:spacing w:after="0" w:line="240" w:lineRule="auto"/>
              <w:jc w:val="center"/>
              <w:rPr>
                <w:rFonts w:ascii="Times New Roman" w:eastAsia="Times New Roman" w:hAnsi="Times New Roman" w:cs="Times New Roman"/>
                <w:b/>
                <w:bCs/>
                <w:color w:val="FF0000"/>
                <w:lang w:val="en-US"/>
              </w:rPr>
            </w:pPr>
            <w:r w:rsidRPr="002008A1">
              <w:rPr>
                <w:rFonts w:ascii="Times New Roman" w:eastAsia="Times New Roman" w:hAnsi="Times New Roman" w:cs="Times New Roman"/>
                <w:b/>
                <w:bCs/>
                <w:color w:val="FF0000"/>
                <w:lang w:val="en-US"/>
              </w:rPr>
              <w:t>Front-end Fee; Deleted from the Table, considering the comments on the meeting. This amount will be included in the Loan Agreement</w:t>
            </w:r>
          </w:p>
        </w:tc>
        <w:tc>
          <w:tcPr>
            <w:tcW w:w="1702" w:type="dxa"/>
            <w:gridSpan w:val="3"/>
            <w:tcBorders>
              <w:top w:val="nil"/>
              <w:left w:val="nil"/>
              <w:bottom w:val="single" w:sz="4" w:space="0" w:color="auto"/>
              <w:right w:val="single" w:sz="4" w:space="0" w:color="auto"/>
            </w:tcBorders>
            <w:shd w:val="clear" w:color="auto" w:fill="auto"/>
            <w:noWrap/>
            <w:hideMark/>
          </w:tcPr>
          <w:p w14:paraId="193DD118" w14:textId="6035880B" w:rsidR="002008A1" w:rsidRPr="002008A1" w:rsidRDefault="002008A1" w:rsidP="007F7FFC">
            <w:pPr>
              <w:spacing w:after="0" w:line="240" w:lineRule="auto"/>
              <w:jc w:val="center"/>
              <w:rPr>
                <w:rFonts w:ascii="Times New Roman" w:eastAsia="Times New Roman" w:hAnsi="Times New Roman" w:cs="Times New Roman"/>
                <w:b/>
                <w:bCs/>
                <w:color w:val="FF0000"/>
                <w:lang w:val="en-US"/>
              </w:rPr>
            </w:pPr>
            <w:r w:rsidRPr="002008A1">
              <w:rPr>
                <w:rFonts w:ascii="Times New Roman" w:eastAsia="Times New Roman" w:hAnsi="Times New Roman" w:cs="Times New Roman"/>
                <w:b/>
                <w:bCs/>
                <w:color w:val="FF0000"/>
                <w:lang w:val="en-US"/>
              </w:rPr>
              <w:t>75.000,00</w:t>
            </w:r>
          </w:p>
        </w:tc>
        <w:tc>
          <w:tcPr>
            <w:tcW w:w="992" w:type="dxa"/>
            <w:tcBorders>
              <w:top w:val="nil"/>
              <w:left w:val="nil"/>
              <w:bottom w:val="nil"/>
              <w:right w:val="nil"/>
            </w:tcBorders>
            <w:shd w:val="clear" w:color="auto" w:fill="auto"/>
            <w:noWrap/>
            <w:hideMark/>
          </w:tcPr>
          <w:p w14:paraId="738B3A8A"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r w:rsidR="007F7FFC" w:rsidRPr="002008A1" w14:paraId="452952A6" w14:textId="77777777" w:rsidTr="007F7FFC">
        <w:trPr>
          <w:trHeight w:val="340"/>
        </w:trPr>
        <w:tc>
          <w:tcPr>
            <w:tcW w:w="900" w:type="dxa"/>
            <w:tcBorders>
              <w:top w:val="nil"/>
              <w:left w:val="nil"/>
              <w:bottom w:val="nil"/>
              <w:right w:val="nil"/>
            </w:tcBorders>
            <w:shd w:val="clear" w:color="auto" w:fill="auto"/>
            <w:noWrap/>
            <w:hideMark/>
          </w:tcPr>
          <w:p w14:paraId="3E9FD12A"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p>
        </w:tc>
        <w:tc>
          <w:tcPr>
            <w:tcW w:w="8429" w:type="dxa"/>
            <w:tcBorders>
              <w:top w:val="nil"/>
              <w:left w:val="nil"/>
              <w:bottom w:val="nil"/>
              <w:right w:val="nil"/>
            </w:tcBorders>
            <w:shd w:val="clear" w:color="auto" w:fill="auto"/>
            <w:noWrap/>
            <w:hideMark/>
          </w:tcPr>
          <w:p w14:paraId="14280D3B"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p>
        </w:tc>
        <w:tc>
          <w:tcPr>
            <w:tcW w:w="1895" w:type="dxa"/>
            <w:gridSpan w:val="3"/>
            <w:tcBorders>
              <w:top w:val="nil"/>
              <w:left w:val="nil"/>
              <w:bottom w:val="nil"/>
              <w:right w:val="nil"/>
            </w:tcBorders>
            <w:shd w:val="clear" w:color="auto" w:fill="auto"/>
            <w:noWrap/>
            <w:hideMark/>
          </w:tcPr>
          <w:p w14:paraId="5F904329" w14:textId="77777777" w:rsidR="002008A1" w:rsidRPr="002008A1" w:rsidRDefault="002008A1" w:rsidP="007F7FFC">
            <w:pPr>
              <w:spacing w:after="0" w:line="240" w:lineRule="auto"/>
              <w:jc w:val="center"/>
              <w:rPr>
                <w:rFonts w:ascii="Times New Roman" w:eastAsia="Times New Roman" w:hAnsi="Times New Roman" w:cs="Times New Roman"/>
                <w:color w:val="000000"/>
                <w:lang w:val="en-US"/>
              </w:rPr>
            </w:pPr>
          </w:p>
        </w:tc>
        <w:tc>
          <w:tcPr>
            <w:tcW w:w="609" w:type="dxa"/>
            <w:gridSpan w:val="2"/>
            <w:tcBorders>
              <w:top w:val="nil"/>
              <w:left w:val="nil"/>
              <w:bottom w:val="nil"/>
              <w:right w:val="nil"/>
            </w:tcBorders>
            <w:shd w:val="clear" w:color="auto" w:fill="auto"/>
            <w:noWrap/>
            <w:hideMark/>
          </w:tcPr>
          <w:p w14:paraId="3C6D549C"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Total</w:t>
            </w:r>
          </w:p>
        </w:tc>
        <w:tc>
          <w:tcPr>
            <w:tcW w:w="76" w:type="dxa"/>
            <w:tcBorders>
              <w:top w:val="nil"/>
              <w:left w:val="nil"/>
              <w:bottom w:val="nil"/>
              <w:right w:val="nil"/>
            </w:tcBorders>
            <w:shd w:val="clear" w:color="auto" w:fill="auto"/>
            <w:noWrap/>
            <w:hideMark/>
          </w:tcPr>
          <w:p w14:paraId="4953C0E9"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c>
          <w:tcPr>
            <w:tcW w:w="1493" w:type="dxa"/>
            <w:tcBorders>
              <w:top w:val="nil"/>
              <w:left w:val="nil"/>
              <w:bottom w:val="nil"/>
              <w:right w:val="nil"/>
            </w:tcBorders>
            <w:shd w:val="clear" w:color="auto" w:fill="auto"/>
            <w:noWrap/>
            <w:hideMark/>
          </w:tcPr>
          <w:p w14:paraId="2D1C7520"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r w:rsidRPr="002008A1">
              <w:rPr>
                <w:rFonts w:ascii="Times New Roman" w:eastAsia="Times New Roman" w:hAnsi="Times New Roman" w:cs="Times New Roman"/>
                <w:b/>
                <w:bCs/>
                <w:color w:val="000000"/>
                <w:lang w:val="en-US"/>
              </w:rPr>
              <w:t>300.075.000,00</w:t>
            </w:r>
          </w:p>
        </w:tc>
        <w:tc>
          <w:tcPr>
            <w:tcW w:w="992" w:type="dxa"/>
            <w:tcBorders>
              <w:top w:val="nil"/>
              <w:left w:val="nil"/>
              <w:bottom w:val="nil"/>
              <w:right w:val="nil"/>
            </w:tcBorders>
            <w:shd w:val="clear" w:color="auto" w:fill="auto"/>
            <w:noWrap/>
            <w:hideMark/>
          </w:tcPr>
          <w:p w14:paraId="37C6153B" w14:textId="77777777" w:rsidR="002008A1" w:rsidRPr="002008A1" w:rsidRDefault="002008A1" w:rsidP="007F7FFC">
            <w:pPr>
              <w:spacing w:after="0" w:line="240" w:lineRule="auto"/>
              <w:jc w:val="center"/>
              <w:rPr>
                <w:rFonts w:ascii="Times New Roman" w:eastAsia="Times New Roman" w:hAnsi="Times New Roman" w:cs="Times New Roman"/>
                <w:b/>
                <w:bCs/>
                <w:color w:val="000000"/>
                <w:lang w:val="en-US"/>
              </w:rPr>
            </w:pPr>
          </w:p>
        </w:tc>
      </w:tr>
    </w:tbl>
    <w:p w14:paraId="3CDE8648" w14:textId="5C512C9B" w:rsidR="00480190" w:rsidRPr="00CD27F9" w:rsidRDefault="00480190" w:rsidP="00CD27F9">
      <w:pPr>
        <w:tabs>
          <w:tab w:val="left" w:pos="810"/>
        </w:tabs>
        <w:spacing w:after="0" w:line="240" w:lineRule="auto"/>
        <w:rPr>
          <w:rFonts w:ascii="Times New Roman" w:hAnsi="Times New Roman" w:cs="Times New Roman"/>
          <w:sz w:val="6"/>
        </w:rPr>
        <w:sectPr w:rsidR="00480190" w:rsidRPr="00CD27F9" w:rsidSect="0094281C">
          <w:pgSz w:w="16837" w:h="11905" w:orient="landscape" w:code="9"/>
          <w:pgMar w:top="1134" w:right="1134" w:bottom="1134" w:left="1134" w:header="510" w:footer="340" w:gutter="0"/>
          <w:cols w:space="720"/>
          <w:docGrid w:linePitch="360"/>
        </w:sectPr>
      </w:pPr>
      <w:r w:rsidRPr="00CD27F9">
        <w:rPr>
          <w:rFonts w:ascii="Times New Roman" w:hAnsi="Times New Roman" w:cs="Times New Roman"/>
          <w:sz w:val="6"/>
        </w:rPr>
        <w:tab/>
      </w:r>
    </w:p>
    <w:p w14:paraId="406E624F" w14:textId="08F76868" w:rsidR="00ED18F3" w:rsidRPr="00CE5F39" w:rsidRDefault="00ED18F3" w:rsidP="00D01979">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12" w:name="_Toc93342336"/>
      <w:r w:rsidRPr="00CE5F39">
        <w:rPr>
          <w:rFonts w:ascii="Times New Roman" w:hAnsi="Times New Roman" w:cs="Times New Roman"/>
          <w:smallCaps w:val="0"/>
          <w:color w:val="auto"/>
          <w:sz w:val="28"/>
          <w:szCs w:val="30"/>
        </w:rPr>
        <w:t xml:space="preserve">Annex </w:t>
      </w:r>
      <w:r w:rsidR="00E2669C">
        <w:rPr>
          <w:rFonts w:ascii="Times New Roman" w:hAnsi="Times New Roman" w:cs="Times New Roman"/>
          <w:smallCaps w:val="0"/>
          <w:color w:val="auto"/>
          <w:sz w:val="28"/>
          <w:szCs w:val="30"/>
        </w:rPr>
        <w:t>7</w:t>
      </w:r>
      <w:r w:rsidRPr="00CE5F39">
        <w:rPr>
          <w:rFonts w:ascii="Times New Roman" w:hAnsi="Times New Roman" w:cs="Times New Roman"/>
          <w:smallCaps w:val="0"/>
          <w:color w:val="auto"/>
          <w:sz w:val="28"/>
          <w:szCs w:val="30"/>
        </w:rPr>
        <w:t>: Template of the Environmental Screening Questionnaire</w:t>
      </w:r>
      <w:bookmarkEnd w:id="712"/>
    </w:p>
    <w:p w14:paraId="513AAC64" w14:textId="77777777" w:rsidR="00ED18F3" w:rsidRPr="00CE5F39" w:rsidRDefault="00ED18F3" w:rsidP="00D01979">
      <w:pPr>
        <w:spacing w:after="0" w:line="276" w:lineRule="auto"/>
        <w:jc w:val="both"/>
        <w:rPr>
          <w:rFonts w:ascii="Times New Roman" w:hAnsi="Times New Roman" w:cs="Times New Roman"/>
          <w:sz w:val="14"/>
        </w:rPr>
      </w:pPr>
    </w:p>
    <w:tbl>
      <w:tblPr>
        <w:tblW w:w="9667" w:type="dxa"/>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Layout w:type="fixed"/>
        <w:tblCellMar>
          <w:top w:w="28" w:type="dxa"/>
          <w:left w:w="28" w:type="dxa"/>
          <w:bottom w:w="28" w:type="dxa"/>
          <w:right w:w="28" w:type="dxa"/>
        </w:tblCellMar>
        <w:tblLook w:val="01E0" w:firstRow="1" w:lastRow="1" w:firstColumn="1" w:lastColumn="1" w:noHBand="0" w:noVBand="0"/>
      </w:tblPr>
      <w:tblGrid>
        <w:gridCol w:w="4791"/>
        <w:gridCol w:w="3001"/>
        <w:gridCol w:w="883"/>
        <w:gridCol w:w="992"/>
      </w:tblGrid>
      <w:tr w:rsidR="00ED18F3" w:rsidRPr="00CE5F39" w14:paraId="2E697284" w14:textId="77777777" w:rsidTr="00ED18F3">
        <w:trPr>
          <w:trHeight w:val="397"/>
        </w:trPr>
        <w:tc>
          <w:tcPr>
            <w:tcW w:w="4791" w:type="dxa"/>
            <w:shd w:val="clear" w:color="auto" w:fill="DAEEF3" w:themeFill="accent5" w:themeFillTint="33"/>
            <w:vAlign w:val="center"/>
          </w:tcPr>
          <w:p w14:paraId="52F45B28" w14:textId="70024FF0" w:rsidR="00ED18F3" w:rsidRPr="00CE5F39" w:rsidRDefault="00907DF4" w:rsidP="00D01979">
            <w:pPr>
              <w:spacing w:after="0" w:line="276" w:lineRule="auto"/>
              <w:rPr>
                <w:rFonts w:ascii="Times New Roman" w:hAnsi="Times New Roman" w:cs="Times New Roman"/>
                <w:lang w:bidi="en-US"/>
              </w:rPr>
            </w:pPr>
            <w:bookmarkStart w:id="713" w:name="_Hlk89177453"/>
            <w:r w:rsidRPr="00CE5F39">
              <w:rPr>
                <w:rFonts w:ascii="Times New Roman" w:hAnsi="Times New Roman" w:cs="Times New Roman"/>
                <w:lang w:bidi="en-US"/>
              </w:rPr>
              <w:t>Local Self Government/Municipality/City/District</w:t>
            </w:r>
          </w:p>
        </w:tc>
        <w:tc>
          <w:tcPr>
            <w:tcW w:w="4876" w:type="dxa"/>
            <w:gridSpan w:val="3"/>
            <w:shd w:val="clear" w:color="auto" w:fill="DAEEF3" w:themeFill="accent5" w:themeFillTint="33"/>
            <w:vAlign w:val="center"/>
          </w:tcPr>
          <w:p w14:paraId="0359FDC7" w14:textId="77777777" w:rsidR="00ED18F3" w:rsidRPr="00CE5F39" w:rsidRDefault="00ED18F3" w:rsidP="00D01979">
            <w:pPr>
              <w:spacing w:after="0" w:line="276" w:lineRule="auto"/>
              <w:rPr>
                <w:rFonts w:ascii="Times New Roman" w:hAnsi="Times New Roman" w:cs="Times New Roman"/>
                <w:lang w:bidi="en-US"/>
              </w:rPr>
            </w:pPr>
          </w:p>
        </w:tc>
      </w:tr>
      <w:tr w:rsidR="00907DF4" w:rsidRPr="00CE5F39" w14:paraId="5398CF70" w14:textId="77777777" w:rsidTr="00ED18F3">
        <w:trPr>
          <w:trHeight w:val="397"/>
        </w:trPr>
        <w:tc>
          <w:tcPr>
            <w:tcW w:w="4791" w:type="dxa"/>
            <w:shd w:val="clear" w:color="auto" w:fill="DAEEF3" w:themeFill="accent5" w:themeFillTint="33"/>
            <w:vAlign w:val="center"/>
          </w:tcPr>
          <w:p w14:paraId="4AEA0376" w14:textId="1F2A926B" w:rsidR="00907DF4" w:rsidRPr="00CE5F39" w:rsidRDefault="00907DF4"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 xml:space="preserve">Name of the Project / </w:t>
            </w:r>
            <w:r w:rsidR="00420737" w:rsidRPr="00CE5F39">
              <w:rPr>
                <w:rFonts w:ascii="Times New Roman" w:hAnsi="Times New Roman" w:cs="Times New Roman"/>
                <w:lang w:bidi="en-US"/>
              </w:rPr>
              <w:t>infrastructure investment</w:t>
            </w:r>
            <w:r w:rsidRPr="00CE5F39">
              <w:rPr>
                <w:rFonts w:ascii="Times New Roman" w:hAnsi="Times New Roman" w:cs="Times New Roman"/>
                <w:lang w:bidi="en-US"/>
              </w:rPr>
              <w:t>:</w:t>
            </w:r>
          </w:p>
        </w:tc>
        <w:tc>
          <w:tcPr>
            <w:tcW w:w="4876" w:type="dxa"/>
            <w:gridSpan w:val="3"/>
            <w:shd w:val="clear" w:color="auto" w:fill="DAEEF3" w:themeFill="accent5" w:themeFillTint="33"/>
            <w:vAlign w:val="center"/>
          </w:tcPr>
          <w:p w14:paraId="0E93B524" w14:textId="77777777" w:rsidR="00907DF4" w:rsidRPr="00CE5F39" w:rsidRDefault="00907DF4" w:rsidP="00D01979">
            <w:pPr>
              <w:spacing w:after="0" w:line="276" w:lineRule="auto"/>
              <w:rPr>
                <w:rFonts w:ascii="Times New Roman" w:hAnsi="Times New Roman" w:cs="Times New Roman"/>
                <w:lang w:bidi="en-US"/>
              </w:rPr>
            </w:pPr>
          </w:p>
        </w:tc>
      </w:tr>
      <w:tr w:rsidR="00ED18F3" w:rsidRPr="00CE5F39" w14:paraId="4A0CF796" w14:textId="77777777" w:rsidTr="00ED18F3">
        <w:trPr>
          <w:trHeight w:val="397"/>
        </w:trPr>
        <w:tc>
          <w:tcPr>
            <w:tcW w:w="4791" w:type="dxa"/>
            <w:shd w:val="clear" w:color="auto" w:fill="DAEEF3" w:themeFill="accent5" w:themeFillTint="33"/>
            <w:vAlign w:val="center"/>
          </w:tcPr>
          <w:p w14:paraId="1E5B06C6"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Basic information on proposed project and activities (please describe main features)</w:t>
            </w:r>
          </w:p>
        </w:tc>
        <w:tc>
          <w:tcPr>
            <w:tcW w:w="4876" w:type="dxa"/>
            <w:gridSpan w:val="3"/>
            <w:shd w:val="clear" w:color="auto" w:fill="DAEEF3" w:themeFill="accent5" w:themeFillTint="33"/>
            <w:vAlign w:val="center"/>
          </w:tcPr>
          <w:p w14:paraId="251FA516"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70857134" w14:textId="77777777" w:rsidTr="00ED18F3">
        <w:trPr>
          <w:trHeight w:val="397"/>
        </w:trPr>
        <w:tc>
          <w:tcPr>
            <w:tcW w:w="4791" w:type="dxa"/>
            <w:shd w:val="clear" w:color="auto" w:fill="DAEEF3" w:themeFill="accent5" w:themeFillTint="33"/>
            <w:vAlign w:val="center"/>
          </w:tcPr>
          <w:p w14:paraId="6E8310FA"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Project IF ID:</w:t>
            </w:r>
          </w:p>
        </w:tc>
        <w:tc>
          <w:tcPr>
            <w:tcW w:w="4876" w:type="dxa"/>
            <w:gridSpan w:val="3"/>
            <w:shd w:val="clear" w:color="auto" w:fill="DAEEF3" w:themeFill="accent5" w:themeFillTint="33"/>
            <w:vAlign w:val="center"/>
          </w:tcPr>
          <w:p w14:paraId="352F3EB5"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258352A4" w14:textId="77777777" w:rsidTr="00ED18F3">
        <w:trPr>
          <w:trHeight w:val="397"/>
        </w:trPr>
        <w:tc>
          <w:tcPr>
            <w:tcW w:w="4791" w:type="dxa"/>
            <w:shd w:val="clear" w:color="auto" w:fill="DAEEF3" w:themeFill="accent5" w:themeFillTint="33"/>
            <w:vAlign w:val="center"/>
          </w:tcPr>
          <w:p w14:paraId="4A54D4B9" w14:textId="58BB8F30"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 xml:space="preserve">Location of the </w:t>
            </w:r>
            <w:r w:rsidR="00420737" w:rsidRPr="00CE5F39">
              <w:rPr>
                <w:rFonts w:ascii="Times New Roman" w:hAnsi="Times New Roman" w:cs="Times New Roman"/>
                <w:lang w:bidi="en-US"/>
              </w:rPr>
              <w:t>infrastructure investment</w:t>
            </w:r>
            <w:r w:rsidRPr="00CE5F39">
              <w:rPr>
                <w:rFonts w:ascii="Times New Roman" w:hAnsi="Times New Roman" w:cs="Times New Roman"/>
                <w:lang w:bidi="en-US"/>
              </w:rPr>
              <w:t>/activity:</w:t>
            </w:r>
          </w:p>
        </w:tc>
        <w:tc>
          <w:tcPr>
            <w:tcW w:w="4876" w:type="dxa"/>
            <w:gridSpan w:val="3"/>
            <w:shd w:val="clear" w:color="auto" w:fill="DAEEF3" w:themeFill="accent5" w:themeFillTint="33"/>
            <w:vAlign w:val="center"/>
          </w:tcPr>
          <w:p w14:paraId="33718836"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3AEFE06F" w14:textId="77777777" w:rsidTr="00ED18F3">
        <w:trPr>
          <w:trHeight w:val="397"/>
        </w:trPr>
        <w:tc>
          <w:tcPr>
            <w:tcW w:w="4791" w:type="dxa"/>
            <w:shd w:val="clear" w:color="auto" w:fill="DAEEF3" w:themeFill="accent5" w:themeFillTint="33"/>
            <w:vAlign w:val="center"/>
          </w:tcPr>
          <w:p w14:paraId="3A061AF2"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Contact email address of responsible person at the location for providing relevant information:</w:t>
            </w:r>
          </w:p>
        </w:tc>
        <w:tc>
          <w:tcPr>
            <w:tcW w:w="4876" w:type="dxa"/>
            <w:gridSpan w:val="3"/>
            <w:shd w:val="clear" w:color="auto" w:fill="DAEEF3" w:themeFill="accent5" w:themeFillTint="33"/>
            <w:vAlign w:val="center"/>
          </w:tcPr>
          <w:p w14:paraId="174486B1"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3F3F2700" w14:textId="77777777" w:rsidTr="00ED18F3">
        <w:trPr>
          <w:trHeight w:val="397"/>
        </w:trPr>
        <w:tc>
          <w:tcPr>
            <w:tcW w:w="7792" w:type="dxa"/>
            <w:gridSpan w:val="2"/>
            <w:shd w:val="clear" w:color="auto" w:fill="DAEEF3" w:themeFill="accent5" w:themeFillTint="33"/>
            <w:vAlign w:val="center"/>
          </w:tcPr>
          <w:p w14:paraId="1F81DBA4"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PROJECT ELIGIBILITY CRITERIA</w:t>
            </w:r>
          </w:p>
        </w:tc>
        <w:tc>
          <w:tcPr>
            <w:tcW w:w="883" w:type="dxa"/>
            <w:shd w:val="clear" w:color="auto" w:fill="DAEEF3" w:themeFill="accent5" w:themeFillTint="33"/>
            <w:vAlign w:val="center"/>
          </w:tcPr>
          <w:p w14:paraId="53D3E9D6" w14:textId="77777777" w:rsidR="00ED18F3" w:rsidRPr="00CE5F39" w:rsidRDefault="00ED18F3" w:rsidP="00D01979">
            <w:pPr>
              <w:spacing w:after="0" w:line="276" w:lineRule="auto"/>
              <w:jc w:val="center"/>
              <w:rPr>
                <w:rFonts w:ascii="Times New Roman" w:hAnsi="Times New Roman" w:cs="Times New Roman"/>
                <w:lang w:bidi="en-US"/>
              </w:rPr>
            </w:pPr>
            <w:r w:rsidRPr="00CE5F39">
              <w:rPr>
                <w:rFonts w:ascii="Times New Roman" w:hAnsi="Times New Roman" w:cs="Times New Roman"/>
                <w:lang w:bidi="en-US"/>
              </w:rPr>
              <w:t>YES</w:t>
            </w:r>
          </w:p>
        </w:tc>
        <w:tc>
          <w:tcPr>
            <w:tcW w:w="992" w:type="dxa"/>
            <w:shd w:val="clear" w:color="auto" w:fill="DAEEF3" w:themeFill="accent5" w:themeFillTint="33"/>
            <w:vAlign w:val="center"/>
          </w:tcPr>
          <w:p w14:paraId="03BE869F" w14:textId="77777777" w:rsidR="00ED18F3" w:rsidRPr="00CE5F39" w:rsidRDefault="00ED18F3" w:rsidP="00D01979">
            <w:pPr>
              <w:spacing w:after="0" w:line="276" w:lineRule="auto"/>
              <w:jc w:val="center"/>
              <w:rPr>
                <w:rFonts w:ascii="Times New Roman" w:hAnsi="Times New Roman" w:cs="Times New Roman"/>
                <w:lang w:bidi="en-US"/>
              </w:rPr>
            </w:pPr>
            <w:r w:rsidRPr="00CE5F39">
              <w:rPr>
                <w:rFonts w:ascii="Times New Roman" w:hAnsi="Times New Roman" w:cs="Times New Roman"/>
                <w:lang w:bidi="en-US"/>
              </w:rPr>
              <w:t>NO</w:t>
            </w:r>
          </w:p>
        </w:tc>
      </w:tr>
      <w:bookmarkEnd w:id="713"/>
      <w:tr w:rsidR="00ED18F3" w:rsidRPr="00CE5F39" w14:paraId="34CFCC25" w14:textId="77777777" w:rsidTr="00ED18F3">
        <w:trPr>
          <w:trHeight w:val="397"/>
        </w:trPr>
        <w:tc>
          <w:tcPr>
            <w:tcW w:w="7792" w:type="dxa"/>
            <w:gridSpan w:val="2"/>
          </w:tcPr>
          <w:p w14:paraId="74C80F67"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 xml:space="preserve">Does the proposed activity require a FULL Environmental Impact Assessment as per the Serbian Law on Environmental Impact Assessment (list of Projects for which full EIA is mandatory/decided)? </w:t>
            </w:r>
          </w:p>
          <w:p w14:paraId="3A03CB8B"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(EIA Requirement per se does not classify the activity as high risk)</w:t>
            </w:r>
          </w:p>
        </w:tc>
        <w:tc>
          <w:tcPr>
            <w:tcW w:w="883" w:type="dxa"/>
          </w:tcPr>
          <w:p w14:paraId="3EA46757"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441D5843"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41E9894A" w14:textId="77777777" w:rsidTr="00ED18F3">
        <w:trPr>
          <w:trHeight w:val="397"/>
        </w:trPr>
        <w:tc>
          <w:tcPr>
            <w:tcW w:w="7792" w:type="dxa"/>
            <w:gridSpan w:val="2"/>
          </w:tcPr>
          <w:p w14:paraId="22D77E10"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Does the existing enterprise need to follow specific Serbian environmental regulations regarding air emissions, water use or wastewater discharge and solid waste management?</w:t>
            </w:r>
          </w:p>
        </w:tc>
        <w:tc>
          <w:tcPr>
            <w:tcW w:w="883" w:type="dxa"/>
          </w:tcPr>
          <w:p w14:paraId="400BDE64"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225F6D1C"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3F153966" w14:textId="77777777" w:rsidTr="00ED18F3">
        <w:trPr>
          <w:trHeight w:val="397"/>
        </w:trPr>
        <w:tc>
          <w:tcPr>
            <w:tcW w:w="7792" w:type="dxa"/>
            <w:gridSpan w:val="2"/>
          </w:tcPr>
          <w:p w14:paraId="3744A59D"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Does the existing enterprise take care about associated facilities (if applicable) relevant environmental and social performance?</w:t>
            </w:r>
          </w:p>
          <w:p w14:paraId="5F9247AF"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If possible, explain the answer</w:t>
            </w:r>
          </w:p>
        </w:tc>
        <w:tc>
          <w:tcPr>
            <w:tcW w:w="883" w:type="dxa"/>
          </w:tcPr>
          <w:p w14:paraId="09D4E1A4"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46E0F49E"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5EA115A7" w14:textId="77777777" w:rsidTr="00ED18F3">
        <w:trPr>
          <w:trHeight w:val="397"/>
        </w:trPr>
        <w:tc>
          <w:tcPr>
            <w:tcW w:w="7792" w:type="dxa"/>
            <w:gridSpan w:val="2"/>
            <w:vMerge w:val="restart"/>
          </w:tcPr>
          <w:p w14:paraId="2C47DC64"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Are serious adverse cumulative or transboundary impacts:</w:t>
            </w:r>
          </w:p>
          <w:p w14:paraId="5BDEB61A"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H: Expected?</w:t>
            </w:r>
          </w:p>
          <w:p w14:paraId="09FCF21E"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S: Expected, but less severe and more readily avoided or mitigated?</w:t>
            </w:r>
          </w:p>
          <w:p w14:paraId="47E1273D"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M: Not expected? Project impact is site-specific, unlikely to go beyond project footprint?</w:t>
            </w:r>
          </w:p>
          <w:p w14:paraId="23AB2DCC"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L: Minimal or negligible?</w:t>
            </w:r>
          </w:p>
        </w:tc>
        <w:tc>
          <w:tcPr>
            <w:tcW w:w="883" w:type="dxa"/>
          </w:tcPr>
          <w:p w14:paraId="7908AE64"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5D1736E0"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632D9CDA" w14:textId="77777777" w:rsidTr="00ED18F3">
        <w:trPr>
          <w:trHeight w:val="397"/>
        </w:trPr>
        <w:tc>
          <w:tcPr>
            <w:tcW w:w="7792" w:type="dxa"/>
            <w:gridSpan w:val="2"/>
            <w:vMerge/>
          </w:tcPr>
          <w:p w14:paraId="64C87F2F"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7AC40DE7"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4E566355"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7A73FA73" w14:textId="77777777" w:rsidTr="00ED18F3">
        <w:trPr>
          <w:trHeight w:val="397"/>
        </w:trPr>
        <w:tc>
          <w:tcPr>
            <w:tcW w:w="7792" w:type="dxa"/>
            <w:gridSpan w:val="2"/>
            <w:vMerge/>
          </w:tcPr>
          <w:p w14:paraId="67E74364"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2E113842"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65A80927"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0389784F" w14:textId="77777777" w:rsidTr="00ED18F3">
        <w:trPr>
          <w:trHeight w:val="397"/>
        </w:trPr>
        <w:tc>
          <w:tcPr>
            <w:tcW w:w="7792" w:type="dxa"/>
            <w:gridSpan w:val="2"/>
            <w:vMerge/>
          </w:tcPr>
          <w:p w14:paraId="4E5C1373"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3D62FE6A"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19C707F8"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47C61762" w14:textId="77777777" w:rsidTr="00ED18F3">
        <w:trPr>
          <w:trHeight w:val="397"/>
        </w:trPr>
        <w:tc>
          <w:tcPr>
            <w:tcW w:w="7792" w:type="dxa"/>
            <w:gridSpan w:val="2"/>
            <w:vMerge/>
          </w:tcPr>
          <w:p w14:paraId="4BD91F8D"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639C4E8B"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7E7E2107"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28EA9B3C" w14:textId="77777777" w:rsidTr="00ED18F3">
        <w:trPr>
          <w:trHeight w:val="397"/>
        </w:trPr>
        <w:tc>
          <w:tcPr>
            <w:tcW w:w="7792" w:type="dxa"/>
            <w:gridSpan w:val="2"/>
            <w:vMerge w:val="restart"/>
          </w:tcPr>
          <w:p w14:paraId="157BDE99"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Is the area likely to be affected?</w:t>
            </w:r>
          </w:p>
          <w:p w14:paraId="4C175ECF"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H: Sensitive and valuable ecosystems and habitats? Legally protected and internationally recognized high biodiversity value areas? Lands or rights IP or other vulnerable minorities? Intensive or complex resettlement? Impacts on cultural heritage? Densely populated urban areas? History of unrest in Project areas or sector? Significant concerns regarding the activities of security forces? Recognized as a regional or national cultural heritage?</w:t>
            </w:r>
          </w:p>
          <w:p w14:paraId="379D1320"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S: Issues such as above are relevant but to a lower extent?</w:t>
            </w:r>
          </w:p>
          <w:p w14:paraId="1FF389FE"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M: Located away from environmentally or socially sensitive areas</w:t>
            </w:r>
          </w:p>
        </w:tc>
        <w:tc>
          <w:tcPr>
            <w:tcW w:w="883" w:type="dxa"/>
          </w:tcPr>
          <w:p w14:paraId="5D01A72B"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23770AEB"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3EBE21B5" w14:textId="77777777" w:rsidTr="00ED18F3">
        <w:trPr>
          <w:trHeight w:val="397"/>
        </w:trPr>
        <w:tc>
          <w:tcPr>
            <w:tcW w:w="7792" w:type="dxa"/>
            <w:gridSpan w:val="2"/>
            <w:vMerge/>
          </w:tcPr>
          <w:p w14:paraId="4B5219AC"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27AFC343"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1CE2AAC6"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1481CA15" w14:textId="77777777" w:rsidTr="00ED18F3">
        <w:trPr>
          <w:trHeight w:val="397"/>
        </w:trPr>
        <w:tc>
          <w:tcPr>
            <w:tcW w:w="7792" w:type="dxa"/>
            <w:gridSpan w:val="2"/>
            <w:vMerge/>
          </w:tcPr>
          <w:p w14:paraId="1F1FE3F0"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25783718"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0FE66372"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66691E05" w14:textId="77777777" w:rsidTr="00ED18F3">
        <w:trPr>
          <w:trHeight w:val="397"/>
        </w:trPr>
        <w:tc>
          <w:tcPr>
            <w:tcW w:w="7792" w:type="dxa"/>
            <w:gridSpan w:val="2"/>
            <w:vMerge/>
          </w:tcPr>
          <w:p w14:paraId="52324DE9" w14:textId="77777777" w:rsidR="00ED18F3" w:rsidRPr="00CE5F39" w:rsidRDefault="00ED18F3" w:rsidP="00D01979">
            <w:pPr>
              <w:spacing w:after="0" w:line="276" w:lineRule="auto"/>
              <w:rPr>
                <w:rFonts w:ascii="Times New Roman" w:hAnsi="Times New Roman" w:cs="Times New Roman"/>
                <w:lang w:bidi="en-US"/>
              </w:rPr>
            </w:pPr>
          </w:p>
        </w:tc>
        <w:tc>
          <w:tcPr>
            <w:tcW w:w="883" w:type="dxa"/>
          </w:tcPr>
          <w:p w14:paraId="6EE3CC04"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3416B6A1"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5F7229E3" w14:textId="77777777" w:rsidTr="00D01979">
        <w:trPr>
          <w:trHeight w:val="397"/>
        </w:trPr>
        <w:tc>
          <w:tcPr>
            <w:tcW w:w="7792" w:type="dxa"/>
            <w:gridSpan w:val="2"/>
          </w:tcPr>
          <w:p w14:paraId="69B1965B"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Reversibility of Project risk and impacts. Are the Project social and environmental risk and impacts:</w:t>
            </w:r>
          </w:p>
          <w:p w14:paraId="5CE21A84"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H: Long-term, permanent, and irreversible?</w:t>
            </w:r>
          </w:p>
          <w:p w14:paraId="692024A6"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S: Mostly temporary, predictable and/or reversible?</w:t>
            </w:r>
          </w:p>
          <w:p w14:paraId="112AE753"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M: Predictable and expected to be temporary and/or reversible?</w:t>
            </w:r>
          </w:p>
          <w:p w14:paraId="35F907A9"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lang w:bidi="en-US"/>
              </w:rPr>
              <w:t>L: Minimal or negligible?</w:t>
            </w:r>
          </w:p>
        </w:tc>
        <w:tc>
          <w:tcPr>
            <w:tcW w:w="883" w:type="dxa"/>
          </w:tcPr>
          <w:p w14:paraId="2DA7B430"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15B86E75"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364172D7" w14:textId="77777777" w:rsidTr="00ED18F3">
        <w:trPr>
          <w:trHeight w:val="397"/>
        </w:trPr>
        <w:tc>
          <w:tcPr>
            <w:tcW w:w="7792" w:type="dxa"/>
            <w:gridSpan w:val="2"/>
          </w:tcPr>
          <w:p w14:paraId="1D94DC5C"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rPr>
              <w:t>Will the activity consume, use or store, produce hazardous materials that are outlawed or banned in EU?</w:t>
            </w:r>
          </w:p>
        </w:tc>
        <w:tc>
          <w:tcPr>
            <w:tcW w:w="883" w:type="dxa"/>
          </w:tcPr>
          <w:p w14:paraId="72D675B5"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286E9B1D"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1CF9587D" w14:textId="77777777" w:rsidTr="00ED18F3">
        <w:trPr>
          <w:trHeight w:val="397"/>
        </w:trPr>
        <w:tc>
          <w:tcPr>
            <w:tcW w:w="7792" w:type="dxa"/>
            <w:gridSpan w:val="2"/>
          </w:tcPr>
          <w:p w14:paraId="07DF6AA4"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rPr>
              <w:t>Has the local population or any NGOs expressed concern about the proposed activity’s environmental aspects or expressed opposition?</w:t>
            </w:r>
          </w:p>
        </w:tc>
        <w:tc>
          <w:tcPr>
            <w:tcW w:w="883" w:type="dxa"/>
          </w:tcPr>
          <w:p w14:paraId="210AC276"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34D2FB24" w14:textId="77777777" w:rsidR="00ED18F3" w:rsidRPr="00CE5F39" w:rsidRDefault="00ED18F3" w:rsidP="00D01979">
            <w:pPr>
              <w:spacing w:after="0" w:line="276" w:lineRule="auto"/>
              <w:rPr>
                <w:rFonts w:ascii="Times New Roman" w:hAnsi="Times New Roman" w:cs="Times New Roman"/>
                <w:lang w:bidi="en-US"/>
              </w:rPr>
            </w:pPr>
          </w:p>
        </w:tc>
      </w:tr>
      <w:tr w:rsidR="00ED18F3" w:rsidRPr="00CE5F39" w14:paraId="765FFD04" w14:textId="77777777" w:rsidTr="00ED18F3">
        <w:trPr>
          <w:trHeight w:val="397"/>
        </w:trPr>
        <w:tc>
          <w:tcPr>
            <w:tcW w:w="7792" w:type="dxa"/>
            <w:gridSpan w:val="2"/>
          </w:tcPr>
          <w:p w14:paraId="24C48708" w14:textId="77777777" w:rsidR="00ED18F3" w:rsidRPr="00CE5F39" w:rsidRDefault="00ED18F3" w:rsidP="00D01979">
            <w:pPr>
              <w:spacing w:after="0" w:line="276" w:lineRule="auto"/>
              <w:rPr>
                <w:rFonts w:ascii="Times New Roman" w:hAnsi="Times New Roman" w:cs="Times New Roman"/>
                <w:lang w:bidi="en-US"/>
              </w:rPr>
            </w:pPr>
            <w:r w:rsidRPr="00CE5F39">
              <w:rPr>
                <w:rFonts w:ascii="Times New Roman" w:hAnsi="Times New Roman" w:cs="Times New Roman"/>
              </w:rPr>
              <w:t>Is there any other aspect of the activity that would – through normal operations or under special conditions – cause a risk or have an impact on the environment, the population or could be considered as a nuisance?</w:t>
            </w:r>
          </w:p>
        </w:tc>
        <w:tc>
          <w:tcPr>
            <w:tcW w:w="883" w:type="dxa"/>
          </w:tcPr>
          <w:p w14:paraId="227D0CA8" w14:textId="77777777" w:rsidR="00ED18F3" w:rsidRPr="00CE5F39" w:rsidRDefault="00ED18F3" w:rsidP="00D01979">
            <w:pPr>
              <w:spacing w:after="0" w:line="276" w:lineRule="auto"/>
              <w:rPr>
                <w:rFonts w:ascii="Times New Roman" w:hAnsi="Times New Roman" w:cs="Times New Roman"/>
                <w:lang w:bidi="en-US"/>
              </w:rPr>
            </w:pPr>
          </w:p>
        </w:tc>
        <w:tc>
          <w:tcPr>
            <w:tcW w:w="992" w:type="dxa"/>
          </w:tcPr>
          <w:p w14:paraId="325B5F33" w14:textId="77777777" w:rsidR="00ED18F3" w:rsidRPr="00CE5F39" w:rsidRDefault="00ED18F3" w:rsidP="00D01979">
            <w:pPr>
              <w:spacing w:after="0" w:line="276" w:lineRule="auto"/>
              <w:rPr>
                <w:rFonts w:ascii="Times New Roman" w:hAnsi="Times New Roman" w:cs="Times New Roman"/>
                <w:lang w:bidi="en-US"/>
              </w:rPr>
            </w:pPr>
          </w:p>
        </w:tc>
      </w:tr>
    </w:tbl>
    <w:p w14:paraId="2E752617" w14:textId="77777777" w:rsidR="00ED18F3" w:rsidRPr="00CE5F39" w:rsidRDefault="00ED18F3" w:rsidP="00D01979">
      <w:pPr>
        <w:spacing w:line="276" w:lineRule="auto"/>
        <w:rPr>
          <w:rFonts w:ascii="Times New Roman" w:hAnsi="Times New Roman" w:cs="Times New Roman"/>
          <w:lang w:bidi="en-US"/>
        </w:rPr>
      </w:pPr>
    </w:p>
    <w:tbl>
      <w:tblPr>
        <w:tblStyle w:val="TableGrid"/>
        <w:tblW w:w="0" w:type="auto"/>
        <w:tblBorders>
          <w:top w:val="single" w:sz="2" w:space="0" w:color="auto"/>
          <w:left w:val="single" w:sz="2" w:space="0" w:color="auto"/>
          <w:bottom w:val="single" w:sz="2" w:space="0" w:color="auto"/>
          <w:right w:val="single" w:sz="2" w:space="0" w:color="auto"/>
          <w:insideH w:val="dotted" w:sz="2" w:space="0" w:color="auto"/>
          <w:insideV w:val="dotted" w:sz="2" w:space="0" w:color="auto"/>
        </w:tblBorders>
        <w:tblLook w:val="04A0" w:firstRow="1" w:lastRow="0" w:firstColumn="1" w:lastColumn="0" w:noHBand="0" w:noVBand="1"/>
      </w:tblPr>
      <w:tblGrid>
        <w:gridCol w:w="1263"/>
        <w:gridCol w:w="3109"/>
        <w:gridCol w:w="918"/>
        <w:gridCol w:w="1255"/>
        <w:gridCol w:w="3086"/>
      </w:tblGrid>
      <w:tr w:rsidR="00566DCF" w:rsidRPr="00CE5F39" w14:paraId="76F5DA80" w14:textId="77777777" w:rsidTr="003A4D6A">
        <w:tc>
          <w:tcPr>
            <w:tcW w:w="4673" w:type="dxa"/>
            <w:gridSpan w:val="2"/>
            <w:tcBorders>
              <w:right w:val="single" w:sz="2" w:space="0" w:color="auto"/>
            </w:tcBorders>
          </w:tcPr>
          <w:p w14:paraId="5F431B64" w14:textId="77777777" w:rsidR="00ED18F3" w:rsidRPr="00CE5F39" w:rsidRDefault="00ED18F3" w:rsidP="00D01979">
            <w:pPr>
              <w:spacing w:line="276" w:lineRule="auto"/>
              <w:jc w:val="center"/>
              <w:rPr>
                <w:rFonts w:ascii="Times New Roman" w:hAnsi="Times New Roman" w:cs="Times New Roman"/>
                <w:lang w:bidi="en-US"/>
              </w:rPr>
            </w:pPr>
            <w:r w:rsidRPr="00CE5F39">
              <w:rPr>
                <w:rFonts w:ascii="Times New Roman" w:hAnsi="Times New Roman" w:cs="Times New Roman"/>
                <w:lang w:bidi="en-US"/>
              </w:rPr>
              <w:t xml:space="preserve">Form checked by </w:t>
            </w:r>
          </w:p>
          <w:p w14:paraId="2C7EBFC5" w14:textId="0D3B8459" w:rsidR="00ED18F3" w:rsidRPr="00CE5F39" w:rsidRDefault="003D4D35" w:rsidP="00D01979">
            <w:pPr>
              <w:spacing w:after="240" w:line="276" w:lineRule="auto"/>
              <w:jc w:val="center"/>
              <w:rPr>
                <w:rFonts w:ascii="Times New Roman" w:hAnsi="Times New Roman" w:cs="Times New Roman"/>
                <w:lang w:bidi="en-US"/>
              </w:rPr>
            </w:pPr>
            <w:r>
              <w:rPr>
                <w:rFonts w:ascii="Times New Roman" w:hAnsi="Times New Roman" w:cs="Times New Roman"/>
                <w:lang w:bidi="en-US"/>
              </w:rPr>
              <w:t xml:space="preserve">The </w:t>
            </w:r>
            <w:r w:rsidR="00ED18F3" w:rsidRPr="00CE5F39">
              <w:rPr>
                <w:rFonts w:ascii="Times New Roman" w:hAnsi="Times New Roman" w:cs="Times New Roman"/>
                <w:lang w:bidi="en-US"/>
              </w:rPr>
              <w:t xml:space="preserve">PIU Environmental </w:t>
            </w:r>
            <w:r w:rsidR="00DB78E0">
              <w:rPr>
                <w:rFonts w:ascii="Times New Roman" w:hAnsi="Times New Roman" w:cs="Times New Roman"/>
                <w:lang w:bidi="en-US"/>
              </w:rPr>
              <w:t>s</w:t>
            </w:r>
            <w:r w:rsidR="00ED18F3" w:rsidRPr="00CE5F39">
              <w:rPr>
                <w:rFonts w:ascii="Times New Roman" w:hAnsi="Times New Roman" w:cs="Times New Roman"/>
                <w:lang w:bidi="en-US"/>
              </w:rPr>
              <w:t xml:space="preserve">pecialist and </w:t>
            </w:r>
            <w:r w:rsidR="00DB78E0">
              <w:rPr>
                <w:rFonts w:ascii="Times New Roman" w:hAnsi="Times New Roman" w:cs="Times New Roman"/>
                <w:lang w:bidi="en-US"/>
              </w:rPr>
              <w:t>S</w:t>
            </w:r>
            <w:r w:rsidR="00DB78E0" w:rsidRPr="00DB78E0">
              <w:rPr>
                <w:rFonts w:ascii="Times New Roman" w:hAnsi="Times New Roman" w:cs="Times New Roman"/>
                <w:lang w:bidi="en-US"/>
              </w:rPr>
              <w:t>ocial safeguard and citizen engagement specialist</w:t>
            </w:r>
          </w:p>
        </w:tc>
        <w:tc>
          <w:tcPr>
            <w:tcW w:w="992" w:type="dxa"/>
            <w:tcBorders>
              <w:top w:val="nil"/>
              <w:left w:val="single" w:sz="2" w:space="0" w:color="auto"/>
              <w:bottom w:val="nil"/>
              <w:right w:val="single" w:sz="2" w:space="0" w:color="auto"/>
            </w:tcBorders>
          </w:tcPr>
          <w:p w14:paraId="158FA663" w14:textId="77777777" w:rsidR="00ED18F3" w:rsidRPr="00CE5F39" w:rsidRDefault="00ED18F3" w:rsidP="00D01979">
            <w:pPr>
              <w:spacing w:line="276" w:lineRule="auto"/>
              <w:rPr>
                <w:rFonts w:ascii="Times New Roman" w:hAnsi="Times New Roman" w:cs="Times New Roman"/>
                <w:lang w:bidi="en-US"/>
              </w:rPr>
            </w:pPr>
          </w:p>
        </w:tc>
        <w:tc>
          <w:tcPr>
            <w:tcW w:w="4665" w:type="dxa"/>
            <w:gridSpan w:val="2"/>
            <w:tcBorders>
              <w:top w:val="single" w:sz="2" w:space="0" w:color="auto"/>
              <w:left w:val="single" w:sz="2" w:space="0" w:color="auto"/>
              <w:bottom w:val="dotted" w:sz="2" w:space="0" w:color="auto"/>
            </w:tcBorders>
          </w:tcPr>
          <w:p w14:paraId="42EED1D2" w14:textId="77777777" w:rsidR="00ED18F3" w:rsidRPr="00CE5F39" w:rsidRDefault="00ED18F3" w:rsidP="00D01979">
            <w:pPr>
              <w:spacing w:line="276" w:lineRule="auto"/>
              <w:jc w:val="center"/>
              <w:rPr>
                <w:rFonts w:ascii="Times New Roman" w:hAnsi="Times New Roman" w:cs="Times New Roman"/>
                <w:lang w:bidi="en-US"/>
              </w:rPr>
            </w:pPr>
            <w:r w:rsidRPr="00CE5F39">
              <w:rPr>
                <w:rFonts w:ascii="Times New Roman" w:hAnsi="Times New Roman" w:cs="Times New Roman"/>
                <w:lang w:bidi="en-US"/>
              </w:rPr>
              <w:t xml:space="preserve">Form checked by </w:t>
            </w:r>
          </w:p>
          <w:p w14:paraId="5EF4456C" w14:textId="2DCEC05F" w:rsidR="00ED18F3" w:rsidRPr="00CE5F39" w:rsidRDefault="003D4D35" w:rsidP="00D01979">
            <w:pPr>
              <w:spacing w:line="276" w:lineRule="auto"/>
              <w:jc w:val="center"/>
              <w:rPr>
                <w:rFonts w:ascii="Times New Roman" w:hAnsi="Times New Roman" w:cs="Times New Roman"/>
                <w:lang w:bidi="en-US"/>
              </w:rPr>
            </w:pPr>
            <w:r>
              <w:rPr>
                <w:rFonts w:ascii="Times New Roman" w:hAnsi="Times New Roman" w:cs="Times New Roman"/>
                <w:lang w:bidi="en-US"/>
              </w:rPr>
              <w:t xml:space="preserve">The </w:t>
            </w:r>
            <w:r w:rsidR="00ED18F3" w:rsidRPr="00CE5F39">
              <w:rPr>
                <w:rFonts w:ascii="Times New Roman" w:hAnsi="Times New Roman" w:cs="Times New Roman"/>
                <w:lang w:bidi="en-US"/>
              </w:rPr>
              <w:t xml:space="preserve">Head of </w:t>
            </w:r>
            <w:r>
              <w:rPr>
                <w:rFonts w:ascii="Times New Roman" w:hAnsi="Times New Roman" w:cs="Times New Roman"/>
                <w:lang w:bidi="en-US"/>
              </w:rPr>
              <w:t xml:space="preserve">the </w:t>
            </w:r>
            <w:r w:rsidR="00ED18F3" w:rsidRPr="00CE5F39">
              <w:rPr>
                <w:rFonts w:ascii="Times New Roman" w:hAnsi="Times New Roman" w:cs="Times New Roman"/>
                <w:lang w:bidi="en-US"/>
              </w:rPr>
              <w:t>PIU</w:t>
            </w:r>
          </w:p>
        </w:tc>
      </w:tr>
      <w:tr w:rsidR="00566DCF" w:rsidRPr="00CE5F39" w14:paraId="1B28E833" w14:textId="77777777" w:rsidTr="003A4D6A">
        <w:tc>
          <w:tcPr>
            <w:tcW w:w="4673" w:type="dxa"/>
            <w:gridSpan w:val="2"/>
            <w:tcBorders>
              <w:right w:val="single" w:sz="2" w:space="0" w:color="auto"/>
            </w:tcBorders>
          </w:tcPr>
          <w:p w14:paraId="23EF399A"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Project category:</w:t>
            </w:r>
            <w:r w:rsidRPr="00CE5F39">
              <w:rPr>
                <w:rFonts w:ascii="Times New Roman" w:hAnsi="Times New Roman" w:cs="Times New Roman"/>
                <w:lang w:bidi="en-US"/>
              </w:rPr>
              <w:tab/>
              <w:t>H</w:t>
            </w:r>
            <w:r w:rsidRPr="00CE5F39">
              <w:rPr>
                <w:rFonts w:ascii="Times New Roman" w:hAnsi="Times New Roman" w:cs="Times New Roman"/>
                <w:lang w:bidi="en-US"/>
              </w:rPr>
              <w:tab/>
              <w:t>S</w:t>
            </w:r>
            <w:r w:rsidRPr="00CE5F39">
              <w:rPr>
                <w:rFonts w:ascii="Times New Roman" w:hAnsi="Times New Roman" w:cs="Times New Roman"/>
                <w:lang w:bidi="en-US"/>
              </w:rPr>
              <w:tab/>
              <w:t>M</w:t>
            </w:r>
            <w:r w:rsidRPr="00CE5F39">
              <w:rPr>
                <w:rFonts w:ascii="Times New Roman" w:hAnsi="Times New Roman" w:cs="Times New Roman"/>
                <w:lang w:bidi="en-US"/>
              </w:rPr>
              <w:tab/>
              <w:t>L</w:t>
            </w:r>
          </w:p>
        </w:tc>
        <w:tc>
          <w:tcPr>
            <w:tcW w:w="992" w:type="dxa"/>
            <w:tcBorders>
              <w:top w:val="nil"/>
              <w:left w:val="single" w:sz="2" w:space="0" w:color="auto"/>
              <w:bottom w:val="nil"/>
              <w:right w:val="single" w:sz="2" w:space="0" w:color="auto"/>
            </w:tcBorders>
          </w:tcPr>
          <w:p w14:paraId="2B819047" w14:textId="77777777" w:rsidR="00ED18F3" w:rsidRPr="00CE5F39" w:rsidRDefault="00ED18F3" w:rsidP="00D01979">
            <w:pPr>
              <w:spacing w:line="276" w:lineRule="auto"/>
              <w:rPr>
                <w:rFonts w:ascii="Times New Roman" w:hAnsi="Times New Roman" w:cs="Times New Roman"/>
                <w:lang w:bidi="en-US"/>
              </w:rPr>
            </w:pPr>
          </w:p>
        </w:tc>
        <w:tc>
          <w:tcPr>
            <w:tcW w:w="4665" w:type="dxa"/>
            <w:gridSpan w:val="2"/>
            <w:tcBorders>
              <w:top w:val="dotted" w:sz="2" w:space="0" w:color="auto"/>
              <w:left w:val="single" w:sz="2" w:space="0" w:color="auto"/>
              <w:bottom w:val="dotted" w:sz="2" w:space="0" w:color="auto"/>
            </w:tcBorders>
          </w:tcPr>
          <w:p w14:paraId="2488CAA3"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Project category:</w:t>
            </w:r>
            <w:r w:rsidRPr="00CE5F39">
              <w:rPr>
                <w:rFonts w:ascii="Times New Roman" w:hAnsi="Times New Roman" w:cs="Times New Roman"/>
                <w:lang w:bidi="en-US"/>
              </w:rPr>
              <w:tab/>
              <w:t>H</w:t>
            </w:r>
            <w:r w:rsidRPr="00CE5F39">
              <w:rPr>
                <w:rFonts w:ascii="Times New Roman" w:hAnsi="Times New Roman" w:cs="Times New Roman"/>
                <w:lang w:bidi="en-US"/>
              </w:rPr>
              <w:tab/>
              <w:t>S</w:t>
            </w:r>
            <w:r w:rsidRPr="00CE5F39">
              <w:rPr>
                <w:rFonts w:ascii="Times New Roman" w:hAnsi="Times New Roman" w:cs="Times New Roman"/>
                <w:lang w:bidi="en-US"/>
              </w:rPr>
              <w:tab/>
              <w:t>M</w:t>
            </w:r>
            <w:r w:rsidRPr="00CE5F39">
              <w:rPr>
                <w:rFonts w:ascii="Times New Roman" w:hAnsi="Times New Roman" w:cs="Times New Roman"/>
                <w:lang w:bidi="en-US"/>
              </w:rPr>
              <w:tab/>
              <w:t>L</w:t>
            </w:r>
          </w:p>
        </w:tc>
      </w:tr>
      <w:tr w:rsidR="00566DCF" w:rsidRPr="00CE5F39" w14:paraId="74473390" w14:textId="77777777" w:rsidTr="003A4D6A">
        <w:tc>
          <w:tcPr>
            <w:tcW w:w="1271" w:type="dxa"/>
          </w:tcPr>
          <w:p w14:paraId="5FEC0F71"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Date</w:t>
            </w:r>
          </w:p>
        </w:tc>
        <w:tc>
          <w:tcPr>
            <w:tcW w:w="3402" w:type="dxa"/>
            <w:tcBorders>
              <w:right w:val="single" w:sz="2" w:space="0" w:color="auto"/>
            </w:tcBorders>
          </w:tcPr>
          <w:p w14:paraId="7E1947A6" w14:textId="77777777" w:rsidR="00ED18F3" w:rsidRPr="00CE5F39"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2ADEB733" w14:textId="77777777" w:rsidR="00ED18F3" w:rsidRPr="00CE5F39"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dotted" w:sz="2" w:space="0" w:color="auto"/>
            </w:tcBorders>
          </w:tcPr>
          <w:p w14:paraId="3D26D7CD"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Date</w:t>
            </w:r>
          </w:p>
        </w:tc>
        <w:tc>
          <w:tcPr>
            <w:tcW w:w="3389" w:type="dxa"/>
            <w:tcBorders>
              <w:top w:val="dotted" w:sz="2" w:space="0" w:color="auto"/>
              <w:bottom w:val="dotted" w:sz="2" w:space="0" w:color="auto"/>
            </w:tcBorders>
          </w:tcPr>
          <w:p w14:paraId="163196C3" w14:textId="77777777" w:rsidR="00ED18F3" w:rsidRPr="00CE5F39" w:rsidRDefault="00ED18F3" w:rsidP="00D01979">
            <w:pPr>
              <w:spacing w:line="276" w:lineRule="auto"/>
              <w:rPr>
                <w:rFonts w:ascii="Times New Roman" w:hAnsi="Times New Roman" w:cs="Times New Roman"/>
                <w:lang w:bidi="en-US"/>
              </w:rPr>
            </w:pPr>
          </w:p>
        </w:tc>
      </w:tr>
      <w:tr w:rsidR="00566DCF" w:rsidRPr="00CE5F39" w14:paraId="0E3B7F60" w14:textId="77777777" w:rsidTr="003A4D6A">
        <w:tc>
          <w:tcPr>
            <w:tcW w:w="1271" w:type="dxa"/>
          </w:tcPr>
          <w:p w14:paraId="25AF2F99"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Name</w:t>
            </w:r>
          </w:p>
        </w:tc>
        <w:tc>
          <w:tcPr>
            <w:tcW w:w="3402" w:type="dxa"/>
            <w:tcBorders>
              <w:right w:val="single" w:sz="2" w:space="0" w:color="auto"/>
            </w:tcBorders>
          </w:tcPr>
          <w:p w14:paraId="4CC1D121" w14:textId="77777777" w:rsidR="00ED18F3" w:rsidRPr="00CE5F39"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4280C2F1" w14:textId="77777777" w:rsidR="00ED18F3" w:rsidRPr="00CE5F39"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dotted" w:sz="2" w:space="0" w:color="auto"/>
            </w:tcBorders>
          </w:tcPr>
          <w:p w14:paraId="60C37D3A"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Name</w:t>
            </w:r>
          </w:p>
        </w:tc>
        <w:tc>
          <w:tcPr>
            <w:tcW w:w="3389" w:type="dxa"/>
            <w:tcBorders>
              <w:top w:val="dotted" w:sz="2" w:space="0" w:color="auto"/>
              <w:bottom w:val="dotted" w:sz="2" w:space="0" w:color="auto"/>
            </w:tcBorders>
          </w:tcPr>
          <w:p w14:paraId="46A80691" w14:textId="77777777" w:rsidR="00ED18F3" w:rsidRPr="00CE5F39" w:rsidRDefault="00ED18F3" w:rsidP="00D01979">
            <w:pPr>
              <w:spacing w:line="276" w:lineRule="auto"/>
              <w:rPr>
                <w:rFonts w:ascii="Times New Roman" w:hAnsi="Times New Roman" w:cs="Times New Roman"/>
                <w:lang w:bidi="en-US"/>
              </w:rPr>
            </w:pPr>
          </w:p>
        </w:tc>
      </w:tr>
      <w:tr w:rsidR="00566DCF" w:rsidRPr="00CE5F39" w14:paraId="33DA0B24" w14:textId="77777777" w:rsidTr="003A4D6A">
        <w:tc>
          <w:tcPr>
            <w:tcW w:w="1271" w:type="dxa"/>
          </w:tcPr>
          <w:p w14:paraId="191A1298"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Title</w:t>
            </w:r>
          </w:p>
        </w:tc>
        <w:tc>
          <w:tcPr>
            <w:tcW w:w="3402" w:type="dxa"/>
            <w:tcBorders>
              <w:right w:val="single" w:sz="2" w:space="0" w:color="auto"/>
            </w:tcBorders>
          </w:tcPr>
          <w:p w14:paraId="184809A4" w14:textId="77777777" w:rsidR="00ED18F3" w:rsidRPr="00CE5F39"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1EA6A9CE" w14:textId="77777777" w:rsidR="00ED18F3" w:rsidRPr="00CE5F39"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dotted" w:sz="2" w:space="0" w:color="auto"/>
            </w:tcBorders>
          </w:tcPr>
          <w:p w14:paraId="7ACCF36A"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Title</w:t>
            </w:r>
          </w:p>
        </w:tc>
        <w:tc>
          <w:tcPr>
            <w:tcW w:w="3389" w:type="dxa"/>
            <w:tcBorders>
              <w:top w:val="dotted" w:sz="2" w:space="0" w:color="auto"/>
              <w:bottom w:val="dotted" w:sz="2" w:space="0" w:color="auto"/>
            </w:tcBorders>
          </w:tcPr>
          <w:p w14:paraId="23A31076" w14:textId="77777777" w:rsidR="00ED18F3" w:rsidRPr="00CE5F39" w:rsidRDefault="00ED18F3" w:rsidP="00D01979">
            <w:pPr>
              <w:spacing w:line="276" w:lineRule="auto"/>
              <w:rPr>
                <w:rFonts w:ascii="Times New Roman" w:hAnsi="Times New Roman" w:cs="Times New Roman"/>
                <w:lang w:bidi="en-US"/>
              </w:rPr>
            </w:pPr>
          </w:p>
        </w:tc>
      </w:tr>
      <w:tr w:rsidR="00566DCF" w:rsidRPr="00CE5F39" w14:paraId="343A5C9D" w14:textId="77777777" w:rsidTr="003A4D6A">
        <w:tc>
          <w:tcPr>
            <w:tcW w:w="1271" w:type="dxa"/>
          </w:tcPr>
          <w:p w14:paraId="48D4459E"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 xml:space="preserve">Signature </w:t>
            </w:r>
          </w:p>
        </w:tc>
        <w:tc>
          <w:tcPr>
            <w:tcW w:w="3402" w:type="dxa"/>
            <w:tcBorders>
              <w:right w:val="single" w:sz="2" w:space="0" w:color="auto"/>
            </w:tcBorders>
          </w:tcPr>
          <w:p w14:paraId="127FA7D3" w14:textId="77777777" w:rsidR="00ED18F3" w:rsidRPr="00CE5F39"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465612EF" w14:textId="77777777" w:rsidR="00ED18F3" w:rsidRPr="00CE5F39"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single" w:sz="2" w:space="0" w:color="auto"/>
            </w:tcBorders>
          </w:tcPr>
          <w:p w14:paraId="6F212706" w14:textId="77777777" w:rsidR="00ED18F3" w:rsidRPr="00CE5F39" w:rsidRDefault="00ED18F3" w:rsidP="00D01979">
            <w:pPr>
              <w:spacing w:line="276" w:lineRule="auto"/>
              <w:rPr>
                <w:rFonts w:ascii="Times New Roman" w:hAnsi="Times New Roman" w:cs="Times New Roman"/>
                <w:lang w:bidi="en-US"/>
              </w:rPr>
            </w:pPr>
            <w:r w:rsidRPr="00CE5F39">
              <w:rPr>
                <w:rFonts w:ascii="Times New Roman" w:hAnsi="Times New Roman" w:cs="Times New Roman"/>
                <w:lang w:bidi="en-US"/>
              </w:rPr>
              <w:t xml:space="preserve">Signature </w:t>
            </w:r>
          </w:p>
        </w:tc>
        <w:tc>
          <w:tcPr>
            <w:tcW w:w="3389" w:type="dxa"/>
            <w:tcBorders>
              <w:top w:val="dotted" w:sz="2" w:space="0" w:color="auto"/>
              <w:bottom w:val="single" w:sz="2" w:space="0" w:color="auto"/>
            </w:tcBorders>
          </w:tcPr>
          <w:p w14:paraId="65E306F7" w14:textId="77777777" w:rsidR="00ED18F3" w:rsidRPr="00CE5F39" w:rsidRDefault="00ED18F3" w:rsidP="00D01979">
            <w:pPr>
              <w:spacing w:line="276" w:lineRule="auto"/>
              <w:rPr>
                <w:rFonts w:ascii="Times New Roman" w:hAnsi="Times New Roman" w:cs="Times New Roman"/>
                <w:lang w:bidi="en-US"/>
              </w:rPr>
            </w:pPr>
          </w:p>
        </w:tc>
      </w:tr>
    </w:tbl>
    <w:p w14:paraId="7AD50E04" w14:textId="77777777" w:rsidR="00ED18F3" w:rsidRPr="00CE5F39" w:rsidRDefault="00ED18F3" w:rsidP="00D01979">
      <w:pPr>
        <w:spacing w:after="120" w:line="276" w:lineRule="auto"/>
        <w:jc w:val="both"/>
        <w:rPr>
          <w:rFonts w:ascii="Times New Roman" w:hAnsi="Times New Roman" w:cs="Times New Roman"/>
        </w:rPr>
      </w:pPr>
    </w:p>
    <w:p w14:paraId="5A879654" w14:textId="77777777" w:rsidR="00ED18F3" w:rsidRPr="00CE5F39" w:rsidRDefault="00ED18F3" w:rsidP="00D01979">
      <w:pPr>
        <w:spacing w:line="276" w:lineRule="auto"/>
        <w:rPr>
          <w:rFonts w:ascii="Times New Roman" w:hAnsi="Times New Roman" w:cs="Times New Roman"/>
        </w:rPr>
      </w:pPr>
    </w:p>
    <w:p w14:paraId="5B7A8C52" w14:textId="787369F8" w:rsidR="00ED18F3" w:rsidRPr="00CE5F39" w:rsidRDefault="00ED18F3" w:rsidP="00D01979">
      <w:pPr>
        <w:spacing w:line="276" w:lineRule="auto"/>
        <w:rPr>
          <w:rFonts w:ascii="Times New Roman" w:hAnsi="Times New Roman" w:cs="Times New Roman"/>
        </w:rPr>
      </w:pPr>
    </w:p>
    <w:p w14:paraId="2F0D7D2D" w14:textId="77777777" w:rsidR="00ED18F3" w:rsidRPr="00CE5F39" w:rsidRDefault="00ED18F3" w:rsidP="00D01979">
      <w:pPr>
        <w:spacing w:line="276" w:lineRule="auto"/>
        <w:rPr>
          <w:rFonts w:ascii="Times New Roman" w:hAnsi="Times New Roman" w:cs="Times New Roman"/>
        </w:rPr>
      </w:pPr>
      <w:r w:rsidRPr="00CE5F39">
        <w:rPr>
          <w:rFonts w:ascii="Times New Roman" w:hAnsi="Times New Roman" w:cs="Times New Roman"/>
        </w:rPr>
        <w:br w:type="page"/>
      </w:r>
    </w:p>
    <w:p w14:paraId="53DF02EE" w14:textId="0EA0DE67" w:rsidR="0070307D" w:rsidRPr="00FB0570" w:rsidRDefault="00ED18F3" w:rsidP="00D01979">
      <w:pPr>
        <w:pStyle w:val="Heading1"/>
        <w:tabs>
          <w:tab w:val="left" w:pos="284"/>
        </w:tabs>
        <w:spacing w:before="0" w:after="120" w:line="276" w:lineRule="auto"/>
        <w:jc w:val="both"/>
        <w:rPr>
          <w:rFonts w:ascii="Times New Roman" w:hAnsi="Times New Roman" w:cs="Times New Roman"/>
          <w:color w:val="auto"/>
          <w:sz w:val="28"/>
          <w:szCs w:val="30"/>
        </w:rPr>
      </w:pPr>
      <w:bookmarkStart w:id="714" w:name="_Toc93342337"/>
      <w:r w:rsidRPr="00FB0570">
        <w:rPr>
          <w:rFonts w:ascii="Times New Roman" w:hAnsi="Times New Roman" w:cs="Times New Roman"/>
          <w:smallCaps w:val="0"/>
          <w:color w:val="auto"/>
          <w:sz w:val="28"/>
          <w:szCs w:val="30"/>
        </w:rPr>
        <w:t xml:space="preserve">Annex </w:t>
      </w:r>
      <w:r w:rsidR="00E2669C">
        <w:rPr>
          <w:rFonts w:ascii="Times New Roman" w:hAnsi="Times New Roman" w:cs="Times New Roman"/>
          <w:smallCaps w:val="0"/>
          <w:color w:val="auto"/>
          <w:sz w:val="28"/>
          <w:szCs w:val="30"/>
        </w:rPr>
        <w:t>8</w:t>
      </w:r>
      <w:r w:rsidRPr="00FB0570">
        <w:rPr>
          <w:rFonts w:ascii="Times New Roman" w:hAnsi="Times New Roman" w:cs="Times New Roman"/>
          <w:smallCaps w:val="0"/>
          <w:color w:val="auto"/>
          <w:sz w:val="28"/>
          <w:szCs w:val="30"/>
        </w:rPr>
        <w:t>: Template of the Social Screening Questionnaire</w:t>
      </w:r>
      <w:bookmarkEnd w:id="714"/>
    </w:p>
    <w:p w14:paraId="380EB0C0" w14:textId="77777777" w:rsidR="00ED18F3" w:rsidRPr="00FB0570" w:rsidRDefault="00ED18F3" w:rsidP="00D01979">
      <w:pPr>
        <w:spacing w:after="0" w:line="276" w:lineRule="auto"/>
        <w:rPr>
          <w:rFonts w:ascii="Times New Roman" w:hAnsi="Times New Roman" w:cs="Times New Roman"/>
          <w:sz w:val="10"/>
        </w:rPr>
      </w:pPr>
    </w:p>
    <w:tbl>
      <w:tblPr>
        <w:tblW w:w="9672" w:type="dxa"/>
        <w:tblInd w:w="-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CellMar>
          <w:top w:w="28" w:type="dxa"/>
          <w:left w:w="28" w:type="dxa"/>
          <w:bottom w:w="28" w:type="dxa"/>
          <w:right w:w="28" w:type="dxa"/>
        </w:tblCellMar>
        <w:tblLook w:val="01E0" w:firstRow="1" w:lastRow="1" w:firstColumn="1" w:lastColumn="1" w:noHBand="0" w:noVBand="0"/>
      </w:tblPr>
      <w:tblGrid>
        <w:gridCol w:w="7"/>
        <w:gridCol w:w="4789"/>
        <w:gridCol w:w="2996"/>
        <w:gridCol w:w="883"/>
        <w:gridCol w:w="997"/>
      </w:tblGrid>
      <w:tr w:rsidR="007B543E" w:rsidRPr="00FB0570" w14:paraId="247A093D" w14:textId="77777777" w:rsidTr="00665F55">
        <w:trPr>
          <w:gridBefore w:val="1"/>
          <w:wBefore w:w="7" w:type="dxa"/>
          <w:trHeight w:val="397"/>
        </w:trPr>
        <w:tc>
          <w:tcPr>
            <w:tcW w:w="9665" w:type="dxa"/>
            <w:gridSpan w:val="4"/>
            <w:tcBorders>
              <w:top w:val="single" w:sz="2" w:space="0" w:color="auto"/>
              <w:left w:val="single" w:sz="2" w:space="0" w:color="auto"/>
              <w:bottom w:val="single" w:sz="2" w:space="0" w:color="auto"/>
              <w:right w:val="single" w:sz="2" w:space="0" w:color="auto"/>
            </w:tcBorders>
            <w:shd w:val="clear" w:color="auto" w:fill="92CDDC" w:themeFill="accent5" w:themeFillTint="99"/>
            <w:vAlign w:val="center"/>
          </w:tcPr>
          <w:p w14:paraId="2C2F0FB3" w14:textId="77777777" w:rsidR="00ED18F3" w:rsidRPr="00FB0570" w:rsidRDefault="00ED18F3"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SOCIAL SCREENING FORM AND TRIGGERS FOR SUBCOMPONENTS</w:t>
            </w:r>
          </w:p>
        </w:tc>
      </w:tr>
      <w:tr w:rsidR="00907DF4" w:rsidRPr="00FB0570" w14:paraId="524003E0"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4789" w:type="dxa"/>
            <w:shd w:val="clear" w:color="auto" w:fill="DAEEF3" w:themeFill="accent5" w:themeFillTint="33"/>
            <w:vAlign w:val="center"/>
          </w:tcPr>
          <w:p w14:paraId="42D362AB" w14:textId="77777777"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Local Self Government/Municipality/City/District</w:t>
            </w:r>
          </w:p>
        </w:tc>
        <w:tc>
          <w:tcPr>
            <w:tcW w:w="4876" w:type="dxa"/>
            <w:gridSpan w:val="3"/>
            <w:shd w:val="clear" w:color="auto" w:fill="DAEEF3" w:themeFill="accent5" w:themeFillTint="33"/>
            <w:vAlign w:val="center"/>
          </w:tcPr>
          <w:p w14:paraId="427D0BF1" w14:textId="77777777" w:rsidR="00907DF4" w:rsidRPr="00FB0570" w:rsidRDefault="00907DF4" w:rsidP="00D01979">
            <w:pPr>
              <w:spacing w:after="0" w:line="276" w:lineRule="auto"/>
              <w:rPr>
                <w:rFonts w:ascii="Times New Roman" w:hAnsi="Times New Roman" w:cs="Times New Roman"/>
                <w:lang w:bidi="en-US"/>
              </w:rPr>
            </w:pPr>
          </w:p>
        </w:tc>
      </w:tr>
      <w:tr w:rsidR="00907DF4" w:rsidRPr="00FB0570" w14:paraId="7FFF901F"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4789" w:type="dxa"/>
            <w:shd w:val="clear" w:color="auto" w:fill="DAEEF3" w:themeFill="accent5" w:themeFillTint="33"/>
            <w:vAlign w:val="center"/>
          </w:tcPr>
          <w:p w14:paraId="7CE194B8" w14:textId="6A2FA18C"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 xml:space="preserve">Name of the Project / </w:t>
            </w:r>
            <w:r w:rsidR="00420737" w:rsidRPr="00FB0570">
              <w:rPr>
                <w:rFonts w:ascii="Times New Roman" w:hAnsi="Times New Roman" w:cs="Times New Roman"/>
                <w:lang w:bidi="en-US"/>
              </w:rPr>
              <w:t>infrastructure investment</w:t>
            </w:r>
            <w:r w:rsidRPr="00FB0570">
              <w:rPr>
                <w:rFonts w:ascii="Times New Roman" w:hAnsi="Times New Roman" w:cs="Times New Roman"/>
                <w:lang w:bidi="en-US"/>
              </w:rPr>
              <w:t>:</w:t>
            </w:r>
          </w:p>
        </w:tc>
        <w:tc>
          <w:tcPr>
            <w:tcW w:w="4876" w:type="dxa"/>
            <w:gridSpan w:val="3"/>
            <w:shd w:val="clear" w:color="auto" w:fill="DAEEF3" w:themeFill="accent5" w:themeFillTint="33"/>
            <w:vAlign w:val="center"/>
          </w:tcPr>
          <w:p w14:paraId="751349B5" w14:textId="77777777" w:rsidR="00907DF4" w:rsidRPr="00FB0570" w:rsidRDefault="00907DF4" w:rsidP="00D01979">
            <w:pPr>
              <w:spacing w:after="0" w:line="276" w:lineRule="auto"/>
              <w:rPr>
                <w:rFonts w:ascii="Times New Roman" w:hAnsi="Times New Roman" w:cs="Times New Roman"/>
                <w:lang w:bidi="en-US"/>
              </w:rPr>
            </w:pPr>
          </w:p>
        </w:tc>
      </w:tr>
      <w:tr w:rsidR="00907DF4" w:rsidRPr="00FB0570" w14:paraId="5A640DC7"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4789" w:type="dxa"/>
            <w:shd w:val="clear" w:color="auto" w:fill="DAEEF3" w:themeFill="accent5" w:themeFillTint="33"/>
            <w:vAlign w:val="center"/>
          </w:tcPr>
          <w:p w14:paraId="0A4900B5" w14:textId="77777777"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Basic information on proposed project and activities (please describe main features)</w:t>
            </w:r>
          </w:p>
        </w:tc>
        <w:tc>
          <w:tcPr>
            <w:tcW w:w="4876" w:type="dxa"/>
            <w:gridSpan w:val="3"/>
            <w:shd w:val="clear" w:color="auto" w:fill="DAEEF3" w:themeFill="accent5" w:themeFillTint="33"/>
            <w:vAlign w:val="center"/>
          </w:tcPr>
          <w:p w14:paraId="2DACD494" w14:textId="77777777" w:rsidR="00907DF4" w:rsidRPr="00FB0570" w:rsidRDefault="00907DF4" w:rsidP="00D01979">
            <w:pPr>
              <w:spacing w:after="0" w:line="276" w:lineRule="auto"/>
              <w:rPr>
                <w:rFonts w:ascii="Times New Roman" w:hAnsi="Times New Roman" w:cs="Times New Roman"/>
                <w:lang w:bidi="en-US"/>
              </w:rPr>
            </w:pPr>
          </w:p>
        </w:tc>
      </w:tr>
      <w:tr w:rsidR="00907DF4" w:rsidRPr="00FB0570" w14:paraId="7798A381"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4789" w:type="dxa"/>
            <w:shd w:val="clear" w:color="auto" w:fill="DAEEF3" w:themeFill="accent5" w:themeFillTint="33"/>
            <w:vAlign w:val="center"/>
          </w:tcPr>
          <w:p w14:paraId="4B71673B" w14:textId="77777777"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Project IF ID:</w:t>
            </w:r>
          </w:p>
        </w:tc>
        <w:tc>
          <w:tcPr>
            <w:tcW w:w="4876" w:type="dxa"/>
            <w:gridSpan w:val="3"/>
            <w:shd w:val="clear" w:color="auto" w:fill="DAEEF3" w:themeFill="accent5" w:themeFillTint="33"/>
            <w:vAlign w:val="center"/>
          </w:tcPr>
          <w:p w14:paraId="58921767" w14:textId="77777777" w:rsidR="00907DF4" w:rsidRPr="00FB0570" w:rsidRDefault="00907DF4" w:rsidP="00D01979">
            <w:pPr>
              <w:spacing w:after="0" w:line="276" w:lineRule="auto"/>
              <w:rPr>
                <w:rFonts w:ascii="Times New Roman" w:hAnsi="Times New Roman" w:cs="Times New Roman"/>
                <w:lang w:bidi="en-US"/>
              </w:rPr>
            </w:pPr>
          </w:p>
        </w:tc>
      </w:tr>
      <w:tr w:rsidR="00907DF4" w:rsidRPr="00FB0570" w14:paraId="45E6DEDD"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4789" w:type="dxa"/>
            <w:shd w:val="clear" w:color="auto" w:fill="DAEEF3" w:themeFill="accent5" w:themeFillTint="33"/>
            <w:vAlign w:val="center"/>
          </w:tcPr>
          <w:p w14:paraId="35C58AF1" w14:textId="46F22A30"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 xml:space="preserve">Location of the </w:t>
            </w:r>
            <w:r w:rsidR="00420737" w:rsidRPr="00FB0570">
              <w:rPr>
                <w:rFonts w:ascii="Times New Roman" w:hAnsi="Times New Roman" w:cs="Times New Roman"/>
                <w:lang w:bidi="en-US"/>
              </w:rPr>
              <w:t>infrastructure investment</w:t>
            </w:r>
            <w:r w:rsidRPr="00FB0570">
              <w:rPr>
                <w:rFonts w:ascii="Times New Roman" w:hAnsi="Times New Roman" w:cs="Times New Roman"/>
                <w:lang w:bidi="en-US"/>
              </w:rPr>
              <w:t>/activity:</w:t>
            </w:r>
          </w:p>
        </w:tc>
        <w:tc>
          <w:tcPr>
            <w:tcW w:w="4876" w:type="dxa"/>
            <w:gridSpan w:val="3"/>
            <w:shd w:val="clear" w:color="auto" w:fill="DAEEF3" w:themeFill="accent5" w:themeFillTint="33"/>
            <w:vAlign w:val="center"/>
          </w:tcPr>
          <w:p w14:paraId="76701BC9" w14:textId="77777777" w:rsidR="00907DF4" w:rsidRPr="00FB0570" w:rsidRDefault="00907DF4" w:rsidP="00D01979">
            <w:pPr>
              <w:spacing w:after="0" w:line="276" w:lineRule="auto"/>
              <w:rPr>
                <w:rFonts w:ascii="Times New Roman" w:hAnsi="Times New Roman" w:cs="Times New Roman"/>
                <w:lang w:bidi="en-US"/>
              </w:rPr>
            </w:pPr>
          </w:p>
        </w:tc>
      </w:tr>
      <w:tr w:rsidR="00907DF4" w:rsidRPr="00FB0570" w14:paraId="5B3804ED"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4789" w:type="dxa"/>
            <w:shd w:val="clear" w:color="auto" w:fill="DAEEF3" w:themeFill="accent5" w:themeFillTint="33"/>
            <w:vAlign w:val="center"/>
          </w:tcPr>
          <w:p w14:paraId="45008D0A" w14:textId="77777777"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Contact email address of responsible person at the location for providing relevant information:</w:t>
            </w:r>
          </w:p>
        </w:tc>
        <w:tc>
          <w:tcPr>
            <w:tcW w:w="4876" w:type="dxa"/>
            <w:gridSpan w:val="3"/>
            <w:shd w:val="clear" w:color="auto" w:fill="DAEEF3" w:themeFill="accent5" w:themeFillTint="33"/>
            <w:vAlign w:val="center"/>
          </w:tcPr>
          <w:p w14:paraId="412FA0C9" w14:textId="77777777" w:rsidR="00907DF4" w:rsidRPr="00FB0570" w:rsidRDefault="00907DF4" w:rsidP="00D01979">
            <w:pPr>
              <w:spacing w:after="0" w:line="276" w:lineRule="auto"/>
              <w:rPr>
                <w:rFonts w:ascii="Times New Roman" w:hAnsi="Times New Roman" w:cs="Times New Roman"/>
                <w:lang w:bidi="en-US"/>
              </w:rPr>
            </w:pPr>
          </w:p>
        </w:tc>
      </w:tr>
      <w:tr w:rsidR="00907DF4" w:rsidRPr="00FB0570" w14:paraId="71815627" w14:textId="77777777" w:rsidTr="00665F55">
        <w:tblPrEx>
          <w:tblBorders>
            <w:top w:val="single" w:sz="2" w:space="0" w:color="auto"/>
            <w:left w:val="single" w:sz="2" w:space="0" w:color="auto"/>
            <w:bottom w:val="single" w:sz="2" w:space="0" w:color="auto"/>
            <w:right w:val="single" w:sz="2" w:space="0" w:color="auto"/>
            <w:insideH w:val="dotted" w:sz="2" w:space="0" w:color="000000"/>
            <w:insideV w:val="dotted" w:sz="2" w:space="0" w:color="000000"/>
          </w:tblBorders>
        </w:tblPrEx>
        <w:trPr>
          <w:gridBefore w:val="1"/>
          <w:wBefore w:w="7" w:type="dxa"/>
          <w:trHeight w:val="397"/>
        </w:trPr>
        <w:tc>
          <w:tcPr>
            <w:tcW w:w="7785" w:type="dxa"/>
            <w:gridSpan w:val="2"/>
            <w:shd w:val="clear" w:color="auto" w:fill="DAEEF3" w:themeFill="accent5" w:themeFillTint="33"/>
            <w:vAlign w:val="center"/>
          </w:tcPr>
          <w:p w14:paraId="0F21E3FF" w14:textId="77777777" w:rsidR="00907DF4" w:rsidRPr="00FB0570" w:rsidRDefault="00907DF4" w:rsidP="00D01979">
            <w:pPr>
              <w:spacing w:after="0" w:line="276" w:lineRule="auto"/>
              <w:rPr>
                <w:rFonts w:ascii="Times New Roman" w:hAnsi="Times New Roman" w:cs="Times New Roman"/>
                <w:lang w:bidi="en-US"/>
              </w:rPr>
            </w:pPr>
            <w:r w:rsidRPr="00FB0570">
              <w:rPr>
                <w:rFonts w:ascii="Times New Roman" w:hAnsi="Times New Roman" w:cs="Times New Roman"/>
                <w:lang w:bidi="en-US"/>
              </w:rPr>
              <w:t>PROJECT ELIGIBILITY CRITERIA</w:t>
            </w:r>
          </w:p>
        </w:tc>
        <w:tc>
          <w:tcPr>
            <w:tcW w:w="883" w:type="dxa"/>
            <w:shd w:val="clear" w:color="auto" w:fill="DAEEF3" w:themeFill="accent5" w:themeFillTint="33"/>
            <w:vAlign w:val="center"/>
          </w:tcPr>
          <w:p w14:paraId="223476B2" w14:textId="77777777" w:rsidR="00907DF4" w:rsidRPr="00FB0570" w:rsidRDefault="00907DF4" w:rsidP="00D01979">
            <w:pPr>
              <w:spacing w:after="0" w:line="276" w:lineRule="auto"/>
              <w:jc w:val="center"/>
              <w:rPr>
                <w:rFonts w:ascii="Times New Roman" w:hAnsi="Times New Roman" w:cs="Times New Roman"/>
                <w:lang w:bidi="en-US"/>
              </w:rPr>
            </w:pPr>
            <w:r w:rsidRPr="00FB0570">
              <w:rPr>
                <w:rFonts w:ascii="Times New Roman" w:hAnsi="Times New Roman" w:cs="Times New Roman"/>
                <w:lang w:bidi="en-US"/>
              </w:rPr>
              <w:t>YES</w:t>
            </w:r>
          </w:p>
        </w:tc>
        <w:tc>
          <w:tcPr>
            <w:tcW w:w="997" w:type="dxa"/>
            <w:shd w:val="clear" w:color="auto" w:fill="DAEEF3" w:themeFill="accent5" w:themeFillTint="33"/>
            <w:vAlign w:val="center"/>
          </w:tcPr>
          <w:p w14:paraId="51BA41F6" w14:textId="77777777" w:rsidR="00907DF4" w:rsidRPr="00FB0570" w:rsidRDefault="00907DF4" w:rsidP="00D01979">
            <w:pPr>
              <w:spacing w:after="0" w:line="276" w:lineRule="auto"/>
              <w:jc w:val="center"/>
              <w:rPr>
                <w:rFonts w:ascii="Times New Roman" w:hAnsi="Times New Roman" w:cs="Times New Roman"/>
                <w:lang w:bidi="en-US"/>
              </w:rPr>
            </w:pPr>
            <w:r w:rsidRPr="00FB0570">
              <w:rPr>
                <w:rFonts w:ascii="Times New Roman" w:hAnsi="Times New Roman" w:cs="Times New Roman"/>
                <w:lang w:bidi="en-US"/>
              </w:rPr>
              <w:t>NO</w:t>
            </w:r>
          </w:p>
        </w:tc>
      </w:tr>
      <w:tr w:rsidR="008A1DA2" w:rsidRPr="00155420" w14:paraId="58551B38" w14:textId="77777777" w:rsidTr="00665F55">
        <w:tblPrEx>
          <w:tblCellMar>
            <w:top w:w="0" w:type="dxa"/>
            <w:left w:w="0" w:type="dxa"/>
            <w:bottom w:w="0" w:type="dxa"/>
            <w:right w:w="0" w:type="dxa"/>
          </w:tblCellMar>
        </w:tblPrEx>
        <w:trPr>
          <w:trHeight w:val="553"/>
        </w:trPr>
        <w:tc>
          <w:tcPr>
            <w:tcW w:w="9639" w:type="dxa"/>
            <w:gridSpan w:val="5"/>
            <w:tcBorders>
              <w:top w:val="dotted" w:sz="6" w:space="0" w:color="000000"/>
              <w:bottom w:val="dotted" w:sz="6" w:space="0" w:color="000000"/>
            </w:tcBorders>
            <w:vAlign w:val="center"/>
          </w:tcPr>
          <w:p w14:paraId="7D664AEB" w14:textId="77777777" w:rsidR="008A1DA2" w:rsidRPr="00155420" w:rsidRDefault="008A1DA2" w:rsidP="004378E4">
            <w:pPr>
              <w:spacing w:before="120" w:after="120"/>
              <w:rPr>
                <w:lang w:bidi="en-US"/>
              </w:rPr>
            </w:pPr>
            <w:r w:rsidRPr="00155420">
              <w:rPr>
                <w:lang w:bidi="en-US"/>
              </w:rPr>
              <w:t>Screening indicators related to Land acquisition, assets and access to resources</w:t>
            </w:r>
          </w:p>
        </w:tc>
      </w:tr>
      <w:tr w:rsidR="007D0097" w:rsidRPr="00155420" w14:paraId="5417271B" w14:textId="77777777" w:rsidTr="008A1DA2">
        <w:tblPrEx>
          <w:tblCellMar>
            <w:top w:w="0" w:type="dxa"/>
            <w:left w:w="0" w:type="dxa"/>
            <w:bottom w:w="0" w:type="dxa"/>
            <w:right w:w="0" w:type="dxa"/>
          </w:tblCellMar>
        </w:tblPrEx>
        <w:trPr>
          <w:trHeight w:val="475"/>
        </w:trPr>
        <w:tc>
          <w:tcPr>
            <w:tcW w:w="7784" w:type="dxa"/>
            <w:gridSpan w:val="3"/>
            <w:tcBorders>
              <w:top w:val="dotted" w:sz="6" w:space="0" w:color="000000"/>
              <w:bottom w:val="dotted" w:sz="6" w:space="0" w:color="000000"/>
            </w:tcBorders>
            <w:shd w:val="clear" w:color="auto" w:fill="FFFFFF" w:themeFill="background1"/>
          </w:tcPr>
          <w:p w14:paraId="54022B4E"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vAlign w:val="center"/>
          </w:tcPr>
          <w:p w14:paraId="724421C1" w14:textId="77777777" w:rsidR="008A1DA2" w:rsidRPr="00155420" w:rsidRDefault="008A1DA2" w:rsidP="004378E4">
            <w:pPr>
              <w:spacing w:before="120" w:after="120"/>
              <w:rPr>
                <w:lang w:bidi="en-US"/>
              </w:rPr>
            </w:pPr>
            <w:r w:rsidRPr="00155420">
              <w:rPr>
                <w:lang w:bidi="en-US"/>
              </w:rPr>
              <w:t>YES</w:t>
            </w:r>
          </w:p>
        </w:tc>
        <w:tc>
          <w:tcPr>
            <w:tcW w:w="987" w:type="dxa"/>
            <w:tcBorders>
              <w:top w:val="dotted" w:sz="6" w:space="0" w:color="000000"/>
              <w:bottom w:val="dotted" w:sz="6" w:space="0" w:color="000000"/>
            </w:tcBorders>
            <w:vAlign w:val="center"/>
          </w:tcPr>
          <w:p w14:paraId="3ACFE1D3" w14:textId="77777777" w:rsidR="008A1DA2" w:rsidRPr="00155420" w:rsidRDefault="008A1DA2" w:rsidP="004378E4">
            <w:pPr>
              <w:spacing w:before="120" w:after="120"/>
              <w:rPr>
                <w:lang w:bidi="en-US"/>
              </w:rPr>
            </w:pPr>
            <w:r w:rsidRPr="00155420">
              <w:rPr>
                <w:lang w:bidi="en-US"/>
              </w:rPr>
              <w:t>NO</w:t>
            </w:r>
          </w:p>
        </w:tc>
      </w:tr>
      <w:tr w:rsidR="007D0097" w:rsidRPr="00155420" w14:paraId="7AE75F7B" w14:textId="77777777" w:rsidTr="008A1DA2">
        <w:tblPrEx>
          <w:tblCellMar>
            <w:top w:w="0" w:type="dxa"/>
            <w:left w:w="0" w:type="dxa"/>
            <w:bottom w:w="0" w:type="dxa"/>
            <w:right w:w="0" w:type="dxa"/>
          </w:tblCellMar>
        </w:tblPrEx>
        <w:trPr>
          <w:trHeight w:val="414"/>
        </w:trPr>
        <w:tc>
          <w:tcPr>
            <w:tcW w:w="7784" w:type="dxa"/>
            <w:gridSpan w:val="3"/>
            <w:vMerge w:val="restart"/>
            <w:tcBorders>
              <w:top w:val="dotted" w:sz="6" w:space="0" w:color="000000"/>
            </w:tcBorders>
            <w:shd w:val="clear" w:color="auto" w:fill="auto"/>
            <w:vAlign w:val="center"/>
          </w:tcPr>
          <w:p w14:paraId="17440D47" w14:textId="0E86D8A7" w:rsidR="008A1DA2" w:rsidRPr="00155420" w:rsidRDefault="008A1DA2" w:rsidP="004378E4">
            <w:pPr>
              <w:spacing w:before="120" w:after="120"/>
              <w:rPr>
                <w:lang w:bidi="en-US"/>
              </w:rPr>
            </w:pPr>
            <w:r w:rsidRPr="00155420">
              <w:rPr>
                <w:lang w:bidi="en-US"/>
              </w:rPr>
              <w:t>What is the scale of the geographical area or population adversely affected by the Project?</w:t>
            </w:r>
          </w:p>
          <w:p w14:paraId="28BE27CC" w14:textId="77777777" w:rsidR="008A1DA2" w:rsidRPr="00155420" w:rsidRDefault="008A1DA2" w:rsidP="004378E4">
            <w:pPr>
              <w:spacing w:before="120" w:after="120"/>
              <w:rPr>
                <w:lang w:bidi="en-US"/>
              </w:rPr>
            </w:pPr>
            <w:r w:rsidRPr="00155420">
              <w:rPr>
                <w:lang w:bidi="en-US"/>
              </w:rPr>
              <w:t>H: Large to very large?</w:t>
            </w:r>
          </w:p>
          <w:p w14:paraId="22099022" w14:textId="77777777" w:rsidR="008A1DA2" w:rsidRPr="00155420" w:rsidRDefault="008A1DA2" w:rsidP="004378E4">
            <w:pPr>
              <w:spacing w:before="120" w:after="120"/>
              <w:rPr>
                <w:lang w:bidi="en-US"/>
              </w:rPr>
            </w:pPr>
            <w:r w:rsidRPr="00155420">
              <w:rPr>
                <w:lang w:bidi="en-US"/>
              </w:rPr>
              <w:t>S: Medium to large?</w:t>
            </w:r>
          </w:p>
          <w:p w14:paraId="63EB25B7" w14:textId="77777777" w:rsidR="008A1DA2" w:rsidRPr="00155420" w:rsidRDefault="008A1DA2" w:rsidP="004378E4">
            <w:pPr>
              <w:spacing w:before="120" w:after="120"/>
              <w:rPr>
                <w:lang w:bidi="en-US"/>
              </w:rPr>
            </w:pPr>
            <w:r w:rsidRPr="00155420">
              <w:rPr>
                <w:lang w:bidi="en-US"/>
              </w:rPr>
              <w:t>M: Low? Located away from environmentally or socially sensitive areas?</w:t>
            </w:r>
          </w:p>
          <w:p w14:paraId="4F12D49E" w14:textId="77777777" w:rsidR="008A1DA2" w:rsidRPr="00155420" w:rsidRDefault="008A1DA2" w:rsidP="004378E4">
            <w:pPr>
              <w:spacing w:before="120" w:after="120"/>
              <w:rPr>
                <w:lang w:bidi="en-US"/>
              </w:rPr>
            </w:pPr>
            <w:r w:rsidRPr="00155420">
              <w:rPr>
                <w:lang w:bidi="en-US"/>
              </w:rPr>
              <w:t>L: Minimal or negligible?</w:t>
            </w:r>
          </w:p>
        </w:tc>
        <w:tc>
          <w:tcPr>
            <w:tcW w:w="868" w:type="dxa"/>
            <w:tcBorders>
              <w:top w:val="dotted" w:sz="6" w:space="0" w:color="000000"/>
              <w:bottom w:val="dotted" w:sz="6" w:space="0" w:color="000000"/>
            </w:tcBorders>
          </w:tcPr>
          <w:p w14:paraId="207383E6" w14:textId="77777777" w:rsidR="008A1DA2" w:rsidRPr="00155420" w:rsidRDefault="008A1DA2" w:rsidP="004378E4">
            <w:pPr>
              <w:spacing w:before="120" w:after="120"/>
              <w:rPr>
                <w:lang w:bidi="en-US"/>
              </w:rPr>
            </w:pPr>
          </w:p>
        </w:tc>
        <w:tc>
          <w:tcPr>
            <w:tcW w:w="987" w:type="dxa"/>
            <w:tcBorders>
              <w:top w:val="dotted" w:sz="6" w:space="0" w:color="000000"/>
            </w:tcBorders>
          </w:tcPr>
          <w:p w14:paraId="0A97C182" w14:textId="77777777" w:rsidR="008A1DA2" w:rsidRPr="00155420" w:rsidRDefault="008A1DA2" w:rsidP="004378E4">
            <w:pPr>
              <w:spacing w:before="120" w:after="120"/>
              <w:rPr>
                <w:lang w:bidi="en-US"/>
              </w:rPr>
            </w:pPr>
          </w:p>
        </w:tc>
      </w:tr>
      <w:tr w:rsidR="007D0097" w:rsidRPr="00155420" w14:paraId="698975D8" w14:textId="77777777" w:rsidTr="008A1DA2">
        <w:tblPrEx>
          <w:tblCellMar>
            <w:top w:w="0" w:type="dxa"/>
            <w:left w:w="0" w:type="dxa"/>
            <w:bottom w:w="0" w:type="dxa"/>
            <w:right w:w="0" w:type="dxa"/>
          </w:tblCellMar>
        </w:tblPrEx>
        <w:trPr>
          <w:trHeight w:val="414"/>
        </w:trPr>
        <w:tc>
          <w:tcPr>
            <w:tcW w:w="7784" w:type="dxa"/>
            <w:gridSpan w:val="3"/>
            <w:vMerge/>
            <w:shd w:val="clear" w:color="auto" w:fill="auto"/>
            <w:vAlign w:val="center"/>
          </w:tcPr>
          <w:p w14:paraId="1946E7EC"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503C147C" w14:textId="77777777" w:rsidR="008A1DA2" w:rsidRPr="00155420" w:rsidRDefault="008A1DA2" w:rsidP="004378E4">
            <w:pPr>
              <w:spacing w:before="120" w:after="120"/>
              <w:rPr>
                <w:lang w:bidi="en-US"/>
              </w:rPr>
            </w:pPr>
          </w:p>
        </w:tc>
        <w:tc>
          <w:tcPr>
            <w:tcW w:w="987" w:type="dxa"/>
          </w:tcPr>
          <w:p w14:paraId="2BEACB64" w14:textId="77777777" w:rsidR="008A1DA2" w:rsidRPr="00155420" w:rsidRDefault="008A1DA2" w:rsidP="004378E4">
            <w:pPr>
              <w:spacing w:before="120" w:after="120"/>
              <w:rPr>
                <w:lang w:bidi="en-US"/>
              </w:rPr>
            </w:pPr>
          </w:p>
        </w:tc>
      </w:tr>
      <w:tr w:rsidR="007D0097" w:rsidRPr="00155420" w14:paraId="14EBBB91" w14:textId="77777777" w:rsidTr="008A1DA2">
        <w:tblPrEx>
          <w:tblCellMar>
            <w:top w:w="0" w:type="dxa"/>
            <w:left w:w="0" w:type="dxa"/>
            <w:bottom w:w="0" w:type="dxa"/>
            <w:right w:w="0" w:type="dxa"/>
          </w:tblCellMar>
        </w:tblPrEx>
        <w:trPr>
          <w:trHeight w:val="414"/>
        </w:trPr>
        <w:tc>
          <w:tcPr>
            <w:tcW w:w="7784" w:type="dxa"/>
            <w:gridSpan w:val="3"/>
            <w:vMerge/>
            <w:shd w:val="clear" w:color="auto" w:fill="auto"/>
            <w:vAlign w:val="center"/>
          </w:tcPr>
          <w:p w14:paraId="597ADA5A"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59178456" w14:textId="77777777" w:rsidR="008A1DA2" w:rsidRPr="00155420" w:rsidRDefault="008A1DA2" w:rsidP="004378E4">
            <w:pPr>
              <w:spacing w:before="120" w:after="120"/>
              <w:rPr>
                <w:lang w:bidi="en-US"/>
              </w:rPr>
            </w:pPr>
          </w:p>
        </w:tc>
        <w:tc>
          <w:tcPr>
            <w:tcW w:w="987" w:type="dxa"/>
          </w:tcPr>
          <w:p w14:paraId="763CC8AE" w14:textId="77777777" w:rsidR="008A1DA2" w:rsidRPr="00155420" w:rsidRDefault="008A1DA2" w:rsidP="004378E4">
            <w:pPr>
              <w:spacing w:before="120" w:after="120"/>
              <w:rPr>
                <w:lang w:bidi="en-US"/>
              </w:rPr>
            </w:pPr>
          </w:p>
        </w:tc>
      </w:tr>
      <w:tr w:rsidR="007D0097" w:rsidRPr="00155420" w14:paraId="2FFDF52E" w14:textId="77777777" w:rsidTr="008A1DA2">
        <w:tblPrEx>
          <w:tblCellMar>
            <w:top w:w="0" w:type="dxa"/>
            <w:left w:w="0" w:type="dxa"/>
            <w:bottom w:w="0" w:type="dxa"/>
            <w:right w:w="0" w:type="dxa"/>
          </w:tblCellMar>
        </w:tblPrEx>
        <w:trPr>
          <w:trHeight w:val="414"/>
        </w:trPr>
        <w:tc>
          <w:tcPr>
            <w:tcW w:w="7784" w:type="dxa"/>
            <w:gridSpan w:val="3"/>
            <w:vMerge/>
            <w:shd w:val="clear" w:color="auto" w:fill="auto"/>
            <w:vAlign w:val="center"/>
          </w:tcPr>
          <w:p w14:paraId="328762FF"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0EEDA8C1" w14:textId="77777777" w:rsidR="008A1DA2" w:rsidRPr="00155420" w:rsidRDefault="008A1DA2" w:rsidP="004378E4">
            <w:pPr>
              <w:spacing w:before="120" w:after="120"/>
              <w:rPr>
                <w:lang w:bidi="en-US"/>
              </w:rPr>
            </w:pPr>
          </w:p>
        </w:tc>
        <w:tc>
          <w:tcPr>
            <w:tcW w:w="987" w:type="dxa"/>
          </w:tcPr>
          <w:p w14:paraId="4E6FBEF7" w14:textId="77777777" w:rsidR="008A1DA2" w:rsidRPr="00155420" w:rsidRDefault="008A1DA2" w:rsidP="004378E4">
            <w:pPr>
              <w:spacing w:before="120" w:after="120"/>
              <w:rPr>
                <w:lang w:bidi="en-US"/>
              </w:rPr>
            </w:pPr>
          </w:p>
        </w:tc>
      </w:tr>
      <w:tr w:rsidR="007D0097" w:rsidRPr="00155420" w14:paraId="76108A9B" w14:textId="77777777" w:rsidTr="008A1DA2">
        <w:tblPrEx>
          <w:tblCellMar>
            <w:top w:w="0" w:type="dxa"/>
            <w:left w:w="0" w:type="dxa"/>
            <w:bottom w:w="0" w:type="dxa"/>
            <w:right w:w="0" w:type="dxa"/>
          </w:tblCellMar>
        </w:tblPrEx>
        <w:trPr>
          <w:trHeight w:val="414"/>
        </w:trPr>
        <w:tc>
          <w:tcPr>
            <w:tcW w:w="7784" w:type="dxa"/>
            <w:gridSpan w:val="3"/>
            <w:vMerge/>
            <w:tcBorders>
              <w:bottom w:val="dotted" w:sz="6" w:space="0" w:color="000000"/>
            </w:tcBorders>
            <w:shd w:val="clear" w:color="auto" w:fill="auto"/>
            <w:vAlign w:val="center"/>
          </w:tcPr>
          <w:p w14:paraId="3CB3AB52"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53C038D0" w14:textId="77777777" w:rsidR="008A1DA2" w:rsidRPr="00155420" w:rsidRDefault="008A1DA2" w:rsidP="004378E4">
            <w:pPr>
              <w:spacing w:before="120" w:after="120"/>
              <w:rPr>
                <w:lang w:bidi="en-US"/>
              </w:rPr>
            </w:pPr>
          </w:p>
        </w:tc>
        <w:tc>
          <w:tcPr>
            <w:tcW w:w="987" w:type="dxa"/>
            <w:tcBorders>
              <w:bottom w:val="dotted" w:sz="6" w:space="0" w:color="000000"/>
            </w:tcBorders>
          </w:tcPr>
          <w:p w14:paraId="10505D1B" w14:textId="77777777" w:rsidR="008A1DA2" w:rsidRPr="00155420" w:rsidRDefault="008A1DA2" w:rsidP="004378E4">
            <w:pPr>
              <w:spacing w:before="120" w:after="120"/>
              <w:rPr>
                <w:lang w:bidi="en-US"/>
              </w:rPr>
            </w:pPr>
          </w:p>
        </w:tc>
      </w:tr>
      <w:tr w:rsidR="007D0097" w:rsidRPr="00155420" w14:paraId="6C0C4F7E" w14:textId="77777777" w:rsidTr="008A1DA2">
        <w:tblPrEx>
          <w:tblCellMar>
            <w:top w:w="0" w:type="dxa"/>
            <w:left w:w="0" w:type="dxa"/>
            <w:bottom w:w="0" w:type="dxa"/>
            <w:right w:w="0" w:type="dxa"/>
          </w:tblCellMar>
        </w:tblPrEx>
        <w:trPr>
          <w:trHeight w:val="745"/>
        </w:trPr>
        <w:tc>
          <w:tcPr>
            <w:tcW w:w="7784" w:type="dxa"/>
            <w:gridSpan w:val="3"/>
            <w:tcBorders>
              <w:top w:val="dotted" w:sz="6" w:space="0" w:color="000000"/>
              <w:bottom w:val="dotted" w:sz="6" w:space="0" w:color="000000"/>
            </w:tcBorders>
            <w:shd w:val="clear" w:color="auto" w:fill="auto"/>
            <w:vAlign w:val="center"/>
          </w:tcPr>
          <w:p w14:paraId="73A2462E" w14:textId="77777777" w:rsidR="008A1DA2" w:rsidRPr="00155420" w:rsidRDefault="008A1DA2" w:rsidP="004378E4">
            <w:pPr>
              <w:spacing w:before="120" w:after="120"/>
              <w:rPr>
                <w:lang w:bidi="en-US"/>
              </w:rPr>
            </w:pPr>
            <w:r w:rsidRPr="00155420">
              <w:rPr>
                <w:lang w:bidi="en-US"/>
              </w:rPr>
              <w:t>Does the Project implementation require land (private) to be acquired (temporarily or permanently)?</w:t>
            </w:r>
            <w:r w:rsidRPr="00155420">
              <w:t xml:space="preserve"> </w:t>
            </w:r>
            <w:r w:rsidRPr="00155420">
              <w:rPr>
                <w:lang w:bidi="en-US"/>
              </w:rPr>
              <w:t>If yes specify area.</w:t>
            </w:r>
          </w:p>
        </w:tc>
        <w:tc>
          <w:tcPr>
            <w:tcW w:w="868" w:type="dxa"/>
            <w:tcBorders>
              <w:top w:val="dotted" w:sz="6" w:space="0" w:color="000000"/>
              <w:bottom w:val="dotted" w:sz="6" w:space="0" w:color="000000"/>
            </w:tcBorders>
          </w:tcPr>
          <w:p w14:paraId="336B45E0"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35648342" w14:textId="77777777" w:rsidR="008A1DA2" w:rsidRPr="00155420" w:rsidRDefault="008A1DA2" w:rsidP="004378E4">
            <w:pPr>
              <w:spacing w:before="120" w:after="120"/>
              <w:rPr>
                <w:lang w:bidi="en-US"/>
              </w:rPr>
            </w:pPr>
          </w:p>
        </w:tc>
      </w:tr>
      <w:tr w:rsidR="007D0097" w:rsidRPr="00155420" w14:paraId="7ED05304" w14:textId="77777777" w:rsidTr="008A1DA2">
        <w:tblPrEx>
          <w:tblCellMar>
            <w:top w:w="0" w:type="dxa"/>
            <w:left w:w="0" w:type="dxa"/>
            <w:bottom w:w="0" w:type="dxa"/>
            <w:right w:w="0" w:type="dxa"/>
          </w:tblCellMar>
        </w:tblPrEx>
        <w:trPr>
          <w:trHeight w:val="1022"/>
        </w:trPr>
        <w:tc>
          <w:tcPr>
            <w:tcW w:w="7784" w:type="dxa"/>
            <w:gridSpan w:val="3"/>
            <w:tcBorders>
              <w:top w:val="dotted" w:sz="6" w:space="0" w:color="000000"/>
              <w:bottom w:val="dotted" w:sz="6" w:space="0" w:color="000000"/>
            </w:tcBorders>
            <w:shd w:val="clear" w:color="auto" w:fill="auto"/>
            <w:vAlign w:val="center"/>
          </w:tcPr>
          <w:p w14:paraId="2F5290C8" w14:textId="66323AAF" w:rsidR="008A1DA2" w:rsidRPr="00155420" w:rsidRDefault="008A1DA2" w:rsidP="004378E4">
            <w:pPr>
              <w:spacing w:before="120" w:after="120"/>
              <w:rPr>
                <w:lang w:bidi="en-US"/>
              </w:rPr>
            </w:pPr>
            <w:r w:rsidRPr="00155420">
              <w:rPr>
                <w:lang w:bidi="en-US"/>
              </w:rPr>
              <w:t>Does the Project implementation envisage the use of land that is currently occupied or regularly used for productive purposes (e.g., gardening, farming, pasture, fishing locations, forests)? If yes indicate current land use</w:t>
            </w:r>
          </w:p>
        </w:tc>
        <w:tc>
          <w:tcPr>
            <w:tcW w:w="868" w:type="dxa"/>
            <w:tcBorders>
              <w:top w:val="dotted" w:sz="6" w:space="0" w:color="000000"/>
              <w:bottom w:val="dotted" w:sz="6" w:space="0" w:color="000000"/>
            </w:tcBorders>
          </w:tcPr>
          <w:p w14:paraId="0D8913D0"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5EC9CD28" w14:textId="77777777" w:rsidR="008A1DA2" w:rsidRPr="00155420" w:rsidRDefault="008A1DA2" w:rsidP="004378E4">
            <w:pPr>
              <w:spacing w:before="120" w:after="120"/>
              <w:rPr>
                <w:lang w:bidi="en-US"/>
              </w:rPr>
            </w:pPr>
          </w:p>
        </w:tc>
      </w:tr>
      <w:tr w:rsidR="007D0097" w:rsidRPr="00155420" w14:paraId="6654CDE5" w14:textId="77777777" w:rsidTr="008A1DA2">
        <w:tblPrEx>
          <w:tblCellMar>
            <w:top w:w="0" w:type="dxa"/>
            <w:left w:w="0" w:type="dxa"/>
            <w:bottom w:w="0" w:type="dxa"/>
            <w:right w:w="0" w:type="dxa"/>
          </w:tblCellMar>
        </w:tblPrEx>
        <w:trPr>
          <w:trHeight w:val="1022"/>
        </w:trPr>
        <w:tc>
          <w:tcPr>
            <w:tcW w:w="7784" w:type="dxa"/>
            <w:gridSpan w:val="3"/>
            <w:tcBorders>
              <w:top w:val="dotted" w:sz="6" w:space="0" w:color="000000"/>
              <w:bottom w:val="dotted" w:sz="6" w:space="0" w:color="000000"/>
            </w:tcBorders>
            <w:shd w:val="clear" w:color="auto" w:fill="auto"/>
            <w:vAlign w:val="center"/>
          </w:tcPr>
          <w:p w14:paraId="190DB857" w14:textId="77777777" w:rsidR="008A1DA2" w:rsidRPr="00155420" w:rsidRDefault="008A1DA2" w:rsidP="004378E4">
            <w:pPr>
              <w:spacing w:before="120" w:after="120"/>
              <w:rPr>
                <w:lang w:bidi="en-US"/>
              </w:rPr>
            </w:pPr>
            <w:r w:rsidRPr="00155420">
              <w:rPr>
                <w:lang w:bidi="en-US"/>
              </w:rPr>
              <w:t>Specify the number of persons affected by economic displacement?</w:t>
            </w:r>
          </w:p>
          <w:p w14:paraId="3E65AD0F" w14:textId="77777777" w:rsidR="008A1DA2" w:rsidRPr="00155420" w:rsidRDefault="008A1DA2" w:rsidP="004378E4">
            <w:pPr>
              <w:spacing w:before="120" w:after="120"/>
              <w:rPr>
                <w:lang w:bidi="en-US"/>
              </w:rPr>
            </w:pPr>
            <w:r w:rsidRPr="00155420">
              <w:rPr>
                <w:lang w:bidi="en-US"/>
              </w:rPr>
              <w:t>(if not known at this stage please provide the best estimate and explain what the estimation is based on)</w:t>
            </w:r>
          </w:p>
        </w:tc>
        <w:tc>
          <w:tcPr>
            <w:tcW w:w="868" w:type="dxa"/>
            <w:tcBorders>
              <w:top w:val="dotted" w:sz="6" w:space="0" w:color="000000"/>
              <w:bottom w:val="dotted" w:sz="6" w:space="0" w:color="000000"/>
            </w:tcBorders>
          </w:tcPr>
          <w:p w14:paraId="5DACEEEA"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4E567860" w14:textId="77777777" w:rsidR="008A1DA2" w:rsidRPr="00155420" w:rsidRDefault="008A1DA2" w:rsidP="004378E4">
            <w:pPr>
              <w:spacing w:before="120" w:after="120"/>
              <w:rPr>
                <w:lang w:bidi="en-US"/>
              </w:rPr>
            </w:pPr>
          </w:p>
        </w:tc>
      </w:tr>
      <w:tr w:rsidR="007D0097" w:rsidRPr="00155420" w14:paraId="35237DF0" w14:textId="77777777" w:rsidTr="008A1DA2">
        <w:tblPrEx>
          <w:tblCellMar>
            <w:top w:w="0" w:type="dxa"/>
            <w:left w:w="0" w:type="dxa"/>
            <w:bottom w:w="0" w:type="dxa"/>
            <w:right w:w="0" w:type="dxa"/>
          </w:tblCellMar>
        </w:tblPrEx>
        <w:trPr>
          <w:trHeight w:val="551"/>
        </w:trPr>
        <w:tc>
          <w:tcPr>
            <w:tcW w:w="7784" w:type="dxa"/>
            <w:gridSpan w:val="3"/>
            <w:tcBorders>
              <w:top w:val="dotted" w:sz="6" w:space="0" w:color="000000"/>
              <w:bottom w:val="dotted" w:sz="6" w:space="0" w:color="000000"/>
            </w:tcBorders>
            <w:shd w:val="clear" w:color="auto" w:fill="auto"/>
            <w:vAlign w:val="center"/>
          </w:tcPr>
          <w:p w14:paraId="5E6BADEB" w14:textId="77777777" w:rsidR="008A1DA2" w:rsidRPr="00155420" w:rsidRDefault="008A1DA2" w:rsidP="004378E4">
            <w:pPr>
              <w:spacing w:before="120" w:after="120"/>
              <w:rPr>
                <w:lang w:bidi="en-US"/>
              </w:rPr>
            </w:pPr>
            <w:r w:rsidRPr="00155420">
              <w:rPr>
                <w:lang w:bidi="en-US"/>
              </w:rPr>
              <w:t>Does the subproject require physical displacement of individuals, families or businesses? Specify the number of persons affected by economic displacement?</w:t>
            </w:r>
          </w:p>
          <w:p w14:paraId="63FC0781" w14:textId="77777777" w:rsidR="008A1DA2" w:rsidRPr="00155420" w:rsidRDefault="008A1DA2" w:rsidP="004378E4">
            <w:pPr>
              <w:spacing w:before="120" w:after="120"/>
              <w:rPr>
                <w:lang w:bidi="en-US"/>
              </w:rPr>
            </w:pPr>
            <w:r w:rsidRPr="00155420">
              <w:rPr>
                <w:lang w:bidi="en-US"/>
              </w:rPr>
              <w:t>(if not known at this stage please provide the best estimate and explain what the estimation is based on)</w:t>
            </w:r>
          </w:p>
        </w:tc>
        <w:tc>
          <w:tcPr>
            <w:tcW w:w="868" w:type="dxa"/>
            <w:tcBorders>
              <w:top w:val="dotted" w:sz="6" w:space="0" w:color="000000"/>
              <w:bottom w:val="dotted" w:sz="6" w:space="0" w:color="000000"/>
            </w:tcBorders>
          </w:tcPr>
          <w:p w14:paraId="56B8D8B9"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0C5F0A86" w14:textId="77777777" w:rsidR="008A1DA2" w:rsidRPr="00155420" w:rsidRDefault="008A1DA2" w:rsidP="004378E4">
            <w:pPr>
              <w:spacing w:before="120" w:after="120"/>
              <w:rPr>
                <w:lang w:bidi="en-US"/>
              </w:rPr>
            </w:pPr>
          </w:p>
        </w:tc>
      </w:tr>
      <w:tr w:rsidR="007D0097" w:rsidRPr="00155420" w14:paraId="09BF9B57" w14:textId="77777777" w:rsidTr="008A1DA2">
        <w:tblPrEx>
          <w:tblCellMar>
            <w:top w:w="0" w:type="dxa"/>
            <w:left w:w="0" w:type="dxa"/>
            <w:bottom w:w="0" w:type="dxa"/>
            <w:right w:w="0" w:type="dxa"/>
          </w:tblCellMar>
        </w:tblPrEx>
        <w:trPr>
          <w:trHeight w:val="748"/>
        </w:trPr>
        <w:tc>
          <w:tcPr>
            <w:tcW w:w="7784" w:type="dxa"/>
            <w:gridSpan w:val="3"/>
            <w:tcBorders>
              <w:top w:val="dotted" w:sz="6" w:space="0" w:color="000000"/>
              <w:bottom w:val="dotted" w:sz="6" w:space="0" w:color="000000"/>
            </w:tcBorders>
            <w:shd w:val="clear" w:color="auto" w:fill="auto"/>
            <w:vAlign w:val="center"/>
          </w:tcPr>
          <w:p w14:paraId="2DA33010" w14:textId="77777777" w:rsidR="008A1DA2" w:rsidRPr="00155420" w:rsidRDefault="008A1DA2" w:rsidP="004378E4">
            <w:pPr>
              <w:spacing w:before="120" w:after="120"/>
              <w:rPr>
                <w:lang w:bidi="en-US"/>
              </w:rPr>
            </w:pPr>
            <w:r w:rsidRPr="00155420">
              <w:rPr>
                <w:lang w:bidi="en-US"/>
              </w:rPr>
              <w:t>Will the subproject implementation result in the temporary or permanent loss of crops, fruit trees or household infrastructure?</w:t>
            </w:r>
          </w:p>
          <w:p w14:paraId="6877A16A" w14:textId="77777777" w:rsidR="008A1DA2" w:rsidRPr="00155420" w:rsidRDefault="008A1DA2" w:rsidP="004378E4">
            <w:pPr>
              <w:spacing w:before="120" w:after="120"/>
              <w:rPr>
                <w:lang w:bidi="en-US"/>
              </w:rPr>
            </w:pPr>
            <w:r w:rsidRPr="00155420">
              <w:rPr>
                <w:lang w:bidi="en-US"/>
              </w:rPr>
              <w:t>(if not known at this stage please provide the best estimate and explain what the estimation is based on)</w:t>
            </w:r>
          </w:p>
        </w:tc>
        <w:tc>
          <w:tcPr>
            <w:tcW w:w="868" w:type="dxa"/>
            <w:tcBorders>
              <w:top w:val="dotted" w:sz="6" w:space="0" w:color="000000"/>
              <w:bottom w:val="dotted" w:sz="6" w:space="0" w:color="000000"/>
            </w:tcBorders>
          </w:tcPr>
          <w:p w14:paraId="507843E9"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30D22AC5" w14:textId="77777777" w:rsidR="008A1DA2" w:rsidRPr="00155420" w:rsidRDefault="008A1DA2" w:rsidP="004378E4">
            <w:pPr>
              <w:spacing w:before="120" w:after="120"/>
              <w:rPr>
                <w:lang w:bidi="en-US"/>
              </w:rPr>
            </w:pPr>
          </w:p>
        </w:tc>
      </w:tr>
      <w:tr w:rsidR="007D0097" w:rsidRPr="00155420" w14:paraId="37D3C7B7" w14:textId="77777777" w:rsidTr="008A1DA2">
        <w:tblPrEx>
          <w:tblCellMar>
            <w:top w:w="0" w:type="dxa"/>
            <w:left w:w="0" w:type="dxa"/>
            <w:bottom w:w="0" w:type="dxa"/>
            <w:right w:w="0" w:type="dxa"/>
          </w:tblCellMar>
        </w:tblPrEx>
        <w:trPr>
          <w:trHeight w:val="745"/>
        </w:trPr>
        <w:tc>
          <w:tcPr>
            <w:tcW w:w="7784" w:type="dxa"/>
            <w:gridSpan w:val="3"/>
            <w:tcBorders>
              <w:top w:val="dotted" w:sz="6" w:space="0" w:color="000000"/>
              <w:bottom w:val="dotted" w:sz="6" w:space="0" w:color="000000"/>
            </w:tcBorders>
            <w:shd w:val="clear" w:color="auto" w:fill="auto"/>
            <w:vAlign w:val="center"/>
          </w:tcPr>
          <w:p w14:paraId="16B70EEE" w14:textId="77777777" w:rsidR="008A1DA2" w:rsidRPr="00155420" w:rsidRDefault="008A1DA2" w:rsidP="004378E4">
            <w:pPr>
              <w:spacing w:before="120" w:after="120"/>
              <w:rPr>
                <w:lang w:bidi="en-US"/>
              </w:rPr>
            </w:pPr>
            <w:r w:rsidRPr="00155420">
              <w:rPr>
                <w:lang w:bidi="en-US"/>
              </w:rPr>
              <w:t>Will the subproject implementation result in the involuntary restriction of access by people to legally designated parks and protected areas?</w:t>
            </w:r>
          </w:p>
        </w:tc>
        <w:tc>
          <w:tcPr>
            <w:tcW w:w="868" w:type="dxa"/>
            <w:tcBorders>
              <w:top w:val="dotted" w:sz="6" w:space="0" w:color="000000"/>
              <w:bottom w:val="dotted" w:sz="6" w:space="0" w:color="000000"/>
            </w:tcBorders>
          </w:tcPr>
          <w:p w14:paraId="07C48E64"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1A974236" w14:textId="77777777" w:rsidR="008A1DA2" w:rsidRPr="00155420" w:rsidRDefault="008A1DA2" w:rsidP="004378E4">
            <w:pPr>
              <w:spacing w:before="120" w:after="120"/>
              <w:rPr>
                <w:lang w:bidi="en-US"/>
              </w:rPr>
            </w:pPr>
          </w:p>
        </w:tc>
      </w:tr>
      <w:tr w:rsidR="007D0097" w:rsidRPr="00155420" w14:paraId="057231F4" w14:textId="77777777" w:rsidTr="008A1DA2">
        <w:tblPrEx>
          <w:tblCellMar>
            <w:top w:w="0" w:type="dxa"/>
            <w:left w:w="0" w:type="dxa"/>
            <w:bottom w:w="0" w:type="dxa"/>
            <w:right w:w="0" w:type="dxa"/>
          </w:tblCellMar>
        </w:tblPrEx>
        <w:trPr>
          <w:trHeight w:val="551"/>
        </w:trPr>
        <w:tc>
          <w:tcPr>
            <w:tcW w:w="7784" w:type="dxa"/>
            <w:gridSpan w:val="3"/>
            <w:tcBorders>
              <w:top w:val="dotted" w:sz="6" w:space="0" w:color="000000"/>
              <w:bottom w:val="dotted" w:sz="6" w:space="0" w:color="000000"/>
            </w:tcBorders>
            <w:shd w:val="clear" w:color="auto" w:fill="auto"/>
            <w:vAlign w:val="center"/>
          </w:tcPr>
          <w:p w14:paraId="52A196DD" w14:textId="77777777" w:rsidR="008A1DA2" w:rsidRPr="00155420" w:rsidRDefault="008A1DA2" w:rsidP="004378E4">
            <w:pPr>
              <w:spacing w:before="120" w:after="120"/>
              <w:rPr>
                <w:lang w:bidi="en-US"/>
              </w:rPr>
            </w:pPr>
            <w:r w:rsidRPr="00155420">
              <w:rPr>
                <w:lang w:bidi="en-US"/>
              </w:rPr>
              <w:t>Will the subproject implementation have negative impact to any vulnerable individuals or groups?</w:t>
            </w:r>
          </w:p>
          <w:p w14:paraId="1C257EE5" w14:textId="77777777" w:rsidR="008A1DA2" w:rsidRPr="00155420" w:rsidRDefault="008A1DA2" w:rsidP="004378E4">
            <w:pPr>
              <w:spacing w:before="120" w:after="120"/>
              <w:rPr>
                <w:lang w:bidi="en-US"/>
              </w:rPr>
            </w:pPr>
            <w:r w:rsidRPr="00155420">
              <w:rPr>
                <w:lang w:bidi="en-US"/>
              </w:rPr>
              <w:t>(Please specify what the drivers of vulnerability are, how would these be adversely impacted, or the vulnerability exacerbated? Specify or estimate the number of persons /groups and their qualifying characteristics.</w:t>
            </w:r>
          </w:p>
        </w:tc>
        <w:tc>
          <w:tcPr>
            <w:tcW w:w="868" w:type="dxa"/>
            <w:tcBorders>
              <w:top w:val="dotted" w:sz="6" w:space="0" w:color="000000"/>
              <w:bottom w:val="dotted" w:sz="6" w:space="0" w:color="000000"/>
            </w:tcBorders>
          </w:tcPr>
          <w:p w14:paraId="6581CC2A"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3F825135" w14:textId="77777777" w:rsidR="008A1DA2" w:rsidRPr="00155420" w:rsidRDefault="008A1DA2" w:rsidP="004378E4">
            <w:pPr>
              <w:spacing w:before="120" w:after="120"/>
              <w:rPr>
                <w:lang w:bidi="en-US"/>
              </w:rPr>
            </w:pPr>
          </w:p>
        </w:tc>
      </w:tr>
      <w:tr w:rsidR="007D0097" w:rsidRPr="00155420" w14:paraId="36A0C62F" w14:textId="77777777" w:rsidTr="008A1DA2">
        <w:tblPrEx>
          <w:tblCellMar>
            <w:top w:w="0" w:type="dxa"/>
            <w:left w:w="0" w:type="dxa"/>
            <w:bottom w:w="0" w:type="dxa"/>
            <w:right w:w="0" w:type="dxa"/>
          </w:tblCellMar>
        </w:tblPrEx>
        <w:trPr>
          <w:trHeight w:val="745"/>
        </w:trPr>
        <w:tc>
          <w:tcPr>
            <w:tcW w:w="7784" w:type="dxa"/>
            <w:gridSpan w:val="3"/>
            <w:tcBorders>
              <w:top w:val="dotted" w:sz="6" w:space="0" w:color="000000"/>
              <w:bottom w:val="dotted" w:sz="6" w:space="0" w:color="000000"/>
            </w:tcBorders>
            <w:shd w:val="clear" w:color="auto" w:fill="auto"/>
            <w:vAlign w:val="center"/>
          </w:tcPr>
          <w:p w14:paraId="08F30D00" w14:textId="77777777" w:rsidR="008A1DA2" w:rsidRPr="00155420" w:rsidRDefault="008A1DA2" w:rsidP="004378E4">
            <w:pPr>
              <w:spacing w:before="120" w:after="120"/>
              <w:rPr>
                <w:lang w:bidi="en-US"/>
              </w:rPr>
            </w:pPr>
            <w:r w:rsidRPr="00155420">
              <w:rPr>
                <w:lang w:bidi="en-US"/>
              </w:rPr>
              <w:t>Will the subproject implementation have negative impact to informal side road shops, traders or any nomadic type of commercial activity</w:t>
            </w:r>
          </w:p>
        </w:tc>
        <w:tc>
          <w:tcPr>
            <w:tcW w:w="868" w:type="dxa"/>
            <w:tcBorders>
              <w:top w:val="dotted" w:sz="6" w:space="0" w:color="000000"/>
              <w:bottom w:val="dotted" w:sz="6" w:space="0" w:color="000000"/>
            </w:tcBorders>
          </w:tcPr>
          <w:p w14:paraId="6F4664AE" w14:textId="77777777" w:rsidR="008A1DA2" w:rsidRPr="00155420" w:rsidRDefault="008A1DA2" w:rsidP="004378E4">
            <w:pPr>
              <w:spacing w:before="120" w:after="120"/>
              <w:rPr>
                <w:lang w:bidi="en-US"/>
              </w:rPr>
            </w:pPr>
          </w:p>
        </w:tc>
        <w:tc>
          <w:tcPr>
            <w:tcW w:w="987" w:type="dxa"/>
            <w:tcBorders>
              <w:top w:val="dotted" w:sz="6" w:space="0" w:color="000000"/>
              <w:bottom w:val="dotted" w:sz="6" w:space="0" w:color="000000"/>
            </w:tcBorders>
          </w:tcPr>
          <w:p w14:paraId="7A916370" w14:textId="77777777" w:rsidR="008A1DA2" w:rsidRPr="00155420" w:rsidRDefault="008A1DA2" w:rsidP="004378E4">
            <w:pPr>
              <w:spacing w:before="120" w:after="120"/>
              <w:rPr>
                <w:lang w:bidi="en-US"/>
              </w:rPr>
            </w:pPr>
          </w:p>
        </w:tc>
      </w:tr>
      <w:tr w:rsidR="007D0097" w:rsidRPr="00155420" w14:paraId="16D364BE" w14:textId="77777777" w:rsidTr="008A1DA2">
        <w:tblPrEx>
          <w:tblCellMar>
            <w:top w:w="0" w:type="dxa"/>
            <w:left w:w="0" w:type="dxa"/>
            <w:bottom w:w="0" w:type="dxa"/>
            <w:right w:w="0" w:type="dxa"/>
          </w:tblCellMar>
        </w:tblPrEx>
        <w:trPr>
          <w:trHeight w:val="465"/>
        </w:trPr>
        <w:tc>
          <w:tcPr>
            <w:tcW w:w="7784" w:type="dxa"/>
            <w:gridSpan w:val="3"/>
            <w:vMerge w:val="restart"/>
            <w:tcBorders>
              <w:top w:val="dotted" w:sz="6" w:space="0" w:color="000000"/>
            </w:tcBorders>
            <w:shd w:val="clear" w:color="auto" w:fill="auto"/>
            <w:vAlign w:val="center"/>
          </w:tcPr>
          <w:p w14:paraId="50DFD4B6" w14:textId="77777777" w:rsidR="008A1DA2" w:rsidRPr="00155420" w:rsidRDefault="008A1DA2" w:rsidP="004378E4">
            <w:pPr>
              <w:spacing w:before="120" w:after="120"/>
              <w:rPr>
                <w:lang w:bidi="en-US"/>
              </w:rPr>
            </w:pPr>
            <w:r w:rsidRPr="00155420">
              <w:rPr>
                <w:lang w:bidi="en-US"/>
              </w:rPr>
              <w:t xml:space="preserve">Community Health and Safety. </w:t>
            </w:r>
          </w:p>
          <w:p w14:paraId="35F02994" w14:textId="3002385F" w:rsidR="008A1DA2" w:rsidRPr="00155420" w:rsidRDefault="008A1DA2" w:rsidP="004378E4">
            <w:pPr>
              <w:spacing w:before="120" w:after="120"/>
              <w:rPr>
                <w:lang w:bidi="en-US"/>
              </w:rPr>
            </w:pPr>
            <w:r w:rsidRPr="00155420">
              <w:rPr>
                <w:lang w:bidi="en-US"/>
              </w:rPr>
              <w:t xml:space="preserve">What is the probability of subproject impacts to human health and/or the environment (due to accidents, toxic waste disposal, </w:t>
            </w:r>
            <w:r w:rsidR="00835C1A" w:rsidRPr="00155420">
              <w:rPr>
                <w:lang w:bidi="en-US"/>
              </w:rPr>
              <w:t>etc.)?</w:t>
            </w:r>
          </w:p>
          <w:p w14:paraId="5977D5FA" w14:textId="77777777" w:rsidR="008A1DA2" w:rsidRPr="00155420" w:rsidRDefault="008A1DA2" w:rsidP="004378E4">
            <w:pPr>
              <w:spacing w:before="120" w:after="120"/>
              <w:rPr>
                <w:lang w:bidi="en-US"/>
              </w:rPr>
            </w:pPr>
            <w:r w:rsidRPr="00155420">
              <w:rPr>
                <w:lang w:bidi="en-US"/>
              </w:rPr>
              <w:t>H: High?</w:t>
            </w:r>
          </w:p>
          <w:p w14:paraId="6558AF09" w14:textId="77777777" w:rsidR="008A1DA2" w:rsidRPr="00155420" w:rsidRDefault="008A1DA2" w:rsidP="004378E4">
            <w:pPr>
              <w:spacing w:before="120" w:after="120"/>
              <w:rPr>
                <w:lang w:bidi="en-US"/>
              </w:rPr>
            </w:pPr>
            <w:r w:rsidRPr="00155420">
              <w:rPr>
                <w:lang w:bidi="en-US"/>
              </w:rPr>
              <w:t>S: Medium to low?</w:t>
            </w:r>
          </w:p>
          <w:p w14:paraId="163FD698" w14:textId="77777777" w:rsidR="008A1DA2" w:rsidRPr="00155420" w:rsidRDefault="008A1DA2" w:rsidP="004378E4">
            <w:pPr>
              <w:spacing w:before="120" w:after="120"/>
              <w:rPr>
                <w:lang w:bidi="en-US"/>
              </w:rPr>
            </w:pPr>
            <w:r w:rsidRPr="00155420">
              <w:rPr>
                <w:lang w:bidi="en-US"/>
              </w:rPr>
              <w:t>M: Low?</w:t>
            </w:r>
          </w:p>
          <w:p w14:paraId="2A185565" w14:textId="77777777" w:rsidR="008A1DA2" w:rsidRPr="00155420" w:rsidRDefault="008A1DA2" w:rsidP="004378E4">
            <w:pPr>
              <w:spacing w:before="120" w:after="120"/>
              <w:rPr>
                <w:lang w:bidi="en-US"/>
              </w:rPr>
            </w:pPr>
            <w:r w:rsidRPr="00155420">
              <w:rPr>
                <w:lang w:bidi="en-US"/>
              </w:rPr>
              <w:t>L: Minimal or negligible?</w:t>
            </w:r>
          </w:p>
        </w:tc>
        <w:tc>
          <w:tcPr>
            <w:tcW w:w="868" w:type="dxa"/>
            <w:tcBorders>
              <w:top w:val="dotted" w:sz="6" w:space="0" w:color="000000"/>
              <w:bottom w:val="dotted" w:sz="6" w:space="0" w:color="000000"/>
            </w:tcBorders>
          </w:tcPr>
          <w:p w14:paraId="0290C4CF" w14:textId="77777777" w:rsidR="008A1DA2" w:rsidRPr="00155420" w:rsidRDefault="008A1DA2" w:rsidP="004378E4">
            <w:pPr>
              <w:spacing w:before="120" w:after="120"/>
              <w:rPr>
                <w:lang w:bidi="en-US"/>
              </w:rPr>
            </w:pPr>
          </w:p>
        </w:tc>
        <w:tc>
          <w:tcPr>
            <w:tcW w:w="987" w:type="dxa"/>
            <w:tcBorders>
              <w:top w:val="dotted" w:sz="6" w:space="0" w:color="000000"/>
            </w:tcBorders>
          </w:tcPr>
          <w:p w14:paraId="06DAE6C2" w14:textId="77777777" w:rsidR="008A1DA2" w:rsidRPr="00155420" w:rsidRDefault="008A1DA2" w:rsidP="004378E4">
            <w:pPr>
              <w:spacing w:before="120" w:after="120"/>
              <w:rPr>
                <w:lang w:bidi="en-US"/>
              </w:rPr>
            </w:pPr>
          </w:p>
        </w:tc>
      </w:tr>
      <w:tr w:rsidR="007D0097" w:rsidRPr="00155420" w14:paraId="20C458F4" w14:textId="77777777" w:rsidTr="008A1DA2">
        <w:tblPrEx>
          <w:tblCellMar>
            <w:top w:w="0" w:type="dxa"/>
            <w:left w:w="0" w:type="dxa"/>
            <w:bottom w:w="0" w:type="dxa"/>
            <w:right w:w="0" w:type="dxa"/>
          </w:tblCellMar>
        </w:tblPrEx>
        <w:trPr>
          <w:trHeight w:val="465"/>
        </w:trPr>
        <w:tc>
          <w:tcPr>
            <w:tcW w:w="7784" w:type="dxa"/>
            <w:gridSpan w:val="3"/>
            <w:vMerge/>
            <w:shd w:val="clear" w:color="auto" w:fill="auto"/>
            <w:vAlign w:val="center"/>
          </w:tcPr>
          <w:p w14:paraId="46CC8356"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2ED75F49" w14:textId="77777777" w:rsidR="008A1DA2" w:rsidRPr="00155420" w:rsidRDefault="008A1DA2" w:rsidP="004378E4">
            <w:pPr>
              <w:spacing w:before="120" w:after="120"/>
              <w:rPr>
                <w:lang w:bidi="en-US"/>
              </w:rPr>
            </w:pPr>
          </w:p>
        </w:tc>
        <w:tc>
          <w:tcPr>
            <w:tcW w:w="987" w:type="dxa"/>
          </w:tcPr>
          <w:p w14:paraId="176F3802" w14:textId="77777777" w:rsidR="008A1DA2" w:rsidRPr="00155420" w:rsidRDefault="008A1DA2" w:rsidP="004378E4">
            <w:pPr>
              <w:spacing w:before="120" w:after="120"/>
              <w:rPr>
                <w:lang w:bidi="en-US"/>
              </w:rPr>
            </w:pPr>
          </w:p>
        </w:tc>
      </w:tr>
      <w:tr w:rsidR="007D0097" w:rsidRPr="00155420" w14:paraId="22E5A6D8" w14:textId="77777777" w:rsidTr="008A1DA2">
        <w:tblPrEx>
          <w:tblCellMar>
            <w:top w:w="0" w:type="dxa"/>
            <w:left w:w="0" w:type="dxa"/>
            <w:bottom w:w="0" w:type="dxa"/>
            <w:right w:w="0" w:type="dxa"/>
          </w:tblCellMar>
        </w:tblPrEx>
        <w:trPr>
          <w:trHeight w:val="465"/>
        </w:trPr>
        <w:tc>
          <w:tcPr>
            <w:tcW w:w="7784" w:type="dxa"/>
            <w:gridSpan w:val="3"/>
            <w:vMerge/>
            <w:shd w:val="clear" w:color="auto" w:fill="auto"/>
            <w:vAlign w:val="center"/>
          </w:tcPr>
          <w:p w14:paraId="27955345"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26A8549C" w14:textId="77777777" w:rsidR="008A1DA2" w:rsidRPr="00155420" w:rsidRDefault="008A1DA2" w:rsidP="004378E4">
            <w:pPr>
              <w:spacing w:before="120" w:after="120"/>
              <w:rPr>
                <w:lang w:bidi="en-US"/>
              </w:rPr>
            </w:pPr>
          </w:p>
        </w:tc>
        <w:tc>
          <w:tcPr>
            <w:tcW w:w="987" w:type="dxa"/>
          </w:tcPr>
          <w:p w14:paraId="22C2B6A5" w14:textId="77777777" w:rsidR="008A1DA2" w:rsidRPr="00155420" w:rsidRDefault="008A1DA2" w:rsidP="004378E4">
            <w:pPr>
              <w:spacing w:before="120" w:after="120"/>
              <w:rPr>
                <w:lang w:bidi="en-US"/>
              </w:rPr>
            </w:pPr>
          </w:p>
        </w:tc>
      </w:tr>
      <w:tr w:rsidR="007D0097" w:rsidRPr="00155420" w14:paraId="1DA71742" w14:textId="77777777" w:rsidTr="008A1DA2">
        <w:tblPrEx>
          <w:tblCellMar>
            <w:top w:w="0" w:type="dxa"/>
            <w:left w:w="0" w:type="dxa"/>
            <w:bottom w:w="0" w:type="dxa"/>
            <w:right w:w="0" w:type="dxa"/>
          </w:tblCellMar>
        </w:tblPrEx>
        <w:trPr>
          <w:trHeight w:val="465"/>
        </w:trPr>
        <w:tc>
          <w:tcPr>
            <w:tcW w:w="7784" w:type="dxa"/>
            <w:gridSpan w:val="3"/>
            <w:vMerge/>
            <w:shd w:val="clear" w:color="auto" w:fill="auto"/>
            <w:vAlign w:val="center"/>
          </w:tcPr>
          <w:p w14:paraId="5F3E6A35"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787D66DD" w14:textId="77777777" w:rsidR="008A1DA2" w:rsidRPr="00155420" w:rsidRDefault="008A1DA2" w:rsidP="004378E4">
            <w:pPr>
              <w:spacing w:before="120" w:after="120"/>
              <w:rPr>
                <w:lang w:bidi="en-US"/>
              </w:rPr>
            </w:pPr>
          </w:p>
        </w:tc>
        <w:tc>
          <w:tcPr>
            <w:tcW w:w="987" w:type="dxa"/>
          </w:tcPr>
          <w:p w14:paraId="7DE036E6" w14:textId="77777777" w:rsidR="008A1DA2" w:rsidRPr="00155420" w:rsidRDefault="008A1DA2" w:rsidP="004378E4">
            <w:pPr>
              <w:spacing w:before="120" w:after="120"/>
              <w:rPr>
                <w:lang w:bidi="en-US"/>
              </w:rPr>
            </w:pPr>
          </w:p>
        </w:tc>
      </w:tr>
      <w:tr w:rsidR="007D0097" w:rsidRPr="00155420" w14:paraId="609B43A9" w14:textId="77777777" w:rsidTr="008A1DA2">
        <w:tblPrEx>
          <w:tblCellMar>
            <w:top w:w="0" w:type="dxa"/>
            <w:left w:w="0" w:type="dxa"/>
            <w:bottom w:w="0" w:type="dxa"/>
            <w:right w:w="0" w:type="dxa"/>
          </w:tblCellMar>
        </w:tblPrEx>
        <w:trPr>
          <w:trHeight w:val="465"/>
        </w:trPr>
        <w:tc>
          <w:tcPr>
            <w:tcW w:w="7784" w:type="dxa"/>
            <w:gridSpan w:val="3"/>
            <w:vMerge/>
            <w:tcBorders>
              <w:bottom w:val="dotted" w:sz="6" w:space="0" w:color="000000"/>
            </w:tcBorders>
            <w:shd w:val="clear" w:color="auto" w:fill="auto"/>
            <w:vAlign w:val="center"/>
          </w:tcPr>
          <w:p w14:paraId="2E3402A3"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1C5601E1" w14:textId="77777777" w:rsidR="008A1DA2" w:rsidRPr="00155420" w:rsidRDefault="008A1DA2" w:rsidP="004378E4">
            <w:pPr>
              <w:spacing w:before="120" w:after="120"/>
              <w:rPr>
                <w:lang w:bidi="en-US"/>
              </w:rPr>
            </w:pPr>
          </w:p>
        </w:tc>
        <w:tc>
          <w:tcPr>
            <w:tcW w:w="987" w:type="dxa"/>
            <w:tcBorders>
              <w:bottom w:val="dotted" w:sz="6" w:space="0" w:color="000000"/>
            </w:tcBorders>
          </w:tcPr>
          <w:p w14:paraId="2A92E656" w14:textId="77777777" w:rsidR="008A1DA2" w:rsidRPr="00155420" w:rsidRDefault="008A1DA2" w:rsidP="004378E4">
            <w:pPr>
              <w:spacing w:before="120" w:after="120"/>
              <w:rPr>
                <w:lang w:bidi="en-US"/>
              </w:rPr>
            </w:pPr>
          </w:p>
        </w:tc>
      </w:tr>
      <w:tr w:rsidR="007D0097" w:rsidRPr="00155420" w14:paraId="673042BC" w14:textId="77777777" w:rsidTr="008A1DA2">
        <w:tblPrEx>
          <w:tblCellMar>
            <w:top w:w="0" w:type="dxa"/>
            <w:left w:w="0" w:type="dxa"/>
            <w:bottom w:w="0" w:type="dxa"/>
            <w:right w:w="0" w:type="dxa"/>
          </w:tblCellMar>
        </w:tblPrEx>
        <w:trPr>
          <w:trHeight w:val="465"/>
        </w:trPr>
        <w:tc>
          <w:tcPr>
            <w:tcW w:w="7784" w:type="dxa"/>
            <w:gridSpan w:val="3"/>
            <w:vMerge w:val="restart"/>
            <w:tcBorders>
              <w:top w:val="dotted" w:sz="6" w:space="0" w:color="000000"/>
            </w:tcBorders>
            <w:shd w:val="clear" w:color="auto" w:fill="auto"/>
            <w:vAlign w:val="center"/>
          </w:tcPr>
          <w:p w14:paraId="3F7FA31B" w14:textId="77777777" w:rsidR="008A1DA2" w:rsidRPr="00155420" w:rsidRDefault="008A1DA2" w:rsidP="004378E4">
            <w:pPr>
              <w:spacing w:before="120" w:after="120"/>
              <w:rPr>
                <w:lang w:bidi="en-US"/>
              </w:rPr>
            </w:pPr>
            <w:r w:rsidRPr="00155420">
              <w:rPr>
                <w:lang w:bidi="en-US"/>
              </w:rPr>
              <w:t>Scale of risks and impacts.</w:t>
            </w:r>
          </w:p>
          <w:p w14:paraId="1EA10E30" w14:textId="77777777" w:rsidR="008A1DA2" w:rsidRPr="00155420" w:rsidRDefault="008A1DA2" w:rsidP="004378E4">
            <w:pPr>
              <w:spacing w:before="120" w:after="120"/>
              <w:rPr>
                <w:lang w:bidi="en-US"/>
              </w:rPr>
            </w:pPr>
            <w:r w:rsidRPr="00155420">
              <w:rPr>
                <w:lang w:bidi="en-US"/>
              </w:rPr>
              <w:t xml:space="preserve"> What is the scale of the geographical area or population affected by the Project?</w:t>
            </w:r>
          </w:p>
          <w:p w14:paraId="23AA16F0" w14:textId="77777777" w:rsidR="008A1DA2" w:rsidRPr="00155420" w:rsidRDefault="008A1DA2" w:rsidP="004378E4">
            <w:pPr>
              <w:spacing w:before="120" w:after="120"/>
              <w:rPr>
                <w:lang w:bidi="en-US"/>
              </w:rPr>
            </w:pPr>
            <w:r w:rsidRPr="00155420">
              <w:rPr>
                <w:lang w:bidi="en-US"/>
              </w:rPr>
              <w:t>H: Large to very large</w:t>
            </w:r>
          </w:p>
          <w:p w14:paraId="4F3EC450" w14:textId="77777777" w:rsidR="008A1DA2" w:rsidRPr="00155420" w:rsidRDefault="008A1DA2" w:rsidP="004378E4">
            <w:pPr>
              <w:spacing w:before="120" w:after="120"/>
              <w:rPr>
                <w:lang w:bidi="en-US"/>
              </w:rPr>
            </w:pPr>
            <w:r w:rsidRPr="00155420">
              <w:rPr>
                <w:lang w:bidi="en-US"/>
              </w:rPr>
              <w:t>S: Medium to large</w:t>
            </w:r>
          </w:p>
          <w:p w14:paraId="35FE03B6" w14:textId="77777777" w:rsidR="008A1DA2" w:rsidRPr="00155420" w:rsidRDefault="008A1DA2" w:rsidP="004378E4">
            <w:pPr>
              <w:spacing w:before="120" w:after="120"/>
              <w:rPr>
                <w:lang w:bidi="en-US"/>
              </w:rPr>
            </w:pPr>
            <w:r w:rsidRPr="00155420">
              <w:rPr>
                <w:lang w:bidi="en-US"/>
              </w:rPr>
              <w:t>M: Low</w:t>
            </w:r>
          </w:p>
          <w:p w14:paraId="6CE11E01" w14:textId="77777777" w:rsidR="008A1DA2" w:rsidRPr="00155420" w:rsidRDefault="008A1DA2" w:rsidP="004378E4">
            <w:pPr>
              <w:spacing w:before="120" w:after="120"/>
              <w:rPr>
                <w:lang w:bidi="en-US"/>
              </w:rPr>
            </w:pPr>
            <w:r w:rsidRPr="00155420">
              <w:rPr>
                <w:lang w:bidi="en-US"/>
              </w:rPr>
              <w:t>L: Minimal or negligible</w:t>
            </w:r>
          </w:p>
        </w:tc>
        <w:tc>
          <w:tcPr>
            <w:tcW w:w="868" w:type="dxa"/>
            <w:tcBorders>
              <w:top w:val="dotted" w:sz="6" w:space="0" w:color="000000"/>
              <w:bottom w:val="dotted" w:sz="6" w:space="0" w:color="000000"/>
            </w:tcBorders>
          </w:tcPr>
          <w:p w14:paraId="1348F1BF" w14:textId="77777777" w:rsidR="008A1DA2" w:rsidRPr="00155420" w:rsidRDefault="008A1DA2" w:rsidP="004378E4">
            <w:pPr>
              <w:spacing w:before="120" w:after="120"/>
              <w:rPr>
                <w:lang w:bidi="en-US"/>
              </w:rPr>
            </w:pPr>
          </w:p>
        </w:tc>
        <w:tc>
          <w:tcPr>
            <w:tcW w:w="987" w:type="dxa"/>
            <w:tcBorders>
              <w:top w:val="dotted" w:sz="6" w:space="0" w:color="000000"/>
            </w:tcBorders>
          </w:tcPr>
          <w:p w14:paraId="706ED6B8" w14:textId="77777777" w:rsidR="008A1DA2" w:rsidRPr="00155420" w:rsidRDefault="008A1DA2" w:rsidP="004378E4">
            <w:pPr>
              <w:spacing w:before="120" w:after="120"/>
              <w:rPr>
                <w:lang w:bidi="en-US"/>
              </w:rPr>
            </w:pPr>
          </w:p>
        </w:tc>
      </w:tr>
      <w:tr w:rsidR="007D0097" w:rsidRPr="00155420" w14:paraId="24E19E18" w14:textId="77777777" w:rsidTr="008A1DA2">
        <w:tblPrEx>
          <w:tblCellMar>
            <w:top w:w="0" w:type="dxa"/>
            <w:left w:w="0" w:type="dxa"/>
            <w:bottom w:w="0" w:type="dxa"/>
            <w:right w:w="0" w:type="dxa"/>
          </w:tblCellMar>
        </w:tblPrEx>
        <w:trPr>
          <w:trHeight w:val="465"/>
        </w:trPr>
        <w:tc>
          <w:tcPr>
            <w:tcW w:w="7784" w:type="dxa"/>
            <w:gridSpan w:val="3"/>
            <w:vMerge/>
            <w:shd w:val="clear" w:color="auto" w:fill="auto"/>
            <w:vAlign w:val="center"/>
          </w:tcPr>
          <w:p w14:paraId="417D03BC"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74050A2D" w14:textId="77777777" w:rsidR="008A1DA2" w:rsidRPr="00155420" w:rsidRDefault="008A1DA2" w:rsidP="004378E4">
            <w:pPr>
              <w:spacing w:before="120" w:after="120"/>
              <w:rPr>
                <w:lang w:bidi="en-US"/>
              </w:rPr>
            </w:pPr>
          </w:p>
        </w:tc>
        <w:tc>
          <w:tcPr>
            <w:tcW w:w="987" w:type="dxa"/>
          </w:tcPr>
          <w:p w14:paraId="00645A1C" w14:textId="77777777" w:rsidR="008A1DA2" w:rsidRPr="00155420" w:rsidRDefault="008A1DA2" w:rsidP="004378E4">
            <w:pPr>
              <w:spacing w:before="120" w:after="120"/>
              <w:rPr>
                <w:lang w:bidi="en-US"/>
              </w:rPr>
            </w:pPr>
          </w:p>
        </w:tc>
      </w:tr>
      <w:tr w:rsidR="007D0097" w:rsidRPr="00155420" w14:paraId="471F8BD5" w14:textId="77777777" w:rsidTr="008A1DA2">
        <w:tblPrEx>
          <w:tblCellMar>
            <w:top w:w="0" w:type="dxa"/>
            <w:left w:w="0" w:type="dxa"/>
            <w:bottom w:w="0" w:type="dxa"/>
            <w:right w:w="0" w:type="dxa"/>
          </w:tblCellMar>
        </w:tblPrEx>
        <w:trPr>
          <w:trHeight w:val="465"/>
        </w:trPr>
        <w:tc>
          <w:tcPr>
            <w:tcW w:w="7784" w:type="dxa"/>
            <w:gridSpan w:val="3"/>
            <w:vMerge/>
            <w:shd w:val="clear" w:color="auto" w:fill="auto"/>
            <w:vAlign w:val="center"/>
          </w:tcPr>
          <w:p w14:paraId="7E7AC1DA"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466BCD31" w14:textId="77777777" w:rsidR="008A1DA2" w:rsidRPr="00155420" w:rsidRDefault="008A1DA2" w:rsidP="004378E4">
            <w:pPr>
              <w:spacing w:before="120" w:after="120"/>
              <w:rPr>
                <w:lang w:bidi="en-US"/>
              </w:rPr>
            </w:pPr>
          </w:p>
        </w:tc>
        <w:tc>
          <w:tcPr>
            <w:tcW w:w="987" w:type="dxa"/>
          </w:tcPr>
          <w:p w14:paraId="30ABBA87" w14:textId="77777777" w:rsidR="008A1DA2" w:rsidRPr="00155420" w:rsidRDefault="008A1DA2" w:rsidP="004378E4">
            <w:pPr>
              <w:spacing w:before="120" w:after="120"/>
              <w:rPr>
                <w:lang w:bidi="en-US"/>
              </w:rPr>
            </w:pPr>
          </w:p>
        </w:tc>
      </w:tr>
      <w:tr w:rsidR="007D0097" w:rsidRPr="00155420" w14:paraId="11C0C714" w14:textId="77777777" w:rsidTr="008A1DA2">
        <w:tblPrEx>
          <w:tblCellMar>
            <w:top w:w="0" w:type="dxa"/>
            <w:left w:w="0" w:type="dxa"/>
            <w:bottom w:w="0" w:type="dxa"/>
            <w:right w:w="0" w:type="dxa"/>
          </w:tblCellMar>
        </w:tblPrEx>
        <w:trPr>
          <w:trHeight w:val="465"/>
        </w:trPr>
        <w:tc>
          <w:tcPr>
            <w:tcW w:w="7784" w:type="dxa"/>
            <w:gridSpan w:val="3"/>
            <w:vMerge/>
            <w:shd w:val="clear" w:color="auto" w:fill="auto"/>
            <w:vAlign w:val="center"/>
          </w:tcPr>
          <w:p w14:paraId="20444C76"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77361BC9" w14:textId="77777777" w:rsidR="008A1DA2" w:rsidRPr="00155420" w:rsidRDefault="008A1DA2" w:rsidP="004378E4">
            <w:pPr>
              <w:spacing w:before="120" w:after="120"/>
              <w:rPr>
                <w:lang w:bidi="en-US"/>
              </w:rPr>
            </w:pPr>
          </w:p>
        </w:tc>
        <w:tc>
          <w:tcPr>
            <w:tcW w:w="987" w:type="dxa"/>
          </w:tcPr>
          <w:p w14:paraId="71D4F4D0" w14:textId="77777777" w:rsidR="008A1DA2" w:rsidRPr="00155420" w:rsidRDefault="008A1DA2" w:rsidP="004378E4">
            <w:pPr>
              <w:spacing w:before="120" w:after="120"/>
              <w:rPr>
                <w:lang w:bidi="en-US"/>
              </w:rPr>
            </w:pPr>
          </w:p>
        </w:tc>
      </w:tr>
      <w:tr w:rsidR="007D0097" w:rsidRPr="00155420" w14:paraId="6F40832F" w14:textId="77777777" w:rsidTr="008A1DA2">
        <w:tblPrEx>
          <w:tblCellMar>
            <w:top w:w="0" w:type="dxa"/>
            <w:left w:w="0" w:type="dxa"/>
            <w:bottom w:w="0" w:type="dxa"/>
            <w:right w:w="0" w:type="dxa"/>
          </w:tblCellMar>
        </w:tblPrEx>
        <w:trPr>
          <w:trHeight w:val="465"/>
        </w:trPr>
        <w:tc>
          <w:tcPr>
            <w:tcW w:w="7784" w:type="dxa"/>
            <w:gridSpan w:val="3"/>
            <w:vMerge/>
            <w:tcBorders>
              <w:bottom w:val="dotted" w:sz="6" w:space="0" w:color="000000"/>
            </w:tcBorders>
            <w:shd w:val="clear" w:color="auto" w:fill="auto"/>
            <w:vAlign w:val="center"/>
          </w:tcPr>
          <w:p w14:paraId="2BA1F2F4" w14:textId="77777777" w:rsidR="008A1DA2" w:rsidRPr="00155420" w:rsidRDefault="008A1DA2" w:rsidP="004378E4">
            <w:pPr>
              <w:spacing w:before="120" w:after="120"/>
              <w:rPr>
                <w:lang w:bidi="en-US"/>
              </w:rPr>
            </w:pPr>
          </w:p>
        </w:tc>
        <w:tc>
          <w:tcPr>
            <w:tcW w:w="868" w:type="dxa"/>
            <w:tcBorders>
              <w:top w:val="dotted" w:sz="6" w:space="0" w:color="000000"/>
              <w:bottom w:val="dotted" w:sz="6" w:space="0" w:color="000000"/>
            </w:tcBorders>
          </w:tcPr>
          <w:p w14:paraId="7EF24651" w14:textId="77777777" w:rsidR="008A1DA2" w:rsidRPr="00155420" w:rsidRDefault="008A1DA2" w:rsidP="004378E4">
            <w:pPr>
              <w:spacing w:before="120" w:after="120"/>
              <w:rPr>
                <w:lang w:bidi="en-US"/>
              </w:rPr>
            </w:pPr>
          </w:p>
        </w:tc>
        <w:tc>
          <w:tcPr>
            <w:tcW w:w="987" w:type="dxa"/>
            <w:tcBorders>
              <w:bottom w:val="dotted" w:sz="6" w:space="0" w:color="000000"/>
            </w:tcBorders>
          </w:tcPr>
          <w:p w14:paraId="2F807CCD" w14:textId="77777777" w:rsidR="008A1DA2" w:rsidRPr="00155420" w:rsidRDefault="008A1DA2" w:rsidP="004378E4">
            <w:pPr>
              <w:spacing w:before="120" w:after="120"/>
              <w:rPr>
                <w:lang w:bidi="en-US"/>
              </w:rPr>
            </w:pPr>
          </w:p>
        </w:tc>
      </w:tr>
    </w:tbl>
    <w:p w14:paraId="3B326E3A" w14:textId="77777777" w:rsidR="008A1DA2" w:rsidRPr="00FB0570" w:rsidRDefault="008A1DA2" w:rsidP="00D01979">
      <w:pPr>
        <w:spacing w:line="276" w:lineRule="auto"/>
        <w:rPr>
          <w:rFonts w:ascii="Times New Roman" w:hAnsi="Times New Roman" w:cs="Times New Roman"/>
          <w:lang w:bidi="en-US"/>
        </w:rPr>
      </w:pPr>
    </w:p>
    <w:tbl>
      <w:tblPr>
        <w:tblStyle w:val="TableGrid"/>
        <w:tblW w:w="0" w:type="auto"/>
        <w:tblBorders>
          <w:top w:val="single" w:sz="2" w:space="0" w:color="auto"/>
          <w:left w:val="single" w:sz="2" w:space="0" w:color="auto"/>
          <w:bottom w:val="single" w:sz="2" w:space="0" w:color="auto"/>
          <w:right w:val="single" w:sz="2" w:space="0" w:color="auto"/>
          <w:insideH w:val="dotted" w:sz="2" w:space="0" w:color="auto"/>
          <w:insideV w:val="dotted" w:sz="2" w:space="0" w:color="auto"/>
        </w:tblBorders>
        <w:tblLook w:val="04A0" w:firstRow="1" w:lastRow="0" w:firstColumn="1" w:lastColumn="0" w:noHBand="0" w:noVBand="1"/>
      </w:tblPr>
      <w:tblGrid>
        <w:gridCol w:w="1263"/>
        <w:gridCol w:w="3109"/>
        <w:gridCol w:w="918"/>
        <w:gridCol w:w="1255"/>
        <w:gridCol w:w="3086"/>
      </w:tblGrid>
      <w:tr w:rsidR="00566DCF" w:rsidRPr="00FB0570" w14:paraId="0A500310" w14:textId="77777777" w:rsidTr="003A4D6A">
        <w:tc>
          <w:tcPr>
            <w:tcW w:w="4673" w:type="dxa"/>
            <w:gridSpan w:val="2"/>
            <w:tcBorders>
              <w:right w:val="single" w:sz="2" w:space="0" w:color="auto"/>
            </w:tcBorders>
          </w:tcPr>
          <w:p w14:paraId="2C7B45F2" w14:textId="77777777" w:rsidR="00ED18F3" w:rsidRPr="00FB0570" w:rsidRDefault="00ED18F3" w:rsidP="00D01979">
            <w:pPr>
              <w:spacing w:line="276" w:lineRule="auto"/>
              <w:jc w:val="center"/>
              <w:rPr>
                <w:rFonts w:ascii="Times New Roman" w:hAnsi="Times New Roman" w:cs="Times New Roman"/>
                <w:lang w:bidi="en-US"/>
              </w:rPr>
            </w:pPr>
            <w:r w:rsidRPr="00FB0570">
              <w:rPr>
                <w:rFonts w:ascii="Times New Roman" w:hAnsi="Times New Roman" w:cs="Times New Roman"/>
                <w:lang w:bidi="en-US"/>
              </w:rPr>
              <w:t xml:space="preserve">Form checked by </w:t>
            </w:r>
          </w:p>
          <w:p w14:paraId="1037241E" w14:textId="5262128E" w:rsidR="00ED18F3" w:rsidRPr="00FB0570" w:rsidRDefault="00ED18F3" w:rsidP="00D01979">
            <w:pPr>
              <w:spacing w:after="240" w:line="276" w:lineRule="auto"/>
              <w:jc w:val="center"/>
              <w:rPr>
                <w:rFonts w:ascii="Times New Roman" w:hAnsi="Times New Roman" w:cs="Times New Roman"/>
                <w:lang w:bidi="en-US"/>
              </w:rPr>
            </w:pPr>
            <w:r w:rsidRPr="00FB0570">
              <w:rPr>
                <w:rFonts w:ascii="Times New Roman" w:hAnsi="Times New Roman" w:cs="Times New Roman"/>
                <w:lang w:bidi="en-US"/>
              </w:rPr>
              <w:t xml:space="preserve">PIU Environmental </w:t>
            </w:r>
            <w:r w:rsidR="00DB78E0">
              <w:rPr>
                <w:rFonts w:ascii="Times New Roman" w:hAnsi="Times New Roman" w:cs="Times New Roman"/>
                <w:lang w:bidi="en-US"/>
              </w:rPr>
              <w:t>s</w:t>
            </w:r>
            <w:r w:rsidRPr="00FB0570">
              <w:rPr>
                <w:rFonts w:ascii="Times New Roman" w:hAnsi="Times New Roman" w:cs="Times New Roman"/>
                <w:lang w:bidi="en-US"/>
              </w:rPr>
              <w:t xml:space="preserve">pecialist and </w:t>
            </w:r>
            <w:r w:rsidR="00DB78E0">
              <w:rPr>
                <w:rFonts w:ascii="Times New Roman" w:hAnsi="Times New Roman" w:cs="Times New Roman"/>
                <w:lang w:bidi="en-US"/>
              </w:rPr>
              <w:t>S</w:t>
            </w:r>
            <w:r w:rsidR="00DB78E0" w:rsidRPr="00DB78E0">
              <w:rPr>
                <w:rFonts w:ascii="Times New Roman" w:hAnsi="Times New Roman" w:cs="Times New Roman"/>
                <w:lang w:bidi="en-US"/>
              </w:rPr>
              <w:t>ocial safeguard and citizen engagement specialist</w:t>
            </w:r>
          </w:p>
        </w:tc>
        <w:tc>
          <w:tcPr>
            <w:tcW w:w="992" w:type="dxa"/>
            <w:tcBorders>
              <w:top w:val="nil"/>
              <w:left w:val="single" w:sz="2" w:space="0" w:color="auto"/>
              <w:bottom w:val="nil"/>
              <w:right w:val="single" w:sz="2" w:space="0" w:color="auto"/>
            </w:tcBorders>
          </w:tcPr>
          <w:p w14:paraId="2E714627" w14:textId="77777777" w:rsidR="00ED18F3" w:rsidRPr="00FB0570" w:rsidRDefault="00ED18F3" w:rsidP="00D01979">
            <w:pPr>
              <w:spacing w:line="276" w:lineRule="auto"/>
              <w:rPr>
                <w:rFonts w:ascii="Times New Roman" w:hAnsi="Times New Roman" w:cs="Times New Roman"/>
                <w:lang w:bidi="en-US"/>
              </w:rPr>
            </w:pPr>
          </w:p>
        </w:tc>
        <w:tc>
          <w:tcPr>
            <w:tcW w:w="4665" w:type="dxa"/>
            <w:gridSpan w:val="2"/>
            <w:tcBorders>
              <w:top w:val="single" w:sz="2" w:space="0" w:color="auto"/>
              <w:left w:val="single" w:sz="2" w:space="0" w:color="auto"/>
              <w:bottom w:val="dotted" w:sz="2" w:space="0" w:color="auto"/>
            </w:tcBorders>
          </w:tcPr>
          <w:p w14:paraId="4A9D02EF" w14:textId="77777777" w:rsidR="00ED18F3" w:rsidRPr="00FB0570" w:rsidRDefault="00ED18F3" w:rsidP="00D01979">
            <w:pPr>
              <w:spacing w:line="276" w:lineRule="auto"/>
              <w:jc w:val="center"/>
              <w:rPr>
                <w:rFonts w:ascii="Times New Roman" w:hAnsi="Times New Roman" w:cs="Times New Roman"/>
                <w:lang w:bidi="en-US"/>
              </w:rPr>
            </w:pPr>
            <w:r w:rsidRPr="00FB0570">
              <w:rPr>
                <w:rFonts w:ascii="Times New Roman" w:hAnsi="Times New Roman" w:cs="Times New Roman"/>
                <w:lang w:bidi="en-US"/>
              </w:rPr>
              <w:t xml:space="preserve">Form checked by </w:t>
            </w:r>
          </w:p>
          <w:p w14:paraId="04867095" w14:textId="77777777" w:rsidR="00ED18F3" w:rsidRPr="00FB0570" w:rsidRDefault="00ED18F3" w:rsidP="00D01979">
            <w:pPr>
              <w:spacing w:line="276" w:lineRule="auto"/>
              <w:jc w:val="center"/>
              <w:rPr>
                <w:rFonts w:ascii="Times New Roman" w:hAnsi="Times New Roman" w:cs="Times New Roman"/>
                <w:lang w:bidi="en-US"/>
              </w:rPr>
            </w:pPr>
            <w:r w:rsidRPr="00FB0570">
              <w:rPr>
                <w:rFonts w:ascii="Times New Roman" w:hAnsi="Times New Roman" w:cs="Times New Roman"/>
                <w:lang w:bidi="en-US"/>
              </w:rPr>
              <w:t>Head of PIU</w:t>
            </w:r>
          </w:p>
        </w:tc>
      </w:tr>
      <w:tr w:rsidR="00566DCF" w:rsidRPr="00FB0570" w14:paraId="7634FC49" w14:textId="77777777" w:rsidTr="003A4D6A">
        <w:tc>
          <w:tcPr>
            <w:tcW w:w="4673" w:type="dxa"/>
            <w:gridSpan w:val="2"/>
            <w:tcBorders>
              <w:right w:val="single" w:sz="2" w:space="0" w:color="auto"/>
            </w:tcBorders>
          </w:tcPr>
          <w:p w14:paraId="063CDCF8"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Project category:</w:t>
            </w:r>
            <w:r w:rsidRPr="00FB0570">
              <w:rPr>
                <w:rFonts w:ascii="Times New Roman" w:hAnsi="Times New Roman" w:cs="Times New Roman"/>
                <w:lang w:bidi="en-US"/>
              </w:rPr>
              <w:tab/>
              <w:t>H</w:t>
            </w:r>
            <w:r w:rsidRPr="00FB0570">
              <w:rPr>
                <w:rFonts w:ascii="Times New Roman" w:hAnsi="Times New Roman" w:cs="Times New Roman"/>
                <w:lang w:bidi="en-US"/>
              </w:rPr>
              <w:tab/>
              <w:t>S</w:t>
            </w:r>
            <w:r w:rsidRPr="00FB0570">
              <w:rPr>
                <w:rFonts w:ascii="Times New Roman" w:hAnsi="Times New Roman" w:cs="Times New Roman"/>
                <w:lang w:bidi="en-US"/>
              </w:rPr>
              <w:tab/>
              <w:t>M</w:t>
            </w:r>
            <w:r w:rsidRPr="00FB0570">
              <w:rPr>
                <w:rFonts w:ascii="Times New Roman" w:hAnsi="Times New Roman" w:cs="Times New Roman"/>
                <w:lang w:bidi="en-US"/>
              </w:rPr>
              <w:tab/>
              <w:t>L</w:t>
            </w:r>
          </w:p>
        </w:tc>
        <w:tc>
          <w:tcPr>
            <w:tcW w:w="992" w:type="dxa"/>
            <w:tcBorders>
              <w:top w:val="nil"/>
              <w:left w:val="single" w:sz="2" w:space="0" w:color="auto"/>
              <w:bottom w:val="nil"/>
              <w:right w:val="single" w:sz="2" w:space="0" w:color="auto"/>
            </w:tcBorders>
          </w:tcPr>
          <w:p w14:paraId="67F5D328" w14:textId="77777777" w:rsidR="00ED18F3" w:rsidRPr="00FB0570" w:rsidRDefault="00ED18F3" w:rsidP="00D01979">
            <w:pPr>
              <w:spacing w:line="276" w:lineRule="auto"/>
              <w:rPr>
                <w:rFonts w:ascii="Times New Roman" w:hAnsi="Times New Roman" w:cs="Times New Roman"/>
                <w:lang w:bidi="en-US"/>
              </w:rPr>
            </w:pPr>
          </w:p>
        </w:tc>
        <w:tc>
          <w:tcPr>
            <w:tcW w:w="4665" w:type="dxa"/>
            <w:gridSpan w:val="2"/>
            <w:tcBorders>
              <w:top w:val="dotted" w:sz="2" w:space="0" w:color="auto"/>
              <w:left w:val="single" w:sz="2" w:space="0" w:color="auto"/>
              <w:bottom w:val="dotted" w:sz="2" w:space="0" w:color="auto"/>
            </w:tcBorders>
          </w:tcPr>
          <w:p w14:paraId="5CB2A728"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Project category:</w:t>
            </w:r>
            <w:r w:rsidRPr="00FB0570">
              <w:rPr>
                <w:rFonts w:ascii="Times New Roman" w:hAnsi="Times New Roman" w:cs="Times New Roman"/>
                <w:lang w:bidi="en-US"/>
              </w:rPr>
              <w:tab/>
              <w:t>H</w:t>
            </w:r>
            <w:r w:rsidRPr="00FB0570">
              <w:rPr>
                <w:rFonts w:ascii="Times New Roman" w:hAnsi="Times New Roman" w:cs="Times New Roman"/>
                <w:lang w:bidi="en-US"/>
              </w:rPr>
              <w:tab/>
              <w:t>S</w:t>
            </w:r>
            <w:r w:rsidRPr="00FB0570">
              <w:rPr>
                <w:rFonts w:ascii="Times New Roman" w:hAnsi="Times New Roman" w:cs="Times New Roman"/>
                <w:lang w:bidi="en-US"/>
              </w:rPr>
              <w:tab/>
              <w:t>M</w:t>
            </w:r>
            <w:r w:rsidRPr="00FB0570">
              <w:rPr>
                <w:rFonts w:ascii="Times New Roman" w:hAnsi="Times New Roman" w:cs="Times New Roman"/>
                <w:lang w:bidi="en-US"/>
              </w:rPr>
              <w:tab/>
              <w:t>L</w:t>
            </w:r>
          </w:p>
        </w:tc>
      </w:tr>
      <w:tr w:rsidR="00566DCF" w:rsidRPr="00FB0570" w14:paraId="0CAB97EE" w14:textId="77777777" w:rsidTr="003A4D6A">
        <w:tc>
          <w:tcPr>
            <w:tcW w:w="1271" w:type="dxa"/>
          </w:tcPr>
          <w:p w14:paraId="04F25569"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Date</w:t>
            </w:r>
          </w:p>
        </w:tc>
        <w:tc>
          <w:tcPr>
            <w:tcW w:w="3402" w:type="dxa"/>
            <w:tcBorders>
              <w:right w:val="single" w:sz="2" w:space="0" w:color="auto"/>
            </w:tcBorders>
          </w:tcPr>
          <w:p w14:paraId="5FC34C1F" w14:textId="77777777" w:rsidR="00ED18F3" w:rsidRPr="00FB0570"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624C3D31" w14:textId="77777777" w:rsidR="00ED18F3" w:rsidRPr="00FB0570"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dotted" w:sz="2" w:space="0" w:color="auto"/>
            </w:tcBorders>
          </w:tcPr>
          <w:p w14:paraId="21D46B47"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Date</w:t>
            </w:r>
          </w:p>
        </w:tc>
        <w:tc>
          <w:tcPr>
            <w:tcW w:w="3389" w:type="dxa"/>
            <w:tcBorders>
              <w:top w:val="dotted" w:sz="2" w:space="0" w:color="auto"/>
              <w:bottom w:val="dotted" w:sz="2" w:space="0" w:color="auto"/>
            </w:tcBorders>
          </w:tcPr>
          <w:p w14:paraId="6D243A8A" w14:textId="77777777" w:rsidR="00ED18F3" w:rsidRPr="00FB0570" w:rsidRDefault="00ED18F3" w:rsidP="00D01979">
            <w:pPr>
              <w:spacing w:line="276" w:lineRule="auto"/>
              <w:rPr>
                <w:rFonts w:ascii="Times New Roman" w:hAnsi="Times New Roman" w:cs="Times New Roman"/>
                <w:lang w:bidi="en-US"/>
              </w:rPr>
            </w:pPr>
          </w:p>
        </w:tc>
      </w:tr>
      <w:tr w:rsidR="00566DCF" w:rsidRPr="00FB0570" w14:paraId="3CBD0638" w14:textId="77777777" w:rsidTr="003A4D6A">
        <w:tc>
          <w:tcPr>
            <w:tcW w:w="1271" w:type="dxa"/>
          </w:tcPr>
          <w:p w14:paraId="277CADE5"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Name</w:t>
            </w:r>
          </w:p>
        </w:tc>
        <w:tc>
          <w:tcPr>
            <w:tcW w:w="3402" w:type="dxa"/>
            <w:tcBorders>
              <w:right w:val="single" w:sz="2" w:space="0" w:color="auto"/>
            </w:tcBorders>
          </w:tcPr>
          <w:p w14:paraId="7527EE60" w14:textId="77777777" w:rsidR="00ED18F3" w:rsidRPr="00FB0570"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17F0BDF5" w14:textId="77777777" w:rsidR="00ED18F3" w:rsidRPr="00FB0570"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dotted" w:sz="2" w:space="0" w:color="auto"/>
            </w:tcBorders>
          </w:tcPr>
          <w:p w14:paraId="09B414D5"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Name</w:t>
            </w:r>
          </w:p>
        </w:tc>
        <w:tc>
          <w:tcPr>
            <w:tcW w:w="3389" w:type="dxa"/>
            <w:tcBorders>
              <w:top w:val="dotted" w:sz="2" w:space="0" w:color="auto"/>
              <w:bottom w:val="dotted" w:sz="2" w:space="0" w:color="auto"/>
            </w:tcBorders>
          </w:tcPr>
          <w:p w14:paraId="5C8FE507" w14:textId="77777777" w:rsidR="00ED18F3" w:rsidRPr="00FB0570" w:rsidRDefault="00ED18F3" w:rsidP="00D01979">
            <w:pPr>
              <w:spacing w:line="276" w:lineRule="auto"/>
              <w:rPr>
                <w:rFonts w:ascii="Times New Roman" w:hAnsi="Times New Roman" w:cs="Times New Roman"/>
                <w:lang w:bidi="en-US"/>
              </w:rPr>
            </w:pPr>
          </w:p>
        </w:tc>
      </w:tr>
      <w:tr w:rsidR="00566DCF" w:rsidRPr="00FB0570" w14:paraId="2C7B4F9B" w14:textId="77777777" w:rsidTr="003A4D6A">
        <w:tc>
          <w:tcPr>
            <w:tcW w:w="1271" w:type="dxa"/>
          </w:tcPr>
          <w:p w14:paraId="43A858A7"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Title</w:t>
            </w:r>
          </w:p>
        </w:tc>
        <w:tc>
          <w:tcPr>
            <w:tcW w:w="3402" w:type="dxa"/>
            <w:tcBorders>
              <w:right w:val="single" w:sz="2" w:space="0" w:color="auto"/>
            </w:tcBorders>
          </w:tcPr>
          <w:p w14:paraId="2C5DD7C2" w14:textId="77777777" w:rsidR="00ED18F3" w:rsidRPr="00FB0570"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272B0632" w14:textId="77777777" w:rsidR="00ED18F3" w:rsidRPr="00FB0570"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dotted" w:sz="2" w:space="0" w:color="auto"/>
            </w:tcBorders>
          </w:tcPr>
          <w:p w14:paraId="3899620A"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Title</w:t>
            </w:r>
          </w:p>
        </w:tc>
        <w:tc>
          <w:tcPr>
            <w:tcW w:w="3389" w:type="dxa"/>
            <w:tcBorders>
              <w:top w:val="dotted" w:sz="2" w:space="0" w:color="auto"/>
              <w:bottom w:val="dotted" w:sz="2" w:space="0" w:color="auto"/>
            </w:tcBorders>
          </w:tcPr>
          <w:p w14:paraId="6F52E41C" w14:textId="77777777" w:rsidR="00ED18F3" w:rsidRPr="00FB0570" w:rsidRDefault="00ED18F3" w:rsidP="00D01979">
            <w:pPr>
              <w:spacing w:line="276" w:lineRule="auto"/>
              <w:rPr>
                <w:rFonts w:ascii="Times New Roman" w:hAnsi="Times New Roman" w:cs="Times New Roman"/>
                <w:lang w:bidi="en-US"/>
              </w:rPr>
            </w:pPr>
          </w:p>
        </w:tc>
      </w:tr>
      <w:tr w:rsidR="00566DCF" w:rsidRPr="00FB0570" w14:paraId="58A6F629" w14:textId="77777777" w:rsidTr="003A4D6A">
        <w:tc>
          <w:tcPr>
            <w:tcW w:w="1271" w:type="dxa"/>
          </w:tcPr>
          <w:p w14:paraId="319A405E"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 xml:space="preserve">Signature </w:t>
            </w:r>
          </w:p>
        </w:tc>
        <w:tc>
          <w:tcPr>
            <w:tcW w:w="3402" w:type="dxa"/>
            <w:tcBorders>
              <w:right w:val="single" w:sz="2" w:space="0" w:color="auto"/>
            </w:tcBorders>
          </w:tcPr>
          <w:p w14:paraId="05A42B45" w14:textId="77777777" w:rsidR="00ED18F3" w:rsidRPr="00FB0570" w:rsidRDefault="00ED18F3" w:rsidP="00D01979">
            <w:pPr>
              <w:spacing w:line="276" w:lineRule="auto"/>
              <w:rPr>
                <w:rFonts w:ascii="Times New Roman" w:hAnsi="Times New Roman" w:cs="Times New Roman"/>
                <w:lang w:bidi="en-US"/>
              </w:rPr>
            </w:pPr>
          </w:p>
        </w:tc>
        <w:tc>
          <w:tcPr>
            <w:tcW w:w="992" w:type="dxa"/>
            <w:tcBorders>
              <w:top w:val="nil"/>
              <w:left w:val="single" w:sz="2" w:space="0" w:color="auto"/>
              <w:bottom w:val="nil"/>
              <w:right w:val="single" w:sz="2" w:space="0" w:color="auto"/>
            </w:tcBorders>
          </w:tcPr>
          <w:p w14:paraId="061CB6BC" w14:textId="77777777" w:rsidR="00ED18F3" w:rsidRPr="00FB0570" w:rsidRDefault="00ED18F3" w:rsidP="00D01979">
            <w:pPr>
              <w:spacing w:line="276" w:lineRule="auto"/>
              <w:rPr>
                <w:rFonts w:ascii="Times New Roman" w:hAnsi="Times New Roman" w:cs="Times New Roman"/>
                <w:lang w:bidi="en-US"/>
              </w:rPr>
            </w:pPr>
          </w:p>
        </w:tc>
        <w:tc>
          <w:tcPr>
            <w:tcW w:w="1276" w:type="dxa"/>
            <w:tcBorders>
              <w:top w:val="dotted" w:sz="2" w:space="0" w:color="auto"/>
              <w:left w:val="single" w:sz="2" w:space="0" w:color="auto"/>
              <w:bottom w:val="single" w:sz="2" w:space="0" w:color="auto"/>
            </w:tcBorders>
          </w:tcPr>
          <w:p w14:paraId="169AF469" w14:textId="77777777" w:rsidR="00ED18F3" w:rsidRPr="00FB0570" w:rsidRDefault="00ED18F3" w:rsidP="00D01979">
            <w:pPr>
              <w:spacing w:line="276" w:lineRule="auto"/>
              <w:rPr>
                <w:rFonts w:ascii="Times New Roman" w:hAnsi="Times New Roman" w:cs="Times New Roman"/>
                <w:lang w:bidi="en-US"/>
              </w:rPr>
            </w:pPr>
            <w:r w:rsidRPr="00FB0570">
              <w:rPr>
                <w:rFonts w:ascii="Times New Roman" w:hAnsi="Times New Roman" w:cs="Times New Roman"/>
                <w:lang w:bidi="en-US"/>
              </w:rPr>
              <w:t xml:space="preserve">Signature </w:t>
            </w:r>
          </w:p>
        </w:tc>
        <w:tc>
          <w:tcPr>
            <w:tcW w:w="3389" w:type="dxa"/>
            <w:tcBorders>
              <w:top w:val="dotted" w:sz="2" w:space="0" w:color="auto"/>
              <w:bottom w:val="single" w:sz="2" w:space="0" w:color="auto"/>
            </w:tcBorders>
          </w:tcPr>
          <w:p w14:paraId="519F16C4" w14:textId="77777777" w:rsidR="00ED18F3" w:rsidRPr="00FB0570" w:rsidRDefault="00ED18F3" w:rsidP="00D01979">
            <w:pPr>
              <w:spacing w:line="276" w:lineRule="auto"/>
              <w:rPr>
                <w:rFonts w:ascii="Times New Roman" w:hAnsi="Times New Roman" w:cs="Times New Roman"/>
                <w:lang w:bidi="en-US"/>
              </w:rPr>
            </w:pPr>
          </w:p>
        </w:tc>
      </w:tr>
    </w:tbl>
    <w:p w14:paraId="6E5977E1" w14:textId="7958F4E3" w:rsidR="005C4EB4" w:rsidRPr="00FB0570" w:rsidRDefault="005C4EB4" w:rsidP="00D01979">
      <w:pPr>
        <w:spacing w:line="276" w:lineRule="auto"/>
        <w:rPr>
          <w:rFonts w:ascii="Times New Roman" w:hAnsi="Times New Roman" w:cs="Times New Roman"/>
        </w:rPr>
      </w:pPr>
      <w:r w:rsidRPr="00FB0570">
        <w:rPr>
          <w:rFonts w:ascii="Times New Roman" w:hAnsi="Times New Roman" w:cs="Times New Roman"/>
        </w:rPr>
        <w:br w:type="page"/>
      </w:r>
    </w:p>
    <w:p w14:paraId="64B795EF" w14:textId="3D6BDBFD" w:rsidR="005C4EB4" w:rsidRPr="00D01979" w:rsidRDefault="005C4EB4" w:rsidP="00D01979">
      <w:pPr>
        <w:pStyle w:val="Heading1"/>
        <w:tabs>
          <w:tab w:val="left" w:pos="284"/>
        </w:tabs>
        <w:spacing w:before="0" w:after="120" w:line="276" w:lineRule="auto"/>
        <w:jc w:val="both"/>
        <w:rPr>
          <w:rFonts w:ascii="Times New Roman" w:hAnsi="Times New Roman" w:cs="Times New Roman"/>
          <w:sz w:val="28"/>
          <w:szCs w:val="30"/>
        </w:rPr>
      </w:pPr>
      <w:bookmarkStart w:id="715" w:name="_Toc93342338"/>
      <w:r w:rsidRPr="00D01979">
        <w:rPr>
          <w:rFonts w:ascii="Times New Roman" w:hAnsi="Times New Roman" w:cs="Times New Roman"/>
          <w:smallCaps w:val="0"/>
          <w:color w:val="auto"/>
          <w:sz w:val="28"/>
          <w:szCs w:val="30"/>
        </w:rPr>
        <w:t xml:space="preserve">Annex </w:t>
      </w:r>
      <w:r w:rsidR="00E2669C">
        <w:rPr>
          <w:rFonts w:ascii="Times New Roman" w:hAnsi="Times New Roman" w:cs="Times New Roman"/>
          <w:smallCaps w:val="0"/>
          <w:color w:val="auto"/>
          <w:sz w:val="28"/>
          <w:szCs w:val="30"/>
        </w:rPr>
        <w:t>9</w:t>
      </w:r>
      <w:r w:rsidRPr="00D01979">
        <w:rPr>
          <w:rFonts w:ascii="Times New Roman" w:hAnsi="Times New Roman" w:cs="Times New Roman"/>
          <w:smallCaps w:val="0"/>
          <w:color w:val="auto"/>
          <w:sz w:val="28"/>
          <w:szCs w:val="30"/>
        </w:rPr>
        <w:t>: Terms of Reference for Financial Audit</w:t>
      </w:r>
      <w:bookmarkEnd w:id="715"/>
      <w:r w:rsidRPr="00D01979">
        <w:rPr>
          <w:rFonts w:ascii="Times New Roman" w:hAnsi="Times New Roman" w:cs="Times New Roman"/>
          <w:smallCaps w:val="0"/>
          <w:color w:val="auto"/>
          <w:sz w:val="28"/>
          <w:szCs w:val="30"/>
        </w:rPr>
        <w:t xml:space="preserve"> </w:t>
      </w:r>
    </w:p>
    <w:p w14:paraId="32B3A6F2" w14:textId="31187053" w:rsidR="005C4EB4" w:rsidRPr="00D01979" w:rsidRDefault="005C4EB4" w:rsidP="00D01979">
      <w:pPr>
        <w:spacing w:line="276" w:lineRule="auto"/>
        <w:rPr>
          <w:rFonts w:ascii="Times New Roman" w:hAnsi="Times New Roman" w:cs="Times New Roman"/>
        </w:rPr>
      </w:pPr>
    </w:p>
    <w:p w14:paraId="5C0E1BE3" w14:textId="77777777" w:rsidR="005C4EB4" w:rsidRPr="006B72B5" w:rsidRDefault="005C4EB4" w:rsidP="00D01979">
      <w:pPr>
        <w:pStyle w:val="Title"/>
        <w:spacing w:line="276" w:lineRule="auto"/>
        <w:jc w:val="center"/>
        <w:rPr>
          <w:rFonts w:ascii="Times New Roman" w:hAnsi="Times New Roman" w:cs="Times New Roman"/>
          <w:b/>
          <w:sz w:val="22"/>
          <w:szCs w:val="22"/>
        </w:rPr>
      </w:pPr>
      <w:r w:rsidRPr="006B72B5">
        <w:rPr>
          <w:rFonts w:ascii="Times New Roman" w:hAnsi="Times New Roman" w:cs="Times New Roman"/>
          <w:b/>
          <w:sz w:val="22"/>
          <w:szCs w:val="22"/>
        </w:rPr>
        <w:t>TERMS OF REFERENCE (TOR)</w:t>
      </w:r>
    </w:p>
    <w:p w14:paraId="2450B8F5" w14:textId="70354FA2" w:rsidR="005C4EB4" w:rsidRPr="006B72B5" w:rsidRDefault="005C4EB4" w:rsidP="00D01979">
      <w:pPr>
        <w:pStyle w:val="Title"/>
        <w:spacing w:line="276" w:lineRule="auto"/>
        <w:jc w:val="center"/>
        <w:rPr>
          <w:rFonts w:ascii="Times New Roman" w:hAnsi="Times New Roman" w:cs="Times New Roman"/>
          <w:b/>
          <w:sz w:val="22"/>
          <w:szCs w:val="22"/>
        </w:rPr>
      </w:pPr>
      <w:r w:rsidRPr="006B72B5">
        <w:rPr>
          <w:rFonts w:ascii="Times New Roman" w:hAnsi="Times New Roman" w:cs="Times New Roman"/>
          <w:b/>
          <w:sz w:val="22"/>
          <w:szCs w:val="22"/>
        </w:rPr>
        <w:t>FOR THE AUDIT OF THE SERBIA LOCAL INFRASTRUCTURE AND INSTITUTIONAL DEVELOPMENT PROJECT THE YEARS 2022 -2026</w:t>
      </w:r>
    </w:p>
    <w:p w14:paraId="47D456EF" w14:textId="77777777" w:rsidR="005C4EB4" w:rsidRPr="00D01979" w:rsidRDefault="005C4EB4" w:rsidP="00D01979">
      <w:pPr>
        <w:pStyle w:val="Title"/>
        <w:spacing w:line="276" w:lineRule="auto"/>
        <w:rPr>
          <w:rFonts w:ascii="Times New Roman" w:hAnsi="Times New Roman" w:cs="Times New Roman"/>
          <w:color w:val="FF0000"/>
          <w:sz w:val="22"/>
          <w:szCs w:val="22"/>
        </w:rPr>
      </w:pPr>
    </w:p>
    <w:p w14:paraId="3817F70D" w14:textId="77777777" w:rsidR="005C4EB4" w:rsidRPr="00D01979" w:rsidRDefault="005C4EB4" w:rsidP="00D01979">
      <w:pPr>
        <w:pStyle w:val="BodyText"/>
        <w:tabs>
          <w:tab w:val="left" w:pos="720"/>
        </w:tabs>
        <w:spacing w:before="240" w:line="276" w:lineRule="auto"/>
        <w:jc w:val="center"/>
        <w:rPr>
          <w:rFonts w:ascii="Times New Roman" w:hAnsi="Times New Roman"/>
          <w:b/>
          <w:bCs w:val="0"/>
          <w:lang w:val="en-GB"/>
        </w:rPr>
      </w:pPr>
      <w:r w:rsidRPr="00D01979">
        <w:rPr>
          <w:rFonts w:ascii="Times New Roman" w:hAnsi="Times New Roman"/>
          <w:b/>
          <w:lang w:val="en-GB"/>
        </w:rPr>
        <w:t xml:space="preserve">Background </w:t>
      </w:r>
      <w:r w:rsidRPr="00D01979">
        <w:rPr>
          <w:rFonts w:ascii="Times New Roman" w:hAnsi="Times New Roman"/>
          <w:b/>
          <w:color w:val="0000FF"/>
          <w:lang w:val="en-GB"/>
        </w:rPr>
        <w:t>[</w:t>
      </w:r>
      <w:r w:rsidRPr="00D01979">
        <w:rPr>
          <w:rFonts w:ascii="Times New Roman" w:hAnsi="Times New Roman"/>
          <w:b/>
          <w:i/>
          <w:iCs/>
          <w:color w:val="0000FF"/>
          <w:lang w:val="en-GB"/>
        </w:rPr>
        <w:t>OPTIONAL</w:t>
      </w:r>
      <w:r w:rsidRPr="00D01979">
        <w:rPr>
          <w:rFonts w:ascii="Times New Roman" w:hAnsi="Times New Roman"/>
          <w:b/>
          <w:color w:val="0000FF"/>
          <w:lang w:val="en-GB"/>
        </w:rPr>
        <w:t>]</w:t>
      </w:r>
    </w:p>
    <w:p w14:paraId="0A6D7A9A" w14:textId="77777777" w:rsidR="005C4EB4" w:rsidRPr="00D01979" w:rsidRDefault="005C4EB4" w:rsidP="00D01979">
      <w:pPr>
        <w:pStyle w:val="BodyText"/>
        <w:tabs>
          <w:tab w:val="left" w:pos="720"/>
        </w:tabs>
        <w:spacing w:line="276" w:lineRule="auto"/>
        <w:rPr>
          <w:rFonts w:ascii="Times New Roman" w:hAnsi="Times New Roman"/>
          <w:i/>
          <w:iCs/>
          <w:color w:val="0000FF"/>
          <w:lang w:val="en-GB"/>
        </w:rPr>
      </w:pPr>
      <w:r w:rsidRPr="00D01979">
        <w:rPr>
          <w:rFonts w:ascii="Times New Roman" w:hAnsi="Times New Roman"/>
          <w:i/>
          <w:iCs/>
          <w:color w:val="0000FF"/>
          <w:lang w:val="en-GB"/>
        </w:rPr>
        <w:t>The TOR should provide appropriate background information of the project, including:</w:t>
      </w:r>
    </w:p>
    <w:p w14:paraId="2505275C" w14:textId="77777777" w:rsidR="005C4EB4" w:rsidRPr="00D01979" w:rsidRDefault="005C4EB4" w:rsidP="00D01979">
      <w:pPr>
        <w:pStyle w:val="BodyText"/>
        <w:tabs>
          <w:tab w:val="left" w:pos="720"/>
        </w:tabs>
        <w:spacing w:line="276" w:lineRule="auto"/>
        <w:ind w:left="720" w:hanging="360"/>
        <w:rPr>
          <w:rFonts w:ascii="Times New Roman" w:hAnsi="Times New Roman"/>
          <w:i/>
          <w:iCs/>
          <w:color w:val="0000FF"/>
          <w:lang w:val="en-GB"/>
        </w:rPr>
      </w:pPr>
      <w:r w:rsidRPr="00D01979">
        <w:rPr>
          <w:rFonts w:ascii="Times New Roman" w:hAnsi="Times New Roman"/>
          <w:i/>
          <w:iCs/>
          <w:color w:val="0000FF"/>
          <w:lang w:val="en-GB"/>
        </w:rPr>
        <w:t>(a)</w:t>
      </w:r>
      <w:r w:rsidRPr="00D01979">
        <w:rPr>
          <w:rFonts w:ascii="Times New Roman" w:hAnsi="Times New Roman"/>
          <w:i/>
          <w:iCs/>
          <w:color w:val="0000FF"/>
          <w:lang w:val="en-GB"/>
        </w:rPr>
        <w:tab/>
        <w:t xml:space="preserve"> a brief description of the project including information on project sources of funding;</w:t>
      </w:r>
    </w:p>
    <w:p w14:paraId="51C3BDDA" w14:textId="77777777" w:rsidR="005C4EB4" w:rsidRPr="00D01979" w:rsidRDefault="005C4EB4" w:rsidP="00D01979">
      <w:pPr>
        <w:pStyle w:val="BodyText"/>
        <w:tabs>
          <w:tab w:val="left" w:pos="720"/>
        </w:tabs>
        <w:spacing w:line="276" w:lineRule="auto"/>
        <w:ind w:left="714" w:hanging="357"/>
        <w:rPr>
          <w:rFonts w:ascii="Times New Roman" w:hAnsi="Times New Roman"/>
          <w:i/>
          <w:iCs/>
          <w:color w:val="0000FF"/>
          <w:lang w:val="en-GB"/>
        </w:rPr>
      </w:pPr>
      <w:r w:rsidRPr="00D01979">
        <w:rPr>
          <w:rFonts w:ascii="Times New Roman" w:hAnsi="Times New Roman"/>
          <w:i/>
          <w:iCs/>
          <w:color w:val="0000FF"/>
          <w:lang w:val="en-GB"/>
        </w:rPr>
        <w:t xml:space="preserve">(b) a general description of implementation arrangements, including the organizational structure of all implementing entities (if more than one); </w:t>
      </w:r>
    </w:p>
    <w:p w14:paraId="5D572E55" w14:textId="77777777" w:rsidR="005C4EB4" w:rsidRPr="00D01979" w:rsidRDefault="005C4EB4" w:rsidP="00D01979">
      <w:pPr>
        <w:pStyle w:val="BodyText"/>
        <w:tabs>
          <w:tab w:val="left" w:pos="720"/>
        </w:tabs>
        <w:spacing w:line="276" w:lineRule="auto"/>
        <w:ind w:left="720" w:hanging="360"/>
        <w:rPr>
          <w:rFonts w:ascii="Times New Roman" w:hAnsi="Times New Roman"/>
          <w:i/>
          <w:iCs/>
          <w:color w:val="0000FF"/>
          <w:lang w:val="en-GB"/>
        </w:rPr>
      </w:pPr>
      <w:r w:rsidRPr="00D01979">
        <w:rPr>
          <w:rFonts w:ascii="Times New Roman" w:hAnsi="Times New Roman"/>
          <w:i/>
          <w:iCs/>
          <w:color w:val="0000FF"/>
          <w:lang w:val="en-GB"/>
        </w:rPr>
        <w:t>(c) list the source and total amount of funds for the period subject to audit under this TOR (Bank’s loan/credit, trust funds, counterpart funds, etc).</w:t>
      </w:r>
    </w:p>
    <w:p w14:paraId="7499606C" w14:textId="77777777" w:rsidR="005C4EB4" w:rsidRPr="00D01979" w:rsidRDefault="005C4EB4" w:rsidP="00D01979">
      <w:pPr>
        <w:spacing w:line="276" w:lineRule="auto"/>
        <w:jc w:val="center"/>
        <w:rPr>
          <w:rFonts w:ascii="Times New Roman" w:hAnsi="Times New Roman" w:cs="Times New Roman"/>
          <w:b/>
        </w:rPr>
      </w:pPr>
    </w:p>
    <w:p w14:paraId="3B14FE81" w14:textId="77777777" w:rsidR="005C4EB4" w:rsidRPr="00D01979" w:rsidRDefault="005C4EB4" w:rsidP="00D01979">
      <w:pPr>
        <w:spacing w:line="276" w:lineRule="auto"/>
        <w:jc w:val="center"/>
        <w:rPr>
          <w:rFonts w:ascii="Times New Roman" w:hAnsi="Times New Roman" w:cs="Times New Roman"/>
          <w:b/>
        </w:rPr>
      </w:pPr>
      <w:r w:rsidRPr="00D01979">
        <w:rPr>
          <w:rFonts w:ascii="Times New Roman" w:hAnsi="Times New Roman" w:cs="Times New Roman"/>
          <w:b/>
        </w:rPr>
        <w:t>Objective</w:t>
      </w:r>
    </w:p>
    <w:p w14:paraId="2F746AAA" w14:textId="77777777" w:rsidR="005C4EB4" w:rsidRPr="00D01979" w:rsidRDefault="005C4EB4" w:rsidP="00665F55">
      <w:pPr>
        <w:pStyle w:val="BodyText"/>
        <w:spacing w:after="240" w:line="276" w:lineRule="auto"/>
        <w:jc w:val="both"/>
        <w:rPr>
          <w:rFonts w:ascii="Times New Roman" w:hAnsi="Times New Roman"/>
          <w:lang w:val="en-GB"/>
        </w:rPr>
      </w:pPr>
      <w:r w:rsidRPr="00D01979">
        <w:rPr>
          <w:rFonts w:ascii="Times New Roman" w:hAnsi="Times New Roman"/>
          <w:lang w:val="en-GB"/>
        </w:rPr>
        <w:t xml:space="preserve">The objective of the audit of the project financial statements (PFS) is to enable the auditor to express a professional opinion on the project's financial position as at the end of </w:t>
      </w:r>
      <w:r w:rsidRPr="00D01979">
        <w:rPr>
          <w:rFonts w:ascii="Times New Roman" w:hAnsi="Times New Roman"/>
          <w:color w:val="FF0000"/>
          <w:lang w:val="en-GB"/>
        </w:rPr>
        <w:t>[AUDIT REFERENCE DATE]</w:t>
      </w:r>
      <w:r w:rsidRPr="00D01979">
        <w:rPr>
          <w:rFonts w:ascii="Times New Roman" w:hAnsi="Times New Roman"/>
          <w:lang w:val="en-GB"/>
        </w:rPr>
        <w:t xml:space="preserve"> and of the income and expenditure for the accounting period ending on that date. The project's books of account provide the basis for preparation of the financial statements and are established to reflect the financial transactions in respect of the project. </w:t>
      </w:r>
    </w:p>
    <w:p w14:paraId="202CC065" w14:textId="77777777" w:rsidR="005C4EB4" w:rsidRPr="00D01979" w:rsidRDefault="005C4EB4" w:rsidP="00665F55">
      <w:pPr>
        <w:spacing w:line="276" w:lineRule="auto"/>
        <w:jc w:val="both"/>
        <w:rPr>
          <w:rFonts w:ascii="Times New Roman" w:hAnsi="Times New Roman" w:cs="Times New Roman"/>
          <w:b/>
        </w:rPr>
      </w:pPr>
      <w:r w:rsidRPr="00D01979">
        <w:rPr>
          <w:rFonts w:ascii="Times New Roman" w:hAnsi="Times New Roman" w:cs="Times New Roman"/>
          <w:b/>
        </w:rPr>
        <w:t>Responsibility for preparation of financial statements</w:t>
      </w:r>
    </w:p>
    <w:p w14:paraId="6FDDA4DA" w14:textId="77777777" w:rsidR="005C4EB4" w:rsidRPr="00D01979" w:rsidRDefault="005C4EB4" w:rsidP="00665F55">
      <w:pPr>
        <w:pStyle w:val="BodyText"/>
        <w:spacing w:after="240" w:line="276" w:lineRule="auto"/>
        <w:jc w:val="both"/>
        <w:rPr>
          <w:rFonts w:ascii="Times New Roman" w:hAnsi="Times New Roman"/>
          <w:lang w:val="en-GB"/>
        </w:rPr>
      </w:pPr>
      <w:r w:rsidRPr="00D01979">
        <w:rPr>
          <w:rFonts w:ascii="Times New Roman" w:hAnsi="Times New Roman"/>
          <w:lang w:val="en-GB"/>
        </w:rPr>
        <w:t>The responsibility for the preparation of financial statements including adequate disclosure is that of the project’s management. This includes the maintenance of adequate accounting records and internal controls, the selection and application of accounting policies, and the safeguarding of the assets of the project. As part of the audit process, the auditor will request from management written confirmation concerning representations made to us in connection with the audit.</w:t>
      </w:r>
    </w:p>
    <w:p w14:paraId="250A27F2" w14:textId="77777777" w:rsidR="005C4EB4" w:rsidRPr="00D01979" w:rsidRDefault="005C4EB4" w:rsidP="00D01979">
      <w:pPr>
        <w:spacing w:line="276" w:lineRule="auto"/>
        <w:jc w:val="center"/>
        <w:rPr>
          <w:rFonts w:ascii="Times New Roman" w:hAnsi="Times New Roman" w:cs="Times New Roman"/>
          <w:b/>
        </w:rPr>
      </w:pPr>
      <w:r w:rsidRPr="00D01979">
        <w:rPr>
          <w:rFonts w:ascii="Times New Roman" w:hAnsi="Times New Roman" w:cs="Times New Roman"/>
          <w:b/>
        </w:rPr>
        <w:t>Scope</w:t>
      </w:r>
    </w:p>
    <w:p w14:paraId="11AB465C" w14:textId="77777777" w:rsidR="005C4EB4" w:rsidRPr="00D01979" w:rsidRDefault="005C4EB4" w:rsidP="00665F55">
      <w:pPr>
        <w:autoSpaceDE w:val="0"/>
        <w:autoSpaceDN w:val="0"/>
        <w:adjustRightInd w:val="0"/>
        <w:spacing w:line="276" w:lineRule="auto"/>
        <w:jc w:val="both"/>
        <w:rPr>
          <w:rFonts w:ascii="Times New Roman" w:hAnsi="Times New Roman" w:cs="Times New Roman"/>
        </w:rPr>
      </w:pPr>
      <w:r w:rsidRPr="00D01979">
        <w:rPr>
          <w:rFonts w:ascii="Times New Roman" w:hAnsi="Times New Roman" w:cs="Times New Roman"/>
        </w:rPr>
        <w:t xml:space="preserve">The audit will be conducted in accordance with </w:t>
      </w:r>
      <w:hyperlink r:id="rId70" w:history="1">
        <w:r w:rsidRPr="00D01979">
          <w:rPr>
            <w:rFonts w:ascii="Times New Roman" w:hAnsi="Times New Roman" w:cs="Times New Roman"/>
          </w:rPr>
          <w:t>International Standards on Auditing</w:t>
        </w:r>
      </w:hyperlink>
      <w:r w:rsidRPr="00D01979">
        <w:rPr>
          <w:rFonts w:ascii="Times New Roman" w:hAnsi="Times New Roman" w:cs="Times New Roman"/>
        </w:rPr>
        <w:t xml:space="preserve"> (ISA) published by the International Auditing and Assurance Standards Board of the International Federation of Accountants (IFAC) </w:t>
      </w:r>
      <w:r w:rsidRPr="00D01979">
        <w:rPr>
          <w:rFonts w:ascii="Times New Roman" w:hAnsi="Times New Roman" w:cs="Times New Roman"/>
          <w:color w:val="FF0000"/>
        </w:rPr>
        <w:t>[</w:t>
      </w:r>
      <w:r w:rsidRPr="00D01979">
        <w:rPr>
          <w:rFonts w:ascii="Times New Roman" w:hAnsi="Times New Roman" w:cs="Times New Roman"/>
          <w:i/>
          <w:color w:val="FF0000"/>
        </w:rPr>
        <w:t>OR REFER TO RELEVANT NATIONAL STANDARDS OR PRACTICES</w:t>
      </w:r>
      <w:r w:rsidRPr="00D01979">
        <w:rPr>
          <w:rFonts w:ascii="Times New Roman" w:hAnsi="Times New Roman" w:cs="Times New Roman"/>
          <w:color w:val="FF0000"/>
        </w:rPr>
        <w:t>]</w:t>
      </w:r>
      <w:r w:rsidRPr="00D01979">
        <w:rPr>
          <w:rFonts w:ascii="Times New Roman" w:hAnsi="Times New Roman" w:cs="Times New Roman"/>
        </w:rPr>
        <w:t xml:space="preserve">. Those Standards require that the auditor plans and performs the audit to obtain reasonable assurance about whether the financial statements are free of material misstatements. An audit includes examining, on a test basis, evidence supporting the amounts and disclosures in the financial statements. An audit also includes assessing the accounting principles used and significant estimates made by management, as well as evaluating the overall financial statement presentation. </w:t>
      </w:r>
    </w:p>
    <w:p w14:paraId="72B6E9EC" w14:textId="77777777" w:rsidR="005C4EB4" w:rsidRPr="00D01979" w:rsidRDefault="005C4EB4" w:rsidP="00665F55">
      <w:pPr>
        <w:autoSpaceDE w:val="0"/>
        <w:autoSpaceDN w:val="0"/>
        <w:adjustRightInd w:val="0"/>
        <w:spacing w:line="276" w:lineRule="auto"/>
        <w:jc w:val="both"/>
        <w:rPr>
          <w:rFonts w:ascii="Times New Roman" w:hAnsi="Times New Roman" w:cs="Times New Roman"/>
        </w:rPr>
      </w:pPr>
      <w:r w:rsidRPr="00D01979">
        <w:rPr>
          <w:rFonts w:ascii="Times New Roman" w:hAnsi="Times New Roman" w:cs="Times New Roman"/>
        </w:rPr>
        <w:t>In complying with ISA, the auditor is expected to pay particular attention to the following matters, including special considerations for public sector entities:</w:t>
      </w:r>
    </w:p>
    <w:p w14:paraId="6E38ECE8" w14:textId="77777777" w:rsidR="005C4EB4" w:rsidRPr="00D01979" w:rsidRDefault="005C4EB4" w:rsidP="00FC208B">
      <w:pPr>
        <w:numPr>
          <w:ilvl w:val="0"/>
          <w:numId w:val="298"/>
        </w:numPr>
        <w:autoSpaceDE w:val="0"/>
        <w:autoSpaceDN w:val="0"/>
        <w:adjustRightInd w:val="0"/>
        <w:spacing w:after="0" w:line="276" w:lineRule="auto"/>
        <w:jc w:val="both"/>
        <w:rPr>
          <w:rFonts w:ascii="Times New Roman" w:hAnsi="Times New Roman" w:cs="Times New Roman"/>
          <w:bCs/>
        </w:rPr>
      </w:pPr>
      <w:r w:rsidRPr="00D01979">
        <w:rPr>
          <w:rFonts w:ascii="Times New Roman" w:hAnsi="Times New Roman" w:cs="Times New Roman"/>
          <w:bCs/>
        </w:rPr>
        <w:t xml:space="preserve">In planning and performing the audit to reduce audit risk to an acceptably low level, the auditor should consider the risks of material misstatements in the financial statements due to fraud as required by </w:t>
      </w:r>
      <w:hyperlink r:id="rId71" w:history="1">
        <w:r w:rsidRPr="00D01979">
          <w:rPr>
            <w:rFonts w:ascii="Times New Roman" w:hAnsi="Times New Roman" w:cs="Times New Roman"/>
          </w:rPr>
          <w:t xml:space="preserve">International Standard on Auditing 240: </w:t>
        </w:r>
        <w:r w:rsidRPr="00D01979">
          <w:rPr>
            <w:rFonts w:ascii="Times New Roman" w:hAnsi="Times New Roman" w:cs="Times New Roman"/>
            <w:bCs/>
          </w:rPr>
          <w:t>The Auditor’s Responsibilities Relating to Fraud in an Audit of Financial Statements</w:t>
        </w:r>
      </w:hyperlink>
      <w:r w:rsidRPr="00D01979">
        <w:rPr>
          <w:rFonts w:ascii="Times New Roman" w:hAnsi="Times New Roman" w:cs="Times New Roman"/>
          <w:bCs/>
        </w:rPr>
        <w:t>.</w:t>
      </w:r>
      <w:r w:rsidRPr="00D01979">
        <w:rPr>
          <w:rFonts w:ascii="Times New Roman" w:hAnsi="Times New Roman" w:cs="Times New Roman"/>
        </w:rPr>
        <w:t xml:space="preserve"> </w:t>
      </w:r>
    </w:p>
    <w:p w14:paraId="18E568F5" w14:textId="77777777" w:rsidR="005C4EB4" w:rsidRPr="00D01979" w:rsidRDefault="005C4EB4" w:rsidP="00D01979">
      <w:pPr>
        <w:numPr>
          <w:ilvl w:val="0"/>
          <w:numId w:val="298"/>
        </w:numPr>
        <w:autoSpaceDE w:val="0"/>
        <w:autoSpaceDN w:val="0"/>
        <w:adjustRightInd w:val="0"/>
        <w:spacing w:after="0" w:line="276" w:lineRule="auto"/>
        <w:jc w:val="both"/>
        <w:rPr>
          <w:rFonts w:ascii="Times New Roman" w:hAnsi="Times New Roman" w:cs="Times New Roman"/>
        </w:rPr>
      </w:pPr>
      <w:r w:rsidRPr="00D01979">
        <w:rPr>
          <w:rFonts w:ascii="Times New Roman" w:hAnsi="Times New Roman" w:cs="Times New Roman"/>
          <w:bCs/>
        </w:rPr>
        <w:t xml:space="preserve">When designing and performing audit procedures and in evaluating and reporting the results thereof, the auditor should recognize that noncompliance by the entity with laws and regulations may materially affect the financial statements as required by </w:t>
      </w:r>
      <w:hyperlink r:id="rId72" w:history="1">
        <w:r w:rsidRPr="00D01979">
          <w:rPr>
            <w:rFonts w:ascii="Times New Roman" w:hAnsi="Times New Roman" w:cs="Times New Roman"/>
          </w:rPr>
          <w:t>International Standard on Auditing 250: Consideration of Laws and Regulations in an Audit of Financial Statements</w:t>
        </w:r>
      </w:hyperlink>
      <w:r w:rsidRPr="00D01979">
        <w:rPr>
          <w:rFonts w:ascii="Times New Roman" w:hAnsi="Times New Roman" w:cs="Times New Roman"/>
        </w:rPr>
        <w:t>.</w:t>
      </w:r>
    </w:p>
    <w:p w14:paraId="33F84F67" w14:textId="77777777" w:rsidR="005C4EB4" w:rsidRPr="00D01979" w:rsidRDefault="005C4EB4" w:rsidP="00D01979">
      <w:pPr>
        <w:numPr>
          <w:ilvl w:val="0"/>
          <w:numId w:val="298"/>
        </w:numPr>
        <w:autoSpaceDE w:val="0"/>
        <w:autoSpaceDN w:val="0"/>
        <w:adjustRightInd w:val="0"/>
        <w:spacing w:after="0" w:line="276" w:lineRule="auto"/>
        <w:jc w:val="both"/>
        <w:rPr>
          <w:rFonts w:ascii="Times New Roman" w:hAnsi="Times New Roman" w:cs="Times New Roman"/>
          <w:bCs/>
        </w:rPr>
      </w:pPr>
      <w:r w:rsidRPr="00D01979">
        <w:rPr>
          <w:rFonts w:ascii="Times New Roman" w:hAnsi="Times New Roman" w:cs="Times New Roman"/>
        </w:rPr>
        <w:t xml:space="preserve">The auditor should communicate audit matters of governance interest arising from </w:t>
      </w:r>
      <w:r w:rsidRPr="00D01979">
        <w:rPr>
          <w:rFonts w:ascii="Times New Roman" w:hAnsi="Times New Roman" w:cs="Times New Roman"/>
          <w:bCs/>
        </w:rPr>
        <w:t>the</w:t>
      </w:r>
      <w:r w:rsidRPr="00D01979">
        <w:rPr>
          <w:rFonts w:ascii="Times New Roman" w:hAnsi="Times New Roman" w:cs="Times New Roman"/>
        </w:rPr>
        <w:t xml:space="preserve"> audit of financial statements to those charged with governance of an entity as required by </w:t>
      </w:r>
      <w:hyperlink r:id="rId73" w:history="1">
        <w:r w:rsidRPr="00D01979">
          <w:rPr>
            <w:rFonts w:ascii="Times New Roman" w:hAnsi="Times New Roman" w:cs="Times New Roman"/>
            <w:bCs/>
          </w:rPr>
          <w:t>International Standard on Auditing 260: Communication of Audit Matters with those Charged with Governance</w:t>
        </w:r>
      </w:hyperlink>
      <w:r w:rsidRPr="00D01979">
        <w:rPr>
          <w:rFonts w:ascii="Times New Roman" w:hAnsi="Times New Roman" w:cs="Times New Roman"/>
          <w:bCs/>
        </w:rPr>
        <w:t>.</w:t>
      </w:r>
    </w:p>
    <w:p w14:paraId="580AF86F" w14:textId="77777777" w:rsidR="005C4EB4" w:rsidRPr="00D01979" w:rsidRDefault="005C4EB4" w:rsidP="00D01979">
      <w:pPr>
        <w:numPr>
          <w:ilvl w:val="0"/>
          <w:numId w:val="298"/>
        </w:numPr>
        <w:autoSpaceDE w:val="0"/>
        <w:autoSpaceDN w:val="0"/>
        <w:adjustRightInd w:val="0"/>
        <w:spacing w:after="0" w:line="276" w:lineRule="auto"/>
        <w:jc w:val="both"/>
        <w:rPr>
          <w:rFonts w:ascii="Times New Roman" w:hAnsi="Times New Roman" w:cs="Times New Roman"/>
          <w:bCs/>
        </w:rPr>
      </w:pPr>
      <w:r w:rsidRPr="00D01979">
        <w:rPr>
          <w:rFonts w:ascii="Times New Roman" w:hAnsi="Times New Roman" w:cs="Times New Roman"/>
        </w:rPr>
        <w:t xml:space="preserve">The auditor should communicate appropriately to those charged with governance and management deficiencies in internal control that the auditor has identified in an audit of financial statements as required </w:t>
      </w:r>
      <w:r w:rsidRPr="00D01979">
        <w:rPr>
          <w:rFonts w:ascii="Times New Roman" w:hAnsi="Times New Roman" w:cs="Times New Roman"/>
          <w:bCs/>
        </w:rPr>
        <w:t xml:space="preserve">by </w:t>
      </w:r>
      <w:hyperlink r:id="rId74" w:history="1">
        <w:r w:rsidRPr="00D01979">
          <w:rPr>
            <w:rFonts w:ascii="Times New Roman" w:hAnsi="Times New Roman" w:cs="Times New Roman"/>
            <w:bCs/>
          </w:rPr>
          <w:t>International Standard on Auditing 265: Communicating Deficiencies in Internal Control to Those Charged with Governance and Management</w:t>
        </w:r>
      </w:hyperlink>
      <w:r w:rsidRPr="00D01979">
        <w:rPr>
          <w:rFonts w:ascii="Times New Roman" w:hAnsi="Times New Roman" w:cs="Times New Roman"/>
          <w:bCs/>
        </w:rPr>
        <w:t>.</w:t>
      </w:r>
    </w:p>
    <w:p w14:paraId="37E9A83F" w14:textId="77777777" w:rsidR="005C4EB4" w:rsidRPr="00D01979" w:rsidRDefault="005C4EB4" w:rsidP="00D01979">
      <w:pPr>
        <w:numPr>
          <w:ilvl w:val="0"/>
          <w:numId w:val="298"/>
        </w:numPr>
        <w:autoSpaceDE w:val="0"/>
        <w:autoSpaceDN w:val="0"/>
        <w:adjustRightInd w:val="0"/>
        <w:spacing w:after="0" w:line="276" w:lineRule="auto"/>
        <w:jc w:val="both"/>
        <w:rPr>
          <w:rFonts w:ascii="Times New Roman" w:hAnsi="Times New Roman" w:cs="Times New Roman"/>
          <w:bCs/>
        </w:rPr>
      </w:pPr>
      <w:r w:rsidRPr="00D01979">
        <w:rPr>
          <w:rFonts w:ascii="Times New Roman" w:hAnsi="Times New Roman" w:cs="Times New Roman"/>
          <w:bCs/>
        </w:rPr>
        <w:t xml:space="preserve">In </w:t>
      </w:r>
      <w:r w:rsidRPr="00D01979">
        <w:rPr>
          <w:rFonts w:ascii="Times New Roman" w:hAnsi="Times New Roman" w:cs="Times New Roman"/>
        </w:rPr>
        <w:t>order</w:t>
      </w:r>
      <w:r w:rsidRPr="00D01979">
        <w:rPr>
          <w:rFonts w:ascii="Times New Roman" w:hAnsi="Times New Roman" w:cs="Times New Roman"/>
          <w:bCs/>
        </w:rPr>
        <w:t xml:space="preserve"> to reduce audit risk to an acceptably low level, the auditor should determine overall responses to assessed risks at the financial statement level, and should design and perform further audit procedures to respond to assessed risks at the assertion level as required by </w:t>
      </w:r>
      <w:hyperlink r:id="rId75" w:history="1">
        <w:r w:rsidRPr="00D01979">
          <w:rPr>
            <w:rFonts w:ascii="Times New Roman" w:hAnsi="Times New Roman" w:cs="Times New Roman"/>
          </w:rPr>
          <w:t>International Standard on Auditing 330: The Auditor’s Procedures in Response to Assessed Risks</w:t>
        </w:r>
      </w:hyperlink>
      <w:r w:rsidRPr="00D01979">
        <w:rPr>
          <w:rFonts w:ascii="Times New Roman" w:hAnsi="Times New Roman" w:cs="Times New Roman"/>
          <w:bCs/>
        </w:rPr>
        <w:t>.</w:t>
      </w:r>
    </w:p>
    <w:p w14:paraId="19E83E46" w14:textId="77777777" w:rsidR="005C4EB4" w:rsidRPr="00D01979" w:rsidRDefault="005C4EB4" w:rsidP="00D01979">
      <w:pPr>
        <w:numPr>
          <w:ilvl w:val="0"/>
          <w:numId w:val="298"/>
        </w:numPr>
        <w:autoSpaceDE w:val="0"/>
        <w:autoSpaceDN w:val="0"/>
        <w:adjustRightInd w:val="0"/>
        <w:spacing w:after="0" w:line="276" w:lineRule="auto"/>
        <w:jc w:val="both"/>
        <w:rPr>
          <w:rFonts w:ascii="Times New Roman" w:hAnsi="Times New Roman" w:cs="Times New Roman"/>
          <w:bCs/>
        </w:rPr>
      </w:pPr>
      <w:r w:rsidRPr="00D01979">
        <w:rPr>
          <w:rFonts w:ascii="Times New Roman" w:hAnsi="Times New Roman" w:cs="Times New Roman"/>
          <w:bCs/>
        </w:rPr>
        <w:t xml:space="preserve">In instances where certain aspects of an entity’s operations are performed by a third party service provider, the auditor is expected to include an understanding and assessment of the internal control environment of the service provider during the audit process as required </w:t>
      </w:r>
      <w:r w:rsidRPr="00D01979">
        <w:rPr>
          <w:rFonts w:ascii="Times New Roman" w:hAnsi="Times New Roman" w:cs="Times New Roman"/>
        </w:rPr>
        <w:t xml:space="preserve">by </w:t>
      </w:r>
      <w:hyperlink r:id="rId76" w:history="1">
        <w:r w:rsidRPr="00D01979">
          <w:rPr>
            <w:rFonts w:ascii="Times New Roman" w:hAnsi="Times New Roman" w:cs="Times New Roman"/>
          </w:rPr>
          <w:t>International Standard on Auditing 402: Audit Considerations Relating to an Entity Using a Service Organization</w:t>
        </w:r>
      </w:hyperlink>
      <w:r w:rsidRPr="00D01979">
        <w:rPr>
          <w:rFonts w:ascii="Times New Roman" w:hAnsi="Times New Roman" w:cs="Times New Roman"/>
        </w:rPr>
        <w:t>.</w:t>
      </w:r>
    </w:p>
    <w:p w14:paraId="7DA9BE8B" w14:textId="3F18EDB9" w:rsidR="005C4EB4" w:rsidRPr="00D01979" w:rsidRDefault="005C4EB4" w:rsidP="00D01979">
      <w:pPr>
        <w:numPr>
          <w:ilvl w:val="0"/>
          <w:numId w:val="298"/>
        </w:numPr>
        <w:autoSpaceDE w:val="0"/>
        <w:autoSpaceDN w:val="0"/>
        <w:adjustRightInd w:val="0"/>
        <w:spacing w:after="0" w:line="276" w:lineRule="auto"/>
        <w:jc w:val="both"/>
        <w:rPr>
          <w:rFonts w:ascii="Times New Roman" w:hAnsi="Times New Roman" w:cs="Times New Roman"/>
          <w:bCs/>
        </w:rPr>
      </w:pPr>
      <w:r w:rsidRPr="00D01979">
        <w:rPr>
          <w:rFonts w:ascii="Times New Roman" w:hAnsi="Times New Roman" w:cs="Times New Roman"/>
          <w:bCs/>
        </w:rPr>
        <w:t xml:space="preserve">As part of the audit process, the auditor is expected to obtain written representations from management and, where appropriate, those charged with governance as required by </w:t>
      </w:r>
      <w:hyperlink r:id="rId77" w:history="1">
        <w:r w:rsidRPr="00D01979">
          <w:rPr>
            <w:rFonts w:ascii="Times New Roman" w:hAnsi="Times New Roman" w:cs="Times New Roman"/>
          </w:rPr>
          <w:t>International Standard on Auditing 580: Written Representations</w:t>
        </w:r>
      </w:hyperlink>
      <w:r w:rsidRPr="00D01979">
        <w:rPr>
          <w:rFonts w:ascii="Times New Roman" w:hAnsi="Times New Roman" w:cs="Times New Roman"/>
          <w:bCs/>
        </w:rPr>
        <w:t>.</w:t>
      </w:r>
      <w:r w:rsidR="00921B17">
        <w:rPr>
          <w:rFonts w:ascii="Times New Roman" w:hAnsi="Times New Roman" w:cs="Times New Roman"/>
          <w:bCs/>
        </w:rPr>
        <w:t xml:space="preserve"> </w:t>
      </w:r>
    </w:p>
    <w:p w14:paraId="73FFE6C2" w14:textId="77777777" w:rsidR="005C4EB4" w:rsidRPr="00D01979" w:rsidRDefault="005C4EB4" w:rsidP="00D01979">
      <w:pPr>
        <w:autoSpaceDE w:val="0"/>
        <w:autoSpaceDN w:val="0"/>
        <w:adjustRightInd w:val="0"/>
        <w:spacing w:line="276" w:lineRule="auto"/>
        <w:rPr>
          <w:rFonts w:ascii="Times New Roman" w:hAnsi="Times New Roman" w:cs="Times New Roman"/>
        </w:rPr>
      </w:pPr>
      <w:r w:rsidRPr="00D01979">
        <w:rPr>
          <w:rFonts w:ascii="Times New Roman" w:hAnsi="Times New Roman" w:cs="Times New Roman"/>
        </w:rPr>
        <w:t>In evidencing compliance with agreed project financing arrangements the auditor is expected to carry out tests to confirm that:</w:t>
      </w:r>
    </w:p>
    <w:p w14:paraId="3B44A1E1" w14:textId="42BEBED1" w:rsidR="005C4EB4" w:rsidRPr="00D01979" w:rsidRDefault="005C4EB4" w:rsidP="00D01979">
      <w:pPr>
        <w:numPr>
          <w:ilvl w:val="0"/>
          <w:numId w:val="299"/>
        </w:numPr>
        <w:tabs>
          <w:tab w:val="clear" w:pos="1440"/>
        </w:tabs>
        <w:spacing w:after="0" w:line="276" w:lineRule="auto"/>
        <w:ind w:left="709" w:hanging="425"/>
        <w:jc w:val="both"/>
        <w:rPr>
          <w:rFonts w:ascii="Times New Roman" w:hAnsi="Times New Roman" w:cs="Times New Roman"/>
          <w:snapToGrid w:val="0"/>
          <w:color w:val="000000"/>
        </w:rPr>
      </w:pPr>
      <w:r w:rsidRPr="00D01979">
        <w:rPr>
          <w:rFonts w:ascii="Times New Roman" w:hAnsi="Times New Roman" w:cs="Times New Roman"/>
          <w:bCs/>
        </w:rPr>
        <w:t>External funds have been used in accordance with the conditions of the relevant general</w:t>
      </w:r>
      <w:r w:rsidRPr="00D01979">
        <w:rPr>
          <w:rFonts w:ascii="Times New Roman" w:hAnsi="Times New Roman" w:cs="Times New Roman"/>
          <w:snapToGrid w:val="0"/>
          <w:color w:val="000000"/>
        </w:rPr>
        <w:t xml:space="preserve"> conditions, relevant financing agreements, with due attention to economy and efficiency, and only for the purposes for which the financing was provided. Relevant general conditions and financing agreements are </w:t>
      </w:r>
      <w:r w:rsidRPr="00D01979">
        <w:rPr>
          <w:rFonts w:ascii="Times New Roman" w:hAnsi="Times New Roman" w:cs="Times New Roman"/>
          <w:snapToGrid w:val="0"/>
          <w:color w:val="FF0000"/>
        </w:rPr>
        <w:t>[CITE RELEVANT GENERAL CONDITIONS AND FINANCING AGREEMENTS]</w:t>
      </w:r>
      <w:r w:rsidRPr="00D01979">
        <w:rPr>
          <w:rFonts w:ascii="Times New Roman" w:hAnsi="Times New Roman" w:cs="Times New Roman"/>
          <w:snapToGrid w:val="0"/>
          <w:color w:val="000000"/>
        </w:rPr>
        <w:t>;</w:t>
      </w:r>
      <w:r w:rsidR="00921B17">
        <w:rPr>
          <w:rFonts w:ascii="Times New Roman" w:hAnsi="Times New Roman" w:cs="Times New Roman"/>
          <w:snapToGrid w:val="0"/>
          <w:color w:val="000000"/>
        </w:rPr>
        <w:t xml:space="preserve"> </w:t>
      </w:r>
    </w:p>
    <w:p w14:paraId="530302E3" w14:textId="046A6056" w:rsidR="005C4EB4" w:rsidRPr="00D01979" w:rsidRDefault="005C4EB4" w:rsidP="00D01979">
      <w:pPr>
        <w:pStyle w:val="BodyText"/>
        <w:numPr>
          <w:ilvl w:val="0"/>
          <w:numId w:val="299"/>
        </w:numPr>
        <w:tabs>
          <w:tab w:val="clear" w:pos="1440"/>
        </w:tabs>
        <w:spacing w:after="0" w:line="276" w:lineRule="auto"/>
        <w:ind w:left="709" w:hanging="425"/>
        <w:jc w:val="both"/>
        <w:rPr>
          <w:rFonts w:ascii="Times New Roman" w:hAnsi="Times New Roman"/>
          <w:lang w:val="en-GB"/>
        </w:rPr>
      </w:pPr>
      <w:r w:rsidRPr="00D01979">
        <w:rPr>
          <w:rFonts w:ascii="Times New Roman" w:hAnsi="Times New Roman"/>
          <w:lang w:val="en-GB"/>
        </w:rPr>
        <w:t>Counterpart funds have been provided and used in accordance with the relevant general conditions, relevant financing agreements, and only for the purposes for which they were provided;</w:t>
      </w:r>
      <w:r w:rsidR="00921B17">
        <w:rPr>
          <w:rFonts w:ascii="Times New Roman" w:hAnsi="Times New Roman"/>
          <w:lang w:val="en-GB"/>
        </w:rPr>
        <w:t xml:space="preserve"> </w:t>
      </w:r>
    </w:p>
    <w:p w14:paraId="3592A99D" w14:textId="26DEA08F" w:rsidR="005C4EB4" w:rsidRPr="00D01979" w:rsidRDefault="005C4EB4" w:rsidP="00D01979">
      <w:pPr>
        <w:pStyle w:val="BodyText"/>
        <w:numPr>
          <w:ilvl w:val="0"/>
          <w:numId w:val="299"/>
        </w:numPr>
        <w:tabs>
          <w:tab w:val="clear" w:pos="1440"/>
        </w:tabs>
        <w:spacing w:after="0" w:line="276" w:lineRule="auto"/>
        <w:ind w:left="709" w:hanging="425"/>
        <w:jc w:val="both"/>
        <w:rPr>
          <w:rFonts w:ascii="Times New Roman" w:hAnsi="Times New Roman"/>
          <w:lang w:val="en-GB"/>
        </w:rPr>
      </w:pPr>
      <w:r w:rsidRPr="00D01979">
        <w:rPr>
          <w:rFonts w:ascii="Times New Roman" w:hAnsi="Times New Roman"/>
          <w:lang w:val="en-GB"/>
        </w:rPr>
        <w:t>Goods and services financed have been procured in accordance with the relevant general conditions and relevant financing agreements</w:t>
      </w:r>
      <w:r w:rsidRPr="00D01979">
        <w:rPr>
          <w:rStyle w:val="FootnoteReference"/>
          <w:rFonts w:ascii="Times New Roman" w:hAnsi="Times New Roman"/>
          <w:lang w:val="en-GB"/>
        </w:rPr>
        <w:footnoteReference w:id="16"/>
      </w:r>
      <w:r w:rsidRPr="00D01979">
        <w:rPr>
          <w:rFonts w:ascii="Times New Roman" w:hAnsi="Times New Roman"/>
          <w:lang w:val="en-GB"/>
        </w:rPr>
        <w:t>, including specific provisions of the World Bank Procurement Guidelines;</w:t>
      </w:r>
    </w:p>
    <w:p w14:paraId="5681BC22" w14:textId="6399A90F" w:rsidR="005C4EB4" w:rsidRPr="00D01979" w:rsidRDefault="005C4EB4" w:rsidP="00D01979">
      <w:pPr>
        <w:numPr>
          <w:ilvl w:val="0"/>
          <w:numId w:val="299"/>
        </w:numPr>
        <w:tabs>
          <w:tab w:val="clear" w:pos="1440"/>
        </w:tabs>
        <w:spacing w:after="0" w:line="276" w:lineRule="auto"/>
        <w:ind w:left="709" w:hanging="425"/>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Necessary supporting documents, records, and accounts have been kept in respect of all Project ventures including expenditures reported via Summary Report or Statements of Expenditures (SOEs) </w:t>
      </w:r>
      <w:r w:rsidRPr="00D01979">
        <w:rPr>
          <w:rFonts w:ascii="Times New Roman" w:hAnsi="Times New Roman" w:cs="Times New Roman"/>
          <w:snapToGrid w:val="0"/>
          <w:color w:val="0000FF"/>
        </w:rPr>
        <w:t xml:space="preserve">(or Interim Un-audited Financial Reports (IFRs)) </w:t>
      </w:r>
      <w:r w:rsidRPr="00D01979">
        <w:rPr>
          <w:rFonts w:ascii="Times New Roman" w:hAnsi="Times New Roman" w:cs="Times New Roman"/>
          <w:snapToGrid w:val="0"/>
        </w:rPr>
        <w:t xml:space="preserve">if used as the basis of disbursement), </w:t>
      </w:r>
      <w:r w:rsidRPr="00D01979">
        <w:rPr>
          <w:rFonts w:ascii="Times New Roman" w:hAnsi="Times New Roman" w:cs="Times New Roman"/>
          <w:snapToGrid w:val="0"/>
          <w:color w:val="000000"/>
        </w:rPr>
        <w:t xml:space="preserve">or </w:t>
      </w:r>
      <w:r w:rsidR="00842328">
        <w:rPr>
          <w:rFonts w:ascii="Times New Roman" w:hAnsi="Times New Roman" w:cs="Times New Roman"/>
          <w:snapToGrid w:val="0"/>
          <w:color w:val="000000"/>
        </w:rPr>
        <w:t>two segregated Designated Accounts</w:t>
      </w:r>
      <w:r w:rsidRPr="00D01979">
        <w:rPr>
          <w:rFonts w:ascii="Times New Roman" w:hAnsi="Times New Roman" w:cs="Times New Roman"/>
          <w:snapToGrid w:val="0"/>
          <w:color w:val="000000"/>
        </w:rPr>
        <w:t xml:space="preserve"> (DAs). The auditor is expected to verify that respective reports issued during the period were in agreement with the underlying books of account;</w:t>
      </w:r>
      <w:r w:rsidR="00921B17">
        <w:rPr>
          <w:rFonts w:ascii="Times New Roman" w:hAnsi="Times New Roman" w:cs="Times New Roman"/>
          <w:snapToGrid w:val="0"/>
          <w:color w:val="000000"/>
        </w:rPr>
        <w:t xml:space="preserve"> </w:t>
      </w:r>
    </w:p>
    <w:p w14:paraId="4A1B44DC" w14:textId="77777777" w:rsidR="005C4EB4" w:rsidRPr="00D01979" w:rsidRDefault="005C4EB4" w:rsidP="00D01979">
      <w:pPr>
        <w:pStyle w:val="BodyText"/>
        <w:numPr>
          <w:ilvl w:val="0"/>
          <w:numId w:val="299"/>
        </w:numPr>
        <w:tabs>
          <w:tab w:val="clear" w:pos="1440"/>
        </w:tabs>
        <w:spacing w:after="0" w:line="276" w:lineRule="auto"/>
        <w:ind w:left="709" w:hanging="425"/>
        <w:jc w:val="both"/>
        <w:rPr>
          <w:rFonts w:ascii="Times New Roman" w:hAnsi="Times New Roman"/>
          <w:lang w:val="en-GB"/>
        </w:rPr>
      </w:pPr>
      <w:r w:rsidRPr="00D01979">
        <w:rPr>
          <w:rFonts w:ascii="Times New Roman" w:hAnsi="Times New Roman"/>
          <w:lang w:val="en-GB"/>
        </w:rPr>
        <w:t>Where Designated Accounts have been used, they have been maintained in accordance with the provisions of the relevant general conditions and relevant financing agreements;</w:t>
      </w:r>
    </w:p>
    <w:p w14:paraId="132D83F7" w14:textId="77777777" w:rsidR="005C4EB4" w:rsidRPr="00D01979" w:rsidRDefault="005C4EB4" w:rsidP="00D01979">
      <w:pPr>
        <w:numPr>
          <w:ilvl w:val="0"/>
          <w:numId w:val="299"/>
        </w:numPr>
        <w:tabs>
          <w:tab w:val="clear" w:pos="1440"/>
        </w:tabs>
        <w:spacing w:after="0" w:line="276" w:lineRule="auto"/>
        <w:ind w:left="709" w:hanging="425"/>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Review the compliance on each of the financial covenants in the </w:t>
      </w:r>
      <w:r w:rsidRPr="00D01979">
        <w:rPr>
          <w:rFonts w:ascii="Times New Roman" w:hAnsi="Times New Roman" w:cs="Times New Roman"/>
          <w:color w:val="FF0000"/>
        </w:rPr>
        <w:t>[STATE SPECIFIC SECTION OF LOAN/FINANCING AGREEMENT and list, as necessary]</w:t>
      </w:r>
      <w:r w:rsidRPr="00D01979">
        <w:rPr>
          <w:rFonts w:ascii="Times New Roman" w:hAnsi="Times New Roman" w:cs="Times New Roman"/>
        </w:rPr>
        <w:t>.</w:t>
      </w:r>
    </w:p>
    <w:p w14:paraId="542C5E9D" w14:textId="77777777" w:rsidR="005C4EB4" w:rsidRPr="00D01979" w:rsidRDefault="005C4EB4" w:rsidP="00D01979">
      <w:pPr>
        <w:numPr>
          <w:ilvl w:val="0"/>
          <w:numId w:val="299"/>
        </w:numPr>
        <w:tabs>
          <w:tab w:val="clear" w:pos="1440"/>
        </w:tabs>
        <w:spacing w:after="0" w:line="276" w:lineRule="auto"/>
        <w:ind w:left="709" w:hanging="425"/>
        <w:jc w:val="both"/>
        <w:rPr>
          <w:rFonts w:ascii="Times New Roman" w:hAnsi="Times New Roman" w:cs="Times New Roman"/>
          <w:snapToGrid w:val="0"/>
          <w:color w:val="000000"/>
        </w:rPr>
      </w:pPr>
      <w:r w:rsidRPr="00D01979">
        <w:rPr>
          <w:rFonts w:ascii="Times New Roman" w:hAnsi="Times New Roman" w:cs="Times New Roman"/>
          <w:snapToGrid w:val="0"/>
        </w:rPr>
        <w:t xml:space="preserve">Applied procedures with regard to grants are aligned with </w:t>
      </w:r>
      <w:r w:rsidRPr="00D01979">
        <w:rPr>
          <w:rFonts w:ascii="Times New Roman" w:hAnsi="Times New Roman" w:cs="Times New Roman"/>
        </w:rPr>
        <w:t>the GOM including procedures of verification by the implementing entity of the adequacy of financial reports and accompanying documentation delivered by the grant beneficiaries.</w:t>
      </w:r>
    </w:p>
    <w:p w14:paraId="45369C9A" w14:textId="77777777" w:rsidR="005C4EB4" w:rsidRPr="00D01979" w:rsidRDefault="005C4EB4" w:rsidP="00D01979">
      <w:pPr>
        <w:spacing w:before="240" w:line="276" w:lineRule="auto"/>
        <w:jc w:val="center"/>
        <w:rPr>
          <w:rFonts w:ascii="Times New Roman" w:hAnsi="Times New Roman" w:cs="Times New Roman"/>
          <w:b/>
        </w:rPr>
      </w:pPr>
      <w:r w:rsidRPr="00D01979">
        <w:rPr>
          <w:rFonts w:ascii="Times New Roman" w:hAnsi="Times New Roman" w:cs="Times New Roman"/>
          <w:b/>
        </w:rPr>
        <w:t>Project Financial Statements prepared under the Cash-basis</w:t>
      </w:r>
    </w:p>
    <w:p w14:paraId="5B22AB8A" w14:textId="60396475" w:rsidR="005C4EB4" w:rsidRPr="00D01979" w:rsidRDefault="005C4EB4" w:rsidP="00665F55">
      <w:pPr>
        <w:spacing w:line="276" w:lineRule="auto"/>
        <w:jc w:val="both"/>
        <w:rPr>
          <w:rFonts w:ascii="Times New Roman" w:hAnsi="Times New Roman" w:cs="Times New Roman"/>
          <w:snapToGrid w:val="0"/>
          <w:color w:val="000000"/>
        </w:rPr>
      </w:pPr>
      <w:r w:rsidRPr="00D01979">
        <w:rPr>
          <w:rFonts w:ascii="Times New Roman" w:hAnsi="Times New Roman" w:cs="Times New Roman"/>
          <w:snapToGrid w:val="0"/>
          <w:color w:val="000000"/>
        </w:rPr>
        <w:t>The Project Financial Statements should include as a minimum the information required by the IPSAS “</w:t>
      </w:r>
      <w:r w:rsidRPr="00D01979">
        <w:rPr>
          <w:rFonts w:ascii="Times New Roman" w:hAnsi="Times New Roman" w:cs="Times New Roman"/>
        </w:rPr>
        <w:t xml:space="preserve">Financial Reporting Under </w:t>
      </w:r>
      <w:r w:rsidR="001F42AE">
        <w:rPr>
          <w:rFonts w:ascii="Times New Roman" w:hAnsi="Times New Roman" w:cs="Times New Roman"/>
        </w:rPr>
        <w:t>t</w:t>
      </w:r>
      <w:r w:rsidR="001F42AE" w:rsidRPr="00D01979">
        <w:rPr>
          <w:rFonts w:ascii="Times New Roman" w:hAnsi="Times New Roman" w:cs="Times New Roman"/>
        </w:rPr>
        <w:t xml:space="preserve">he </w:t>
      </w:r>
      <w:r w:rsidRPr="00D01979">
        <w:rPr>
          <w:rFonts w:ascii="Times New Roman" w:hAnsi="Times New Roman" w:cs="Times New Roman"/>
        </w:rPr>
        <w:t>Cash Basis of Accounting”.</w:t>
      </w:r>
      <w:r w:rsidR="00921B17">
        <w:rPr>
          <w:rFonts w:ascii="Times New Roman" w:hAnsi="Times New Roman" w:cs="Times New Roman"/>
        </w:rPr>
        <w:t xml:space="preserve"> </w:t>
      </w:r>
      <w:r w:rsidRPr="00D01979">
        <w:rPr>
          <w:rFonts w:ascii="Times New Roman" w:hAnsi="Times New Roman" w:cs="Times New Roman"/>
        </w:rPr>
        <w:t>These would include</w:t>
      </w:r>
      <w:r w:rsidR="00921B17">
        <w:rPr>
          <w:rFonts w:ascii="Times New Roman" w:hAnsi="Times New Roman" w:cs="Times New Roman"/>
        </w:rPr>
        <w:t xml:space="preserve"> </w:t>
      </w:r>
    </w:p>
    <w:p w14:paraId="5C1BC70A" w14:textId="77777777" w:rsidR="005C4EB4" w:rsidRPr="00D01979" w:rsidRDefault="005C4EB4" w:rsidP="00D01979">
      <w:pPr>
        <w:numPr>
          <w:ilvl w:val="0"/>
          <w:numId w:val="300"/>
        </w:numPr>
        <w:spacing w:after="0" w:line="276" w:lineRule="auto"/>
        <w:ind w:left="709" w:hanging="425"/>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A Summary of Funds received, showing the World Bank, Project funds from other donors, and counterpart funds separately. </w:t>
      </w:r>
    </w:p>
    <w:p w14:paraId="30AFB8C7" w14:textId="77777777" w:rsidR="005C4EB4" w:rsidRPr="00D01979" w:rsidRDefault="005C4EB4" w:rsidP="00D01979">
      <w:pPr>
        <w:numPr>
          <w:ilvl w:val="0"/>
          <w:numId w:val="300"/>
        </w:numPr>
        <w:spacing w:after="0" w:line="276" w:lineRule="auto"/>
        <w:ind w:left="709" w:hanging="425"/>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A Summary of Expenditures paid in cash, shown under the main project headings and by main categories of expenditures, both for the current fiscal year and accumulated to-date; </w:t>
      </w:r>
    </w:p>
    <w:p w14:paraId="60508494" w14:textId="77777777" w:rsidR="005C4EB4" w:rsidRPr="00D01979" w:rsidRDefault="005C4EB4" w:rsidP="00D01979">
      <w:pPr>
        <w:pStyle w:val="ListParagraph"/>
        <w:numPr>
          <w:ilvl w:val="0"/>
          <w:numId w:val="300"/>
        </w:numPr>
        <w:autoSpaceDE w:val="0"/>
        <w:autoSpaceDN w:val="0"/>
        <w:adjustRightInd w:val="0"/>
        <w:spacing w:after="0" w:line="276" w:lineRule="auto"/>
        <w:ind w:left="709" w:hanging="425"/>
        <w:contextualSpacing w:val="0"/>
        <w:jc w:val="both"/>
        <w:rPr>
          <w:rFonts w:ascii="Times New Roman" w:hAnsi="Times New Roman" w:cs="Times New Roman"/>
          <w:bCs/>
          <w:vanish/>
          <w:color w:val="000000"/>
        </w:rPr>
      </w:pPr>
    </w:p>
    <w:p w14:paraId="0BFB1D40" w14:textId="77777777" w:rsidR="005C4EB4" w:rsidRPr="00D01979" w:rsidRDefault="005C4EB4" w:rsidP="00D01979">
      <w:pPr>
        <w:pStyle w:val="ListParagraph"/>
        <w:numPr>
          <w:ilvl w:val="0"/>
          <w:numId w:val="300"/>
        </w:numPr>
        <w:autoSpaceDE w:val="0"/>
        <w:autoSpaceDN w:val="0"/>
        <w:adjustRightInd w:val="0"/>
        <w:spacing w:after="0" w:line="276" w:lineRule="auto"/>
        <w:ind w:left="709" w:hanging="425"/>
        <w:contextualSpacing w:val="0"/>
        <w:jc w:val="both"/>
        <w:rPr>
          <w:rFonts w:ascii="Times New Roman" w:hAnsi="Times New Roman" w:cs="Times New Roman"/>
          <w:bCs/>
          <w:vanish/>
          <w:color w:val="000000"/>
        </w:rPr>
      </w:pPr>
    </w:p>
    <w:p w14:paraId="3B9DE0EA" w14:textId="77777777" w:rsidR="005C4EB4" w:rsidRPr="00D01979" w:rsidRDefault="005C4EB4" w:rsidP="00D01979">
      <w:pPr>
        <w:numPr>
          <w:ilvl w:val="0"/>
          <w:numId w:val="300"/>
        </w:numPr>
        <w:autoSpaceDE w:val="0"/>
        <w:autoSpaceDN w:val="0"/>
        <w:adjustRightInd w:val="0"/>
        <w:spacing w:after="0" w:line="276" w:lineRule="auto"/>
        <w:ind w:left="709" w:hanging="425"/>
        <w:jc w:val="both"/>
        <w:rPr>
          <w:rFonts w:ascii="Times New Roman" w:hAnsi="Times New Roman" w:cs="Times New Roman"/>
          <w:color w:val="000000"/>
        </w:rPr>
      </w:pPr>
      <w:r w:rsidRPr="00D01979">
        <w:rPr>
          <w:rFonts w:ascii="Times New Roman" w:hAnsi="Times New Roman" w:cs="Times New Roman"/>
          <w:bCs/>
          <w:color w:val="000000"/>
        </w:rPr>
        <w:t>Accounting policies and explanatory notes (including additional accounting policies and disclosures), covering</w:t>
      </w:r>
    </w:p>
    <w:p w14:paraId="32CA417B" w14:textId="77777777" w:rsidR="005C4EB4" w:rsidRPr="00D01979" w:rsidRDefault="005C4EB4" w:rsidP="00D01979">
      <w:pPr>
        <w:numPr>
          <w:ilvl w:val="1"/>
          <w:numId w:val="297"/>
        </w:numPr>
        <w:tabs>
          <w:tab w:val="clear" w:pos="810"/>
          <w:tab w:val="num" w:pos="-1530"/>
          <w:tab w:val="left" w:pos="-1350"/>
        </w:tabs>
        <w:autoSpaceDE w:val="0"/>
        <w:autoSpaceDN w:val="0"/>
        <w:adjustRightInd w:val="0"/>
        <w:spacing w:after="0" w:line="276" w:lineRule="auto"/>
        <w:ind w:left="1080"/>
        <w:jc w:val="both"/>
        <w:rPr>
          <w:rFonts w:ascii="Times New Roman" w:hAnsi="Times New Roman" w:cs="Times New Roman"/>
          <w:snapToGrid w:val="0"/>
          <w:color w:val="000000"/>
        </w:rPr>
      </w:pPr>
      <w:r w:rsidRPr="00D01979">
        <w:rPr>
          <w:rFonts w:ascii="Times New Roman" w:hAnsi="Times New Roman" w:cs="Times New Roman"/>
          <w:snapToGrid w:val="0"/>
          <w:color w:val="000000"/>
        </w:rPr>
        <w:t>a Summary of Summary Reports or SOEs used as the basis for the submission of withdrawal applications in the notes, as appropriate;</w:t>
      </w:r>
    </w:p>
    <w:p w14:paraId="143EE8AC" w14:textId="44324E47" w:rsidR="005C4EB4" w:rsidRPr="00D01979" w:rsidRDefault="005C4EB4" w:rsidP="00D01979">
      <w:pPr>
        <w:numPr>
          <w:ilvl w:val="1"/>
          <w:numId w:val="297"/>
        </w:numPr>
        <w:tabs>
          <w:tab w:val="clear" w:pos="810"/>
          <w:tab w:val="num" w:pos="-1530"/>
          <w:tab w:val="left" w:pos="-1350"/>
        </w:tabs>
        <w:autoSpaceDE w:val="0"/>
        <w:autoSpaceDN w:val="0"/>
        <w:adjustRightInd w:val="0"/>
        <w:spacing w:after="0" w:line="276" w:lineRule="auto"/>
        <w:ind w:left="1080"/>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a Statement of </w:t>
      </w:r>
      <w:r w:rsidR="00842328">
        <w:rPr>
          <w:rFonts w:ascii="Times New Roman" w:hAnsi="Times New Roman" w:cs="Times New Roman"/>
          <w:snapToGrid w:val="0"/>
          <w:color w:val="000000"/>
        </w:rPr>
        <w:t>two segregated Designated Accounts</w:t>
      </w:r>
      <w:r w:rsidRPr="00D01979">
        <w:rPr>
          <w:rFonts w:ascii="Times New Roman" w:hAnsi="Times New Roman" w:cs="Times New Roman"/>
          <w:snapToGrid w:val="0"/>
          <w:color w:val="000000"/>
        </w:rPr>
        <w:t xml:space="preserve"> in the notes, as appropriate; </w:t>
      </w:r>
    </w:p>
    <w:p w14:paraId="4C70D1EB" w14:textId="77777777" w:rsidR="005C4EB4" w:rsidRPr="00D01979" w:rsidRDefault="005C4EB4" w:rsidP="00D01979">
      <w:pPr>
        <w:numPr>
          <w:ilvl w:val="1"/>
          <w:numId w:val="297"/>
        </w:numPr>
        <w:tabs>
          <w:tab w:val="clear" w:pos="810"/>
          <w:tab w:val="num" w:pos="-1530"/>
          <w:tab w:val="left" w:pos="-1350"/>
        </w:tabs>
        <w:autoSpaceDE w:val="0"/>
        <w:autoSpaceDN w:val="0"/>
        <w:adjustRightInd w:val="0"/>
        <w:spacing w:after="0" w:line="276" w:lineRule="auto"/>
        <w:ind w:left="1080"/>
        <w:jc w:val="both"/>
        <w:rPr>
          <w:rFonts w:ascii="Times New Roman" w:hAnsi="Times New Roman" w:cs="Times New Roman"/>
          <w:snapToGrid w:val="0"/>
          <w:color w:val="000000"/>
        </w:rPr>
      </w:pPr>
      <w:r w:rsidRPr="00D01979">
        <w:rPr>
          <w:rFonts w:ascii="Times New Roman" w:hAnsi="Times New Roman" w:cs="Times New Roman"/>
          <w:snapToGrid w:val="0"/>
          <w:color w:val="000000"/>
        </w:rPr>
        <w:t>a Statement of Financial Position showing Accumulated Funds of the Project, bank balances, other assets of the Project, and liabilities, if any; and</w:t>
      </w:r>
    </w:p>
    <w:p w14:paraId="1F32107F" w14:textId="77777777" w:rsidR="005C4EB4" w:rsidRPr="00D01979" w:rsidRDefault="005C4EB4" w:rsidP="00D01979">
      <w:pPr>
        <w:pStyle w:val="ListParagraph"/>
        <w:numPr>
          <w:ilvl w:val="0"/>
          <w:numId w:val="293"/>
        </w:numPr>
        <w:tabs>
          <w:tab w:val="clear" w:pos="1440"/>
        </w:tabs>
        <w:autoSpaceDE w:val="0"/>
        <w:autoSpaceDN w:val="0"/>
        <w:adjustRightInd w:val="0"/>
        <w:spacing w:after="0" w:line="276" w:lineRule="auto"/>
        <w:ind w:left="720"/>
        <w:contextualSpacing w:val="0"/>
        <w:jc w:val="both"/>
        <w:rPr>
          <w:rFonts w:ascii="Times New Roman" w:hAnsi="Times New Roman" w:cs="Times New Roman"/>
          <w:snapToGrid w:val="0"/>
          <w:vanish/>
          <w:color w:val="000000"/>
        </w:rPr>
      </w:pPr>
    </w:p>
    <w:p w14:paraId="5EAF8FBB" w14:textId="77777777" w:rsidR="005C4EB4" w:rsidRPr="00D01979" w:rsidRDefault="005C4EB4" w:rsidP="00D01979">
      <w:pPr>
        <w:numPr>
          <w:ilvl w:val="0"/>
          <w:numId w:val="293"/>
        </w:numPr>
        <w:tabs>
          <w:tab w:val="clear" w:pos="1440"/>
        </w:tabs>
        <w:autoSpaceDE w:val="0"/>
        <w:autoSpaceDN w:val="0"/>
        <w:adjustRightInd w:val="0"/>
        <w:spacing w:after="0" w:line="276" w:lineRule="auto"/>
        <w:ind w:left="720"/>
        <w:jc w:val="both"/>
        <w:rPr>
          <w:rFonts w:ascii="Times New Roman" w:hAnsi="Times New Roman" w:cs="Times New Roman"/>
          <w:bCs/>
          <w:color w:val="000000"/>
        </w:rPr>
      </w:pPr>
      <w:r w:rsidRPr="00D01979">
        <w:rPr>
          <w:rFonts w:ascii="Times New Roman" w:hAnsi="Times New Roman" w:cs="Times New Roman"/>
          <w:snapToGrid w:val="0"/>
          <w:color w:val="000000"/>
        </w:rPr>
        <w:t>When the entity makes publicly available its approved budget, a comparison of budget and actual amounts either as a separate additional financial statement or as a budget column in the statement of cash receipts and paymen</w:t>
      </w:r>
      <w:r w:rsidRPr="00D01979">
        <w:rPr>
          <w:rFonts w:ascii="Times New Roman" w:hAnsi="Times New Roman" w:cs="Times New Roman"/>
          <w:bCs/>
          <w:color w:val="000000"/>
        </w:rPr>
        <w:t xml:space="preserve">ts. </w:t>
      </w:r>
    </w:p>
    <w:p w14:paraId="1029F099" w14:textId="7A9EEB6B" w:rsidR="005C4EB4" w:rsidRPr="00D01979" w:rsidRDefault="005C4EB4" w:rsidP="00665F55">
      <w:pPr>
        <w:autoSpaceDE w:val="0"/>
        <w:autoSpaceDN w:val="0"/>
        <w:adjustRightInd w:val="0"/>
        <w:spacing w:line="276" w:lineRule="auto"/>
        <w:jc w:val="both"/>
        <w:rPr>
          <w:rFonts w:ascii="Times New Roman" w:hAnsi="Times New Roman" w:cs="Times New Roman"/>
        </w:rPr>
      </w:pPr>
      <w:r w:rsidRPr="00D01979">
        <w:rPr>
          <w:rFonts w:ascii="Times New Roman" w:hAnsi="Times New Roman" w:cs="Times New Roman"/>
        </w:rPr>
        <w:t>[</w:t>
      </w:r>
      <w:r w:rsidRPr="00D01979">
        <w:rPr>
          <w:rFonts w:ascii="Times New Roman" w:hAnsi="Times New Roman" w:cs="Times New Roman"/>
          <w:i/>
        </w:rPr>
        <w:t xml:space="preserve">The explanatory notes should include reconciliation between the amounts shown as "received by the project from the World Bank" and that disbursed by the Bank and a summary of movements on the project’s </w:t>
      </w:r>
      <w:r w:rsidR="00842328">
        <w:rPr>
          <w:rFonts w:ascii="Times New Roman" w:hAnsi="Times New Roman" w:cs="Times New Roman"/>
          <w:i/>
        </w:rPr>
        <w:t>two segregated Designated Accounts</w:t>
      </w:r>
      <w:r w:rsidRPr="00D01979">
        <w:rPr>
          <w:rFonts w:ascii="Times New Roman" w:hAnsi="Times New Roman" w:cs="Times New Roman"/>
          <w:i/>
        </w:rPr>
        <w:t>.</w:t>
      </w:r>
      <w:r w:rsidRPr="00D01979">
        <w:rPr>
          <w:rFonts w:ascii="Times New Roman" w:hAnsi="Times New Roman" w:cs="Times New Roman"/>
        </w:rPr>
        <w:t xml:space="preserve">] </w:t>
      </w:r>
    </w:p>
    <w:p w14:paraId="33FFD422" w14:textId="77777777" w:rsidR="005C4EB4" w:rsidRPr="00D01979" w:rsidRDefault="005C4EB4" w:rsidP="00D01979">
      <w:pPr>
        <w:spacing w:line="276" w:lineRule="auto"/>
        <w:jc w:val="center"/>
        <w:rPr>
          <w:rFonts w:ascii="Times New Roman" w:hAnsi="Times New Roman" w:cs="Times New Roman"/>
          <w:b/>
        </w:rPr>
      </w:pPr>
      <w:r w:rsidRPr="00D01979">
        <w:rPr>
          <w:rFonts w:ascii="Times New Roman" w:hAnsi="Times New Roman" w:cs="Times New Roman"/>
          <w:b/>
        </w:rPr>
        <w:t>Summary Reports or Statement of Expenditures</w:t>
      </w:r>
    </w:p>
    <w:p w14:paraId="7879D8D1" w14:textId="14CFD571" w:rsidR="005C4EB4" w:rsidRPr="00D01979" w:rsidRDefault="005C4EB4" w:rsidP="00D01979">
      <w:pPr>
        <w:spacing w:line="276" w:lineRule="auto"/>
        <w:jc w:val="center"/>
        <w:rPr>
          <w:rFonts w:ascii="Times New Roman" w:hAnsi="Times New Roman" w:cs="Times New Roman"/>
          <w:snapToGrid w:val="0"/>
        </w:rPr>
      </w:pPr>
      <w:r w:rsidRPr="00D01979">
        <w:rPr>
          <w:rFonts w:ascii="Times New Roman" w:hAnsi="Times New Roman" w:cs="Times New Roman"/>
          <w:snapToGrid w:val="0"/>
        </w:rPr>
        <w:t>(</w:t>
      </w:r>
      <w:r w:rsidR="00835C1A" w:rsidRPr="00D01979">
        <w:rPr>
          <w:rFonts w:ascii="Times New Roman" w:hAnsi="Times New Roman" w:cs="Times New Roman"/>
          <w:snapToGrid w:val="0"/>
        </w:rPr>
        <w:t>Or</w:t>
      </w:r>
      <w:r w:rsidRPr="00D01979">
        <w:rPr>
          <w:rFonts w:ascii="Times New Roman" w:hAnsi="Times New Roman" w:cs="Times New Roman"/>
          <w:snapToGrid w:val="0"/>
        </w:rPr>
        <w:t xml:space="preserve"> IFRs if used as the basis of disbursement)</w:t>
      </w:r>
    </w:p>
    <w:p w14:paraId="757FBA2A" w14:textId="77777777" w:rsidR="005C4EB4" w:rsidRPr="00D01979" w:rsidRDefault="005C4EB4" w:rsidP="00D01979">
      <w:pPr>
        <w:spacing w:line="276" w:lineRule="auto"/>
        <w:rPr>
          <w:rFonts w:ascii="Times New Roman" w:hAnsi="Times New Roman" w:cs="Times New Roman"/>
          <w:snapToGrid w:val="0"/>
          <w:color w:val="000000"/>
        </w:rPr>
      </w:pPr>
      <w:r w:rsidRPr="00D01979">
        <w:rPr>
          <w:rFonts w:ascii="Times New Roman" w:hAnsi="Times New Roman" w:cs="Times New Roman"/>
          <w:snapToGrid w:val="0"/>
          <w:color w:val="000000"/>
        </w:rPr>
        <w:t>The auditor is required to audit all Summary Reports or SOEs and IFRs submitted to the World Bank in support of requests for periodic replenishment of the project designated account(s).</w:t>
      </w:r>
    </w:p>
    <w:p w14:paraId="4015E15B" w14:textId="77777777" w:rsidR="005C4EB4" w:rsidRPr="00D01979" w:rsidRDefault="005C4EB4" w:rsidP="00D01979">
      <w:pPr>
        <w:spacing w:line="276" w:lineRule="auto"/>
        <w:rPr>
          <w:rFonts w:ascii="Times New Roman" w:hAnsi="Times New Roman" w:cs="Times New Roman"/>
          <w:snapToGrid w:val="0"/>
          <w:color w:val="000000"/>
        </w:rPr>
      </w:pPr>
      <w:r w:rsidRPr="00D01979">
        <w:rPr>
          <w:rFonts w:ascii="Times New Roman" w:hAnsi="Times New Roman" w:cs="Times New Roman"/>
          <w:snapToGrid w:val="0"/>
          <w:color w:val="000000"/>
        </w:rPr>
        <w:t>Expenditures should be examined for eligibility based on criteria defined in the terms of the financing agreement and detailed in the Project Appraisal Document. Where ineligible expenditures are identified as having been included in withdrawal applications and reimbursed, they should be separately reported.</w:t>
      </w:r>
    </w:p>
    <w:p w14:paraId="227342E4" w14:textId="77777777" w:rsidR="005C4EB4" w:rsidRPr="00D01979" w:rsidRDefault="005C4EB4" w:rsidP="00D01979">
      <w:pPr>
        <w:spacing w:line="276" w:lineRule="auto"/>
        <w:rPr>
          <w:rFonts w:ascii="Times New Roman" w:hAnsi="Times New Roman" w:cs="Times New Roman"/>
          <w:snapToGrid w:val="0"/>
          <w:color w:val="000000"/>
        </w:rPr>
      </w:pPr>
      <w:r w:rsidRPr="00D01979">
        <w:rPr>
          <w:rFonts w:ascii="Times New Roman" w:hAnsi="Times New Roman" w:cs="Times New Roman"/>
          <w:snapToGrid w:val="0"/>
          <w:color w:val="000000"/>
        </w:rPr>
        <w:t xml:space="preserve">The Project Financial Statements should include a schedule listing of individual Summary Reports or </w:t>
      </w:r>
      <w:r w:rsidRPr="00D01979">
        <w:rPr>
          <w:rFonts w:ascii="Times New Roman" w:hAnsi="Times New Roman" w:cs="Times New Roman"/>
          <w:snapToGrid w:val="0"/>
        </w:rPr>
        <w:t xml:space="preserve">SOEs (or IFRs used as the basis of disbursement) </w:t>
      </w:r>
      <w:r w:rsidRPr="00D01979">
        <w:rPr>
          <w:rFonts w:ascii="Times New Roman" w:hAnsi="Times New Roman" w:cs="Times New Roman"/>
          <w:snapToGrid w:val="0"/>
          <w:color w:val="000000"/>
        </w:rPr>
        <w:t xml:space="preserve">withdrawal applications by specific reference number and amount. </w:t>
      </w:r>
    </w:p>
    <w:p w14:paraId="3AD9EEB5" w14:textId="77777777" w:rsidR="005C4EB4" w:rsidRPr="00D01979" w:rsidRDefault="005C4EB4" w:rsidP="00D01979">
      <w:pPr>
        <w:pStyle w:val="BodyText"/>
        <w:spacing w:after="240" w:line="276" w:lineRule="auto"/>
        <w:rPr>
          <w:rFonts w:ascii="Times New Roman" w:hAnsi="Times New Roman"/>
          <w:lang w:val="en-GB"/>
        </w:rPr>
      </w:pPr>
      <w:r w:rsidRPr="00D01979">
        <w:rPr>
          <w:rFonts w:ascii="Times New Roman" w:hAnsi="Times New Roman"/>
          <w:lang w:val="en-GB"/>
        </w:rPr>
        <w:t>The auditor should pay particular attention as to whether:</w:t>
      </w:r>
    </w:p>
    <w:p w14:paraId="55A77357" w14:textId="77777777" w:rsidR="005C4EB4" w:rsidRPr="00D01979" w:rsidRDefault="005C4EB4" w:rsidP="00D01979">
      <w:pPr>
        <w:pStyle w:val="BodyText"/>
        <w:numPr>
          <w:ilvl w:val="0"/>
          <w:numId w:val="294"/>
        </w:numPr>
        <w:spacing w:after="0" w:line="276" w:lineRule="auto"/>
        <w:jc w:val="both"/>
        <w:rPr>
          <w:rFonts w:ascii="Times New Roman" w:hAnsi="Times New Roman"/>
          <w:lang w:val="en-GB"/>
        </w:rPr>
      </w:pPr>
      <w:r w:rsidRPr="00D01979">
        <w:rPr>
          <w:rFonts w:ascii="Times New Roman" w:hAnsi="Times New Roman"/>
          <w:lang w:val="en-GB"/>
        </w:rPr>
        <w:t>the Summary Reports or SOEs (or IFRs) have been prepared in accordance with the provisions of the relevant financing agreement.</w:t>
      </w:r>
    </w:p>
    <w:p w14:paraId="1400A56D" w14:textId="77777777" w:rsidR="005C4EB4" w:rsidRPr="00D01979" w:rsidRDefault="005C4EB4" w:rsidP="00D01979">
      <w:pPr>
        <w:pStyle w:val="BodyText"/>
        <w:numPr>
          <w:ilvl w:val="0"/>
          <w:numId w:val="294"/>
        </w:numPr>
        <w:spacing w:after="0" w:line="276" w:lineRule="auto"/>
        <w:jc w:val="both"/>
        <w:rPr>
          <w:rFonts w:ascii="Times New Roman" w:hAnsi="Times New Roman"/>
          <w:lang w:val="en-GB"/>
        </w:rPr>
      </w:pPr>
      <w:r w:rsidRPr="00D01979">
        <w:rPr>
          <w:rFonts w:ascii="Times New Roman" w:hAnsi="Times New Roman"/>
          <w:lang w:val="en-GB"/>
        </w:rPr>
        <w:t>expenditures have been made wholly and necessarily for the realization of project objectives.</w:t>
      </w:r>
    </w:p>
    <w:p w14:paraId="77D711BF" w14:textId="77777777" w:rsidR="005C4EB4" w:rsidRPr="00D01979" w:rsidRDefault="005C4EB4" w:rsidP="00D01979">
      <w:pPr>
        <w:pStyle w:val="BodyText"/>
        <w:numPr>
          <w:ilvl w:val="0"/>
          <w:numId w:val="294"/>
        </w:numPr>
        <w:spacing w:after="0" w:line="276" w:lineRule="auto"/>
        <w:jc w:val="both"/>
        <w:rPr>
          <w:rFonts w:ascii="Times New Roman" w:hAnsi="Times New Roman"/>
          <w:lang w:val="en-GB"/>
        </w:rPr>
      </w:pPr>
      <w:r w:rsidRPr="00D01979">
        <w:rPr>
          <w:rFonts w:ascii="Times New Roman" w:hAnsi="Times New Roman"/>
          <w:lang w:val="en-GB"/>
        </w:rPr>
        <w:t>information and explanation necessary for the purpose of the audit have been obtained;</w:t>
      </w:r>
    </w:p>
    <w:p w14:paraId="10D0D3B6" w14:textId="77777777" w:rsidR="005C4EB4" w:rsidRPr="00D01979" w:rsidRDefault="005C4EB4" w:rsidP="00D01979">
      <w:pPr>
        <w:pStyle w:val="BodyText"/>
        <w:numPr>
          <w:ilvl w:val="0"/>
          <w:numId w:val="294"/>
        </w:numPr>
        <w:spacing w:after="0" w:line="276" w:lineRule="auto"/>
        <w:jc w:val="both"/>
        <w:rPr>
          <w:rFonts w:ascii="Times New Roman" w:hAnsi="Times New Roman"/>
          <w:lang w:val="en-GB"/>
        </w:rPr>
      </w:pPr>
      <w:r w:rsidRPr="00D01979">
        <w:rPr>
          <w:rFonts w:ascii="Times New Roman" w:hAnsi="Times New Roman"/>
          <w:lang w:val="en-GB"/>
        </w:rPr>
        <w:t>supporting records and documents necessary for the purpose of the audit have been retained, and</w:t>
      </w:r>
    </w:p>
    <w:p w14:paraId="3656A264" w14:textId="77777777" w:rsidR="005C4EB4" w:rsidRPr="00D01979" w:rsidRDefault="005C4EB4" w:rsidP="00D01979">
      <w:pPr>
        <w:pStyle w:val="BodyText"/>
        <w:numPr>
          <w:ilvl w:val="0"/>
          <w:numId w:val="294"/>
        </w:numPr>
        <w:spacing w:after="0" w:line="276" w:lineRule="auto"/>
        <w:jc w:val="both"/>
        <w:rPr>
          <w:rFonts w:ascii="Times New Roman" w:hAnsi="Times New Roman"/>
          <w:lang w:val="en-GB"/>
        </w:rPr>
      </w:pPr>
      <w:r w:rsidRPr="00D01979">
        <w:rPr>
          <w:rFonts w:ascii="Times New Roman" w:hAnsi="Times New Roman"/>
          <w:lang w:val="en-GB"/>
        </w:rPr>
        <w:t>the Summary Reports or SOEs (or IFRS) can be relied upon to support the related withdrawal applications.</w:t>
      </w:r>
    </w:p>
    <w:p w14:paraId="34A0B5CA" w14:textId="46F6E8D9" w:rsidR="005C4EB4" w:rsidRPr="00D01979" w:rsidRDefault="005C4EB4" w:rsidP="00D01979">
      <w:pPr>
        <w:pStyle w:val="BodyText"/>
        <w:numPr>
          <w:ilvl w:val="0"/>
          <w:numId w:val="294"/>
        </w:numPr>
        <w:spacing w:after="0" w:line="276" w:lineRule="auto"/>
        <w:jc w:val="both"/>
        <w:rPr>
          <w:rFonts w:ascii="Times New Roman" w:hAnsi="Times New Roman"/>
          <w:lang w:val="en-GB"/>
        </w:rPr>
      </w:pPr>
      <w:r w:rsidRPr="00D01979">
        <w:rPr>
          <w:rFonts w:ascii="Times New Roman" w:hAnsi="Times New Roman"/>
          <w:lang w:val="en-GB"/>
        </w:rPr>
        <w:t>and accompanying documentation</w:t>
      </w:r>
      <w:r w:rsidR="001F42AE">
        <w:rPr>
          <w:rFonts w:ascii="Times New Roman" w:hAnsi="Times New Roman"/>
          <w:lang w:val="en-GB"/>
        </w:rPr>
        <w:t>.</w:t>
      </w:r>
    </w:p>
    <w:p w14:paraId="146AC999" w14:textId="6386E37E" w:rsidR="005C4EB4" w:rsidRPr="00D01979" w:rsidRDefault="00842328" w:rsidP="00665F55">
      <w:pPr>
        <w:spacing w:before="240" w:line="276" w:lineRule="auto"/>
        <w:jc w:val="both"/>
        <w:rPr>
          <w:rFonts w:ascii="Times New Roman" w:hAnsi="Times New Roman" w:cs="Times New Roman"/>
          <w:b/>
        </w:rPr>
      </w:pPr>
      <w:r>
        <w:rPr>
          <w:rFonts w:ascii="Times New Roman" w:hAnsi="Times New Roman" w:cs="Times New Roman"/>
          <w:b/>
        </w:rPr>
        <w:t xml:space="preserve"> Designated Accounts</w:t>
      </w:r>
    </w:p>
    <w:p w14:paraId="5FC4A36F" w14:textId="77777777" w:rsidR="005C4EB4" w:rsidRPr="00D01979" w:rsidRDefault="005C4EB4" w:rsidP="00665F55">
      <w:pPr>
        <w:pStyle w:val="BodyText"/>
        <w:spacing w:after="240" w:line="276" w:lineRule="auto"/>
        <w:jc w:val="both"/>
        <w:rPr>
          <w:rFonts w:ascii="Times New Roman" w:hAnsi="Times New Roman"/>
          <w:lang w:val="en-GB"/>
        </w:rPr>
      </w:pPr>
      <w:r w:rsidRPr="00D01979">
        <w:rPr>
          <w:rFonts w:ascii="Times New Roman" w:hAnsi="Times New Roman"/>
          <w:lang w:val="en-GB"/>
        </w:rPr>
        <w:t>During the audit of the project financial statements, the auditor is required to review the activities of the project’s designated account(s). Activities to be examined will include deposits received, payments made, interest earned and reconciliation of period-end balances.</w:t>
      </w:r>
    </w:p>
    <w:p w14:paraId="15BEC3A6" w14:textId="48D24857" w:rsidR="005C4EB4" w:rsidRPr="006B72B5" w:rsidRDefault="005C4EB4" w:rsidP="00665F55">
      <w:pPr>
        <w:pStyle w:val="BodyText3"/>
        <w:spacing w:after="240" w:line="276" w:lineRule="auto"/>
        <w:jc w:val="both"/>
        <w:rPr>
          <w:sz w:val="24"/>
          <w:szCs w:val="24"/>
        </w:rPr>
      </w:pPr>
      <w:r w:rsidRPr="006B72B5">
        <w:rPr>
          <w:sz w:val="24"/>
          <w:szCs w:val="24"/>
        </w:rPr>
        <w:t xml:space="preserve">The auditor should pay particular attention as to the compliance with the Bank's procedures and the balances of the </w:t>
      </w:r>
      <w:r w:rsidR="00842328">
        <w:rPr>
          <w:sz w:val="24"/>
          <w:szCs w:val="24"/>
        </w:rPr>
        <w:t>two segregated Designated Accounts</w:t>
      </w:r>
      <w:r w:rsidRPr="006B72B5">
        <w:rPr>
          <w:sz w:val="24"/>
          <w:szCs w:val="24"/>
        </w:rPr>
        <w:t xml:space="preserve"> at the end of the fiscal year and the adequacy of internal controls for this type of disbursement mechanism.</w:t>
      </w:r>
    </w:p>
    <w:p w14:paraId="5264877A" w14:textId="77777777" w:rsidR="005C4EB4" w:rsidRPr="00D01979" w:rsidRDefault="005C4EB4" w:rsidP="00665F55">
      <w:pPr>
        <w:keepNext/>
        <w:spacing w:line="276" w:lineRule="auto"/>
        <w:jc w:val="both"/>
        <w:rPr>
          <w:rFonts w:ascii="Times New Roman" w:hAnsi="Times New Roman" w:cs="Times New Roman"/>
          <w:b/>
        </w:rPr>
      </w:pPr>
      <w:r w:rsidRPr="00D01979">
        <w:rPr>
          <w:rFonts w:ascii="Times New Roman" w:hAnsi="Times New Roman" w:cs="Times New Roman"/>
          <w:b/>
        </w:rPr>
        <w:t>Audit Reports</w:t>
      </w:r>
    </w:p>
    <w:p w14:paraId="75AE3ACB" w14:textId="77777777" w:rsidR="005C4EB4" w:rsidRPr="00D01979" w:rsidRDefault="005C4EB4" w:rsidP="00665F55">
      <w:pPr>
        <w:spacing w:line="276" w:lineRule="auto"/>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The auditors will issue an audit opinion on the Project Financial Statements. </w:t>
      </w:r>
      <w:r w:rsidRPr="00D01979">
        <w:rPr>
          <w:rFonts w:ascii="Times New Roman" w:hAnsi="Times New Roman" w:cs="Times New Roman"/>
          <w:snapToGrid w:val="0"/>
        </w:rPr>
        <w:t xml:space="preserve">The audit ToR will extend the scope in order to review and provide opinion on the applied procedures with regard to grants are aligned with </w:t>
      </w:r>
      <w:r w:rsidRPr="00D01979">
        <w:rPr>
          <w:rFonts w:ascii="Times New Roman" w:hAnsi="Times New Roman" w:cs="Times New Roman"/>
        </w:rPr>
        <w:t>the GOM including procedures of verification by the implementing entity of the adequacy of financial reports and accompanying documentation delivered by the grant beneficiaries.</w:t>
      </w:r>
    </w:p>
    <w:p w14:paraId="38127808" w14:textId="62C41740" w:rsidR="005C4EB4" w:rsidRPr="00D01979" w:rsidRDefault="005C4EB4" w:rsidP="00665F55">
      <w:pPr>
        <w:pStyle w:val="BodyText"/>
        <w:spacing w:after="240" w:line="276" w:lineRule="auto"/>
        <w:jc w:val="both"/>
        <w:rPr>
          <w:rFonts w:ascii="Times New Roman" w:hAnsi="Times New Roman"/>
          <w:lang w:val="en-GB"/>
        </w:rPr>
      </w:pPr>
      <w:r w:rsidRPr="00D01979">
        <w:rPr>
          <w:rFonts w:ascii="Times New Roman" w:hAnsi="Times New Roman"/>
          <w:lang w:val="en-GB"/>
        </w:rPr>
        <w:t>In addition to the audit opinion, the auditor will prepare a "management letter," in which the auditor will:</w:t>
      </w:r>
      <w:r w:rsidR="00921B17">
        <w:rPr>
          <w:rFonts w:ascii="Times New Roman" w:hAnsi="Times New Roman"/>
          <w:lang w:val="en-GB"/>
        </w:rPr>
        <w:t xml:space="preserve"> </w:t>
      </w:r>
    </w:p>
    <w:p w14:paraId="37938F2B"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provide comments and observations on the accounting records, systems, and controls that were examined during the course of the audit; </w:t>
      </w:r>
    </w:p>
    <w:p w14:paraId="32E82A4E"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identify specific deficiencies and areas of weakness in systems and controls and make recommendation for their improvement; </w:t>
      </w:r>
    </w:p>
    <w:p w14:paraId="0FABC955"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snapToGrid w:val="0"/>
          <w:color w:val="000000"/>
        </w:rPr>
        <w:t>report on instances of non-compliance with the terms of the financial agreement(s);</w:t>
      </w:r>
    </w:p>
    <w:p w14:paraId="4C5770EF"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snapToGrid w:val="0"/>
          <w:color w:val="000000"/>
        </w:rPr>
        <w:t>quantify and report expenditures that are considered to be ineligible and either paid out of the designated account(s) or which have been claimed from the World Bank;</w:t>
      </w:r>
    </w:p>
    <w:p w14:paraId="51945D5C"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communicate matters that have come to their attention during the audit which might have a significant impact on the implementation of the project; </w:t>
      </w:r>
    </w:p>
    <w:p w14:paraId="43CE78C6"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snapToGrid w:val="0"/>
          <w:color w:val="000000"/>
        </w:rPr>
        <w:t xml:space="preserve">bring to the borrower's attention any other matters that the auditor considers pertinent; and </w:t>
      </w:r>
    </w:p>
    <w:p w14:paraId="62FC226A" w14:textId="77777777" w:rsidR="005C4EB4" w:rsidRPr="00D01979" w:rsidRDefault="005C4EB4" w:rsidP="00FC208B">
      <w:pPr>
        <w:numPr>
          <w:ilvl w:val="0"/>
          <w:numId w:val="295"/>
        </w:numPr>
        <w:tabs>
          <w:tab w:val="clear" w:pos="1440"/>
          <w:tab w:val="num" w:pos="540"/>
        </w:tabs>
        <w:spacing w:after="0" w:line="276" w:lineRule="auto"/>
        <w:ind w:left="540"/>
        <w:jc w:val="both"/>
        <w:rPr>
          <w:rFonts w:ascii="Times New Roman" w:hAnsi="Times New Roman" w:cs="Times New Roman"/>
          <w:snapToGrid w:val="0"/>
          <w:color w:val="000000"/>
        </w:rPr>
      </w:pPr>
      <w:r w:rsidRPr="00D01979">
        <w:rPr>
          <w:rFonts w:ascii="Times New Roman" w:hAnsi="Times New Roman" w:cs="Times New Roman"/>
          <w:color w:val="000000"/>
        </w:rPr>
        <w:t>include management's comments in the final management letter.</w:t>
      </w:r>
    </w:p>
    <w:p w14:paraId="774AAAEC" w14:textId="77777777" w:rsidR="001F42AE" w:rsidRDefault="001F42AE" w:rsidP="00665F55">
      <w:pPr>
        <w:spacing w:line="276" w:lineRule="auto"/>
        <w:jc w:val="both"/>
        <w:rPr>
          <w:rFonts w:ascii="Times New Roman" w:hAnsi="Times New Roman" w:cs="Times New Roman"/>
          <w:snapToGrid w:val="0"/>
        </w:rPr>
      </w:pPr>
    </w:p>
    <w:p w14:paraId="7DC11837" w14:textId="77777777" w:rsidR="005C4EB4" w:rsidRPr="00D01979" w:rsidRDefault="005C4EB4" w:rsidP="00665F55">
      <w:pPr>
        <w:spacing w:line="276" w:lineRule="auto"/>
        <w:jc w:val="both"/>
        <w:rPr>
          <w:rFonts w:ascii="Times New Roman" w:hAnsi="Times New Roman" w:cs="Times New Roman"/>
          <w:snapToGrid w:val="0"/>
          <w:color w:val="000000"/>
        </w:rPr>
      </w:pPr>
      <w:r w:rsidRPr="00D01979">
        <w:rPr>
          <w:rFonts w:ascii="Times New Roman" w:hAnsi="Times New Roman" w:cs="Times New Roman"/>
          <w:snapToGrid w:val="0"/>
        </w:rPr>
        <w:t xml:space="preserve">If none of the above applies, and a management letter is therefore not prepared, the auditor will issue a letter stating that during the audit nothing has come to their attention that the auditor considers pertinent to be brought to the attention of the borrower. </w:t>
      </w:r>
      <w:r w:rsidRPr="00D01979">
        <w:rPr>
          <w:rFonts w:ascii="Times New Roman" w:hAnsi="Times New Roman" w:cs="Times New Roman"/>
          <w:snapToGrid w:val="0"/>
          <w:color w:val="000000"/>
        </w:rPr>
        <w:t xml:space="preserve">The financial statements, including the audit opinion, and management letter should be received by the Project implementing agency, no later than six months after the end of the audited fiscal year. The Project’s implementing agency should then promptly forward two copies of these to the World Bank. </w:t>
      </w:r>
    </w:p>
    <w:p w14:paraId="73CB02C5" w14:textId="77777777" w:rsidR="005C4EB4" w:rsidRPr="00D01979" w:rsidRDefault="005C4EB4" w:rsidP="00D01979">
      <w:pPr>
        <w:spacing w:line="276" w:lineRule="auto"/>
        <w:jc w:val="center"/>
        <w:rPr>
          <w:rFonts w:ascii="Times New Roman" w:hAnsi="Times New Roman" w:cs="Times New Roman"/>
          <w:b/>
        </w:rPr>
      </w:pPr>
      <w:r w:rsidRPr="00D01979">
        <w:rPr>
          <w:rFonts w:ascii="Times New Roman" w:hAnsi="Times New Roman" w:cs="Times New Roman"/>
          <w:b/>
        </w:rPr>
        <w:t>Public Disclosure</w:t>
      </w:r>
    </w:p>
    <w:p w14:paraId="4E362518" w14:textId="21B1376E" w:rsidR="005C4EB4" w:rsidRPr="00665F55" w:rsidRDefault="005C4EB4" w:rsidP="00665F55">
      <w:pPr>
        <w:pStyle w:val="BodyText3"/>
        <w:spacing w:after="240" w:line="276" w:lineRule="auto"/>
        <w:jc w:val="both"/>
        <w:rPr>
          <w:sz w:val="22"/>
          <w:szCs w:val="22"/>
        </w:rPr>
      </w:pPr>
      <w:r w:rsidRPr="00665F55">
        <w:rPr>
          <w:sz w:val="22"/>
          <w:szCs w:val="22"/>
        </w:rPr>
        <w:t xml:space="preserve">In accordance with "The World Bank (the Bank) Policy on Access to Information" dated July 1, 2010 for Bank-financed operations for which the invitation to negotiate is issued on or after July 1, 2010, the Bank requires that the borrower makes the audited financial statements </w:t>
      </w:r>
      <w:r w:rsidR="00836CE3" w:rsidRPr="00665F55">
        <w:rPr>
          <w:sz w:val="22"/>
          <w:szCs w:val="22"/>
        </w:rPr>
        <w:t>publicly</w:t>
      </w:r>
      <w:r w:rsidRPr="00665F55">
        <w:rPr>
          <w:sz w:val="22"/>
          <w:szCs w:val="22"/>
        </w:rPr>
        <w:t xml:space="preserve"> available in a timely fashion and manner acceptable to the Bank. </w:t>
      </w:r>
      <w:r w:rsidRPr="00665F55">
        <w:rPr>
          <w:b/>
          <w:sz w:val="22"/>
          <w:szCs w:val="22"/>
        </w:rPr>
        <w:t>In addition</w:t>
      </w:r>
      <w:r w:rsidRPr="00665F55">
        <w:rPr>
          <w:sz w:val="22"/>
          <w:szCs w:val="22"/>
        </w:rPr>
        <w:t xml:space="preserve">, following the Bank’s formal receipt of these financial statements from the borrower, the Bank makes them available to the public in accordance with this policy. </w:t>
      </w:r>
    </w:p>
    <w:p w14:paraId="0E39E85B" w14:textId="71B600D7" w:rsidR="005C4EB4" w:rsidRPr="00665F55" w:rsidRDefault="005C4EB4" w:rsidP="00665F55">
      <w:pPr>
        <w:pStyle w:val="BodyText3"/>
        <w:spacing w:after="240" w:line="276" w:lineRule="auto"/>
        <w:jc w:val="both"/>
        <w:rPr>
          <w:sz w:val="22"/>
          <w:szCs w:val="22"/>
        </w:rPr>
      </w:pPr>
      <w:r w:rsidRPr="00665F55">
        <w:rPr>
          <w:sz w:val="22"/>
          <w:szCs w:val="22"/>
        </w:rPr>
        <w:t>Management Letters, special audits (</w:t>
      </w:r>
      <w:r w:rsidR="00836CE3" w:rsidRPr="00665F55">
        <w:rPr>
          <w:sz w:val="22"/>
          <w:szCs w:val="22"/>
        </w:rPr>
        <w:t>i.e.,</w:t>
      </w:r>
      <w:r w:rsidRPr="00665F55">
        <w:rPr>
          <w:sz w:val="22"/>
          <w:szCs w:val="22"/>
        </w:rPr>
        <w:t xml:space="preserve"> whose nature is not financial), and unaudited financial statements (e.g. Interim Financial Reports) are not considered to be the part of the definition of the audited financial statements for the purposes of disclosure.</w:t>
      </w:r>
      <w:r w:rsidR="00921B17" w:rsidRPr="00665F55">
        <w:rPr>
          <w:sz w:val="22"/>
          <w:szCs w:val="22"/>
        </w:rPr>
        <w:t xml:space="preserve"> </w:t>
      </w:r>
    </w:p>
    <w:p w14:paraId="5E93AE58" w14:textId="16041BCC" w:rsidR="005C4EB4" w:rsidRPr="00665F55" w:rsidRDefault="005C4EB4" w:rsidP="00665F55">
      <w:pPr>
        <w:pStyle w:val="BodyText3"/>
        <w:spacing w:after="240" w:line="276" w:lineRule="auto"/>
        <w:jc w:val="both"/>
        <w:rPr>
          <w:sz w:val="22"/>
          <w:szCs w:val="22"/>
        </w:rPr>
      </w:pPr>
      <w:r w:rsidRPr="00665F55">
        <w:rPr>
          <w:sz w:val="22"/>
          <w:szCs w:val="22"/>
        </w:rPr>
        <w:t>Only in exceptional cases the Bank may agree—i.e., when the audited financial statements contain proprietary or commercially sensitive information—that the borrower or designated project entity may be exempted from disclosing the full set of audited financial statements, but is still required to disclose an abridged version of them in a form acceptable to the Bank.</w:t>
      </w:r>
      <w:r w:rsidR="00921B17" w:rsidRPr="00665F55">
        <w:rPr>
          <w:sz w:val="22"/>
          <w:szCs w:val="22"/>
        </w:rPr>
        <w:t xml:space="preserve"> </w:t>
      </w:r>
      <w:r w:rsidRPr="00665F55">
        <w:rPr>
          <w:sz w:val="22"/>
          <w:szCs w:val="22"/>
        </w:rPr>
        <w:t>Exceptions are approved by World Bank management.</w:t>
      </w:r>
    </w:p>
    <w:p w14:paraId="6D07725E" w14:textId="77777777" w:rsidR="005C4EB4" w:rsidRPr="00FC208B" w:rsidRDefault="005C4EB4" w:rsidP="00665F55">
      <w:pPr>
        <w:spacing w:line="276" w:lineRule="auto"/>
        <w:jc w:val="both"/>
        <w:rPr>
          <w:rFonts w:ascii="Times New Roman" w:hAnsi="Times New Roman" w:cs="Times New Roman"/>
          <w:b/>
        </w:rPr>
      </w:pPr>
      <w:r w:rsidRPr="00FC208B">
        <w:rPr>
          <w:rFonts w:ascii="Times New Roman" w:hAnsi="Times New Roman" w:cs="Times New Roman"/>
          <w:b/>
        </w:rPr>
        <w:t>General</w:t>
      </w:r>
    </w:p>
    <w:p w14:paraId="51BB770F" w14:textId="5DB73F5A" w:rsidR="005C4EB4" w:rsidRPr="00FC208B" w:rsidRDefault="005C4EB4" w:rsidP="00665F55">
      <w:pPr>
        <w:spacing w:line="276" w:lineRule="auto"/>
        <w:jc w:val="both"/>
        <w:rPr>
          <w:rFonts w:ascii="Times New Roman" w:hAnsi="Times New Roman" w:cs="Times New Roman"/>
        </w:rPr>
      </w:pPr>
      <w:r w:rsidRPr="00FC208B">
        <w:rPr>
          <w:rFonts w:ascii="Times New Roman" w:hAnsi="Times New Roman" w:cs="Times New Roman"/>
        </w:rPr>
        <w:t>The responsibility for the preparation of financial statements including adequate disclosure is that of the management of the</w:t>
      </w:r>
      <w:r w:rsidRPr="00FC208B">
        <w:rPr>
          <w:rFonts w:ascii="Times New Roman" w:hAnsi="Times New Roman" w:cs="Times New Roman"/>
          <w:snapToGrid w:val="0"/>
          <w:color w:val="000000"/>
        </w:rPr>
        <w:t xml:space="preserve"> Project</w:t>
      </w:r>
      <w:r w:rsidRPr="00FC208B">
        <w:rPr>
          <w:rFonts w:ascii="Times New Roman" w:hAnsi="Times New Roman" w:cs="Times New Roman"/>
        </w:rPr>
        <w:t>.</w:t>
      </w:r>
      <w:r w:rsidR="00921B17" w:rsidRPr="00FC208B">
        <w:rPr>
          <w:rFonts w:ascii="Times New Roman" w:hAnsi="Times New Roman" w:cs="Times New Roman"/>
        </w:rPr>
        <w:t xml:space="preserve"> </w:t>
      </w:r>
      <w:r w:rsidRPr="00FC208B">
        <w:rPr>
          <w:rFonts w:ascii="Times New Roman" w:hAnsi="Times New Roman" w:cs="Times New Roman"/>
        </w:rPr>
        <w:t>As part of the audit process, the auditor will request from management written confirmation concerning representations made to the auditor in connection with the audit.</w:t>
      </w:r>
    </w:p>
    <w:p w14:paraId="1FD35E7B" w14:textId="77777777" w:rsidR="005C4EB4" w:rsidRPr="00665F55" w:rsidRDefault="005C4EB4" w:rsidP="00665F55">
      <w:pPr>
        <w:pStyle w:val="BodyText3"/>
        <w:spacing w:after="240" w:line="276" w:lineRule="auto"/>
        <w:jc w:val="both"/>
        <w:rPr>
          <w:sz w:val="22"/>
          <w:szCs w:val="22"/>
        </w:rPr>
      </w:pPr>
      <w:r w:rsidRPr="00665F55">
        <w:rPr>
          <w:sz w:val="22"/>
          <w:szCs w:val="22"/>
        </w:rPr>
        <w:t>The auditor is entitled to unlimited access to all information and explanations considered necessary to facilitate the audit including legal documents, project preparation and supervision reports, reports of reviews and investigations, correspondences, and credit account information. The auditor may</w:t>
      </w:r>
      <w:r w:rsidRPr="006B72B5">
        <w:rPr>
          <w:sz w:val="24"/>
          <w:szCs w:val="24"/>
        </w:rPr>
        <w:t xml:space="preserve"> also seek written </w:t>
      </w:r>
      <w:r w:rsidRPr="00665F55">
        <w:rPr>
          <w:sz w:val="22"/>
          <w:szCs w:val="22"/>
        </w:rPr>
        <w:t>confirmation of amounts disbursed and outstanding in the Bank records.</w:t>
      </w:r>
    </w:p>
    <w:p w14:paraId="0ADC5AF8" w14:textId="77777777" w:rsidR="005C4EB4" w:rsidRPr="00665F55" w:rsidRDefault="005C4EB4" w:rsidP="00665F55">
      <w:pPr>
        <w:pStyle w:val="BodyText3"/>
        <w:spacing w:after="240" w:line="276" w:lineRule="auto"/>
        <w:jc w:val="both"/>
        <w:rPr>
          <w:sz w:val="22"/>
          <w:szCs w:val="22"/>
        </w:rPr>
      </w:pPr>
      <w:r w:rsidRPr="00665F55">
        <w:rPr>
          <w:sz w:val="22"/>
          <w:szCs w:val="22"/>
        </w:rPr>
        <w:t>The auditor is encouraged to meet and discuss audit related matters including input to the audit plan with the World Bank project task team.</w:t>
      </w:r>
    </w:p>
    <w:p w14:paraId="429A9E1B" w14:textId="77777777" w:rsidR="005C4EB4" w:rsidRPr="00665F55" w:rsidRDefault="005C4EB4" w:rsidP="00665F55">
      <w:pPr>
        <w:pStyle w:val="BodyText3"/>
        <w:spacing w:after="240" w:line="276" w:lineRule="auto"/>
        <w:jc w:val="both"/>
        <w:rPr>
          <w:sz w:val="22"/>
          <w:szCs w:val="22"/>
        </w:rPr>
      </w:pPr>
      <w:r w:rsidRPr="00665F55">
        <w:rPr>
          <w:sz w:val="22"/>
          <w:szCs w:val="22"/>
        </w:rPr>
        <w:t xml:space="preserve">It is highly desirable that the auditor become familiar with the relevant World Bank guidelines, which explain the Bank's financial reporting and auditing requirements. These guidelines include: </w:t>
      </w:r>
    </w:p>
    <w:p w14:paraId="1086E0CB" w14:textId="21E6B29A" w:rsidR="005C4EB4" w:rsidRPr="00665F55" w:rsidRDefault="005C4EB4" w:rsidP="00FC208B">
      <w:pPr>
        <w:pStyle w:val="BodyText3"/>
        <w:numPr>
          <w:ilvl w:val="0"/>
          <w:numId w:val="296"/>
        </w:numPr>
        <w:snapToGrid w:val="0"/>
        <w:spacing w:after="0" w:line="276" w:lineRule="auto"/>
        <w:jc w:val="both"/>
        <w:rPr>
          <w:sz w:val="22"/>
          <w:szCs w:val="22"/>
        </w:rPr>
      </w:pPr>
      <w:r w:rsidRPr="00665F55">
        <w:rPr>
          <w:sz w:val="22"/>
          <w:szCs w:val="22"/>
        </w:rPr>
        <w:t xml:space="preserve">Reference Material to the Financial Management Manual for World Bank-Financed Investment Operations (March 2010): </w:t>
      </w:r>
      <w:r w:rsidRPr="00665F55">
        <w:rPr>
          <w:i/>
          <w:sz w:val="22"/>
          <w:szCs w:val="22"/>
        </w:rPr>
        <w:t>RM 3 - Financial Reporting and Auditing</w:t>
      </w:r>
      <w:r w:rsidRPr="00665F55">
        <w:rPr>
          <w:sz w:val="22"/>
          <w:szCs w:val="22"/>
        </w:rPr>
        <w:t>;</w:t>
      </w:r>
      <w:r w:rsidR="00836CE3" w:rsidRPr="00665F55">
        <w:rPr>
          <w:sz w:val="22"/>
          <w:szCs w:val="22"/>
        </w:rPr>
        <w:t xml:space="preserve"> </w:t>
      </w:r>
      <w:hyperlink r:id="rId78" w:history="1">
        <w:r w:rsidRPr="00665F55">
          <w:rPr>
            <w:rStyle w:val="Hyperlink"/>
            <w:sz w:val="22"/>
            <w:szCs w:val="22"/>
          </w:rPr>
          <w:t>Disbursement Handbook for World Bank Clients</w:t>
        </w:r>
      </w:hyperlink>
      <w:r w:rsidRPr="00665F55">
        <w:rPr>
          <w:sz w:val="22"/>
          <w:szCs w:val="22"/>
        </w:rPr>
        <w:t>dated May 2006 (available on Client Connection web site);</w:t>
      </w:r>
      <w:r w:rsidRPr="00665F55">
        <w:rPr>
          <w:vanish/>
          <w:sz w:val="22"/>
          <w:szCs w:val="22"/>
        </w:rPr>
        <w:t>Disbursement Guidelines for Projects</w:t>
      </w:r>
      <w:r w:rsidRPr="00665F55">
        <w:rPr>
          <w:sz w:val="22"/>
          <w:szCs w:val="22"/>
        </w:rPr>
        <w:t xml:space="preserve"> (available on Client Connection web site).</w:t>
      </w:r>
    </w:p>
    <w:p w14:paraId="5485AF0C" w14:textId="043C09F9" w:rsidR="00FC208B" w:rsidRPr="00665F55" w:rsidRDefault="005C4EB4" w:rsidP="00FC208B">
      <w:pPr>
        <w:pStyle w:val="BodyText3"/>
        <w:numPr>
          <w:ilvl w:val="0"/>
          <w:numId w:val="296"/>
        </w:numPr>
        <w:snapToGrid w:val="0"/>
        <w:spacing w:after="0" w:line="276" w:lineRule="auto"/>
        <w:jc w:val="both"/>
        <w:rPr>
          <w:sz w:val="22"/>
          <w:szCs w:val="22"/>
        </w:rPr>
      </w:pPr>
      <w:r w:rsidRPr="00665F55">
        <w:rPr>
          <w:sz w:val="22"/>
          <w:szCs w:val="22"/>
        </w:rPr>
        <w:t>World Bank’s Procurement Regulations for IPF Borrowers: Procurement in Investment Project Financing – Goods, Works, Non-Consulting and Consulting Services July 2016 (revised November 2017 and August 2018).</w:t>
      </w:r>
    </w:p>
    <w:p w14:paraId="0C9CCB06" w14:textId="77777777" w:rsidR="005C4EB4" w:rsidRPr="00FC208B" w:rsidRDefault="005C4EB4" w:rsidP="00665F55">
      <w:pPr>
        <w:pStyle w:val="BodyText3"/>
        <w:snapToGrid w:val="0"/>
        <w:spacing w:after="0" w:line="276" w:lineRule="auto"/>
        <w:ind w:left="720"/>
        <w:jc w:val="both"/>
        <w:rPr>
          <w:sz w:val="24"/>
          <w:szCs w:val="24"/>
        </w:rPr>
      </w:pPr>
    </w:p>
    <w:p w14:paraId="76254B77" w14:textId="77777777" w:rsidR="005C4EB4" w:rsidRPr="00D01979" w:rsidRDefault="005C4EB4" w:rsidP="00665F55">
      <w:pPr>
        <w:spacing w:line="276" w:lineRule="auto"/>
        <w:jc w:val="both"/>
        <w:rPr>
          <w:rFonts w:ascii="Times New Roman" w:hAnsi="Times New Roman" w:cs="Times New Roman"/>
        </w:rPr>
      </w:pPr>
      <w:r w:rsidRPr="00D01979">
        <w:rPr>
          <w:rFonts w:ascii="Times New Roman" w:hAnsi="Times New Roman" w:cs="Times New Roman"/>
        </w:rPr>
        <w:t>This term of engagement will remain effective for future fiscal years unless it is terminated, amended or superseded.</w:t>
      </w:r>
    </w:p>
    <w:p w14:paraId="0FCD0D78" w14:textId="77777777" w:rsidR="005C4EB4" w:rsidRDefault="005C4EB4" w:rsidP="00D01979">
      <w:pPr>
        <w:pStyle w:val="BodyText"/>
        <w:spacing w:after="240" w:line="276" w:lineRule="auto"/>
        <w:rPr>
          <w:rFonts w:ascii="Times New Roman" w:hAnsi="Times New Roman"/>
          <w:lang w:val="en-GB"/>
        </w:rPr>
      </w:pPr>
      <w:r w:rsidRPr="00D01979">
        <w:rPr>
          <w:rFonts w:ascii="Times New Roman" w:hAnsi="Times New Roman"/>
          <w:lang w:val="en-GB"/>
        </w:rPr>
        <w:t xml:space="preserve">The auditor should understand that working papers under World Bank project can be subject to the review by Client’s and/or World Bank designated staff. </w:t>
      </w:r>
    </w:p>
    <w:p w14:paraId="624C738E" w14:textId="77777777" w:rsidR="008B7F00" w:rsidRDefault="008B7F00" w:rsidP="00D01979">
      <w:pPr>
        <w:pStyle w:val="BodyText"/>
        <w:spacing w:after="240" w:line="276" w:lineRule="auto"/>
        <w:rPr>
          <w:rFonts w:ascii="Times New Roman" w:hAnsi="Times New Roman"/>
          <w:lang w:val="en-GB"/>
        </w:rPr>
        <w:sectPr w:rsidR="008B7F00" w:rsidSect="0094281C">
          <w:pgSz w:w="11905" w:h="16837" w:code="9"/>
          <w:pgMar w:top="1134" w:right="1134" w:bottom="1134" w:left="1134" w:header="510" w:footer="340" w:gutter="0"/>
          <w:cols w:space="720"/>
          <w:docGrid w:linePitch="360"/>
        </w:sectPr>
      </w:pPr>
    </w:p>
    <w:p w14:paraId="50EE4D1B" w14:textId="3D525222" w:rsidR="00187811" w:rsidRPr="00D01979" w:rsidRDefault="00187811">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16" w:name="_Toc93342339"/>
      <w:r w:rsidRPr="00D01979">
        <w:rPr>
          <w:rFonts w:ascii="Times New Roman" w:hAnsi="Times New Roman" w:cs="Times New Roman"/>
          <w:smallCaps w:val="0"/>
          <w:color w:val="auto"/>
          <w:sz w:val="28"/>
          <w:szCs w:val="30"/>
        </w:rPr>
        <w:t>Annex 1</w:t>
      </w:r>
      <w:r w:rsidR="00E2669C">
        <w:rPr>
          <w:rFonts w:ascii="Times New Roman" w:hAnsi="Times New Roman" w:cs="Times New Roman"/>
          <w:smallCaps w:val="0"/>
          <w:color w:val="auto"/>
          <w:sz w:val="28"/>
          <w:szCs w:val="30"/>
        </w:rPr>
        <w:t>0</w:t>
      </w:r>
      <w:r w:rsidR="005E6AF5" w:rsidRPr="00D01979">
        <w:rPr>
          <w:rFonts w:ascii="Times New Roman" w:hAnsi="Times New Roman" w:cs="Times New Roman"/>
          <w:smallCaps w:val="0"/>
          <w:color w:val="auto"/>
          <w:sz w:val="28"/>
          <w:szCs w:val="30"/>
        </w:rPr>
        <w:t>:</w:t>
      </w:r>
      <w:r w:rsidRPr="00D01979">
        <w:rPr>
          <w:rFonts w:ascii="Times New Roman" w:hAnsi="Times New Roman" w:cs="Times New Roman"/>
          <w:smallCaps w:val="0"/>
          <w:color w:val="auto"/>
          <w:sz w:val="28"/>
          <w:szCs w:val="30"/>
        </w:rPr>
        <w:t xml:space="preserve"> Formula</w:t>
      </w:r>
      <w:r w:rsidR="001F5593">
        <w:rPr>
          <w:rFonts w:ascii="Times New Roman" w:hAnsi="Times New Roman" w:cs="Times New Roman"/>
          <w:smallCaps w:val="0"/>
          <w:color w:val="auto"/>
          <w:sz w:val="28"/>
          <w:szCs w:val="30"/>
        </w:rPr>
        <w:t>- Calculation and Evaluation</w:t>
      </w:r>
      <w:bookmarkEnd w:id="716"/>
    </w:p>
    <w:p w14:paraId="73011E89" w14:textId="5A304CAF" w:rsidR="00EB3558" w:rsidRPr="00EB3558" w:rsidRDefault="00EB3558" w:rsidP="006F115D">
      <w:pPr>
        <w:spacing w:after="120" w:line="240" w:lineRule="auto"/>
        <w:rPr>
          <w:rFonts w:ascii="Times New Roman" w:hAnsi="Times New Roman" w:cs="Times New Roman"/>
          <w:b/>
          <w:bCs/>
        </w:rPr>
      </w:pPr>
      <w:r w:rsidRPr="00EB3558">
        <w:rPr>
          <w:rFonts w:ascii="Times New Roman" w:hAnsi="Times New Roman" w:cs="Times New Roman"/>
          <w:b/>
          <w:bCs/>
        </w:rPr>
        <w:t>Formula Calculation</w:t>
      </w:r>
    </w:p>
    <w:tbl>
      <w:tblPr>
        <w:tblW w:w="5844" w:type="dxa"/>
        <w:tblInd w:w="93" w:type="dxa"/>
        <w:tblBorders>
          <w:top w:val="single" w:sz="2" w:space="0" w:color="auto"/>
          <w:left w:val="single" w:sz="2" w:space="0" w:color="auto"/>
          <w:bottom w:val="single" w:sz="2" w:space="0" w:color="auto"/>
          <w:right w:val="single" w:sz="2" w:space="0" w:color="auto"/>
          <w:insideH w:val="dotted" w:sz="4" w:space="0" w:color="auto"/>
          <w:insideV w:val="dotted" w:sz="4" w:space="0" w:color="auto"/>
        </w:tblBorders>
        <w:shd w:val="clear" w:color="auto" w:fill="DAEEF3" w:themeFill="accent5" w:themeFillTint="33"/>
        <w:tblLook w:val="04A0" w:firstRow="1" w:lastRow="0" w:firstColumn="1" w:lastColumn="0" w:noHBand="0" w:noVBand="1"/>
      </w:tblPr>
      <w:tblGrid>
        <w:gridCol w:w="2424"/>
        <w:gridCol w:w="2430"/>
        <w:gridCol w:w="990"/>
      </w:tblGrid>
      <w:tr w:rsidR="00A53FD7" w:rsidRPr="00A53FD7" w14:paraId="036DD5C7" w14:textId="77777777" w:rsidTr="00665F55">
        <w:trPr>
          <w:trHeight w:val="284"/>
        </w:trPr>
        <w:tc>
          <w:tcPr>
            <w:tcW w:w="2424" w:type="dxa"/>
            <w:vMerge w:val="restart"/>
            <w:shd w:val="clear" w:color="auto" w:fill="DAEEF3" w:themeFill="accent5" w:themeFillTint="33"/>
            <w:vAlign w:val="center"/>
            <w:hideMark/>
          </w:tcPr>
          <w:p w14:paraId="51028A60" w14:textId="47EE8F77" w:rsidR="00A53FD7" w:rsidRPr="00A53FD7" w:rsidRDefault="00FC208B" w:rsidP="00A53FD7">
            <w:pPr>
              <w:spacing w:after="0" w:line="240" w:lineRule="auto"/>
              <w:jc w:val="center"/>
              <w:rPr>
                <w:rFonts w:ascii="Times New Roman" w:eastAsia="Times New Roman" w:hAnsi="Times New Roman" w:cs="Times New Roman"/>
                <w:lang w:val="en-US"/>
              </w:rPr>
            </w:pPr>
            <w:r>
              <w:rPr>
                <w:rFonts w:ascii="Times New Roman" w:eastAsia="Times New Roman" w:hAnsi="Times New Roman" w:cs="Times New Roman"/>
                <w:lang w:val="en-US"/>
              </w:rPr>
              <w:t>C</w:t>
            </w:r>
            <w:r w:rsidRPr="00A53FD7">
              <w:rPr>
                <w:rFonts w:ascii="Times New Roman" w:eastAsia="Times New Roman" w:hAnsi="Times New Roman" w:cs="Times New Roman"/>
                <w:lang w:val="en-US"/>
              </w:rPr>
              <w:t xml:space="preserve">ategories </w:t>
            </w:r>
            <w:r w:rsidR="00A53FD7" w:rsidRPr="00A53FD7">
              <w:rPr>
                <w:rFonts w:ascii="Times New Roman" w:eastAsia="Times New Roman" w:hAnsi="Times New Roman" w:cs="Times New Roman"/>
                <w:lang w:val="en-US"/>
              </w:rPr>
              <w:t xml:space="preserve">and </w:t>
            </w:r>
            <w:r>
              <w:rPr>
                <w:rFonts w:ascii="Times New Roman" w:eastAsia="Times New Roman" w:hAnsi="Times New Roman" w:cs="Times New Roman"/>
                <w:lang w:val="en-US"/>
              </w:rPr>
              <w:t>W</w:t>
            </w:r>
            <w:r w:rsidRPr="00A53FD7">
              <w:rPr>
                <w:rFonts w:ascii="Times New Roman" w:eastAsia="Times New Roman" w:hAnsi="Times New Roman" w:cs="Times New Roman"/>
                <w:lang w:val="en-US"/>
              </w:rPr>
              <w:t xml:space="preserve">eights </w:t>
            </w:r>
          </w:p>
        </w:tc>
        <w:tc>
          <w:tcPr>
            <w:tcW w:w="2430" w:type="dxa"/>
            <w:shd w:val="clear" w:color="auto" w:fill="DAEEF3" w:themeFill="accent5" w:themeFillTint="33"/>
            <w:noWrap/>
            <w:hideMark/>
          </w:tcPr>
          <w:p w14:paraId="698375DD" w14:textId="2602B6AD" w:rsidR="00A53FD7" w:rsidRPr="00A53FD7" w:rsidRDefault="001F42AE" w:rsidP="00A53FD7">
            <w:pPr>
              <w:spacing w:after="0" w:line="240" w:lineRule="auto"/>
              <w:rPr>
                <w:rFonts w:ascii="Times New Roman" w:eastAsia="Times New Roman" w:hAnsi="Times New Roman" w:cs="Times New Roman"/>
                <w:lang w:val="en-US"/>
              </w:rPr>
            </w:pPr>
            <w:r>
              <w:rPr>
                <w:rFonts w:ascii="Times New Roman" w:eastAsia="Times New Roman" w:hAnsi="Times New Roman" w:cs="Times New Roman"/>
                <w:lang w:val="en-US"/>
              </w:rPr>
              <w:t>P</w:t>
            </w:r>
            <w:r w:rsidRPr="00A53FD7">
              <w:rPr>
                <w:rFonts w:ascii="Times New Roman" w:eastAsia="Times New Roman" w:hAnsi="Times New Roman" w:cs="Times New Roman"/>
                <w:lang w:val="en-US"/>
              </w:rPr>
              <w:t xml:space="preserve">opulation </w:t>
            </w:r>
          </w:p>
        </w:tc>
        <w:tc>
          <w:tcPr>
            <w:tcW w:w="990" w:type="dxa"/>
            <w:shd w:val="clear" w:color="auto" w:fill="DAEEF3" w:themeFill="accent5" w:themeFillTint="33"/>
            <w:noWrap/>
            <w:hideMark/>
          </w:tcPr>
          <w:p w14:paraId="734D9C30" w14:textId="77777777" w:rsidR="00A53FD7" w:rsidRPr="00A53FD7" w:rsidRDefault="00A53FD7" w:rsidP="00A53FD7">
            <w:pPr>
              <w:spacing w:after="0" w:line="240" w:lineRule="auto"/>
              <w:jc w:val="right"/>
              <w:rPr>
                <w:rFonts w:ascii="Times New Roman" w:eastAsia="Times New Roman" w:hAnsi="Times New Roman" w:cs="Times New Roman"/>
                <w:color w:val="C00000"/>
                <w:lang w:val="en-US"/>
              </w:rPr>
            </w:pPr>
            <w:r w:rsidRPr="00A53FD7">
              <w:rPr>
                <w:rFonts w:ascii="Times New Roman" w:eastAsia="Times New Roman" w:hAnsi="Times New Roman" w:cs="Times New Roman"/>
                <w:color w:val="C00000"/>
                <w:lang w:val="en-US"/>
              </w:rPr>
              <w:t>35</w:t>
            </w:r>
          </w:p>
        </w:tc>
      </w:tr>
      <w:tr w:rsidR="00A53FD7" w:rsidRPr="00A53FD7" w14:paraId="4FBAE7EB" w14:textId="77777777" w:rsidTr="00665F55">
        <w:trPr>
          <w:trHeight w:val="284"/>
        </w:trPr>
        <w:tc>
          <w:tcPr>
            <w:tcW w:w="2424" w:type="dxa"/>
            <w:vMerge/>
            <w:shd w:val="clear" w:color="auto" w:fill="DAEEF3" w:themeFill="accent5" w:themeFillTint="33"/>
            <w:vAlign w:val="center"/>
            <w:hideMark/>
          </w:tcPr>
          <w:p w14:paraId="27AEDBD5" w14:textId="21D8D591" w:rsidR="00A53FD7" w:rsidRPr="00A53FD7" w:rsidRDefault="00A53FD7" w:rsidP="00A53FD7">
            <w:pPr>
              <w:spacing w:after="0" w:line="240" w:lineRule="auto"/>
              <w:jc w:val="center"/>
              <w:rPr>
                <w:rFonts w:ascii="Times New Roman" w:eastAsia="Times New Roman" w:hAnsi="Times New Roman" w:cs="Times New Roman"/>
                <w:lang w:val="en-US"/>
              </w:rPr>
            </w:pPr>
          </w:p>
        </w:tc>
        <w:tc>
          <w:tcPr>
            <w:tcW w:w="2430" w:type="dxa"/>
            <w:shd w:val="clear" w:color="auto" w:fill="DAEEF3" w:themeFill="accent5" w:themeFillTint="33"/>
            <w:noWrap/>
            <w:hideMark/>
          </w:tcPr>
          <w:p w14:paraId="7A34381E" w14:textId="5126DAA5" w:rsidR="00A53FD7" w:rsidRPr="00A53FD7" w:rsidRDefault="001F42AE" w:rsidP="00A53FD7">
            <w:pPr>
              <w:spacing w:after="0" w:line="240" w:lineRule="auto"/>
              <w:rPr>
                <w:rFonts w:ascii="Times New Roman" w:eastAsia="Times New Roman" w:hAnsi="Times New Roman" w:cs="Times New Roman"/>
                <w:lang w:val="en-US"/>
              </w:rPr>
            </w:pPr>
            <w:r>
              <w:rPr>
                <w:rFonts w:ascii="Times New Roman" w:eastAsia="Times New Roman" w:hAnsi="Times New Roman" w:cs="Times New Roman"/>
                <w:lang w:val="en-US"/>
              </w:rPr>
              <w:t>A</w:t>
            </w:r>
            <w:r w:rsidRPr="00A53FD7">
              <w:rPr>
                <w:rFonts w:ascii="Times New Roman" w:eastAsia="Times New Roman" w:hAnsi="Times New Roman" w:cs="Times New Roman"/>
                <w:lang w:val="en-US"/>
              </w:rPr>
              <w:t xml:space="preserve">rea </w:t>
            </w:r>
            <w:r w:rsidR="00A53FD7" w:rsidRPr="00A53FD7">
              <w:rPr>
                <w:rFonts w:ascii="Times New Roman" w:eastAsia="Times New Roman" w:hAnsi="Times New Roman" w:cs="Times New Roman"/>
                <w:lang w:val="en-US"/>
              </w:rPr>
              <w:t>(km2)</w:t>
            </w:r>
          </w:p>
        </w:tc>
        <w:tc>
          <w:tcPr>
            <w:tcW w:w="990" w:type="dxa"/>
            <w:shd w:val="clear" w:color="auto" w:fill="DAEEF3" w:themeFill="accent5" w:themeFillTint="33"/>
            <w:noWrap/>
            <w:hideMark/>
          </w:tcPr>
          <w:p w14:paraId="4059CA83" w14:textId="77777777" w:rsidR="00A53FD7" w:rsidRPr="00A53FD7" w:rsidRDefault="00A53FD7" w:rsidP="00A53FD7">
            <w:pPr>
              <w:spacing w:after="0" w:line="240" w:lineRule="auto"/>
              <w:jc w:val="right"/>
              <w:rPr>
                <w:rFonts w:ascii="Times New Roman" w:eastAsia="Times New Roman" w:hAnsi="Times New Roman" w:cs="Times New Roman"/>
                <w:color w:val="C00000"/>
                <w:lang w:val="en-US"/>
              </w:rPr>
            </w:pPr>
            <w:r w:rsidRPr="00A53FD7">
              <w:rPr>
                <w:rFonts w:ascii="Times New Roman" w:eastAsia="Times New Roman" w:hAnsi="Times New Roman" w:cs="Times New Roman"/>
                <w:color w:val="C00000"/>
                <w:lang w:val="en-US"/>
              </w:rPr>
              <w:t>25</w:t>
            </w:r>
          </w:p>
        </w:tc>
      </w:tr>
      <w:tr w:rsidR="00A53FD7" w:rsidRPr="00A53FD7" w14:paraId="3BB01F2A" w14:textId="77777777" w:rsidTr="00665F55">
        <w:trPr>
          <w:trHeight w:val="284"/>
        </w:trPr>
        <w:tc>
          <w:tcPr>
            <w:tcW w:w="2424" w:type="dxa"/>
            <w:vMerge/>
            <w:shd w:val="clear" w:color="auto" w:fill="DAEEF3" w:themeFill="accent5" w:themeFillTint="33"/>
            <w:vAlign w:val="center"/>
            <w:hideMark/>
          </w:tcPr>
          <w:p w14:paraId="50600487" w14:textId="366F11C0" w:rsidR="00A53FD7" w:rsidRPr="00A53FD7" w:rsidRDefault="00A53FD7" w:rsidP="00A53FD7">
            <w:pPr>
              <w:spacing w:after="0" w:line="240" w:lineRule="auto"/>
              <w:jc w:val="center"/>
              <w:rPr>
                <w:rFonts w:ascii="Times New Roman" w:eastAsia="Times New Roman" w:hAnsi="Times New Roman" w:cs="Times New Roman"/>
                <w:lang w:val="en-US"/>
              </w:rPr>
            </w:pPr>
          </w:p>
        </w:tc>
        <w:tc>
          <w:tcPr>
            <w:tcW w:w="2430" w:type="dxa"/>
            <w:shd w:val="clear" w:color="auto" w:fill="DAEEF3" w:themeFill="accent5" w:themeFillTint="33"/>
            <w:noWrap/>
            <w:hideMark/>
          </w:tcPr>
          <w:p w14:paraId="0E9A86F0" w14:textId="5A9ED6F0" w:rsidR="00A53FD7" w:rsidRPr="00A53FD7" w:rsidRDefault="001F42AE" w:rsidP="00A53FD7">
            <w:pPr>
              <w:spacing w:after="0" w:line="240" w:lineRule="auto"/>
              <w:rPr>
                <w:rFonts w:ascii="Times New Roman" w:eastAsia="Times New Roman" w:hAnsi="Times New Roman" w:cs="Times New Roman"/>
                <w:lang w:val="en-US"/>
              </w:rPr>
            </w:pPr>
            <w:r>
              <w:rPr>
                <w:rFonts w:ascii="Times New Roman" w:eastAsia="Times New Roman" w:hAnsi="Times New Roman" w:cs="Times New Roman"/>
                <w:lang w:val="en-US"/>
              </w:rPr>
              <w:t>P</w:t>
            </w:r>
            <w:r w:rsidR="00A53FD7" w:rsidRPr="00A53FD7">
              <w:rPr>
                <w:rFonts w:ascii="Times New Roman" w:eastAsia="Times New Roman" w:hAnsi="Times New Roman" w:cs="Times New Roman"/>
                <w:lang w:val="en-US"/>
              </w:rPr>
              <w:t xml:space="preserve">overty </w:t>
            </w:r>
          </w:p>
        </w:tc>
        <w:tc>
          <w:tcPr>
            <w:tcW w:w="990" w:type="dxa"/>
            <w:shd w:val="clear" w:color="auto" w:fill="DAEEF3" w:themeFill="accent5" w:themeFillTint="33"/>
            <w:noWrap/>
            <w:hideMark/>
          </w:tcPr>
          <w:p w14:paraId="59375B22" w14:textId="77777777" w:rsidR="00A53FD7" w:rsidRPr="00A53FD7" w:rsidRDefault="00A53FD7" w:rsidP="00A53FD7">
            <w:pPr>
              <w:spacing w:after="0" w:line="240" w:lineRule="auto"/>
              <w:jc w:val="right"/>
              <w:rPr>
                <w:rFonts w:ascii="Times New Roman" w:eastAsia="Times New Roman" w:hAnsi="Times New Roman" w:cs="Times New Roman"/>
                <w:color w:val="C00000"/>
                <w:lang w:val="en-US"/>
              </w:rPr>
            </w:pPr>
            <w:r w:rsidRPr="00A53FD7">
              <w:rPr>
                <w:rFonts w:ascii="Times New Roman" w:eastAsia="Times New Roman" w:hAnsi="Times New Roman" w:cs="Times New Roman"/>
                <w:color w:val="C00000"/>
                <w:lang w:val="en-US"/>
              </w:rPr>
              <w:t>35</w:t>
            </w:r>
          </w:p>
        </w:tc>
      </w:tr>
      <w:tr w:rsidR="00A53FD7" w:rsidRPr="00A53FD7" w14:paraId="5D73622B" w14:textId="77777777" w:rsidTr="00665F55">
        <w:trPr>
          <w:trHeight w:val="284"/>
        </w:trPr>
        <w:tc>
          <w:tcPr>
            <w:tcW w:w="2424" w:type="dxa"/>
            <w:vMerge/>
            <w:shd w:val="clear" w:color="auto" w:fill="DAEEF3" w:themeFill="accent5" w:themeFillTint="33"/>
            <w:vAlign w:val="center"/>
            <w:hideMark/>
          </w:tcPr>
          <w:p w14:paraId="6EA852BD" w14:textId="163E0664" w:rsidR="00A53FD7" w:rsidRPr="00A53FD7" w:rsidRDefault="00A53FD7" w:rsidP="00A53FD7">
            <w:pPr>
              <w:spacing w:after="0" w:line="240" w:lineRule="auto"/>
              <w:jc w:val="center"/>
              <w:rPr>
                <w:rFonts w:ascii="Times New Roman" w:eastAsia="Times New Roman" w:hAnsi="Times New Roman" w:cs="Times New Roman"/>
                <w:lang w:val="en-US"/>
              </w:rPr>
            </w:pPr>
          </w:p>
        </w:tc>
        <w:tc>
          <w:tcPr>
            <w:tcW w:w="2430" w:type="dxa"/>
            <w:shd w:val="clear" w:color="auto" w:fill="DAEEF3" w:themeFill="accent5" w:themeFillTint="33"/>
            <w:noWrap/>
            <w:hideMark/>
          </w:tcPr>
          <w:p w14:paraId="4A7B1D9D" w14:textId="7CE716F0" w:rsidR="00A53FD7" w:rsidRPr="00A53FD7" w:rsidRDefault="001F42AE" w:rsidP="0031053A">
            <w:pPr>
              <w:spacing w:after="0" w:line="240" w:lineRule="auto"/>
              <w:rPr>
                <w:rFonts w:ascii="Times New Roman" w:eastAsia="Times New Roman" w:hAnsi="Times New Roman" w:cs="Times New Roman"/>
                <w:lang w:val="en-US"/>
              </w:rPr>
            </w:pPr>
            <w:r>
              <w:rPr>
                <w:rFonts w:ascii="Times New Roman" w:eastAsia="Times New Roman" w:hAnsi="Times New Roman" w:cs="Times New Roman"/>
                <w:lang w:val="en-US"/>
              </w:rPr>
              <w:t>C</w:t>
            </w:r>
            <w:r w:rsidRPr="00A53FD7">
              <w:rPr>
                <w:rFonts w:ascii="Times New Roman" w:eastAsia="Times New Roman" w:hAnsi="Times New Roman" w:cs="Times New Roman"/>
                <w:lang w:val="en-US"/>
              </w:rPr>
              <w:t xml:space="preserve">limate </w:t>
            </w:r>
            <w:r>
              <w:rPr>
                <w:rFonts w:ascii="Times New Roman" w:eastAsia="Times New Roman" w:hAnsi="Times New Roman" w:cs="Times New Roman"/>
                <w:lang w:val="en-US"/>
              </w:rPr>
              <w:t>V</w:t>
            </w:r>
            <w:r w:rsidR="00A53FD7" w:rsidRPr="00A53FD7">
              <w:rPr>
                <w:rFonts w:ascii="Times New Roman" w:eastAsia="Times New Roman" w:hAnsi="Times New Roman" w:cs="Times New Roman"/>
                <w:lang w:val="en-US"/>
              </w:rPr>
              <w:t>ulnerability</w:t>
            </w:r>
          </w:p>
        </w:tc>
        <w:tc>
          <w:tcPr>
            <w:tcW w:w="990" w:type="dxa"/>
            <w:shd w:val="clear" w:color="auto" w:fill="DAEEF3" w:themeFill="accent5" w:themeFillTint="33"/>
            <w:noWrap/>
            <w:hideMark/>
          </w:tcPr>
          <w:p w14:paraId="702BDABC" w14:textId="77777777" w:rsidR="00A53FD7" w:rsidRPr="00A53FD7" w:rsidRDefault="00A53FD7" w:rsidP="00A53FD7">
            <w:pPr>
              <w:spacing w:after="0" w:line="240" w:lineRule="auto"/>
              <w:jc w:val="right"/>
              <w:rPr>
                <w:rFonts w:ascii="Times New Roman" w:eastAsia="Times New Roman" w:hAnsi="Times New Roman" w:cs="Times New Roman"/>
                <w:color w:val="C00000"/>
                <w:lang w:val="en-US"/>
              </w:rPr>
            </w:pPr>
            <w:r w:rsidRPr="00A53FD7">
              <w:rPr>
                <w:rFonts w:ascii="Times New Roman" w:eastAsia="Times New Roman" w:hAnsi="Times New Roman" w:cs="Times New Roman"/>
                <w:color w:val="C00000"/>
                <w:lang w:val="en-US"/>
              </w:rPr>
              <w:t>5</w:t>
            </w:r>
          </w:p>
        </w:tc>
      </w:tr>
    </w:tbl>
    <w:p w14:paraId="660292FD" w14:textId="77777777" w:rsidR="008B7F00" w:rsidRPr="006F115D" w:rsidRDefault="008B7F00" w:rsidP="00EE695C">
      <w:pPr>
        <w:spacing w:after="0" w:line="240" w:lineRule="auto"/>
        <w:rPr>
          <w:rFonts w:ascii="Times New Roman" w:hAnsi="Times New Roman" w:cs="Times New Roman"/>
          <w:sz w:val="8"/>
        </w:rPr>
      </w:pPr>
    </w:p>
    <w:p w14:paraId="204684B8" w14:textId="77777777" w:rsidR="003946C0" w:rsidRDefault="003946C0" w:rsidP="00EE695C">
      <w:pPr>
        <w:spacing w:after="0" w:line="240" w:lineRule="auto"/>
        <w:rPr>
          <w:rFonts w:ascii="Times New Roman" w:hAnsi="Times New Roman" w:cs="Times New Roman"/>
          <w:sz w:val="8"/>
        </w:rPr>
      </w:pPr>
    </w:p>
    <w:tbl>
      <w:tblPr>
        <w:tblW w:w="15103" w:type="dxa"/>
        <w:tblInd w:w="93" w:type="dxa"/>
        <w:tblLayout w:type="fixed"/>
        <w:tblCellMar>
          <w:left w:w="28" w:type="dxa"/>
          <w:right w:w="28" w:type="dxa"/>
        </w:tblCellMar>
        <w:tblLook w:val="04A0" w:firstRow="1" w:lastRow="0" w:firstColumn="1" w:lastColumn="0" w:noHBand="0" w:noVBand="1"/>
      </w:tblPr>
      <w:tblGrid>
        <w:gridCol w:w="361"/>
        <w:gridCol w:w="55"/>
        <w:gridCol w:w="2213"/>
        <w:gridCol w:w="850"/>
        <w:gridCol w:w="709"/>
        <w:gridCol w:w="567"/>
        <w:gridCol w:w="709"/>
        <w:gridCol w:w="850"/>
        <w:gridCol w:w="709"/>
        <w:gridCol w:w="709"/>
        <w:gridCol w:w="708"/>
        <w:gridCol w:w="709"/>
        <w:gridCol w:w="851"/>
        <w:gridCol w:w="1134"/>
        <w:gridCol w:w="992"/>
        <w:gridCol w:w="567"/>
        <w:gridCol w:w="850"/>
        <w:gridCol w:w="709"/>
        <w:gridCol w:w="851"/>
      </w:tblGrid>
      <w:tr w:rsidR="005C332D" w:rsidRPr="00932C66" w14:paraId="5F318EFF" w14:textId="77777777" w:rsidTr="00932C66">
        <w:trPr>
          <w:trHeight w:val="639"/>
          <w:tblHeader/>
        </w:trPr>
        <w:tc>
          <w:tcPr>
            <w:tcW w:w="361" w:type="dxa"/>
            <w:tcBorders>
              <w:top w:val="single" w:sz="8" w:space="0" w:color="auto"/>
              <w:left w:val="single" w:sz="8" w:space="0" w:color="auto"/>
              <w:bottom w:val="single" w:sz="2" w:space="0" w:color="auto"/>
              <w:right w:val="single" w:sz="4" w:space="0" w:color="auto"/>
            </w:tcBorders>
            <w:shd w:val="clear" w:color="000000" w:fill="F4B084"/>
            <w:noWrap/>
            <w:hideMark/>
          </w:tcPr>
          <w:p w14:paraId="0C279A6F"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Nr.</w:t>
            </w:r>
          </w:p>
        </w:tc>
        <w:tc>
          <w:tcPr>
            <w:tcW w:w="2268" w:type="dxa"/>
            <w:gridSpan w:val="2"/>
            <w:tcBorders>
              <w:top w:val="single" w:sz="8" w:space="0" w:color="auto"/>
              <w:left w:val="nil"/>
              <w:bottom w:val="single" w:sz="2" w:space="0" w:color="auto"/>
              <w:right w:val="single" w:sz="8" w:space="0" w:color="auto"/>
            </w:tcBorders>
            <w:shd w:val="clear" w:color="000000" w:fill="F4B084"/>
            <w:noWrap/>
            <w:hideMark/>
          </w:tcPr>
          <w:p w14:paraId="665C5C54"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LSG</w:t>
            </w:r>
          </w:p>
        </w:tc>
        <w:tc>
          <w:tcPr>
            <w:tcW w:w="850" w:type="dxa"/>
            <w:tcBorders>
              <w:top w:val="single" w:sz="8" w:space="0" w:color="auto"/>
              <w:left w:val="nil"/>
              <w:bottom w:val="single" w:sz="2" w:space="0" w:color="auto"/>
              <w:right w:val="single" w:sz="4" w:space="0" w:color="auto"/>
            </w:tcBorders>
            <w:shd w:val="clear" w:color="000000" w:fill="F4B084"/>
            <w:hideMark/>
          </w:tcPr>
          <w:p w14:paraId="004EF1B7"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population 2020</w:t>
            </w:r>
          </w:p>
        </w:tc>
        <w:tc>
          <w:tcPr>
            <w:tcW w:w="709" w:type="dxa"/>
            <w:tcBorders>
              <w:top w:val="single" w:sz="8" w:space="0" w:color="auto"/>
              <w:left w:val="nil"/>
              <w:bottom w:val="single" w:sz="2" w:space="0" w:color="auto"/>
              <w:right w:val="single" w:sz="4" w:space="0" w:color="auto"/>
            </w:tcBorders>
            <w:shd w:val="clear" w:color="000000" w:fill="F4B084"/>
            <w:hideMark/>
          </w:tcPr>
          <w:p w14:paraId="6F9B9BDF"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normalized (by average)</w:t>
            </w:r>
          </w:p>
        </w:tc>
        <w:tc>
          <w:tcPr>
            <w:tcW w:w="567" w:type="dxa"/>
            <w:tcBorders>
              <w:top w:val="single" w:sz="8" w:space="0" w:color="auto"/>
              <w:left w:val="nil"/>
              <w:bottom w:val="single" w:sz="2" w:space="0" w:color="auto"/>
              <w:right w:val="single" w:sz="4" w:space="0" w:color="auto"/>
            </w:tcBorders>
            <w:shd w:val="clear" w:color="000000" w:fill="F4B084"/>
            <w:noWrap/>
            <w:hideMark/>
          </w:tcPr>
          <w:p w14:paraId="3FB7A22A"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area (km2)</w:t>
            </w:r>
          </w:p>
        </w:tc>
        <w:tc>
          <w:tcPr>
            <w:tcW w:w="709" w:type="dxa"/>
            <w:tcBorders>
              <w:top w:val="single" w:sz="8" w:space="0" w:color="auto"/>
              <w:left w:val="nil"/>
              <w:bottom w:val="single" w:sz="2" w:space="0" w:color="auto"/>
              <w:right w:val="single" w:sz="4" w:space="0" w:color="auto"/>
            </w:tcBorders>
            <w:shd w:val="clear" w:color="000000" w:fill="F4B084"/>
            <w:hideMark/>
          </w:tcPr>
          <w:p w14:paraId="02D4F98E"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normalized (by average)</w:t>
            </w:r>
          </w:p>
        </w:tc>
        <w:tc>
          <w:tcPr>
            <w:tcW w:w="850" w:type="dxa"/>
            <w:tcBorders>
              <w:top w:val="single" w:sz="8" w:space="0" w:color="auto"/>
              <w:left w:val="nil"/>
              <w:bottom w:val="single" w:sz="2" w:space="0" w:color="auto"/>
              <w:right w:val="single" w:sz="4" w:space="0" w:color="auto"/>
            </w:tcBorders>
            <w:shd w:val="clear" w:color="000000" w:fill="F4B084"/>
            <w:hideMark/>
          </w:tcPr>
          <w:p w14:paraId="3F767D53"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development class Index</w:t>
            </w:r>
          </w:p>
        </w:tc>
        <w:tc>
          <w:tcPr>
            <w:tcW w:w="709" w:type="dxa"/>
            <w:tcBorders>
              <w:top w:val="single" w:sz="8" w:space="0" w:color="auto"/>
              <w:left w:val="nil"/>
              <w:bottom w:val="single" w:sz="2" w:space="0" w:color="auto"/>
              <w:right w:val="single" w:sz="8" w:space="0" w:color="auto"/>
            </w:tcBorders>
            <w:shd w:val="clear" w:color="000000" w:fill="F4B084"/>
            <w:hideMark/>
          </w:tcPr>
          <w:p w14:paraId="3FB2B099"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normalized (by average)</w:t>
            </w:r>
          </w:p>
        </w:tc>
        <w:tc>
          <w:tcPr>
            <w:tcW w:w="709" w:type="dxa"/>
            <w:tcBorders>
              <w:top w:val="single" w:sz="8" w:space="0" w:color="auto"/>
              <w:left w:val="single" w:sz="4" w:space="0" w:color="auto"/>
              <w:bottom w:val="single" w:sz="2" w:space="0" w:color="auto"/>
              <w:right w:val="single" w:sz="4" w:space="0" w:color="auto"/>
            </w:tcBorders>
            <w:shd w:val="clear" w:color="000000" w:fill="F4B084"/>
            <w:hideMark/>
          </w:tcPr>
          <w:p w14:paraId="452DA716"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Climate Index class</w:t>
            </w:r>
          </w:p>
        </w:tc>
        <w:tc>
          <w:tcPr>
            <w:tcW w:w="708" w:type="dxa"/>
            <w:tcBorders>
              <w:top w:val="single" w:sz="8" w:space="0" w:color="auto"/>
              <w:left w:val="nil"/>
              <w:bottom w:val="single" w:sz="2" w:space="0" w:color="auto"/>
              <w:right w:val="single" w:sz="8" w:space="0" w:color="auto"/>
            </w:tcBorders>
            <w:shd w:val="clear" w:color="000000" w:fill="F4B084"/>
            <w:hideMark/>
          </w:tcPr>
          <w:p w14:paraId="036FD81A"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normalized (by average)</w:t>
            </w:r>
          </w:p>
        </w:tc>
        <w:tc>
          <w:tcPr>
            <w:tcW w:w="709" w:type="dxa"/>
            <w:tcBorders>
              <w:top w:val="single" w:sz="8" w:space="0" w:color="auto"/>
              <w:left w:val="nil"/>
              <w:bottom w:val="single" w:sz="2" w:space="0" w:color="auto"/>
              <w:right w:val="single" w:sz="4" w:space="0" w:color="auto"/>
            </w:tcBorders>
            <w:shd w:val="clear" w:color="000000" w:fill="F4B084"/>
            <w:hideMark/>
          </w:tcPr>
          <w:p w14:paraId="74C22081"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Weighted sum</w:t>
            </w:r>
          </w:p>
        </w:tc>
        <w:tc>
          <w:tcPr>
            <w:tcW w:w="851" w:type="dxa"/>
            <w:tcBorders>
              <w:top w:val="single" w:sz="8" w:space="0" w:color="auto"/>
              <w:left w:val="nil"/>
              <w:bottom w:val="single" w:sz="2" w:space="0" w:color="auto"/>
              <w:right w:val="single" w:sz="8" w:space="0" w:color="auto"/>
            </w:tcBorders>
            <w:shd w:val="clear" w:color="000000" w:fill="F4B084"/>
            <w:hideMark/>
          </w:tcPr>
          <w:p w14:paraId="5665E481"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Multiplier coefficient</w:t>
            </w:r>
          </w:p>
        </w:tc>
        <w:tc>
          <w:tcPr>
            <w:tcW w:w="1134" w:type="dxa"/>
            <w:tcBorders>
              <w:top w:val="single" w:sz="8" w:space="0" w:color="auto"/>
              <w:left w:val="nil"/>
              <w:bottom w:val="single" w:sz="2" w:space="0" w:color="auto"/>
              <w:right w:val="single" w:sz="8" w:space="0" w:color="auto"/>
            </w:tcBorders>
            <w:shd w:val="clear" w:color="000000" w:fill="C6E0B4"/>
            <w:hideMark/>
          </w:tcPr>
          <w:p w14:paraId="1DFC1B6E" w14:textId="77777777" w:rsidR="005C332D" w:rsidRPr="00932C66" w:rsidRDefault="005C332D" w:rsidP="00CF7D57">
            <w:pPr>
              <w:spacing w:after="0" w:line="240" w:lineRule="auto"/>
              <w:jc w:val="center"/>
              <w:rPr>
                <w:rFonts w:ascii="Times New Roman" w:eastAsia="Times New Roman" w:hAnsi="Times New Roman" w:cs="Times New Roman"/>
                <w:b/>
                <w:bCs/>
                <w:sz w:val="18"/>
                <w:szCs w:val="18"/>
                <w:lang w:val="en-US"/>
              </w:rPr>
            </w:pPr>
            <w:r w:rsidRPr="00932C66">
              <w:rPr>
                <w:rFonts w:ascii="Times New Roman" w:eastAsia="Times New Roman" w:hAnsi="Times New Roman" w:cs="Times New Roman"/>
                <w:b/>
                <w:bCs/>
                <w:sz w:val="18"/>
                <w:szCs w:val="18"/>
                <w:lang w:val="en-US"/>
              </w:rPr>
              <w:t>ASSIGNED TRANSFER</w:t>
            </w:r>
          </w:p>
        </w:tc>
        <w:tc>
          <w:tcPr>
            <w:tcW w:w="992" w:type="dxa"/>
            <w:tcBorders>
              <w:top w:val="single" w:sz="8" w:space="0" w:color="auto"/>
              <w:left w:val="nil"/>
              <w:bottom w:val="single" w:sz="2" w:space="0" w:color="auto"/>
              <w:right w:val="single" w:sz="4" w:space="0" w:color="auto"/>
            </w:tcBorders>
            <w:shd w:val="clear" w:color="000000" w:fill="D9D9D9"/>
            <w:hideMark/>
          </w:tcPr>
          <w:p w14:paraId="6BB51A62"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infra exp 2019/2018 average</w:t>
            </w:r>
          </w:p>
        </w:tc>
        <w:tc>
          <w:tcPr>
            <w:tcW w:w="567" w:type="dxa"/>
            <w:tcBorders>
              <w:top w:val="single" w:sz="8" w:space="0" w:color="auto"/>
              <w:left w:val="nil"/>
              <w:bottom w:val="single" w:sz="2" w:space="0" w:color="auto"/>
              <w:right w:val="single" w:sz="4" w:space="0" w:color="auto"/>
            </w:tcBorders>
            <w:shd w:val="clear" w:color="000000" w:fill="D9D9D9"/>
            <w:noWrap/>
            <w:hideMark/>
          </w:tcPr>
          <w:p w14:paraId="1DC21020"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 EXP</w:t>
            </w:r>
          </w:p>
        </w:tc>
        <w:tc>
          <w:tcPr>
            <w:tcW w:w="850" w:type="dxa"/>
            <w:tcBorders>
              <w:top w:val="single" w:sz="8" w:space="0" w:color="auto"/>
              <w:left w:val="nil"/>
              <w:bottom w:val="single" w:sz="2" w:space="0" w:color="auto"/>
              <w:right w:val="single" w:sz="4" w:space="0" w:color="auto"/>
            </w:tcBorders>
            <w:shd w:val="clear" w:color="000000" w:fill="D9D9D9"/>
            <w:hideMark/>
          </w:tcPr>
          <w:p w14:paraId="38F14C1B" w14:textId="77777777" w:rsidR="005C332D" w:rsidRPr="00932C66" w:rsidRDefault="005C332D" w:rsidP="00CF7D57">
            <w:pPr>
              <w:spacing w:after="0" w:line="240" w:lineRule="auto"/>
              <w:jc w:val="center"/>
              <w:rPr>
                <w:rFonts w:ascii="Times New Roman" w:eastAsia="Times New Roman" w:hAnsi="Times New Roman" w:cs="Times New Roman"/>
                <w:b/>
                <w:bCs/>
                <w:sz w:val="18"/>
                <w:szCs w:val="18"/>
                <w:lang w:val="en-US"/>
              </w:rPr>
            </w:pPr>
            <w:r w:rsidRPr="00932C66">
              <w:rPr>
                <w:rFonts w:ascii="Times New Roman" w:eastAsia="Times New Roman" w:hAnsi="Times New Roman" w:cs="Times New Roman"/>
                <w:b/>
                <w:bCs/>
                <w:sz w:val="18"/>
                <w:szCs w:val="18"/>
                <w:lang w:val="en-US"/>
              </w:rPr>
              <w:t>value (90%)</w:t>
            </w:r>
          </w:p>
        </w:tc>
        <w:tc>
          <w:tcPr>
            <w:tcW w:w="709" w:type="dxa"/>
            <w:tcBorders>
              <w:top w:val="single" w:sz="8" w:space="0" w:color="auto"/>
              <w:left w:val="nil"/>
              <w:bottom w:val="single" w:sz="2" w:space="0" w:color="auto"/>
              <w:right w:val="single" w:sz="8" w:space="0" w:color="auto"/>
            </w:tcBorders>
            <w:shd w:val="clear" w:color="000000" w:fill="D9D9D9"/>
            <w:hideMark/>
          </w:tcPr>
          <w:p w14:paraId="1C016F4B" w14:textId="77777777" w:rsidR="005C332D" w:rsidRPr="00932C66" w:rsidRDefault="005C332D" w:rsidP="00CF7D57">
            <w:pPr>
              <w:spacing w:after="0" w:line="240" w:lineRule="auto"/>
              <w:jc w:val="center"/>
              <w:rPr>
                <w:rFonts w:ascii="Times New Roman" w:eastAsia="Times New Roman" w:hAnsi="Times New Roman" w:cs="Times New Roman"/>
                <w:b/>
                <w:bCs/>
                <w:sz w:val="18"/>
                <w:szCs w:val="18"/>
                <w:lang w:val="en-US"/>
              </w:rPr>
            </w:pPr>
            <w:r w:rsidRPr="00932C66">
              <w:rPr>
                <w:rFonts w:ascii="Times New Roman" w:eastAsia="Times New Roman" w:hAnsi="Times New Roman" w:cs="Times New Roman"/>
                <w:b/>
                <w:bCs/>
                <w:sz w:val="18"/>
                <w:szCs w:val="18"/>
                <w:lang w:val="en-US"/>
              </w:rPr>
              <w:t>contingencies (10%)</w:t>
            </w:r>
          </w:p>
        </w:tc>
        <w:tc>
          <w:tcPr>
            <w:tcW w:w="851" w:type="dxa"/>
            <w:tcBorders>
              <w:top w:val="single" w:sz="8" w:space="0" w:color="auto"/>
              <w:left w:val="single" w:sz="4" w:space="0" w:color="auto"/>
              <w:bottom w:val="single" w:sz="2" w:space="0" w:color="auto"/>
              <w:right w:val="single" w:sz="4" w:space="0" w:color="auto"/>
            </w:tcBorders>
            <w:shd w:val="clear" w:color="000000" w:fill="D9D9D9"/>
            <w:hideMark/>
          </w:tcPr>
          <w:p w14:paraId="7E174EA8" w14:textId="77777777" w:rsidR="005C332D" w:rsidRPr="00932C66" w:rsidRDefault="005C332D" w:rsidP="00CF7D57">
            <w:pPr>
              <w:spacing w:after="0" w:line="240" w:lineRule="auto"/>
              <w:jc w:val="center"/>
              <w:rPr>
                <w:rFonts w:ascii="Times New Roman" w:eastAsia="Times New Roman" w:hAnsi="Times New Roman" w:cs="Times New Roman"/>
                <w:sz w:val="18"/>
                <w:szCs w:val="18"/>
                <w:lang w:val="en-US"/>
              </w:rPr>
            </w:pPr>
            <w:r w:rsidRPr="00932C66">
              <w:rPr>
                <w:rFonts w:ascii="Times New Roman" w:eastAsia="Times New Roman" w:hAnsi="Times New Roman" w:cs="Times New Roman"/>
                <w:sz w:val="18"/>
                <w:szCs w:val="18"/>
                <w:lang w:val="en-US"/>
              </w:rPr>
              <w:t>Per inhabitants</w:t>
            </w:r>
          </w:p>
        </w:tc>
      </w:tr>
      <w:tr w:rsidR="005C332D" w:rsidRPr="003F6E51" w14:paraId="2CE3DB7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D1F01D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2213" w:type="dxa"/>
            <w:tcBorders>
              <w:top w:val="nil"/>
              <w:left w:val="single" w:sz="8" w:space="0" w:color="auto"/>
              <w:bottom w:val="single" w:sz="4" w:space="0" w:color="auto"/>
              <w:right w:val="single" w:sz="8" w:space="0" w:color="auto"/>
            </w:tcBorders>
            <w:shd w:val="clear" w:color="auto" w:fill="auto"/>
            <w:noWrap/>
            <w:hideMark/>
          </w:tcPr>
          <w:p w14:paraId="5996410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ALEKSANDROVAC</w:t>
            </w:r>
          </w:p>
        </w:tc>
        <w:tc>
          <w:tcPr>
            <w:tcW w:w="850" w:type="dxa"/>
            <w:tcBorders>
              <w:top w:val="nil"/>
              <w:left w:val="nil"/>
              <w:bottom w:val="single" w:sz="4" w:space="0" w:color="auto"/>
              <w:right w:val="single" w:sz="4" w:space="0" w:color="auto"/>
            </w:tcBorders>
            <w:shd w:val="clear" w:color="auto" w:fill="auto"/>
            <w:noWrap/>
            <w:hideMark/>
          </w:tcPr>
          <w:p w14:paraId="7448FAD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23551</w:t>
            </w:r>
          </w:p>
        </w:tc>
        <w:tc>
          <w:tcPr>
            <w:tcW w:w="709" w:type="dxa"/>
            <w:tcBorders>
              <w:top w:val="nil"/>
              <w:left w:val="nil"/>
              <w:bottom w:val="single" w:sz="4" w:space="0" w:color="auto"/>
              <w:right w:val="single" w:sz="8" w:space="0" w:color="auto"/>
            </w:tcBorders>
            <w:shd w:val="clear" w:color="auto" w:fill="auto"/>
            <w:noWrap/>
            <w:hideMark/>
          </w:tcPr>
          <w:p w14:paraId="2ECCC3E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567" w:type="dxa"/>
            <w:tcBorders>
              <w:top w:val="nil"/>
              <w:left w:val="nil"/>
              <w:bottom w:val="single" w:sz="4" w:space="0" w:color="auto"/>
              <w:right w:val="single" w:sz="4" w:space="0" w:color="auto"/>
            </w:tcBorders>
            <w:shd w:val="clear" w:color="auto" w:fill="auto"/>
            <w:noWrap/>
            <w:hideMark/>
          </w:tcPr>
          <w:p w14:paraId="00846A0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387</w:t>
            </w:r>
          </w:p>
        </w:tc>
        <w:tc>
          <w:tcPr>
            <w:tcW w:w="709" w:type="dxa"/>
            <w:tcBorders>
              <w:top w:val="nil"/>
              <w:left w:val="nil"/>
              <w:bottom w:val="single" w:sz="4" w:space="0" w:color="auto"/>
              <w:right w:val="single" w:sz="8" w:space="0" w:color="auto"/>
            </w:tcBorders>
            <w:shd w:val="clear" w:color="auto" w:fill="auto"/>
            <w:noWrap/>
            <w:hideMark/>
          </w:tcPr>
          <w:p w14:paraId="72E48B1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0,72</w:t>
            </w:r>
          </w:p>
        </w:tc>
        <w:tc>
          <w:tcPr>
            <w:tcW w:w="850" w:type="dxa"/>
            <w:tcBorders>
              <w:top w:val="nil"/>
              <w:left w:val="nil"/>
              <w:bottom w:val="single" w:sz="4" w:space="0" w:color="auto"/>
              <w:right w:val="single" w:sz="4" w:space="0" w:color="auto"/>
            </w:tcBorders>
            <w:shd w:val="clear" w:color="auto" w:fill="auto"/>
            <w:noWrap/>
            <w:hideMark/>
          </w:tcPr>
          <w:p w14:paraId="44B82D6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68B26A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1FB2AF9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2507C1D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nil"/>
              <w:left w:val="single" w:sz="8" w:space="0" w:color="auto"/>
              <w:bottom w:val="nil"/>
              <w:right w:val="single" w:sz="4" w:space="0" w:color="auto"/>
            </w:tcBorders>
            <w:shd w:val="clear" w:color="auto" w:fill="auto"/>
            <w:noWrap/>
            <w:hideMark/>
          </w:tcPr>
          <w:p w14:paraId="35A3807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64,86</w:t>
            </w:r>
          </w:p>
        </w:tc>
        <w:tc>
          <w:tcPr>
            <w:tcW w:w="851" w:type="dxa"/>
            <w:tcBorders>
              <w:top w:val="nil"/>
              <w:left w:val="nil"/>
              <w:bottom w:val="single" w:sz="4" w:space="0" w:color="auto"/>
              <w:right w:val="single" w:sz="4" w:space="0" w:color="auto"/>
            </w:tcBorders>
            <w:shd w:val="clear" w:color="auto" w:fill="auto"/>
            <w:noWrap/>
            <w:hideMark/>
          </w:tcPr>
          <w:p w14:paraId="5C8318C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0,0048</w:t>
            </w:r>
          </w:p>
        </w:tc>
        <w:tc>
          <w:tcPr>
            <w:tcW w:w="1134" w:type="dxa"/>
            <w:tcBorders>
              <w:top w:val="nil"/>
              <w:left w:val="nil"/>
              <w:bottom w:val="single" w:sz="4" w:space="0" w:color="auto"/>
              <w:right w:val="single" w:sz="4" w:space="0" w:color="auto"/>
            </w:tcBorders>
            <w:shd w:val="clear" w:color="000000" w:fill="C6E0B4"/>
            <w:noWrap/>
            <w:hideMark/>
          </w:tcPr>
          <w:p w14:paraId="2C5AB78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1.293.959</w:t>
            </w:r>
          </w:p>
        </w:tc>
        <w:tc>
          <w:tcPr>
            <w:tcW w:w="992" w:type="dxa"/>
            <w:tcBorders>
              <w:top w:val="nil"/>
              <w:left w:val="nil"/>
              <w:bottom w:val="single" w:sz="4" w:space="0" w:color="auto"/>
              <w:right w:val="single" w:sz="4" w:space="0" w:color="auto"/>
            </w:tcBorders>
            <w:shd w:val="clear" w:color="auto" w:fill="auto"/>
            <w:noWrap/>
            <w:hideMark/>
          </w:tcPr>
          <w:p w14:paraId="2F3F8E1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1.263.183</w:t>
            </w:r>
          </w:p>
        </w:tc>
        <w:tc>
          <w:tcPr>
            <w:tcW w:w="567" w:type="dxa"/>
            <w:tcBorders>
              <w:top w:val="nil"/>
              <w:left w:val="nil"/>
              <w:bottom w:val="single" w:sz="4" w:space="0" w:color="auto"/>
              <w:right w:val="single" w:sz="4" w:space="0" w:color="auto"/>
            </w:tcBorders>
            <w:shd w:val="clear" w:color="auto" w:fill="auto"/>
            <w:noWrap/>
            <w:hideMark/>
          </w:tcPr>
          <w:p w14:paraId="343AA5E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102,44</w:t>
            </w:r>
          </w:p>
        </w:tc>
        <w:tc>
          <w:tcPr>
            <w:tcW w:w="850" w:type="dxa"/>
            <w:tcBorders>
              <w:top w:val="nil"/>
              <w:left w:val="nil"/>
              <w:bottom w:val="single" w:sz="4" w:space="0" w:color="auto"/>
              <w:right w:val="single" w:sz="4" w:space="0" w:color="auto"/>
            </w:tcBorders>
            <w:shd w:val="clear" w:color="auto" w:fill="auto"/>
            <w:noWrap/>
            <w:hideMark/>
          </w:tcPr>
          <w:p w14:paraId="48FA71F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1.164.563</w:t>
            </w:r>
          </w:p>
        </w:tc>
        <w:tc>
          <w:tcPr>
            <w:tcW w:w="709" w:type="dxa"/>
            <w:tcBorders>
              <w:top w:val="nil"/>
              <w:left w:val="nil"/>
              <w:bottom w:val="single" w:sz="4" w:space="0" w:color="auto"/>
              <w:right w:val="single" w:sz="8" w:space="0" w:color="auto"/>
            </w:tcBorders>
            <w:shd w:val="clear" w:color="auto" w:fill="auto"/>
            <w:noWrap/>
            <w:hideMark/>
          </w:tcPr>
          <w:p w14:paraId="4AF2162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129.396</w:t>
            </w:r>
          </w:p>
        </w:tc>
        <w:tc>
          <w:tcPr>
            <w:tcW w:w="851" w:type="dxa"/>
            <w:tcBorders>
              <w:top w:val="nil"/>
              <w:left w:val="single" w:sz="4" w:space="0" w:color="auto"/>
              <w:bottom w:val="single" w:sz="4" w:space="0" w:color="auto"/>
              <w:right w:val="single" w:sz="4" w:space="0" w:color="auto"/>
            </w:tcBorders>
            <w:shd w:val="clear" w:color="auto" w:fill="auto"/>
            <w:noWrap/>
            <w:hideMark/>
          </w:tcPr>
          <w:p w14:paraId="4448835A" w14:textId="0A3959B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49.449</w:t>
            </w:r>
          </w:p>
        </w:tc>
      </w:tr>
      <w:tr w:rsidR="005C332D" w:rsidRPr="003F6E51" w14:paraId="6027AAF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C67B19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2213" w:type="dxa"/>
            <w:tcBorders>
              <w:top w:val="nil"/>
              <w:left w:val="single" w:sz="8" w:space="0" w:color="auto"/>
              <w:bottom w:val="single" w:sz="4" w:space="0" w:color="auto"/>
              <w:right w:val="single" w:sz="8" w:space="0" w:color="auto"/>
            </w:tcBorders>
            <w:shd w:val="clear" w:color="auto" w:fill="auto"/>
            <w:noWrap/>
            <w:hideMark/>
          </w:tcPr>
          <w:p w14:paraId="711582C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ALEKSINAC</w:t>
            </w:r>
          </w:p>
        </w:tc>
        <w:tc>
          <w:tcPr>
            <w:tcW w:w="850" w:type="dxa"/>
            <w:tcBorders>
              <w:top w:val="nil"/>
              <w:left w:val="nil"/>
              <w:bottom w:val="single" w:sz="4" w:space="0" w:color="auto"/>
              <w:right w:val="single" w:sz="4" w:space="0" w:color="auto"/>
            </w:tcBorders>
            <w:shd w:val="clear" w:color="auto" w:fill="auto"/>
            <w:noWrap/>
            <w:hideMark/>
          </w:tcPr>
          <w:p w14:paraId="6147666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46541</w:t>
            </w:r>
          </w:p>
        </w:tc>
        <w:tc>
          <w:tcPr>
            <w:tcW w:w="709" w:type="dxa"/>
            <w:tcBorders>
              <w:top w:val="nil"/>
              <w:left w:val="nil"/>
              <w:bottom w:val="single" w:sz="4" w:space="0" w:color="auto"/>
              <w:right w:val="single" w:sz="8" w:space="0" w:color="auto"/>
            </w:tcBorders>
            <w:shd w:val="clear" w:color="auto" w:fill="auto"/>
            <w:noWrap/>
            <w:hideMark/>
          </w:tcPr>
          <w:p w14:paraId="0B309AB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0,98</w:t>
            </w:r>
          </w:p>
        </w:tc>
        <w:tc>
          <w:tcPr>
            <w:tcW w:w="567" w:type="dxa"/>
            <w:tcBorders>
              <w:top w:val="nil"/>
              <w:left w:val="nil"/>
              <w:bottom w:val="single" w:sz="4" w:space="0" w:color="auto"/>
              <w:right w:val="single" w:sz="4" w:space="0" w:color="auto"/>
            </w:tcBorders>
            <w:shd w:val="clear" w:color="auto" w:fill="auto"/>
            <w:noWrap/>
            <w:hideMark/>
          </w:tcPr>
          <w:p w14:paraId="62AB5C4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707</w:t>
            </w:r>
          </w:p>
        </w:tc>
        <w:tc>
          <w:tcPr>
            <w:tcW w:w="709" w:type="dxa"/>
            <w:tcBorders>
              <w:top w:val="nil"/>
              <w:left w:val="nil"/>
              <w:bottom w:val="single" w:sz="4" w:space="0" w:color="auto"/>
              <w:right w:val="single" w:sz="8" w:space="0" w:color="auto"/>
            </w:tcBorders>
            <w:shd w:val="clear" w:color="auto" w:fill="auto"/>
            <w:noWrap/>
            <w:hideMark/>
          </w:tcPr>
          <w:p w14:paraId="62FF0F4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1,32</w:t>
            </w:r>
          </w:p>
        </w:tc>
        <w:tc>
          <w:tcPr>
            <w:tcW w:w="850" w:type="dxa"/>
            <w:tcBorders>
              <w:top w:val="nil"/>
              <w:left w:val="nil"/>
              <w:bottom w:val="single" w:sz="4" w:space="0" w:color="auto"/>
              <w:right w:val="single" w:sz="4" w:space="0" w:color="auto"/>
            </w:tcBorders>
            <w:shd w:val="clear" w:color="auto" w:fill="auto"/>
            <w:noWrap/>
            <w:hideMark/>
          </w:tcPr>
          <w:p w14:paraId="6DFA766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3C9C41A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51906CF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2CB198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34370C8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121,01</w:t>
            </w:r>
          </w:p>
        </w:tc>
        <w:tc>
          <w:tcPr>
            <w:tcW w:w="851" w:type="dxa"/>
            <w:tcBorders>
              <w:top w:val="nil"/>
              <w:left w:val="nil"/>
              <w:bottom w:val="single" w:sz="4" w:space="0" w:color="auto"/>
              <w:right w:val="single" w:sz="4" w:space="0" w:color="auto"/>
            </w:tcBorders>
            <w:shd w:val="clear" w:color="auto" w:fill="auto"/>
            <w:noWrap/>
            <w:hideMark/>
          </w:tcPr>
          <w:p w14:paraId="3EE7872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0,0089</w:t>
            </w:r>
          </w:p>
        </w:tc>
        <w:tc>
          <w:tcPr>
            <w:tcW w:w="1134" w:type="dxa"/>
            <w:tcBorders>
              <w:top w:val="nil"/>
              <w:left w:val="nil"/>
              <w:bottom w:val="single" w:sz="4" w:space="0" w:color="auto"/>
              <w:right w:val="single" w:sz="4" w:space="0" w:color="auto"/>
            </w:tcBorders>
            <w:shd w:val="clear" w:color="000000" w:fill="C6E0B4"/>
            <w:noWrap/>
            <w:hideMark/>
          </w:tcPr>
          <w:p w14:paraId="5339D32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2.413.985</w:t>
            </w:r>
          </w:p>
        </w:tc>
        <w:tc>
          <w:tcPr>
            <w:tcW w:w="992" w:type="dxa"/>
            <w:tcBorders>
              <w:top w:val="nil"/>
              <w:left w:val="nil"/>
              <w:bottom w:val="single" w:sz="4" w:space="0" w:color="auto"/>
              <w:right w:val="single" w:sz="4" w:space="0" w:color="auto"/>
            </w:tcBorders>
            <w:shd w:val="clear" w:color="auto" w:fill="auto"/>
            <w:noWrap/>
            <w:hideMark/>
          </w:tcPr>
          <w:p w14:paraId="6C65E75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1.663.888</w:t>
            </w:r>
          </w:p>
        </w:tc>
        <w:tc>
          <w:tcPr>
            <w:tcW w:w="567" w:type="dxa"/>
            <w:tcBorders>
              <w:top w:val="nil"/>
              <w:left w:val="nil"/>
              <w:bottom w:val="single" w:sz="4" w:space="0" w:color="auto"/>
              <w:right w:val="single" w:sz="4" w:space="0" w:color="auto"/>
            </w:tcBorders>
            <w:shd w:val="clear" w:color="auto" w:fill="auto"/>
            <w:noWrap/>
            <w:hideMark/>
          </w:tcPr>
          <w:p w14:paraId="1C68D79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145,08</w:t>
            </w:r>
          </w:p>
        </w:tc>
        <w:tc>
          <w:tcPr>
            <w:tcW w:w="850" w:type="dxa"/>
            <w:tcBorders>
              <w:top w:val="nil"/>
              <w:left w:val="nil"/>
              <w:bottom w:val="single" w:sz="4" w:space="0" w:color="auto"/>
              <w:right w:val="single" w:sz="4" w:space="0" w:color="auto"/>
            </w:tcBorders>
            <w:shd w:val="clear" w:color="auto" w:fill="auto"/>
            <w:noWrap/>
            <w:hideMark/>
          </w:tcPr>
          <w:p w14:paraId="7D236D6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2.172.586</w:t>
            </w:r>
          </w:p>
        </w:tc>
        <w:tc>
          <w:tcPr>
            <w:tcW w:w="709" w:type="dxa"/>
            <w:tcBorders>
              <w:top w:val="nil"/>
              <w:left w:val="nil"/>
              <w:bottom w:val="single" w:sz="4" w:space="0" w:color="auto"/>
              <w:right w:val="single" w:sz="8" w:space="0" w:color="auto"/>
            </w:tcBorders>
            <w:shd w:val="clear" w:color="auto" w:fill="auto"/>
            <w:noWrap/>
            <w:hideMark/>
          </w:tcPr>
          <w:p w14:paraId="532824E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241.398</w:t>
            </w:r>
          </w:p>
        </w:tc>
        <w:tc>
          <w:tcPr>
            <w:tcW w:w="851" w:type="dxa"/>
            <w:tcBorders>
              <w:top w:val="nil"/>
              <w:left w:val="single" w:sz="4" w:space="0" w:color="auto"/>
              <w:bottom w:val="single" w:sz="4" w:space="0" w:color="auto"/>
              <w:right w:val="single" w:sz="4" w:space="0" w:color="auto"/>
            </w:tcBorders>
            <w:shd w:val="clear" w:color="auto" w:fill="auto"/>
            <w:noWrap/>
            <w:hideMark/>
          </w:tcPr>
          <w:p w14:paraId="461CF674" w14:textId="5533EB4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46.681</w:t>
            </w:r>
          </w:p>
        </w:tc>
      </w:tr>
      <w:tr w:rsidR="005C332D" w:rsidRPr="003F6E51" w14:paraId="129AF6D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CD7867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2213" w:type="dxa"/>
            <w:tcBorders>
              <w:top w:val="nil"/>
              <w:left w:val="single" w:sz="8" w:space="0" w:color="auto"/>
              <w:bottom w:val="single" w:sz="4" w:space="0" w:color="auto"/>
              <w:right w:val="single" w:sz="8" w:space="0" w:color="auto"/>
            </w:tcBorders>
            <w:shd w:val="clear" w:color="auto" w:fill="auto"/>
            <w:noWrap/>
            <w:hideMark/>
          </w:tcPr>
          <w:p w14:paraId="234FA72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ARANĐELOVAC</w:t>
            </w:r>
          </w:p>
        </w:tc>
        <w:tc>
          <w:tcPr>
            <w:tcW w:w="850" w:type="dxa"/>
            <w:tcBorders>
              <w:top w:val="nil"/>
              <w:left w:val="nil"/>
              <w:bottom w:val="single" w:sz="4" w:space="0" w:color="auto"/>
              <w:right w:val="single" w:sz="4" w:space="0" w:color="auto"/>
            </w:tcBorders>
            <w:shd w:val="clear" w:color="auto" w:fill="auto"/>
            <w:noWrap/>
            <w:hideMark/>
          </w:tcPr>
          <w:p w14:paraId="41CB738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42766</w:t>
            </w:r>
          </w:p>
        </w:tc>
        <w:tc>
          <w:tcPr>
            <w:tcW w:w="709" w:type="dxa"/>
            <w:tcBorders>
              <w:top w:val="nil"/>
              <w:left w:val="nil"/>
              <w:bottom w:val="single" w:sz="4" w:space="0" w:color="auto"/>
              <w:right w:val="single" w:sz="8" w:space="0" w:color="auto"/>
            </w:tcBorders>
            <w:shd w:val="clear" w:color="auto" w:fill="auto"/>
            <w:noWrap/>
            <w:hideMark/>
          </w:tcPr>
          <w:p w14:paraId="351BFA6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567" w:type="dxa"/>
            <w:tcBorders>
              <w:top w:val="nil"/>
              <w:left w:val="nil"/>
              <w:bottom w:val="single" w:sz="4" w:space="0" w:color="auto"/>
              <w:right w:val="single" w:sz="4" w:space="0" w:color="auto"/>
            </w:tcBorders>
            <w:shd w:val="clear" w:color="auto" w:fill="auto"/>
            <w:noWrap/>
            <w:hideMark/>
          </w:tcPr>
          <w:p w14:paraId="0D612A2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376</w:t>
            </w:r>
          </w:p>
        </w:tc>
        <w:tc>
          <w:tcPr>
            <w:tcW w:w="709" w:type="dxa"/>
            <w:tcBorders>
              <w:top w:val="nil"/>
              <w:left w:val="nil"/>
              <w:bottom w:val="single" w:sz="4" w:space="0" w:color="auto"/>
              <w:right w:val="single" w:sz="8" w:space="0" w:color="auto"/>
            </w:tcBorders>
            <w:shd w:val="clear" w:color="auto" w:fill="auto"/>
            <w:noWrap/>
            <w:hideMark/>
          </w:tcPr>
          <w:p w14:paraId="639A64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0,70</w:t>
            </w:r>
          </w:p>
        </w:tc>
        <w:tc>
          <w:tcPr>
            <w:tcW w:w="850" w:type="dxa"/>
            <w:tcBorders>
              <w:top w:val="nil"/>
              <w:left w:val="nil"/>
              <w:bottom w:val="single" w:sz="4" w:space="0" w:color="auto"/>
              <w:right w:val="single" w:sz="4" w:space="0" w:color="auto"/>
            </w:tcBorders>
            <w:shd w:val="clear" w:color="auto" w:fill="auto"/>
            <w:noWrap/>
            <w:hideMark/>
          </w:tcPr>
          <w:p w14:paraId="351A998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588127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6DD0DC2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009AA02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46FFE0A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77,11</w:t>
            </w:r>
          </w:p>
        </w:tc>
        <w:tc>
          <w:tcPr>
            <w:tcW w:w="851" w:type="dxa"/>
            <w:tcBorders>
              <w:top w:val="nil"/>
              <w:left w:val="nil"/>
              <w:bottom w:val="single" w:sz="4" w:space="0" w:color="auto"/>
              <w:right w:val="single" w:sz="4" w:space="0" w:color="auto"/>
            </w:tcBorders>
            <w:shd w:val="clear" w:color="auto" w:fill="auto"/>
            <w:noWrap/>
            <w:hideMark/>
          </w:tcPr>
          <w:p w14:paraId="615A154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57EF02F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1.538.136</w:t>
            </w:r>
          </w:p>
        </w:tc>
        <w:tc>
          <w:tcPr>
            <w:tcW w:w="992" w:type="dxa"/>
            <w:tcBorders>
              <w:top w:val="nil"/>
              <w:left w:val="nil"/>
              <w:bottom w:val="single" w:sz="4" w:space="0" w:color="auto"/>
              <w:right w:val="single" w:sz="4" w:space="0" w:color="auto"/>
            </w:tcBorders>
            <w:shd w:val="clear" w:color="auto" w:fill="auto"/>
            <w:noWrap/>
            <w:hideMark/>
          </w:tcPr>
          <w:p w14:paraId="07524E4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2.132.801</w:t>
            </w:r>
          </w:p>
        </w:tc>
        <w:tc>
          <w:tcPr>
            <w:tcW w:w="567" w:type="dxa"/>
            <w:tcBorders>
              <w:top w:val="nil"/>
              <w:left w:val="nil"/>
              <w:bottom w:val="single" w:sz="4" w:space="0" w:color="auto"/>
              <w:right w:val="single" w:sz="4" w:space="0" w:color="auto"/>
            </w:tcBorders>
            <w:shd w:val="clear" w:color="auto" w:fill="auto"/>
            <w:noWrap/>
            <w:hideMark/>
          </w:tcPr>
          <w:p w14:paraId="7B90926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72,12</w:t>
            </w:r>
          </w:p>
        </w:tc>
        <w:tc>
          <w:tcPr>
            <w:tcW w:w="850" w:type="dxa"/>
            <w:tcBorders>
              <w:top w:val="nil"/>
              <w:left w:val="nil"/>
              <w:bottom w:val="single" w:sz="4" w:space="0" w:color="auto"/>
              <w:right w:val="single" w:sz="4" w:space="0" w:color="auto"/>
            </w:tcBorders>
            <w:shd w:val="clear" w:color="auto" w:fill="auto"/>
            <w:noWrap/>
            <w:hideMark/>
          </w:tcPr>
          <w:p w14:paraId="744DC9F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1.384.322</w:t>
            </w:r>
          </w:p>
        </w:tc>
        <w:tc>
          <w:tcPr>
            <w:tcW w:w="709" w:type="dxa"/>
            <w:tcBorders>
              <w:top w:val="nil"/>
              <w:left w:val="nil"/>
              <w:bottom w:val="single" w:sz="4" w:space="0" w:color="auto"/>
              <w:right w:val="single" w:sz="8" w:space="0" w:color="auto"/>
            </w:tcBorders>
            <w:shd w:val="clear" w:color="auto" w:fill="auto"/>
            <w:noWrap/>
            <w:hideMark/>
          </w:tcPr>
          <w:p w14:paraId="67490FD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153.814</w:t>
            </w:r>
          </w:p>
        </w:tc>
        <w:tc>
          <w:tcPr>
            <w:tcW w:w="851" w:type="dxa"/>
            <w:tcBorders>
              <w:top w:val="nil"/>
              <w:left w:val="single" w:sz="4" w:space="0" w:color="auto"/>
              <w:bottom w:val="single" w:sz="4" w:space="0" w:color="auto"/>
              <w:right w:val="single" w:sz="4" w:space="0" w:color="auto"/>
            </w:tcBorders>
            <w:shd w:val="clear" w:color="auto" w:fill="auto"/>
            <w:noWrap/>
            <w:hideMark/>
          </w:tcPr>
          <w:p w14:paraId="78F2B872" w14:textId="43D5807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32.370</w:t>
            </w:r>
          </w:p>
        </w:tc>
      </w:tr>
      <w:tr w:rsidR="005C332D" w:rsidRPr="003F6E51" w14:paraId="211F491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DFC282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2213" w:type="dxa"/>
            <w:tcBorders>
              <w:top w:val="nil"/>
              <w:left w:val="single" w:sz="8" w:space="0" w:color="auto"/>
              <w:bottom w:val="single" w:sz="4" w:space="0" w:color="auto"/>
              <w:right w:val="single" w:sz="8" w:space="0" w:color="auto"/>
            </w:tcBorders>
            <w:shd w:val="clear" w:color="auto" w:fill="auto"/>
            <w:noWrap/>
            <w:hideMark/>
          </w:tcPr>
          <w:p w14:paraId="2D9DA47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ARILJE</w:t>
            </w:r>
          </w:p>
        </w:tc>
        <w:tc>
          <w:tcPr>
            <w:tcW w:w="850" w:type="dxa"/>
            <w:tcBorders>
              <w:top w:val="nil"/>
              <w:left w:val="nil"/>
              <w:bottom w:val="single" w:sz="4" w:space="0" w:color="auto"/>
              <w:right w:val="single" w:sz="4" w:space="0" w:color="auto"/>
            </w:tcBorders>
            <w:shd w:val="clear" w:color="auto" w:fill="auto"/>
            <w:noWrap/>
            <w:hideMark/>
          </w:tcPr>
          <w:p w14:paraId="13BBD8A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17609</w:t>
            </w:r>
          </w:p>
        </w:tc>
        <w:tc>
          <w:tcPr>
            <w:tcW w:w="709" w:type="dxa"/>
            <w:tcBorders>
              <w:top w:val="nil"/>
              <w:left w:val="nil"/>
              <w:bottom w:val="single" w:sz="4" w:space="0" w:color="auto"/>
              <w:right w:val="single" w:sz="8" w:space="0" w:color="auto"/>
            </w:tcBorders>
            <w:shd w:val="clear" w:color="auto" w:fill="auto"/>
            <w:noWrap/>
            <w:hideMark/>
          </w:tcPr>
          <w:p w14:paraId="2872591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0,37</w:t>
            </w:r>
          </w:p>
        </w:tc>
        <w:tc>
          <w:tcPr>
            <w:tcW w:w="567" w:type="dxa"/>
            <w:tcBorders>
              <w:top w:val="nil"/>
              <w:left w:val="nil"/>
              <w:bottom w:val="single" w:sz="4" w:space="0" w:color="auto"/>
              <w:right w:val="single" w:sz="4" w:space="0" w:color="auto"/>
            </w:tcBorders>
            <w:shd w:val="clear" w:color="auto" w:fill="auto"/>
            <w:noWrap/>
            <w:hideMark/>
          </w:tcPr>
          <w:p w14:paraId="45D01DC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349</w:t>
            </w:r>
          </w:p>
        </w:tc>
        <w:tc>
          <w:tcPr>
            <w:tcW w:w="709" w:type="dxa"/>
            <w:tcBorders>
              <w:top w:val="nil"/>
              <w:left w:val="nil"/>
              <w:bottom w:val="single" w:sz="4" w:space="0" w:color="auto"/>
              <w:right w:val="single" w:sz="8" w:space="0" w:color="auto"/>
            </w:tcBorders>
            <w:shd w:val="clear" w:color="auto" w:fill="auto"/>
            <w:noWrap/>
            <w:hideMark/>
          </w:tcPr>
          <w:p w14:paraId="5C12EF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0,65</w:t>
            </w:r>
          </w:p>
        </w:tc>
        <w:tc>
          <w:tcPr>
            <w:tcW w:w="850" w:type="dxa"/>
            <w:tcBorders>
              <w:top w:val="nil"/>
              <w:left w:val="nil"/>
              <w:bottom w:val="single" w:sz="4" w:space="0" w:color="auto"/>
              <w:right w:val="single" w:sz="4" w:space="0" w:color="auto"/>
            </w:tcBorders>
            <w:shd w:val="clear" w:color="auto" w:fill="auto"/>
            <w:noWrap/>
            <w:hideMark/>
          </w:tcPr>
          <w:p w14:paraId="5D8182E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C87EDE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15BF694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6B377E6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4AF8D7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57,68</w:t>
            </w:r>
          </w:p>
        </w:tc>
        <w:tc>
          <w:tcPr>
            <w:tcW w:w="851" w:type="dxa"/>
            <w:tcBorders>
              <w:top w:val="nil"/>
              <w:left w:val="nil"/>
              <w:bottom w:val="single" w:sz="4" w:space="0" w:color="auto"/>
              <w:right w:val="single" w:sz="4" w:space="0" w:color="auto"/>
            </w:tcBorders>
            <w:shd w:val="clear" w:color="auto" w:fill="auto"/>
            <w:noWrap/>
            <w:hideMark/>
          </w:tcPr>
          <w:p w14:paraId="47650975"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0,0042</w:t>
            </w:r>
          </w:p>
        </w:tc>
        <w:tc>
          <w:tcPr>
            <w:tcW w:w="1134" w:type="dxa"/>
            <w:tcBorders>
              <w:top w:val="nil"/>
              <w:left w:val="nil"/>
              <w:bottom w:val="single" w:sz="4" w:space="0" w:color="auto"/>
              <w:right w:val="single" w:sz="4" w:space="0" w:color="auto"/>
            </w:tcBorders>
            <w:shd w:val="clear" w:color="000000" w:fill="C6E0B4"/>
            <w:noWrap/>
            <w:hideMark/>
          </w:tcPr>
          <w:p w14:paraId="0A28BB5A"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1.150.697</w:t>
            </w:r>
          </w:p>
        </w:tc>
        <w:tc>
          <w:tcPr>
            <w:tcW w:w="992" w:type="dxa"/>
            <w:tcBorders>
              <w:top w:val="nil"/>
              <w:left w:val="nil"/>
              <w:bottom w:val="single" w:sz="4" w:space="0" w:color="auto"/>
              <w:right w:val="single" w:sz="4" w:space="0" w:color="auto"/>
            </w:tcBorders>
            <w:shd w:val="clear" w:color="auto" w:fill="auto"/>
            <w:noWrap/>
            <w:hideMark/>
          </w:tcPr>
          <w:p w14:paraId="57A82A1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824.761</w:t>
            </w:r>
          </w:p>
        </w:tc>
        <w:tc>
          <w:tcPr>
            <w:tcW w:w="567" w:type="dxa"/>
            <w:tcBorders>
              <w:top w:val="nil"/>
              <w:left w:val="nil"/>
              <w:bottom w:val="single" w:sz="4" w:space="0" w:color="auto"/>
              <w:right w:val="single" w:sz="4" w:space="0" w:color="auto"/>
            </w:tcBorders>
            <w:shd w:val="clear" w:color="auto" w:fill="auto"/>
            <w:noWrap/>
            <w:hideMark/>
          </w:tcPr>
          <w:p w14:paraId="696459C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139,52</w:t>
            </w:r>
          </w:p>
        </w:tc>
        <w:tc>
          <w:tcPr>
            <w:tcW w:w="850" w:type="dxa"/>
            <w:tcBorders>
              <w:top w:val="nil"/>
              <w:left w:val="nil"/>
              <w:bottom w:val="single" w:sz="4" w:space="0" w:color="auto"/>
              <w:right w:val="single" w:sz="4" w:space="0" w:color="auto"/>
            </w:tcBorders>
            <w:shd w:val="clear" w:color="auto" w:fill="auto"/>
            <w:noWrap/>
            <w:hideMark/>
          </w:tcPr>
          <w:p w14:paraId="49D4E67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1.035.628</w:t>
            </w:r>
          </w:p>
        </w:tc>
        <w:tc>
          <w:tcPr>
            <w:tcW w:w="709" w:type="dxa"/>
            <w:tcBorders>
              <w:top w:val="nil"/>
              <w:left w:val="nil"/>
              <w:bottom w:val="single" w:sz="4" w:space="0" w:color="auto"/>
              <w:right w:val="single" w:sz="8" w:space="0" w:color="auto"/>
            </w:tcBorders>
            <w:shd w:val="clear" w:color="auto" w:fill="auto"/>
            <w:noWrap/>
            <w:hideMark/>
          </w:tcPr>
          <w:p w14:paraId="0799F51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115.070</w:t>
            </w:r>
          </w:p>
        </w:tc>
        <w:tc>
          <w:tcPr>
            <w:tcW w:w="851" w:type="dxa"/>
            <w:tcBorders>
              <w:top w:val="nil"/>
              <w:left w:val="single" w:sz="4" w:space="0" w:color="auto"/>
              <w:bottom w:val="single" w:sz="4" w:space="0" w:color="auto"/>
              <w:right w:val="single" w:sz="4" w:space="0" w:color="auto"/>
            </w:tcBorders>
            <w:shd w:val="clear" w:color="auto" w:fill="auto"/>
            <w:noWrap/>
            <w:hideMark/>
          </w:tcPr>
          <w:p w14:paraId="385B497E" w14:textId="70AE639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58.812</w:t>
            </w:r>
          </w:p>
        </w:tc>
      </w:tr>
      <w:tr w:rsidR="005C332D" w:rsidRPr="003F6E51" w14:paraId="27ECBD5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8436A1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5D49EEC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BABUŠNICA</w:t>
            </w:r>
          </w:p>
        </w:tc>
        <w:tc>
          <w:tcPr>
            <w:tcW w:w="850" w:type="dxa"/>
            <w:tcBorders>
              <w:top w:val="nil"/>
              <w:left w:val="nil"/>
              <w:bottom w:val="single" w:sz="4" w:space="0" w:color="auto"/>
              <w:right w:val="single" w:sz="4" w:space="0" w:color="auto"/>
            </w:tcBorders>
            <w:shd w:val="clear" w:color="000000" w:fill="FFFFFF"/>
            <w:noWrap/>
            <w:hideMark/>
          </w:tcPr>
          <w:p w14:paraId="785A8D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9789</w:t>
            </w:r>
          </w:p>
        </w:tc>
        <w:tc>
          <w:tcPr>
            <w:tcW w:w="709" w:type="dxa"/>
            <w:tcBorders>
              <w:top w:val="nil"/>
              <w:left w:val="nil"/>
              <w:bottom w:val="single" w:sz="4" w:space="0" w:color="auto"/>
              <w:right w:val="single" w:sz="8" w:space="0" w:color="auto"/>
            </w:tcBorders>
            <w:shd w:val="clear" w:color="000000" w:fill="FFFFFF"/>
            <w:noWrap/>
            <w:hideMark/>
          </w:tcPr>
          <w:p w14:paraId="44F64A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37979AC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529</w:t>
            </w:r>
          </w:p>
        </w:tc>
        <w:tc>
          <w:tcPr>
            <w:tcW w:w="709" w:type="dxa"/>
            <w:tcBorders>
              <w:top w:val="nil"/>
              <w:left w:val="nil"/>
              <w:bottom w:val="single" w:sz="4" w:space="0" w:color="auto"/>
              <w:right w:val="single" w:sz="8" w:space="0" w:color="auto"/>
            </w:tcBorders>
            <w:shd w:val="clear" w:color="000000" w:fill="FFFFFF"/>
            <w:noWrap/>
            <w:hideMark/>
          </w:tcPr>
          <w:p w14:paraId="4E19B90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0,99</w:t>
            </w:r>
          </w:p>
        </w:tc>
        <w:tc>
          <w:tcPr>
            <w:tcW w:w="850" w:type="dxa"/>
            <w:tcBorders>
              <w:top w:val="nil"/>
              <w:left w:val="nil"/>
              <w:bottom w:val="single" w:sz="4" w:space="0" w:color="auto"/>
              <w:right w:val="single" w:sz="4" w:space="0" w:color="auto"/>
            </w:tcBorders>
            <w:shd w:val="clear" w:color="000000" w:fill="FFFFFF"/>
            <w:noWrap/>
            <w:hideMark/>
          </w:tcPr>
          <w:p w14:paraId="4BDC419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5BCD4E5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6E425B0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2AC1BE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FB825E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96,59</w:t>
            </w:r>
          </w:p>
        </w:tc>
        <w:tc>
          <w:tcPr>
            <w:tcW w:w="851" w:type="dxa"/>
            <w:tcBorders>
              <w:top w:val="nil"/>
              <w:left w:val="nil"/>
              <w:bottom w:val="single" w:sz="4" w:space="0" w:color="auto"/>
              <w:right w:val="single" w:sz="4" w:space="0" w:color="auto"/>
            </w:tcBorders>
            <w:shd w:val="clear" w:color="auto" w:fill="auto"/>
            <w:noWrap/>
            <w:hideMark/>
          </w:tcPr>
          <w:p w14:paraId="7692910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0,0071</w:t>
            </w:r>
          </w:p>
        </w:tc>
        <w:tc>
          <w:tcPr>
            <w:tcW w:w="1134" w:type="dxa"/>
            <w:tcBorders>
              <w:top w:val="nil"/>
              <w:left w:val="nil"/>
              <w:bottom w:val="single" w:sz="4" w:space="0" w:color="auto"/>
              <w:right w:val="single" w:sz="4" w:space="0" w:color="auto"/>
            </w:tcBorders>
            <w:shd w:val="clear" w:color="000000" w:fill="C6E0B4"/>
            <w:noWrap/>
            <w:hideMark/>
          </w:tcPr>
          <w:p w14:paraId="6FD23A9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1.926.903</w:t>
            </w:r>
          </w:p>
        </w:tc>
        <w:tc>
          <w:tcPr>
            <w:tcW w:w="992" w:type="dxa"/>
            <w:tcBorders>
              <w:top w:val="nil"/>
              <w:left w:val="nil"/>
              <w:bottom w:val="single" w:sz="4" w:space="0" w:color="auto"/>
              <w:right w:val="single" w:sz="4" w:space="0" w:color="auto"/>
            </w:tcBorders>
            <w:shd w:val="clear" w:color="auto" w:fill="auto"/>
            <w:noWrap/>
            <w:hideMark/>
          </w:tcPr>
          <w:p w14:paraId="6F1EA18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392.458</w:t>
            </w:r>
          </w:p>
        </w:tc>
        <w:tc>
          <w:tcPr>
            <w:tcW w:w="567" w:type="dxa"/>
            <w:tcBorders>
              <w:top w:val="nil"/>
              <w:left w:val="nil"/>
              <w:bottom w:val="single" w:sz="4" w:space="0" w:color="auto"/>
              <w:right w:val="single" w:sz="4" w:space="0" w:color="auto"/>
            </w:tcBorders>
            <w:shd w:val="clear" w:color="auto" w:fill="auto"/>
            <w:noWrap/>
            <w:hideMark/>
          </w:tcPr>
          <w:p w14:paraId="0527767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490,98</w:t>
            </w:r>
          </w:p>
        </w:tc>
        <w:tc>
          <w:tcPr>
            <w:tcW w:w="850" w:type="dxa"/>
            <w:tcBorders>
              <w:top w:val="nil"/>
              <w:left w:val="nil"/>
              <w:bottom w:val="single" w:sz="4" w:space="0" w:color="auto"/>
              <w:right w:val="single" w:sz="4" w:space="0" w:color="auto"/>
            </w:tcBorders>
            <w:shd w:val="clear" w:color="auto" w:fill="auto"/>
            <w:noWrap/>
            <w:hideMark/>
          </w:tcPr>
          <w:p w14:paraId="55F84C2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1.734.213</w:t>
            </w:r>
          </w:p>
        </w:tc>
        <w:tc>
          <w:tcPr>
            <w:tcW w:w="709" w:type="dxa"/>
            <w:tcBorders>
              <w:top w:val="nil"/>
              <w:left w:val="nil"/>
              <w:bottom w:val="single" w:sz="4" w:space="0" w:color="auto"/>
              <w:right w:val="single" w:sz="8" w:space="0" w:color="auto"/>
            </w:tcBorders>
            <w:shd w:val="clear" w:color="auto" w:fill="auto"/>
            <w:noWrap/>
            <w:hideMark/>
          </w:tcPr>
          <w:p w14:paraId="318F6D3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192.690</w:t>
            </w:r>
          </w:p>
        </w:tc>
        <w:tc>
          <w:tcPr>
            <w:tcW w:w="851" w:type="dxa"/>
            <w:tcBorders>
              <w:top w:val="nil"/>
              <w:left w:val="single" w:sz="4" w:space="0" w:color="auto"/>
              <w:bottom w:val="single" w:sz="4" w:space="0" w:color="auto"/>
              <w:right w:val="single" w:sz="4" w:space="0" w:color="auto"/>
            </w:tcBorders>
            <w:shd w:val="clear" w:color="auto" w:fill="auto"/>
            <w:noWrap/>
            <w:hideMark/>
          </w:tcPr>
          <w:p w14:paraId="665D64B1" w14:textId="5695C16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177.159</w:t>
            </w:r>
          </w:p>
        </w:tc>
      </w:tr>
      <w:tr w:rsidR="005C332D" w:rsidRPr="003F6E51" w14:paraId="628C16B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0292AD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w:t>
            </w:r>
          </w:p>
        </w:tc>
        <w:tc>
          <w:tcPr>
            <w:tcW w:w="2213" w:type="dxa"/>
            <w:tcBorders>
              <w:top w:val="nil"/>
              <w:left w:val="single" w:sz="8" w:space="0" w:color="auto"/>
              <w:bottom w:val="single" w:sz="4" w:space="0" w:color="auto"/>
              <w:right w:val="single" w:sz="8" w:space="0" w:color="auto"/>
            </w:tcBorders>
            <w:shd w:val="clear" w:color="auto" w:fill="auto"/>
            <w:noWrap/>
            <w:hideMark/>
          </w:tcPr>
          <w:p w14:paraId="065D71B2" w14:textId="228A5F76"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BAJINABAŠTA</w:t>
            </w:r>
          </w:p>
        </w:tc>
        <w:tc>
          <w:tcPr>
            <w:tcW w:w="850" w:type="dxa"/>
            <w:tcBorders>
              <w:top w:val="nil"/>
              <w:left w:val="nil"/>
              <w:bottom w:val="single" w:sz="4" w:space="0" w:color="auto"/>
              <w:right w:val="single" w:sz="4" w:space="0" w:color="auto"/>
            </w:tcBorders>
            <w:shd w:val="clear" w:color="000000" w:fill="FFFFFF"/>
            <w:noWrap/>
            <w:hideMark/>
          </w:tcPr>
          <w:p w14:paraId="49DF693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23859</w:t>
            </w:r>
          </w:p>
        </w:tc>
        <w:tc>
          <w:tcPr>
            <w:tcW w:w="709" w:type="dxa"/>
            <w:tcBorders>
              <w:top w:val="nil"/>
              <w:left w:val="nil"/>
              <w:bottom w:val="single" w:sz="4" w:space="0" w:color="auto"/>
              <w:right w:val="single" w:sz="8" w:space="0" w:color="auto"/>
            </w:tcBorders>
            <w:shd w:val="clear" w:color="000000" w:fill="FFFFFF"/>
            <w:noWrap/>
            <w:hideMark/>
          </w:tcPr>
          <w:p w14:paraId="1AD5567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0,50</w:t>
            </w:r>
          </w:p>
        </w:tc>
        <w:tc>
          <w:tcPr>
            <w:tcW w:w="567" w:type="dxa"/>
            <w:tcBorders>
              <w:top w:val="nil"/>
              <w:left w:val="nil"/>
              <w:bottom w:val="single" w:sz="4" w:space="0" w:color="auto"/>
              <w:right w:val="single" w:sz="4" w:space="0" w:color="auto"/>
            </w:tcBorders>
            <w:shd w:val="clear" w:color="000000" w:fill="FFFFFF"/>
            <w:noWrap/>
            <w:hideMark/>
          </w:tcPr>
          <w:p w14:paraId="05634FD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673</w:t>
            </w:r>
          </w:p>
        </w:tc>
        <w:tc>
          <w:tcPr>
            <w:tcW w:w="709" w:type="dxa"/>
            <w:tcBorders>
              <w:top w:val="nil"/>
              <w:left w:val="nil"/>
              <w:bottom w:val="single" w:sz="4" w:space="0" w:color="auto"/>
              <w:right w:val="single" w:sz="8" w:space="0" w:color="auto"/>
            </w:tcBorders>
            <w:shd w:val="clear" w:color="000000" w:fill="FFFFFF"/>
            <w:noWrap/>
            <w:hideMark/>
          </w:tcPr>
          <w:p w14:paraId="4DFA32C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1,26</w:t>
            </w:r>
          </w:p>
        </w:tc>
        <w:tc>
          <w:tcPr>
            <w:tcW w:w="850" w:type="dxa"/>
            <w:tcBorders>
              <w:top w:val="nil"/>
              <w:left w:val="nil"/>
              <w:bottom w:val="single" w:sz="4" w:space="0" w:color="auto"/>
              <w:right w:val="single" w:sz="4" w:space="0" w:color="auto"/>
            </w:tcBorders>
            <w:shd w:val="clear" w:color="000000" w:fill="FFFFFF"/>
            <w:noWrap/>
            <w:hideMark/>
          </w:tcPr>
          <w:p w14:paraId="127A25E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30CD83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4ECEE8B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72C31D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424CFA7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89,39</w:t>
            </w:r>
          </w:p>
        </w:tc>
        <w:tc>
          <w:tcPr>
            <w:tcW w:w="851" w:type="dxa"/>
            <w:tcBorders>
              <w:top w:val="nil"/>
              <w:left w:val="nil"/>
              <w:bottom w:val="single" w:sz="4" w:space="0" w:color="auto"/>
              <w:right w:val="single" w:sz="4" w:space="0" w:color="auto"/>
            </w:tcBorders>
            <w:shd w:val="clear" w:color="auto" w:fill="auto"/>
            <w:noWrap/>
            <w:hideMark/>
          </w:tcPr>
          <w:p w14:paraId="1E30E06D"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0,0066</w:t>
            </w:r>
          </w:p>
        </w:tc>
        <w:tc>
          <w:tcPr>
            <w:tcW w:w="1134" w:type="dxa"/>
            <w:tcBorders>
              <w:top w:val="nil"/>
              <w:left w:val="nil"/>
              <w:bottom w:val="single" w:sz="4" w:space="0" w:color="auto"/>
              <w:right w:val="single" w:sz="4" w:space="0" w:color="auto"/>
            </w:tcBorders>
            <w:shd w:val="clear" w:color="000000" w:fill="C6E0B4"/>
            <w:noWrap/>
            <w:hideMark/>
          </w:tcPr>
          <w:p w14:paraId="541E767C"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1.783.152</w:t>
            </w:r>
          </w:p>
        </w:tc>
        <w:tc>
          <w:tcPr>
            <w:tcW w:w="992" w:type="dxa"/>
            <w:tcBorders>
              <w:top w:val="nil"/>
              <w:left w:val="nil"/>
              <w:bottom w:val="single" w:sz="4" w:space="0" w:color="auto"/>
              <w:right w:val="single" w:sz="4" w:space="0" w:color="auto"/>
            </w:tcBorders>
            <w:shd w:val="clear" w:color="auto" w:fill="auto"/>
            <w:noWrap/>
            <w:hideMark/>
          </w:tcPr>
          <w:p w14:paraId="2FB4586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621.331</w:t>
            </w:r>
          </w:p>
        </w:tc>
        <w:tc>
          <w:tcPr>
            <w:tcW w:w="567" w:type="dxa"/>
            <w:tcBorders>
              <w:top w:val="nil"/>
              <w:left w:val="nil"/>
              <w:bottom w:val="single" w:sz="4" w:space="0" w:color="auto"/>
              <w:right w:val="single" w:sz="4" w:space="0" w:color="auto"/>
            </w:tcBorders>
            <w:shd w:val="clear" w:color="auto" w:fill="auto"/>
            <w:noWrap/>
            <w:hideMark/>
          </w:tcPr>
          <w:p w14:paraId="34B11E3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286,99</w:t>
            </w:r>
          </w:p>
        </w:tc>
        <w:tc>
          <w:tcPr>
            <w:tcW w:w="850" w:type="dxa"/>
            <w:tcBorders>
              <w:top w:val="nil"/>
              <w:left w:val="nil"/>
              <w:bottom w:val="single" w:sz="4" w:space="0" w:color="auto"/>
              <w:right w:val="single" w:sz="4" w:space="0" w:color="auto"/>
            </w:tcBorders>
            <w:shd w:val="clear" w:color="auto" w:fill="auto"/>
            <w:noWrap/>
            <w:hideMark/>
          </w:tcPr>
          <w:p w14:paraId="09E1354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1.604.837</w:t>
            </w:r>
          </w:p>
        </w:tc>
        <w:tc>
          <w:tcPr>
            <w:tcW w:w="709" w:type="dxa"/>
            <w:tcBorders>
              <w:top w:val="nil"/>
              <w:left w:val="nil"/>
              <w:bottom w:val="single" w:sz="4" w:space="0" w:color="auto"/>
              <w:right w:val="single" w:sz="8" w:space="0" w:color="auto"/>
            </w:tcBorders>
            <w:shd w:val="clear" w:color="auto" w:fill="auto"/>
            <w:noWrap/>
            <w:hideMark/>
          </w:tcPr>
          <w:p w14:paraId="1FC5534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178.315</w:t>
            </w:r>
          </w:p>
        </w:tc>
        <w:tc>
          <w:tcPr>
            <w:tcW w:w="851" w:type="dxa"/>
            <w:tcBorders>
              <w:top w:val="nil"/>
              <w:left w:val="single" w:sz="4" w:space="0" w:color="auto"/>
              <w:bottom w:val="single" w:sz="4" w:space="0" w:color="auto"/>
              <w:right w:val="single" w:sz="4" w:space="0" w:color="auto"/>
            </w:tcBorders>
            <w:shd w:val="clear" w:color="auto" w:fill="auto"/>
            <w:noWrap/>
            <w:hideMark/>
          </w:tcPr>
          <w:p w14:paraId="7017F7D8" w14:textId="4A2AB50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67.263</w:t>
            </w:r>
          </w:p>
        </w:tc>
      </w:tr>
      <w:tr w:rsidR="005C332D" w:rsidRPr="003F6E51" w14:paraId="428E9C1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351923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w:t>
            </w:r>
          </w:p>
        </w:tc>
        <w:tc>
          <w:tcPr>
            <w:tcW w:w="2213" w:type="dxa"/>
            <w:tcBorders>
              <w:top w:val="nil"/>
              <w:left w:val="single" w:sz="8" w:space="0" w:color="auto"/>
              <w:bottom w:val="single" w:sz="4" w:space="0" w:color="auto"/>
              <w:right w:val="single" w:sz="8" w:space="0" w:color="auto"/>
            </w:tcBorders>
            <w:shd w:val="clear" w:color="auto" w:fill="auto"/>
            <w:noWrap/>
            <w:hideMark/>
          </w:tcPr>
          <w:p w14:paraId="5B628F2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BATOČINA</w:t>
            </w:r>
          </w:p>
        </w:tc>
        <w:tc>
          <w:tcPr>
            <w:tcW w:w="850" w:type="dxa"/>
            <w:tcBorders>
              <w:top w:val="nil"/>
              <w:left w:val="nil"/>
              <w:bottom w:val="single" w:sz="4" w:space="0" w:color="auto"/>
              <w:right w:val="single" w:sz="4" w:space="0" w:color="auto"/>
            </w:tcBorders>
            <w:shd w:val="clear" w:color="000000" w:fill="FFFFFF"/>
            <w:noWrap/>
            <w:hideMark/>
          </w:tcPr>
          <w:p w14:paraId="6F1BE40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10747</w:t>
            </w:r>
          </w:p>
        </w:tc>
        <w:tc>
          <w:tcPr>
            <w:tcW w:w="709" w:type="dxa"/>
            <w:tcBorders>
              <w:top w:val="nil"/>
              <w:left w:val="nil"/>
              <w:bottom w:val="single" w:sz="4" w:space="0" w:color="auto"/>
              <w:right w:val="single" w:sz="8" w:space="0" w:color="auto"/>
            </w:tcBorders>
            <w:shd w:val="clear" w:color="000000" w:fill="FFFFFF"/>
            <w:noWrap/>
            <w:hideMark/>
          </w:tcPr>
          <w:p w14:paraId="1C08A8B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133DD7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136</w:t>
            </w:r>
          </w:p>
        </w:tc>
        <w:tc>
          <w:tcPr>
            <w:tcW w:w="709" w:type="dxa"/>
            <w:tcBorders>
              <w:top w:val="nil"/>
              <w:left w:val="nil"/>
              <w:bottom w:val="single" w:sz="4" w:space="0" w:color="auto"/>
              <w:right w:val="single" w:sz="8" w:space="0" w:color="auto"/>
            </w:tcBorders>
            <w:shd w:val="clear" w:color="000000" w:fill="FFFFFF"/>
            <w:noWrap/>
            <w:hideMark/>
          </w:tcPr>
          <w:p w14:paraId="4690040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0,25</w:t>
            </w:r>
          </w:p>
        </w:tc>
        <w:tc>
          <w:tcPr>
            <w:tcW w:w="850" w:type="dxa"/>
            <w:tcBorders>
              <w:top w:val="nil"/>
              <w:left w:val="nil"/>
              <w:bottom w:val="single" w:sz="4" w:space="0" w:color="auto"/>
              <w:right w:val="single" w:sz="4" w:space="0" w:color="auto"/>
            </w:tcBorders>
            <w:shd w:val="clear" w:color="000000" w:fill="FFFFFF"/>
            <w:noWrap/>
            <w:hideMark/>
          </w:tcPr>
          <w:p w14:paraId="1DF7048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2875077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2CACD71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7DC5872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1DDE69D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54,31</w:t>
            </w:r>
          </w:p>
        </w:tc>
        <w:tc>
          <w:tcPr>
            <w:tcW w:w="851" w:type="dxa"/>
            <w:tcBorders>
              <w:top w:val="nil"/>
              <w:left w:val="nil"/>
              <w:bottom w:val="single" w:sz="4" w:space="0" w:color="auto"/>
              <w:right w:val="single" w:sz="4" w:space="0" w:color="auto"/>
            </w:tcBorders>
            <w:shd w:val="clear" w:color="auto" w:fill="auto"/>
            <w:noWrap/>
            <w:hideMark/>
          </w:tcPr>
          <w:p w14:paraId="788F170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0,0040</w:t>
            </w:r>
          </w:p>
        </w:tc>
        <w:tc>
          <w:tcPr>
            <w:tcW w:w="1134" w:type="dxa"/>
            <w:tcBorders>
              <w:top w:val="nil"/>
              <w:left w:val="nil"/>
              <w:bottom w:val="single" w:sz="4" w:space="0" w:color="auto"/>
              <w:right w:val="single" w:sz="4" w:space="0" w:color="auto"/>
            </w:tcBorders>
            <w:shd w:val="clear" w:color="000000" w:fill="C6E0B4"/>
            <w:noWrap/>
            <w:hideMark/>
          </w:tcPr>
          <w:p w14:paraId="24732AA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1.083.373</w:t>
            </w:r>
          </w:p>
        </w:tc>
        <w:tc>
          <w:tcPr>
            <w:tcW w:w="992" w:type="dxa"/>
            <w:tcBorders>
              <w:top w:val="nil"/>
              <w:left w:val="nil"/>
              <w:bottom w:val="single" w:sz="4" w:space="0" w:color="auto"/>
              <w:right w:val="single" w:sz="4" w:space="0" w:color="auto"/>
            </w:tcBorders>
            <w:shd w:val="clear" w:color="auto" w:fill="auto"/>
            <w:noWrap/>
            <w:hideMark/>
          </w:tcPr>
          <w:p w14:paraId="7139257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378.339</w:t>
            </w:r>
          </w:p>
        </w:tc>
        <w:tc>
          <w:tcPr>
            <w:tcW w:w="567" w:type="dxa"/>
            <w:tcBorders>
              <w:top w:val="nil"/>
              <w:left w:val="nil"/>
              <w:bottom w:val="single" w:sz="4" w:space="0" w:color="auto"/>
              <w:right w:val="single" w:sz="4" w:space="0" w:color="auto"/>
            </w:tcBorders>
            <w:shd w:val="clear" w:color="auto" w:fill="auto"/>
            <w:noWrap/>
            <w:hideMark/>
          </w:tcPr>
          <w:p w14:paraId="385EE7F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286,35</w:t>
            </w:r>
          </w:p>
        </w:tc>
        <w:tc>
          <w:tcPr>
            <w:tcW w:w="850" w:type="dxa"/>
            <w:tcBorders>
              <w:top w:val="nil"/>
              <w:left w:val="nil"/>
              <w:bottom w:val="single" w:sz="4" w:space="0" w:color="auto"/>
              <w:right w:val="single" w:sz="4" w:space="0" w:color="auto"/>
            </w:tcBorders>
            <w:shd w:val="clear" w:color="auto" w:fill="auto"/>
            <w:noWrap/>
            <w:hideMark/>
          </w:tcPr>
          <w:p w14:paraId="2BF5251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975.036</w:t>
            </w:r>
          </w:p>
        </w:tc>
        <w:tc>
          <w:tcPr>
            <w:tcW w:w="709" w:type="dxa"/>
            <w:tcBorders>
              <w:top w:val="nil"/>
              <w:left w:val="nil"/>
              <w:bottom w:val="single" w:sz="4" w:space="0" w:color="auto"/>
              <w:right w:val="single" w:sz="8" w:space="0" w:color="auto"/>
            </w:tcBorders>
            <w:shd w:val="clear" w:color="auto" w:fill="auto"/>
            <w:noWrap/>
            <w:hideMark/>
          </w:tcPr>
          <w:p w14:paraId="769C34E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108.337</w:t>
            </w:r>
          </w:p>
        </w:tc>
        <w:tc>
          <w:tcPr>
            <w:tcW w:w="851" w:type="dxa"/>
            <w:tcBorders>
              <w:top w:val="nil"/>
              <w:left w:val="single" w:sz="4" w:space="0" w:color="auto"/>
              <w:bottom w:val="single" w:sz="4" w:space="0" w:color="auto"/>
              <w:right w:val="single" w:sz="4" w:space="0" w:color="auto"/>
            </w:tcBorders>
            <w:shd w:val="clear" w:color="auto" w:fill="auto"/>
            <w:noWrap/>
            <w:hideMark/>
          </w:tcPr>
          <w:p w14:paraId="61A64414" w14:textId="637001D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90.726</w:t>
            </w:r>
          </w:p>
        </w:tc>
      </w:tr>
      <w:tr w:rsidR="005C332D" w:rsidRPr="003F6E51" w14:paraId="6BF38C4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406FC9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4B160035" w14:textId="317CE784"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BELAPALANKA</w:t>
            </w:r>
          </w:p>
        </w:tc>
        <w:tc>
          <w:tcPr>
            <w:tcW w:w="850" w:type="dxa"/>
            <w:tcBorders>
              <w:top w:val="nil"/>
              <w:left w:val="nil"/>
              <w:bottom w:val="single" w:sz="4" w:space="0" w:color="auto"/>
              <w:right w:val="single" w:sz="4" w:space="0" w:color="auto"/>
            </w:tcBorders>
            <w:shd w:val="clear" w:color="000000" w:fill="FFFFFF"/>
            <w:noWrap/>
            <w:hideMark/>
          </w:tcPr>
          <w:p w14:paraId="2612BDC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10523</w:t>
            </w:r>
          </w:p>
        </w:tc>
        <w:tc>
          <w:tcPr>
            <w:tcW w:w="709" w:type="dxa"/>
            <w:tcBorders>
              <w:top w:val="nil"/>
              <w:left w:val="nil"/>
              <w:bottom w:val="single" w:sz="4" w:space="0" w:color="auto"/>
              <w:right w:val="single" w:sz="8" w:space="0" w:color="auto"/>
            </w:tcBorders>
            <w:shd w:val="clear" w:color="000000" w:fill="FFFFFF"/>
            <w:noWrap/>
            <w:hideMark/>
          </w:tcPr>
          <w:p w14:paraId="3806806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0,22</w:t>
            </w:r>
          </w:p>
        </w:tc>
        <w:tc>
          <w:tcPr>
            <w:tcW w:w="567" w:type="dxa"/>
            <w:tcBorders>
              <w:top w:val="nil"/>
              <w:left w:val="nil"/>
              <w:bottom w:val="single" w:sz="4" w:space="0" w:color="auto"/>
              <w:right w:val="single" w:sz="4" w:space="0" w:color="auto"/>
            </w:tcBorders>
            <w:shd w:val="clear" w:color="000000" w:fill="FFFFFF"/>
            <w:noWrap/>
            <w:hideMark/>
          </w:tcPr>
          <w:p w14:paraId="6C791A2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517</w:t>
            </w:r>
          </w:p>
        </w:tc>
        <w:tc>
          <w:tcPr>
            <w:tcW w:w="709" w:type="dxa"/>
            <w:tcBorders>
              <w:top w:val="nil"/>
              <w:left w:val="nil"/>
              <w:bottom w:val="single" w:sz="4" w:space="0" w:color="auto"/>
              <w:right w:val="single" w:sz="8" w:space="0" w:color="auto"/>
            </w:tcBorders>
            <w:shd w:val="clear" w:color="000000" w:fill="FFFFFF"/>
            <w:noWrap/>
            <w:hideMark/>
          </w:tcPr>
          <w:p w14:paraId="7CEE2EF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850" w:type="dxa"/>
            <w:tcBorders>
              <w:top w:val="nil"/>
              <w:left w:val="nil"/>
              <w:bottom w:val="single" w:sz="4" w:space="0" w:color="auto"/>
              <w:right w:val="single" w:sz="4" w:space="0" w:color="auto"/>
            </w:tcBorders>
            <w:shd w:val="clear" w:color="000000" w:fill="FFFFFF"/>
            <w:noWrap/>
            <w:hideMark/>
          </w:tcPr>
          <w:p w14:paraId="588D059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351D14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37B9A1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67876B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514546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96,57</w:t>
            </w:r>
          </w:p>
        </w:tc>
        <w:tc>
          <w:tcPr>
            <w:tcW w:w="851" w:type="dxa"/>
            <w:tcBorders>
              <w:top w:val="nil"/>
              <w:left w:val="nil"/>
              <w:bottom w:val="single" w:sz="4" w:space="0" w:color="auto"/>
              <w:right w:val="single" w:sz="4" w:space="0" w:color="auto"/>
            </w:tcBorders>
            <w:shd w:val="clear" w:color="auto" w:fill="auto"/>
            <w:noWrap/>
            <w:hideMark/>
          </w:tcPr>
          <w:p w14:paraId="69B66A2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0,0071</w:t>
            </w:r>
          </w:p>
        </w:tc>
        <w:tc>
          <w:tcPr>
            <w:tcW w:w="1134" w:type="dxa"/>
            <w:tcBorders>
              <w:top w:val="nil"/>
              <w:left w:val="nil"/>
              <w:bottom w:val="single" w:sz="4" w:space="0" w:color="auto"/>
              <w:right w:val="single" w:sz="4" w:space="0" w:color="auto"/>
            </w:tcBorders>
            <w:shd w:val="clear" w:color="000000" w:fill="C6E0B4"/>
            <w:noWrap/>
            <w:hideMark/>
          </w:tcPr>
          <w:p w14:paraId="1612BF7F"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1.926.490</w:t>
            </w:r>
          </w:p>
        </w:tc>
        <w:tc>
          <w:tcPr>
            <w:tcW w:w="992" w:type="dxa"/>
            <w:tcBorders>
              <w:top w:val="nil"/>
              <w:left w:val="nil"/>
              <w:bottom w:val="single" w:sz="4" w:space="0" w:color="auto"/>
              <w:right w:val="single" w:sz="4" w:space="0" w:color="auto"/>
            </w:tcBorders>
            <w:shd w:val="clear" w:color="auto" w:fill="auto"/>
            <w:noWrap/>
            <w:hideMark/>
          </w:tcPr>
          <w:p w14:paraId="68492B7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972.853</w:t>
            </w:r>
          </w:p>
        </w:tc>
        <w:tc>
          <w:tcPr>
            <w:tcW w:w="567" w:type="dxa"/>
            <w:tcBorders>
              <w:top w:val="nil"/>
              <w:left w:val="nil"/>
              <w:bottom w:val="single" w:sz="4" w:space="0" w:color="auto"/>
              <w:right w:val="single" w:sz="4" w:space="0" w:color="auto"/>
            </w:tcBorders>
            <w:shd w:val="clear" w:color="auto" w:fill="auto"/>
            <w:noWrap/>
            <w:hideMark/>
          </w:tcPr>
          <w:p w14:paraId="5A16A87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198,02</w:t>
            </w:r>
          </w:p>
        </w:tc>
        <w:tc>
          <w:tcPr>
            <w:tcW w:w="850" w:type="dxa"/>
            <w:tcBorders>
              <w:top w:val="nil"/>
              <w:left w:val="nil"/>
              <w:bottom w:val="single" w:sz="4" w:space="0" w:color="auto"/>
              <w:right w:val="single" w:sz="4" w:space="0" w:color="auto"/>
            </w:tcBorders>
            <w:shd w:val="clear" w:color="auto" w:fill="auto"/>
            <w:noWrap/>
            <w:hideMark/>
          </w:tcPr>
          <w:p w14:paraId="3249A45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1.733.841</w:t>
            </w:r>
          </w:p>
        </w:tc>
        <w:tc>
          <w:tcPr>
            <w:tcW w:w="709" w:type="dxa"/>
            <w:tcBorders>
              <w:top w:val="nil"/>
              <w:left w:val="nil"/>
              <w:bottom w:val="single" w:sz="4" w:space="0" w:color="auto"/>
              <w:right w:val="single" w:sz="8" w:space="0" w:color="auto"/>
            </w:tcBorders>
            <w:shd w:val="clear" w:color="auto" w:fill="auto"/>
            <w:noWrap/>
            <w:hideMark/>
          </w:tcPr>
          <w:p w14:paraId="4E325F8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192.649</w:t>
            </w:r>
          </w:p>
        </w:tc>
        <w:tc>
          <w:tcPr>
            <w:tcW w:w="851" w:type="dxa"/>
            <w:tcBorders>
              <w:top w:val="nil"/>
              <w:left w:val="single" w:sz="4" w:space="0" w:color="auto"/>
              <w:bottom w:val="single" w:sz="4" w:space="0" w:color="auto"/>
              <w:right w:val="single" w:sz="4" w:space="0" w:color="auto"/>
            </w:tcBorders>
            <w:shd w:val="clear" w:color="auto" w:fill="auto"/>
            <w:noWrap/>
            <w:hideMark/>
          </w:tcPr>
          <w:p w14:paraId="7D882B56" w14:textId="112D94D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164.767</w:t>
            </w:r>
          </w:p>
        </w:tc>
      </w:tr>
      <w:tr w:rsidR="005C332D" w:rsidRPr="003F6E51" w14:paraId="627B415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958B02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w:t>
            </w:r>
          </w:p>
        </w:tc>
        <w:tc>
          <w:tcPr>
            <w:tcW w:w="2213" w:type="dxa"/>
            <w:tcBorders>
              <w:top w:val="nil"/>
              <w:left w:val="single" w:sz="8" w:space="0" w:color="auto"/>
              <w:bottom w:val="single" w:sz="4" w:space="0" w:color="auto"/>
              <w:right w:val="single" w:sz="8" w:space="0" w:color="auto"/>
            </w:tcBorders>
            <w:shd w:val="clear" w:color="auto" w:fill="auto"/>
            <w:noWrap/>
            <w:hideMark/>
          </w:tcPr>
          <w:p w14:paraId="5A6A522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BLACE</w:t>
            </w:r>
          </w:p>
        </w:tc>
        <w:tc>
          <w:tcPr>
            <w:tcW w:w="850" w:type="dxa"/>
            <w:tcBorders>
              <w:top w:val="nil"/>
              <w:left w:val="nil"/>
              <w:bottom w:val="single" w:sz="4" w:space="0" w:color="auto"/>
              <w:right w:val="single" w:sz="4" w:space="0" w:color="auto"/>
            </w:tcBorders>
            <w:shd w:val="clear" w:color="000000" w:fill="FFFFFF"/>
            <w:noWrap/>
            <w:hideMark/>
          </w:tcPr>
          <w:p w14:paraId="3BDDC25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10132</w:t>
            </w:r>
          </w:p>
        </w:tc>
        <w:tc>
          <w:tcPr>
            <w:tcW w:w="709" w:type="dxa"/>
            <w:tcBorders>
              <w:top w:val="nil"/>
              <w:left w:val="nil"/>
              <w:bottom w:val="single" w:sz="4" w:space="0" w:color="auto"/>
              <w:right w:val="single" w:sz="8" w:space="0" w:color="auto"/>
            </w:tcBorders>
            <w:shd w:val="clear" w:color="000000" w:fill="FFFFFF"/>
            <w:noWrap/>
            <w:hideMark/>
          </w:tcPr>
          <w:p w14:paraId="45752AD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3AFA67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306</w:t>
            </w:r>
          </w:p>
        </w:tc>
        <w:tc>
          <w:tcPr>
            <w:tcW w:w="709" w:type="dxa"/>
            <w:tcBorders>
              <w:top w:val="nil"/>
              <w:left w:val="nil"/>
              <w:bottom w:val="single" w:sz="4" w:space="0" w:color="auto"/>
              <w:right w:val="single" w:sz="8" w:space="0" w:color="auto"/>
            </w:tcBorders>
            <w:shd w:val="clear" w:color="000000" w:fill="FFFFFF"/>
            <w:noWrap/>
            <w:hideMark/>
          </w:tcPr>
          <w:p w14:paraId="335CE12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850" w:type="dxa"/>
            <w:tcBorders>
              <w:top w:val="nil"/>
              <w:left w:val="nil"/>
              <w:bottom w:val="single" w:sz="4" w:space="0" w:color="auto"/>
              <w:right w:val="single" w:sz="4" w:space="0" w:color="auto"/>
            </w:tcBorders>
            <w:shd w:val="clear" w:color="000000" w:fill="FFFFFF"/>
            <w:noWrap/>
            <w:hideMark/>
          </w:tcPr>
          <w:p w14:paraId="0D37A5F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AE698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6B7CC5B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CB9201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551212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74,46</w:t>
            </w:r>
          </w:p>
        </w:tc>
        <w:tc>
          <w:tcPr>
            <w:tcW w:w="851" w:type="dxa"/>
            <w:tcBorders>
              <w:top w:val="nil"/>
              <w:left w:val="nil"/>
              <w:bottom w:val="single" w:sz="4" w:space="0" w:color="auto"/>
              <w:right w:val="single" w:sz="4" w:space="0" w:color="auto"/>
            </w:tcBorders>
            <w:shd w:val="clear" w:color="auto" w:fill="auto"/>
            <w:noWrap/>
            <w:hideMark/>
          </w:tcPr>
          <w:p w14:paraId="3162CF9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0,0055</w:t>
            </w:r>
          </w:p>
        </w:tc>
        <w:tc>
          <w:tcPr>
            <w:tcW w:w="1134" w:type="dxa"/>
            <w:tcBorders>
              <w:top w:val="nil"/>
              <w:left w:val="nil"/>
              <w:bottom w:val="single" w:sz="4" w:space="0" w:color="auto"/>
              <w:right w:val="single" w:sz="4" w:space="0" w:color="auto"/>
            </w:tcBorders>
            <w:shd w:val="clear" w:color="000000" w:fill="C6E0B4"/>
            <w:noWrap/>
            <w:hideMark/>
          </w:tcPr>
          <w:p w14:paraId="36C2807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1.485.328</w:t>
            </w:r>
          </w:p>
        </w:tc>
        <w:tc>
          <w:tcPr>
            <w:tcW w:w="992" w:type="dxa"/>
            <w:tcBorders>
              <w:top w:val="nil"/>
              <w:left w:val="nil"/>
              <w:bottom w:val="single" w:sz="4" w:space="0" w:color="auto"/>
              <w:right w:val="single" w:sz="4" w:space="0" w:color="auto"/>
            </w:tcBorders>
            <w:shd w:val="clear" w:color="auto" w:fill="auto"/>
            <w:noWrap/>
            <w:hideMark/>
          </w:tcPr>
          <w:p w14:paraId="5EC6257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126.188</w:t>
            </w:r>
          </w:p>
        </w:tc>
        <w:tc>
          <w:tcPr>
            <w:tcW w:w="567" w:type="dxa"/>
            <w:tcBorders>
              <w:top w:val="nil"/>
              <w:left w:val="nil"/>
              <w:bottom w:val="single" w:sz="4" w:space="0" w:color="auto"/>
              <w:right w:val="single" w:sz="4" w:space="0" w:color="auto"/>
            </w:tcBorders>
            <w:shd w:val="clear" w:color="auto" w:fill="auto"/>
            <w:noWrap/>
            <w:hideMark/>
          </w:tcPr>
          <w:p w14:paraId="729781A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1.177,08</w:t>
            </w:r>
          </w:p>
        </w:tc>
        <w:tc>
          <w:tcPr>
            <w:tcW w:w="850" w:type="dxa"/>
            <w:tcBorders>
              <w:top w:val="nil"/>
              <w:left w:val="nil"/>
              <w:bottom w:val="single" w:sz="4" w:space="0" w:color="auto"/>
              <w:right w:val="single" w:sz="4" w:space="0" w:color="auto"/>
            </w:tcBorders>
            <w:shd w:val="clear" w:color="auto" w:fill="auto"/>
            <w:noWrap/>
            <w:hideMark/>
          </w:tcPr>
          <w:p w14:paraId="3956759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1.336.795</w:t>
            </w:r>
          </w:p>
        </w:tc>
        <w:tc>
          <w:tcPr>
            <w:tcW w:w="709" w:type="dxa"/>
            <w:tcBorders>
              <w:top w:val="nil"/>
              <w:left w:val="nil"/>
              <w:bottom w:val="single" w:sz="4" w:space="0" w:color="auto"/>
              <w:right w:val="single" w:sz="8" w:space="0" w:color="auto"/>
            </w:tcBorders>
            <w:shd w:val="clear" w:color="auto" w:fill="auto"/>
            <w:noWrap/>
            <w:hideMark/>
          </w:tcPr>
          <w:p w14:paraId="44EA982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148.533</w:t>
            </w:r>
          </w:p>
        </w:tc>
        <w:tc>
          <w:tcPr>
            <w:tcW w:w="851" w:type="dxa"/>
            <w:tcBorders>
              <w:top w:val="nil"/>
              <w:left w:val="single" w:sz="4" w:space="0" w:color="auto"/>
              <w:bottom w:val="single" w:sz="4" w:space="0" w:color="auto"/>
              <w:right w:val="single" w:sz="4" w:space="0" w:color="auto"/>
            </w:tcBorders>
            <w:shd w:val="clear" w:color="auto" w:fill="auto"/>
            <w:noWrap/>
            <w:hideMark/>
          </w:tcPr>
          <w:p w14:paraId="76DB9F4D" w14:textId="486BD215"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131.938</w:t>
            </w:r>
          </w:p>
        </w:tc>
      </w:tr>
      <w:tr w:rsidR="005C332D" w:rsidRPr="003F6E51" w14:paraId="266780D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D865D8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w:t>
            </w:r>
          </w:p>
        </w:tc>
        <w:tc>
          <w:tcPr>
            <w:tcW w:w="2213" w:type="dxa"/>
            <w:tcBorders>
              <w:top w:val="nil"/>
              <w:left w:val="single" w:sz="8" w:space="0" w:color="auto"/>
              <w:bottom w:val="single" w:sz="4" w:space="0" w:color="auto"/>
              <w:right w:val="single" w:sz="8" w:space="0" w:color="auto"/>
            </w:tcBorders>
            <w:shd w:val="clear" w:color="auto" w:fill="auto"/>
            <w:noWrap/>
            <w:hideMark/>
          </w:tcPr>
          <w:p w14:paraId="16BEE35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BOGATIĆ</w:t>
            </w:r>
          </w:p>
        </w:tc>
        <w:tc>
          <w:tcPr>
            <w:tcW w:w="850" w:type="dxa"/>
            <w:tcBorders>
              <w:top w:val="nil"/>
              <w:left w:val="nil"/>
              <w:bottom w:val="single" w:sz="4" w:space="0" w:color="auto"/>
              <w:right w:val="single" w:sz="4" w:space="0" w:color="auto"/>
            </w:tcBorders>
            <w:shd w:val="clear" w:color="000000" w:fill="FFFFFF"/>
            <w:noWrap/>
            <w:hideMark/>
          </w:tcPr>
          <w:p w14:paraId="3424CF5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26024</w:t>
            </w:r>
          </w:p>
        </w:tc>
        <w:tc>
          <w:tcPr>
            <w:tcW w:w="709" w:type="dxa"/>
            <w:tcBorders>
              <w:top w:val="nil"/>
              <w:left w:val="nil"/>
              <w:bottom w:val="single" w:sz="4" w:space="0" w:color="auto"/>
              <w:right w:val="single" w:sz="8" w:space="0" w:color="auto"/>
            </w:tcBorders>
            <w:shd w:val="clear" w:color="000000" w:fill="FFFFFF"/>
            <w:noWrap/>
            <w:hideMark/>
          </w:tcPr>
          <w:p w14:paraId="0332CF5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0,55</w:t>
            </w:r>
          </w:p>
        </w:tc>
        <w:tc>
          <w:tcPr>
            <w:tcW w:w="567" w:type="dxa"/>
            <w:tcBorders>
              <w:top w:val="nil"/>
              <w:left w:val="nil"/>
              <w:bottom w:val="single" w:sz="4" w:space="0" w:color="auto"/>
              <w:right w:val="single" w:sz="4" w:space="0" w:color="auto"/>
            </w:tcBorders>
            <w:shd w:val="clear" w:color="000000" w:fill="FFFFFF"/>
            <w:noWrap/>
            <w:hideMark/>
          </w:tcPr>
          <w:p w14:paraId="4F48FF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384</w:t>
            </w:r>
          </w:p>
        </w:tc>
        <w:tc>
          <w:tcPr>
            <w:tcW w:w="709" w:type="dxa"/>
            <w:tcBorders>
              <w:top w:val="nil"/>
              <w:left w:val="nil"/>
              <w:bottom w:val="single" w:sz="4" w:space="0" w:color="auto"/>
              <w:right w:val="single" w:sz="8" w:space="0" w:color="auto"/>
            </w:tcBorders>
            <w:shd w:val="clear" w:color="000000" w:fill="FFFFFF"/>
            <w:noWrap/>
            <w:hideMark/>
          </w:tcPr>
          <w:p w14:paraId="3E8ACC2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0,72</w:t>
            </w:r>
          </w:p>
        </w:tc>
        <w:tc>
          <w:tcPr>
            <w:tcW w:w="850" w:type="dxa"/>
            <w:tcBorders>
              <w:top w:val="nil"/>
              <w:left w:val="nil"/>
              <w:bottom w:val="single" w:sz="4" w:space="0" w:color="auto"/>
              <w:right w:val="single" w:sz="4" w:space="0" w:color="auto"/>
            </w:tcBorders>
            <w:shd w:val="clear" w:color="000000" w:fill="FFFFFF"/>
            <w:noWrap/>
            <w:hideMark/>
          </w:tcPr>
          <w:p w14:paraId="6DC6826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38596E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6FA6AD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FE194F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7C1DBA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77,82</w:t>
            </w:r>
          </w:p>
        </w:tc>
        <w:tc>
          <w:tcPr>
            <w:tcW w:w="851" w:type="dxa"/>
            <w:tcBorders>
              <w:top w:val="nil"/>
              <w:left w:val="nil"/>
              <w:bottom w:val="single" w:sz="4" w:space="0" w:color="auto"/>
              <w:right w:val="single" w:sz="4" w:space="0" w:color="auto"/>
            </w:tcBorders>
            <w:shd w:val="clear" w:color="auto" w:fill="auto"/>
            <w:noWrap/>
            <w:hideMark/>
          </w:tcPr>
          <w:p w14:paraId="1B932A5A"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77CC923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1.552.455</w:t>
            </w:r>
          </w:p>
        </w:tc>
        <w:tc>
          <w:tcPr>
            <w:tcW w:w="992" w:type="dxa"/>
            <w:tcBorders>
              <w:top w:val="nil"/>
              <w:left w:val="nil"/>
              <w:bottom w:val="single" w:sz="4" w:space="0" w:color="auto"/>
              <w:right w:val="single" w:sz="4" w:space="0" w:color="auto"/>
            </w:tcBorders>
            <w:shd w:val="clear" w:color="auto" w:fill="auto"/>
            <w:noWrap/>
            <w:hideMark/>
          </w:tcPr>
          <w:p w14:paraId="7E131C4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759.380</w:t>
            </w:r>
          </w:p>
        </w:tc>
        <w:tc>
          <w:tcPr>
            <w:tcW w:w="567" w:type="dxa"/>
            <w:tcBorders>
              <w:top w:val="nil"/>
              <w:left w:val="nil"/>
              <w:bottom w:val="single" w:sz="4" w:space="0" w:color="auto"/>
              <w:right w:val="single" w:sz="4" w:space="0" w:color="auto"/>
            </w:tcBorders>
            <w:shd w:val="clear" w:color="auto" w:fill="auto"/>
            <w:noWrap/>
            <w:hideMark/>
          </w:tcPr>
          <w:p w14:paraId="3E31B6A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204,44</w:t>
            </w:r>
          </w:p>
        </w:tc>
        <w:tc>
          <w:tcPr>
            <w:tcW w:w="850" w:type="dxa"/>
            <w:tcBorders>
              <w:top w:val="nil"/>
              <w:left w:val="nil"/>
              <w:bottom w:val="single" w:sz="4" w:space="0" w:color="auto"/>
              <w:right w:val="single" w:sz="4" w:space="0" w:color="auto"/>
            </w:tcBorders>
            <w:shd w:val="clear" w:color="auto" w:fill="auto"/>
            <w:noWrap/>
            <w:hideMark/>
          </w:tcPr>
          <w:p w14:paraId="1437ED5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1.397.210</w:t>
            </w:r>
          </w:p>
        </w:tc>
        <w:tc>
          <w:tcPr>
            <w:tcW w:w="709" w:type="dxa"/>
            <w:tcBorders>
              <w:top w:val="nil"/>
              <w:left w:val="nil"/>
              <w:bottom w:val="single" w:sz="4" w:space="0" w:color="auto"/>
              <w:right w:val="single" w:sz="8" w:space="0" w:color="auto"/>
            </w:tcBorders>
            <w:shd w:val="clear" w:color="auto" w:fill="auto"/>
            <w:noWrap/>
            <w:hideMark/>
          </w:tcPr>
          <w:p w14:paraId="40982A6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155.246</w:t>
            </w:r>
          </w:p>
        </w:tc>
        <w:tc>
          <w:tcPr>
            <w:tcW w:w="851" w:type="dxa"/>
            <w:tcBorders>
              <w:top w:val="nil"/>
              <w:left w:val="single" w:sz="4" w:space="0" w:color="auto"/>
              <w:bottom w:val="single" w:sz="4" w:space="0" w:color="auto"/>
              <w:right w:val="single" w:sz="4" w:space="0" w:color="auto"/>
            </w:tcBorders>
            <w:shd w:val="clear" w:color="auto" w:fill="auto"/>
            <w:noWrap/>
            <w:hideMark/>
          </w:tcPr>
          <w:p w14:paraId="28A03D97" w14:textId="6B6756C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53.689</w:t>
            </w:r>
          </w:p>
        </w:tc>
      </w:tr>
      <w:tr w:rsidR="005C332D" w:rsidRPr="003F6E51" w14:paraId="06AE44C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BC7117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4EF6267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BOJNIK</w:t>
            </w:r>
          </w:p>
        </w:tc>
        <w:tc>
          <w:tcPr>
            <w:tcW w:w="850" w:type="dxa"/>
            <w:tcBorders>
              <w:top w:val="nil"/>
              <w:left w:val="nil"/>
              <w:bottom w:val="single" w:sz="4" w:space="0" w:color="auto"/>
              <w:right w:val="single" w:sz="4" w:space="0" w:color="auto"/>
            </w:tcBorders>
            <w:shd w:val="clear" w:color="000000" w:fill="FFFFFF"/>
            <w:noWrap/>
            <w:hideMark/>
          </w:tcPr>
          <w:p w14:paraId="542ECF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9867</w:t>
            </w:r>
          </w:p>
        </w:tc>
        <w:tc>
          <w:tcPr>
            <w:tcW w:w="709" w:type="dxa"/>
            <w:tcBorders>
              <w:top w:val="nil"/>
              <w:left w:val="nil"/>
              <w:bottom w:val="single" w:sz="4" w:space="0" w:color="auto"/>
              <w:right w:val="single" w:sz="8" w:space="0" w:color="auto"/>
            </w:tcBorders>
            <w:shd w:val="clear" w:color="000000" w:fill="FFFFFF"/>
            <w:noWrap/>
            <w:hideMark/>
          </w:tcPr>
          <w:p w14:paraId="22E65E7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7AC1B14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264</w:t>
            </w:r>
          </w:p>
        </w:tc>
        <w:tc>
          <w:tcPr>
            <w:tcW w:w="709" w:type="dxa"/>
            <w:tcBorders>
              <w:top w:val="nil"/>
              <w:left w:val="nil"/>
              <w:bottom w:val="single" w:sz="4" w:space="0" w:color="auto"/>
              <w:right w:val="single" w:sz="8" w:space="0" w:color="auto"/>
            </w:tcBorders>
            <w:shd w:val="clear" w:color="000000" w:fill="FFFFFF"/>
            <w:noWrap/>
            <w:hideMark/>
          </w:tcPr>
          <w:p w14:paraId="73BB9CC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850" w:type="dxa"/>
            <w:tcBorders>
              <w:top w:val="nil"/>
              <w:left w:val="nil"/>
              <w:bottom w:val="single" w:sz="4" w:space="0" w:color="auto"/>
              <w:right w:val="single" w:sz="4" w:space="0" w:color="auto"/>
            </w:tcBorders>
            <w:shd w:val="clear" w:color="000000" w:fill="FFFFFF"/>
            <w:noWrap/>
            <w:hideMark/>
          </w:tcPr>
          <w:p w14:paraId="7F7B6FC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3D7B7F7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45D5697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73C02C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44257A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84,62</w:t>
            </w:r>
          </w:p>
        </w:tc>
        <w:tc>
          <w:tcPr>
            <w:tcW w:w="851" w:type="dxa"/>
            <w:tcBorders>
              <w:top w:val="nil"/>
              <w:left w:val="nil"/>
              <w:bottom w:val="single" w:sz="4" w:space="0" w:color="auto"/>
              <w:right w:val="single" w:sz="4" w:space="0" w:color="auto"/>
            </w:tcBorders>
            <w:shd w:val="clear" w:color="auto" w:fill="auto"/>
            <w:noWrap/>
            <w:hideMark/>
          </w:tcPr>
          <w:p w14:paraId="40290AE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0,0062</w:t>
            </w:r>
          </w:p>
        </w:tc>
        <w:tc>
          <w:tcPr>
            <w:tcW w:w="1134" w:type="dxa"/>
            <w:tcBorders>
              <w:top w:val="nil"/>
              <w:left w:val="nil"/>
              <w:bottom w:val="single" w:sz="4" w:space="0" w:color="auto"/>
              <w:right w:val="single" w:sz="4" w:space="0" w:color="auto"/>
            </w:tcBorders>
            <w:shd w:val="clear" w:color="000000" w:fill="C6E0B4"/>
            <w:noWrap/>
            <w:hideMark/>
          </w:tcPr>
          <w:p w14:paraId="01939E4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1.687.950</w:t>
            </w:r>
          </w:p>
        </w:tc>
        <w:tc>
          <w:tcPr>
            <w:tcW w:w="992" w:type="dxa"/>
            <w:tcBorders>
              <w:top w:val="nil"/>
              <w:left w:val="nil"/>
              <w:bottom w:val="single" w:sz="4" w:space="0" w:color="auto"/>
              <w:right w:val="single" w:sz="4" w:space="0" w:color="auto"/>
            </w:tcBorders>
            <w:shd w:val="clear" w:color="auto" w:fill="auto"/>
            <w:noWrap/>
            <w:hideMark/>
          </w:tcPr>
          <w:p w14:paraId="172BCE4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960.781</w:t>
            </w:r>
          </w:p>
        </w:tc>
        <w:tc>
          <w:tcPr>
            <w:tcW w:w="567" w:type="dxa"/>
            <w:tcBorders>
              <w:top w:val="nil"/>
              <w:left w:val="nil"/>
              <w:bottom w:val="single" w:sz="4" w:space="0" w:color="auto"/>
              <w:right w:val="single" w:sz="4" w:space="0" w:color="auto"/>
            </w:tcBorders>
            <w:shd w:val="clear" w:color="auto" w:fill="auto"/>
            <w:noWrap/>
            <w:hideMark/>
          </w:tcPr>
          <w:p w14:paraId="0695546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175,69</w:t>
            </w:r>
          </w:p>
        </w:tc>
        <w:tc>
          <w:tcPr>
            <w:tcW w:w="850" w:type="dxa"/>
            <w:tcBorders>
              <w:top w:val="nil"/>
              <w:left w:val="nil"/>
              <w:bottom w:val="single" w:sz="4" w:space="0" w:color="auto"/>
              <w:right w:val="single" w:sz="4" w:space="0" w:color="auto"/>
            </w:tcBorders>
            <w:shd w:val="clear" w:color="auto" w:fill="auto"/>
            <w:noWrap/>
            <w:hideMark/>
          </w:tcPr>
          <w:p w14:paraId="29D309B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1.519.155</w:t>
            </w:r>
          </w:p>
        </w:tc>
        <w:tc>
          <w:tcPr>
            <w:tcW w:w="709" w:type="dxa"/>
            <w:tcBorders>
              <w:top w:val="nil"/>
              <w:left w:val="nil"/>
              <w:bottom w:val="single" w:sz="4" w:space="0" w:color="auto"/>
              <w:right w:val="single" w:sz="8" w:space="0" w:color="auto"/>
            </w:tcBorders>
            <w:shd w:val="clear" w:color="auto" w:fill="auto"/>
            <w:noWrap/>
            <w:hideMark/>
          </w:tcPr>
          <w:p w14:paraId="2029302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168.795</w:t>
            </w:r>
          </w:p>
        </w:tc>
        <w:tc>
          <w:tcPr>
            <w:tcW w:w="851" w:type="dxa"/>
            <w:tcBorders>
              <w:top w:val="nil"/>
              <w:left w:val="single" w:sz="4" w:space="0" w:color="auto"/>
              <w:bottom w:val="single" w:sz="4" w:space="0" w:color="auto"/>
              <w:right w:val="single" w:sz="4" w:space="0" w:color="auto"/>
            </w:tcBorders>
            <w:shd w:val="clear" w:color="auto" w:fill="auto"/>
            <w:noWrap/>
            <w:hideMark/>
          </w:tcPr>
          <w:p w14:paraId="67280E02" w14:textId="40A874A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153.963</w:t>
            </w:r>
          </w:p>
        </w:tc>
      </w:tr>
      <w:tr w:rsidR="005C332D" w:rsidRPr="003F6E51" w14:paraId="1A966F4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6911A3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w:t>
            </w:r>
          </w:p>
        </w:tc>
        <w:tc>
          <w:tcPr>
            <w:tcW w:w="2213" w:type="dxa"/>
            <w:tcBorders>
              <w:top w:val="nil"/>
              <w:left w:val="single" w:sz="8" w:space="0" w:color="auto"/>
              <w:bottom w:val="single" w:sz="4" w:space="0" w:color="auto"/>
              <w:right w:val="single" w:sz="8" w:space="0" w:color="auto"/>
            </w:tcBorders>
            <w:shd w:val="clear" w:color="auto" w:fill="auto"/>
            <w:noWrap/>
            <w:hideMark/>
          </w:tcPr>
          <w:p w14:paraId="67A7E2A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BOLJEVAC</w:t>
            </w:r>
          </w:p>
        </w:tc>
        <w:tc>
          <w:tcPr>
            <w:tcW w:w="850" w:type="dxa"/>
            <w:tcBorders>
              <w:top w:val="nil"/>
              <w:left w:val="nil"/>
              <w:bottom w:val="single" w:sz="4" w:space="0" w:color="auto"/>
              <w:right w:val="single" w:sz="4" w:space="0" w:color="auto"/>
            </w:tcBorders>
            <w:shd w:val="clear" w:color="000000" w:fill="FFFFFF"/>
            <w:noWrap/>
            <w:hideMark/>
          </w:tcPr>
          <w:p w14:paraId="2EB0359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10950</w:t>
            </w:r>
          </w:p>
        </w:tc>
        <w:tc>
          <w:tcPr>
            <w:tcW w:w="709" w:type="dxa"/>
            <w:tcBorders>
              <w:top w:val="nil"/>
              <w:left w:val="nil"/>
              <w:bottom w:val="single" w:sz="4" w:space="0" w:color="auto"/>
              <w:right w:val="single" w:sz="8" w:space="0" w:color="auto"/>
            </w:tcBorders>
            <w:shd w:val="clear" w:color="000000" w:fill="FFFFFF"/>
            <w:noWrap/>
            <w:hideMark/>
          </w:tcPr>
          <w:p w14:paraId="39045F1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77C08D2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828</w:t>
            </w:r>
          </w:p>
        </w:tc>
        <w:tc>
          <w:tcPr>
            <w:tcW w:w="709" w:type="dxa"/>
            <w:tcBorders>
              <w:top w:val="nil"/>
              <w:left w:val="nil"/>
              <w:bottom w:val="single" w:sz="4" w:space="0" w:color="auto"/>
              <w:right w:val="single" w:sz="8" w:space="0" w:color="auto"/>
            </w:tcBorders>
            <w:shd w:val="clear" w:color="000000" w:fill="FFFFFF"/>
            <w:noWrap/>
            <w:hideMark/>
          </w:tcPr>
          <w:p w14:paraId="30F514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1,55</w:t>
            </w:r>
          </w:p>
        </w:tc>
        <w:tc>
          <w:tcPr>
            <w:tcW w:w="850" w:type="dxa"/>
            <w:tcBorders>
              <w:top w:val="nil"/>
              <w:left w:val="nil"/>
              <w:bottom w:val="single" w:sz="4" w:space="0" w:color="auto"/>
              <w:right w:val="single" w:sz="4" w:space="0" w:color="auto"/>
            </w:tcBorders>
            <w:shd w:val="clear" w:color="000000" w:fill="FFFFFF"/>
            <w:noWrap/>
            <w:hideMark/>
          </w:tcPr>
          <w:p w14:paraId="452ABB8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136934D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461BD25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w:t>
            </w:r>
          </w:p>
        </w:tc>
        <w:tc>
          <w:tcPr>
            <w:tcW w:w="708" w:type="dxa"/>
            <w:tcBorders>
              <w:top w:val="nil"/>
              <w:left w:val="nil"/>
              <w:bottom w:val="single" w:sz="4" w:space="0" w:color="auto"/>
              <w:right w:val="nil"/>
            </w:tcBorders>
            <w:shd w:val="clear" w:color="auto" w:fill="auto"/>
            <w:noWrap/>
            <w:hideMark/>
          </w:tcPr>
          <w:p w14:paraId="34608DE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0,76</w:t>
            </w:r>
          </w:p>
        </w:tc>
        <w:tc>
          <w:tcPr>
            <w:tcW w:w="709" w:type="dxa"/>
            <w:tcBorders>
              <w:top w:val="single" w:sz="4" w:space="0" w:color="auto"/>
              <w:left w:val="single" w:sz="8" w:space="0" w:color="auto"/>
              <w:bottom w:val="nil"/>
              <w:right w:val="single" w:sz="4" w:space="0" w:color="auto"/>
            </w:tcBorders>
            <w:shd w:val="clear" w:color="auto" w:fill="auto"/>
            <w:noWrap/>
            <w:hideMark/>
          </w:tcPr>
          <w:p w14:paraId="7731736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86,44</w:t>
            </w:r>
          </w:p>
        </w:tc>
        <w:tc>
          <w:tcPr>
            <w:tcW w:w="851" w:type="dxa"/>
            <w:tcBorders>
              <w:top w:val="nil"/>
              <w:left w:val="nil"/>
              <w:bottom w:val="single" w:sz="4" w:space="0" w:color="auto"/>
              <w:right w:val="single" w:sz="4" w:space="0" w:color="auto"/>
            </w:tcBorders>
            <w:shd w:val="clear" w:color="auto" w:fill="auto"/>
            <w:noWrap/>
            <w:hideMark/>
          </w:tcPr>
          <w:p w14:paraId="3F25C42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0,0064</w:t>
            </w:r>
          </w:p>
        </w:tc>
        <w:tc>
          <w:tcPr>
            <w:tcW w:w="1134" w:type="dxa"/>
            <w:tcBorders>
              <w:top w:val="nil"/>
              <w:left w:val="nil"/>
              <w:bottom w:val="single" w:sz="4" w:space="0" w:color="auto"/>
              <w:right w:val="single" w:sz="4" w:space="0" w:color="auto"/>
            </w:tcBorders>
            <w:shd w:val="clear" w:color="000000" w:fill="C6E0B4"/>
            <w:noWrap/>
            <w:hideMark/>
          </w:tcPr>
          <w:p w14:paraId="26E32F2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1.724.417</w:t>
            </w:r>
          </w:p>
        </w:tc>
        <w:tc>
          <w:tcPr>
            <w:tcW w:w="992" w:type="dxa"/>
            <w:tcBorders>
              <w:top w:val="nil"/>
              <w:left w:val="nil"/>
              <w:bottom w:val="single" w:sz="4" w:space="0" w:color="auto"/>
              <w:right w:val="single" w:sz="4" w:space="0" w:color="auto"/>
            </w:tcBorders>
            <w:shd w:val="clear" w:color="auto" w:fill="auto"/>
            <w:noWrap/>
            <w:hideMark/>
          </w:tcPr>
          <w:p w14:paraId="74942E2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902.851</w:t>
            </w:r>
          </w:p>
        </w:tc>
        <w:tc>
          <w:tcPr>
            <w:tcW w:w="567" w:type="dxa"/>
            <w:tcBorders>
              <w:top w:val="nil"/>
              <w:left w:val="nil"/>
              <w:bottom w:val="single" w:sz="4" w:space="0" w:color="auto"/>
              <w:right w:val="single" w:sz="4" w:space="0" w:color="auto"/>
            </w:tcBorders>
            <w:shd w:val="clear" w:color="auto" w:fill="auto"/>
            <w:noWrap/>
            <w:hideMark/>
          </w:tcPr>
          <w:p w14:paraId="73BC53B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191,00</w:t>
            </w:r>
          </w:p>
        </w:tc>
        <w:tc>
          <w:tcPr>
            <w:tcW w:w="850" w:type="dxa"/>
            <w:tcBorders>
              <w:top w:val="nil"/>
              <w:left w:val="nil"/>
              <w:bottom w:val="single" w:sz="4" w:space="0" w:color="auto"/>
              <w:right w:val="single" w:sz="4" w:space="0" w:color="auto"/>
            </w:tcBorders>
            <w:shd w:val="clear" w:color="auto" w:fill="auto"/>
            <w:noWrap/>
            <w:hideMark/>
          </w:tcPr>
          <w:p w14:paraId="1AE50F9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1.551.975</w:t>
            </w:r>
          </w:p>
        </w:tc>
        <w:tc>
          <w:tcPr>
            <w:tcW w:w="709" w:type="dxa"/>
            <w:tcBorders>
              <w:top w:val="nil"/>
              <w:left w:val="nil"/>
              <w:bottom w:val="single" w:sz="4" w:space="0" w:color="auto"/>
              <w:right w:val="single" w:sz="8" w:space="0" w:color="auto"/>
            </w:tcBorders>
            <w:shd w:val="clear" w:color="auto" w:fill="auto"/>
            <w:noWrap/>
            <w:hideMark/>
          </w:tcPr>
          <w:p w14:paraId="6094DC6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172.442</w:t>
            </w:r>
          </w:p>
        </w:tc>
        <w:tc>
          <w:tcPr>
            <w:tcW w:w="851" w:type="dxa"/>
            <w:tcBorders>
              <w:top w:val="nil"/>
              <w:left w:val="single" w:sz="4" w:space="0" w:color="auto"/>
              <w:bottom w:val="single" w:sz="4" w:space="0" w:color="auto"/>
              <w:right w:val="single" w:sz="4" w:space="0" w:color="auto"/>
            </w:tcBorders>
            <w:shd w:val="clear" w:color="auto" w:fill="auto"/>
            <w:noWrap/>
            <w:hideMark/>
          </w:tcPr>
          <w:p w14:paraId="49D8BB4E" w14:textId="250F313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141.733</w:t>
            </w:r>
          </w:p>
        </w:tc>
      </w:tr>
      <w:tr w:rsidR="005C332D" w:rsidRPr="003F6E51" w14:paraId="452ED05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838161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w:t>
            </w:r>
          </w:p>
        </w:tc>
        <w:tc>
          <w:tcPr>
            <w:tcW w:w="2213" w:type="dxa"/>
            <w:tcBorders>
              <w:top w:val="nil"/>
              <w:left w:val="single" w:sz="8" w:space="0" w:color="auto"/>
              <w:bottom w:val="single" w:sz="4" w:space="0" w:color="auto"/>
              <w:right w:val="single" w:sz="8" w:space="0" w:color="auto"/>
            </w:tcBorders>
            <w:shd w:val="clear" w:color="auto" w:fill="auto"/>
            <w:noWrap/>
            <w:hideMark/>
          </w:tcPr>
          <w:p w14:paraId="3AB450A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BOR</w:t>
            </w:r>
          </w:p>
        </w:tc>
        <w:tc>
          <w:tcPr>
            <w:tcW w:w="850" w:type="dxa"/>
            <w:tcBorders>
              <w:top w:val="nil"/>
              <w:left w:val="nil"/>
              <w:bottom w:val="single" w:sz="4" w:space="0" w:color="auto"/>
              <w:right w:val="single" w:sz="4" w:space="0" w:color="auto"/>
            </w:tcBorders>
            <w:shd w:val="clear" w:color="000000" w:fill="FFFFFF"/>
            <w:noWrap/>
            <w:hideMark/>
          </w:tcPr>
          <w:p w14:paraId="328666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43983</w:t>
            </w:r>
          </w:p>
        </w:tc>
        <w:tc>
          <w:tcPr>
            <w:tcW w:w="709" w:type="dxa"/>
            <w:tcBorders>
              <w:top w:val="nil"/>
              <w:left w:val="nil"/>
              <w:bottom w:val="single" w:sz="4" w:space="0" w:color="auto"/>
              <w:right w:val="single" w:sz="8" w:space="0" w:color="auto"/>
            </w:tcBorders>
            <w:shd w:val="clear" w:color="000000" w:fill="FFFFFF"/>
            <w:noWrap/>
            <w:hideMark/>
          </w:tcPr>
          <w:p w14:paraId="691F4AB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0,92</w:t>
            </w:r>
          </w:p>
        </w:tc>
        <w:tc>
          <w:tcPr>
            <w:tcW w:w="567" w:type="dxa"/>
            <w:tcBorders>
              <w:top w:val="nil"/>
              <w:left w:val="nil"/>
              <w:bottom w:val="single" w:sz="4" w:space="0" w:color="auto"/>
              <w:right w:val="single" w:sz="4" w:space="0" w:color="auto"/>
            </w:tcBorders>
            <w:shd w:val="clear" w:color="000000" w:fill="FFFFFF"/>
            <w:noWrap/>
            <w:hideMark/>
          </w:tcPr>
          <w:p w14:paraId="7082B00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856</w:t>
            </w:r>
          </w:p>
        </w:tc>
        <w:tc>
          <w:tcPr>
            <w:tcW w:w="709" w:type="dxa"/>
            <w:tcBorders>
              <w:top w:val="nil"/>
              <w:left w:val="nil"/>
              <w:bottom w:val="single" w:sz="4" w:space="0" w:color="auto"/>
              <w:right w:val="single" w:sz="8" w:space="0" w:color="auto"/>
            </w:tcBorders>
            <w:shd w:val="clear" w:color="000000" w:fill="FFFFFF"/>
            <w:noWrap/>
            <w:hideMark/>
          </w:tcPr>
          <w:p w14:paraId="60A7594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1,60</w:t>
            </w:r>
          </w:p>
        </w:tc>
        <w:tc>
          <w:tcPr>
            <w:tcW w:w="850" w:type="dxa"/>
            <w:tcBorders>
              <w:top w:val="nil"/>
              <w:left w:val="nil"/>
              <w:bottom w:val="single" w:sz="4" w:space="0" w:color="auto"/>
              <w:right w:val="single" w:sz="4" w:space="0" w:color="auto"/>
            </w:tcBorders>
            <w:shd w:val="clear" w:color="000000" w:fill="FFFFFF"/>
            <w:noWrap/>
            <w:hideMark/>
          </w:tcPr>
          <w:p w14:paraId="0F17D75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20AC544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0E2A32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03EB20B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6E51C75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90,18</w:t>
            </w:r>
          </w:p>
        </w:tc>
        <w:tc>
          <w:tcPr>
            <w:tcW w:w="851" w:type="dxa"/>
            <w:tcBorders>
              <w:top w:val="nil"/>
              <w:left w:val="nil"/>
              <w:bottom w:val="single" w:sz="4" w:space="0" w:color="auto"/>
              <w:right w:val="single" w:sz="4" w:space="0" w:color="auto"/>
            </w:tcBorders>
            <w:shd w:val="clear" w:color="auto" w:fill="auto"/>
            <w:noWrap/>
            <w:hideMark/>
          </w:tcPr>
          <w:p w14:paraId="525958C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0,0066</w:t>
            </w:r>
          </w:p>
        </w:tc>
        <w:tc>
          <w:tcPr>
            <w:tcW w:w="1134" w:type="dxa"/>
            <w:tcBorders>
              <w:top w:val="nil"/>
              <w:left w:val="nil"/>
              <w:bottom w:val="single" w:sz="4" w:space="0" w:color="auto"/>
              <w:right w:val="single" w:sz="4" w:space="0" w:color="auto"/>
            </w:tcBorders>
            <w:shd w:val="clear" w:color="000000" w:fill="C6E0B4"/>
            <w:noWrap/>
            <w:hideMark/>
          </w:tcPr>
          <w:p w14:paraId="48AFB40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1.799.005</w:t>
            </w:r>
          </w:p>
        </w:tc>
        <w:tc>
          <w:tcPr>
            <w:tcW w:w="992" w:type="dxa"/>
            <w:tcBorders>
              <w:top w:val="nil"/>
              <w:left w:val="nil"/>
              <w:bottom w:val="single" w:sz="4" w:space="0" w:color="auto"/>
              <w:right w:val="single" w:sz="4" w:space="0" w:color="auto"/>
            </w:tcBorders>
            <w:shd w:val="clear" w:color="auto" w:fill="auto"/>
            <w:noWrap/>
            <w:hideMark/>
          </w:tcPr>
          <w:p w14:paraId="1799E29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2.914.354</w:t>
            </w:r>
          </w:p>
        </w:tc>
        <w:tc>
          <w:tcPr>
            <w:tcW w:w="567" w:type="dxa"/>
            <w:tcBorders>
              <w:top w:val="nil"/>
              <w:left w:val="nil"/>
              <w:bottom w:val="single" w:sz="4" w:space="0" w:color="auto"/>
              <w:right w:val="single" w:sz="4" w:space="0" w:color="auto"/>
            </w:tcBorders>
            <w:shd w:val="clear" w:color="auto" w:fill="auto"/>
            <w:noWrap/>
            <w:hideMark/>
          </w:tcPr>
          <w:p w14:paraId="0597366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61,73</w:t>
            </w:r>
          </w:p>
        </w:tc>
        <w:tc>
          <w:tcPr>
            <w:tcW w:w="850" w:type="dxa"/>
            <w:tcBorders>
              <w:top w:val="nil"/>
              <w:left w:val="nil"/>
              <w:bottom w:val="single" w:sz="4" w:space="0" w:color="auto"/>
              <w:right w:val="single" w:sz="4" w:space="0" w:color="auto"/>
            </w:tcBorders>
            <w:shd w:val="clear" w:color="auto" w:fill="auto"/>
            <w:noWrap/>
            <w:hideMark/>
          </w:tcPr>
          <w:p w14:paraId="150E6B4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1.619.104</w:t>
            </w:r>
          </w:p>
        </w:tc>
        <w:tc>
          <w:tcPr>
            <w:tcW w:w="709" w:type="dxa"/>
            <w:tcBorders>
              <w:top w:val="nil"/>
              <w:left w:val="nil"/>
              <w:bottom w:val="single" w:sz="4" w:space="0" w:color="auto"/>
              <w:right w:val="single" w:sz="8" w:space="0" w:color="auto"/>
            </w:tcBorders>
            <w:shd w:val="clear" w:color="auto" w:fill="auto"/>
            <w:noWrap/>
            <w:hideMark/>
          </w:tcPr>
          <w:p w14:paraId="653556A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179.900</w:t>
            </w:r>
          </w:p>
        </w:tc>
        <w:tc>
          <w:tcPr>
            <w:tcW w:w="851" w:type="dxa"/>
            <w:tcBorders>
              <w:top w:val="nil"/>
              <w:left w:val="single" w:sz="4" w:space="0" w:color="auto"/>
              <w:bottom w:val="single" w:sz="4" w:space="0" w:color="auto"/>
              <w:right w:val="single" w:sz="4" w:space="0" w:color="auto"/>
            </w:tcBorders>
            <w:shd w:val="clear" w:color="auto" w:fill="auto"/>
            <w:noWrap/>
            <w:hideMark/>
          </w:tcPr>
          <w:p w14:paraId="4A4B48A5" w14:textId="52E0085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36.812</w:t>
            </w:r>
          </w:p>
        </w:tc>
      </w:tr>
      <w:tr w:rsidR="005C332D" w:rsidRPr="003F6E51" w14:paraId="1D32F79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FFA55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31BDFAF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BOSILEGRAD</w:t>
            </w:r>
          </w:p>
        </w:tc>
        <w:tc>
          <w:tcPr>
            <w:tcW w:w="850" w:type="dxa"/>
            <w:tcBorders>
              <w:top w:val="nil"/>
              <w:left w:val="nil"/>
              <w:bottom w:val="single" w:sz="4" w:space="0" w:color="auto"/>
              <w:right w:val="single" w:sz="4" w:space="0" w:color="auto"/>
            </w:tcBorders>
            <w:shd w:val="clear" w:color="000000" w:fill="FFFFFF"/>
            <w:noWrap/>
            <w:hideMark/>
          </w:tcPr>
          <w:p w14:paraId="6050FE1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6924</w:t>
            </w:r>
          </w:p>
        </w:tc>
        <w:tc>
          <w:tcPr>
            <w:tcW w:w="709" w:type="dxa"/>
            <w:tcBorders>
              <w:top w:val="nil"/>
              <w:left w:val="nil"/>
              <w:bottom w:val="single" w:sz="4" w:space="0" w:color="auto"/>
              <w:right w:val="single" w:sz="8" w:space="0" w:color="auto"/>
            </w:tcBorders>
            <w:shd w:val="clear" w:color="000000" w:fill="FFFFFF"/>
            <w:noWrap/>
            <w:hideMark/>
          </w:tcPr>
          <w:p w14:paraId="1E2F981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0,15</w:t>
            </w:r>
          </w:p>
        </w:tc>
        <w:tc>
          <w:tcPr>
            <w:tcW w:w="567" w:type="dxa"/>
            <w:tcBorders>
              <w:top w:val="nil"/>
              <w:left w:val="nil"/>
              <w:bottom w:val="single" w:sz="4" w:space="0" w:color="auto"/>
              <w:right w:val="single" w:sz="4" w:space="0" w:color="auto"/>
            </w:tcBorders>
            <w:shd w:val="clear" w:color="000000" w:fill="FFFFFF"/>
            <w:noWrap/>
            <w:hideMark/>
          </w:tcPr>
          <w:p w14:paraId="22EA498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571</w:t>
            </w:r>
          </w:p>
        </w:tc>
        <w:tc>
          <w:tcPr>
            <w:tcW w:w="709" w:type="dxa"/>
            <w:tcBorders>
              <w:top w:val="nil"/>
              <w:left w:val="nil"/>
              <w:bottom w:val="single" w:sz="4" w:space="0" w:color="auto"/>
              <w:right w:val="single" w:sz="8" w:space="0" w:color="auto"/>
            </w:tcBorders>
            <w:shd w:val="clear" w:color="000000" w:fill="FFFFFF"/>
            <w:noWrap/>
            <w:hideMark/>
          </w:tcPr>
          <w:p w14:paraId="1113891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w:t>
            </w:r>
          </w:p>
        </w:tc>
        <w:tc>
          <w:tcPr>
            <w:tcW w:w="850" w:type="dxa"/>
            <w:tcBorders>
              <w:top w:val="nil"/>
              <w:left w:val="nil"/>
              <w:bottom w:val="single" w:sz="4" w:space="0" w:color="auto"/>
              <w:right w:val="single" w:sz="4" w:space="0" w:color="auto"/>
            </w:tcBorders>
            <w:shd w:val="clear" w:color="000000" w:fill="FFFFFF"/>
            <w:noWrap/>
            <w:hideMark/>
          </w:tcPr>
          <w:p w14:paraId="357F61B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2D591C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06479F9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4C26B8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31A4D8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96,45</w:t>
            </w:r>
          </w:p>
        </w:tc>
        <w:tc>
          <w:tcPr>
            <w:tcW w:w="851" w:type="dxa"/>
            <w:tcBorders>
              <w:top w:val="nil"/>
              <w:left w:val="nil"/>
              <w:bottom w:val="single" w:sz="4" w:space="0" w:color="auto"/>
              <w:right w:val="single" w:sz="4" w:space="0" w:color="auto"/>
            </w:tcBorders>
            <w:shd w:val="clear" w:color="auto" w:fill="auto"/>
            <w:noWrap/>
            <w:hideMark/>
          </w:tcPr>
          <w:p w14:paraId="1C068CB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0,0071</w:t>
            </w:r>
          </w:p>
        </w:tc>
        <w:tc>
          <w:tcPr>
            <w:tcW w:w="1134" w:type="dxa"/>
            <w:tcBorders>
              <w:top w:val="nil"/>
              <w:left w:val="nil"/>
              <w:bottom w:val="single" w:sz="4" w:space="0" w:color="auto"/>
              <w:right w:val="single" w:sz="4" w:space="0" w:color="auto"/>
            </w:tcBorders>
            <w:shd w:val="clear" w:color="000000" w:fill="C6E0B4"/>
            <w:noWrap/>
            <w:hideMark/>
          </w:tcPr>
          <w:p w14:paraId="42513C2C"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1.924.006</w:t>
            </w:r>
          </w:p>
        </w:tc>
        <w:tc>
          <w:tcPr>
            <w:tcW w:w="992" w:type="dxa"/>
            <w:tcBorders>
              <w:top w:val="nil"/>
              <w:left w:val="nil"/>
              <w:bottom w:val="single" w:sz="4" w:space="0" w:color="auto"/>
              <w:right w:val="single" w:sz="4" w:space="0" w:color="auto"/>
            </w:tcBorders>
            <w:shd w:val="clear" w:color="auto" w:fill="auto"/>
            <w:noWrap/>
            <w:hideMark/>
          </w:tcPr>
          <w:p w14:paraId="417E28D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217.969</w:t>
            </w:r>
          </w:p>
        </w:tc>
        <w:tc>
          <w:tcPr>
            <w:tcW w:w="567" w:type="dxa"/>
            <w:tcBorders>
              <w:top w:val="nil"/>
              <w:left w:val="nil"/>
              <w:bottom w:val="single" w:sz="4" w:space="0" w:color="auto"/>
              <w:right w:val="single" w:sz="4" w:space="0" w:color="auto"/>
            </w:tcBorders>
            <w:shd w:val="clear" w:color="auto" w:fill="auto"/>
            <w:noWrap/>
            <w:hideMark/>
          </w:tcPr>
          <w:p w14:paraId="1FF1BD8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882,70</w:t>
            </w:r>
          </w:p>
        </w:tc>
        <w:tc>
          <w:tcPr>
            <w:tcW w:w="850" w:type="dxa"/>
            <w:tcBorders>
              <w:top w:val="nil"/>
              <w:left w:val="nil"/>
              <w:bottom w:val="single" w:sz="4" w:space="0" w:color="auto"/>
              <w:right w:val="single" w:sz="4" w:space="0" w:color="auto"/>
            </w:tcBorders>
            <w:shd w:val="clear" w:color="auto" w:fill="auto"/>
            <w:noWrap/>
            <w:hideMark/>
          </w:tcPr>
          <w:p w14:paraId="18010D2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1.731.605</w:t>
            </w:r>
          </w:p>
        </w:tc>
        <w:tc>
          <w:tcPr>
            <w:tcW w:w="709" w:type="dxa"/>
            <w:tcBorders>
              <w:top w:val="nil"/>
              <w:left w:val="nil"/>
              <w:bottom w:val="single" w:sz="4" w:space="0" w:color="auto"/>
              <w:right w:val="single" w:sz="8" w:space="0" w:color="auto"/>
            </w:tcBorders>
            <w:shd w:val="clear" w:color="auto" w:fill="auto"/>
            <w:noWrap/>
            <w:hideMark/>
          </w:tcPr>
          <w:p w14:paraId="7B628FF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192.401</w:t>
            </w:r>
          </w:p>
        </w:tc>
        <w:tc>
          <w:tcPr>
            <w:tcW w:w="851" w:type="dxa"/>
            <w:tcBorders>
              <w:top w:val="nil"/>
              <w:left w:val="single" w:sz="4" w:space="0" w:color="auto"/>
              <w:bottom w:val="single" w:sz="4" w:space="0" w:color="auto"/>
              <w:right w:val="single" w:sz="4" w:space="0" w:color="auto"/>
            </w:tcBorders>
            <w:shd w:val="clear" w:color="auto" w:fill="auto"/>
            <w:noWrap/>
            <w:hideMark/>
          </w:tcPr>
          <w:p w14:paraId="0F391DA5" w14:textId="349C4FE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250.087</w:t>
            </w:r>
          </w:p>
        </w:tc>
      </w:tr>
      <w:tr w:rsidR="005C332D" w:rsidRPr="003F6E51" w14:paraId="6F1249E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752367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w:t>
            </w:r>
          </w:p>
        </w:tc>
        <w:tc>
          <w:tcPr>
            <w:tcW w:w="2213" w:type="dxa"/>
            <w:tcBorders>
              <w:top w:val="nil"/>
              <w:left w:val="single" w:sz="8" w:space="0" w:color="auto"/>
              <w:bottom w:val="single" w:sz="4" w:space="0" w:color="auto"/>
              <w:right w:val="single" w:sz="8" w:space="0" w:color="auto"/>
            </w:tcBorders>
            <w:shd w:val="clear" w:color="auto" w:fill="auto"/>
            <w:noWrap/>
            <w:hideMark/>
          </w:tcPr>
          <w:p w14:paraId="3800A42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BRUS</w:t>
            </w:r>
          </w:p>
        </w:tc>
        <w:tc>
          <w:tcPr>
            <w:tcW w:w="850" w:type="dxa"/>
            <w:tcBorders>
              <w:top w:val="nil"/>
              <w:left w:val="nil"/>
              <w:bottom w:val="single" w:sz="4" w:space="0" w:color="auto"/>
              <w:right w:val="single" w:sz="4" w:space="0" w:color="auto"/>
            </w:tcBorders>
            <w:shd w:val="clear" w:color="000000" w:fill="FFFFFF"/>
            <w:noWrap/>
            <w:hideMark/>
          </w:tcPr>
          <w:p w14:paraId="0BA5A6F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14343</w:t>
            </w:r>
          </w:p>
        </w:tc>
        <w:tc>
          <w:tcPr>
            <w:tcW w:w="709" w:type="dxa"/>
            <w:tcBorders>
              <w:top w:val="nil"/>
              <w:left w:val="nil"/>
              <w:bottom w:val="single" w:sz="4" w:space="0" w:color="auto"/>
              <w:right w:val="single" w:sz="8" w:space="0" w:color="auto"/>
            </w:tcBorders>
            <w:shd w:val="clear" w:color="000000" w:fill="FFFFFF"/>
            <w:noWrap/>
            <w:hideMark/>
          </w:tcPr>
          <w:p w14:paraId="6D01FE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0,30</w:t>
            </w:r>
          </w:p>
        </w:tc>
        <w:tc>
          <w:tcPr>
            <w:tcW w:w="567" w:type="dxa"/>
            <w:tcBorders>
              <w:top w:val="nil"/>
              <w:left w:val="nil"/>
              <w:bottom w:val="single" w:sz="4" w:space="0" w:color="auto"/>
              <w:right w:val="single" w:sz="4" w:space="0" w:color="auto"/>
            </w:tcBorders>
            <w:shd w:val="clear" w:color="000000" w:fill="FFFFFF"/>
            <w:noWrap/>
            <w:hideMark/>
          </w:tcPr>
          <w:p w14:paraId="009ED8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606</w:t>
            </w:r>
          </w:p>
        </w:tc>
        <w:tc>
          <w:tcPr>
            <w:tcW w:w="709" w:type="dxa"/>
            <w:tcBorders>
              <w:top w:val="nil"/>
              <w:left w:val="nil"/>
              <w:bottom w:val="single" w:sz="4" w:space="0" w:color="auto"/>
              <w:right w:val="single" w:sz="8" w:space="0" w:color="auto"/>
            </w:tcBorders>
            <w:shd w:val="clear" w:color="000000" w:fill="FFFFFF"/>
            <w:noWrap/>
            <w:hideMark/>
          </w:tcPr>
          <w:p w14:paraId="68E70B2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1,13</w:t>
            </w:r>
          </w:p>
        </w:tc>
        <w:tc>
          <w:tcPr>
            <w:tcW w:w="850" w:type="dxa"/>
            <w:tcBorders>
              <w:top w:val="nil"/>
              <w:left w:val="nil"/>
              <w:bottom w:val="single" w:sz="4" w:space="0" w:color="auto"/>
              <w:right w:val="single" w:sz="4" w:space="0" w:color="auto"/>
            </w:tcBorders>
            <w:shd w:val="clear" w:color="000000" w:fill="FFFFFF"/>
            <w:noWrap/>
            <w:hideMark/>
          </w:tcPr>
          <w:p w14:paraId="02A437F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71036DF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2B9DC2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5E44DE1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single" w:sz="4" w:space="0" w:color="auto"/>
              <w:left w:val="single" w:sz="8" w:space="0" w:color="auto"/>
              <w:bottom w:val="nil"/>
              <w:right w:val="single" w:sz="4" w:space="0" w:color="auto"/>
            </w:tcBorders>
            <w:shd w:val="clear" w:color="auto" w:fill="auto"/>
            <w:noWrap/>
            <w:hideMark/>
          </w:tcPr>
          <w:p w14:paraId="13092E3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92,26</w:t>
            </w:r>
          </w:p>
        </w:tc>
        <w:tc>
          <w:tcPr>
            <w:tcW w:w="851" w:type="dxa"/>
            <w:tcBorders>
              <w:top w:val="nil"/>
              <w:left w:val="nil"/>
              <w:bottom w:val="single" w:sz="4" w:space="0" w:color="auto"/>
              <w:right w:val="single" w:sz="4" w:space="0" w:color="auto"/>
            </w:tcBorders>
            <w:shd w:val="clear" w:color="auto" w:fill="auto"/>
            <w:noWrap/>
            <w:hideMark/>
          </w:tcPr>
          <w:p w14:paraId="623EB23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0,0068</w:t>
            </w:r>
          </w:p>
        </w:tc>
        <w:tc>
          <w:tcPr>
            <w:tcW w:w="1134" w:type="dxa"/>
            <w:tcBorders>
              <w:top w:val="nil"/>
              <w:left w:val="nil"/>
              <w:bottom w:val="single" w:sz="4" w:space="0" w:color="auto"/>
              <w:right w:val="single" w:sz="4" w:space="0" w:color="auto"/>
            </w:tcBorders>
            <w:shd w:val="clear" w:color="000000" w:fill="C6E0B4"/>
            <w:noWrap/>
            <w:hideMark/>
          </w:tcPr>
          <w:p w14:paraId="1A48F28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1.840.490</w:t>
            </w:r>
          </w:p>
        </w:tc>
        <w:tc>
          <w:tcPr>
            <w:tcW w:w="992" w:type="dxa"/>
            <w:tcBorders>
              <w:top w:val="nil"/>
              <w:left w:val="nil"/>
              <w:bottom w:val="single" w:sz="4" w:space="0" w:color="auto"/>
              <w:right w:val="single" w:sz="4" w:space="0" w:color="auto"/>
            </w:tcBorders>
            <w:shd w:val="clear" w:color="auto" w:fill="auto"/>
            <w:noWrap/>
            <w:hideMark/>
          </w:tcPr>
          <w:p w14:paraId="7B8DF8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889.271</w:t>
            </w:r>
          </w:p>
        </w:tc>
        <w:tc>
          <w:tcPr>
            <w:tcW w:w="567" w:type="dxa"/>
            <w:tcBorders>
              <w:top w:val="nil"/>
              <w:left w:val="nil"/>
              <w:bottom w:val="single" w:sz="4" w:space="0" w:color="auto"/>
              <w:right w:val="single" w:sz="4" w:space="0" w:color="auto"/>
            </w:tcBorders>
            <w:shd w:val="clear" w:color="auto" w:fill="auto"/>
            <w:noWrap/>
            <w:hideMark/>
          </w:tcPr>
          <w:p w14:paraId="1096061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206,97</w:t>
            </w:r>
          </w:p>
        </w:tc>
        <w:tc>
          <w:tcPr>
            <w:tcW w:w="850" w:type="dxa"/>
            <w:tcBorders>
              <w:top w:val="nil"/>
              <w:left w:val="nil"/>
              <w:bottom w:val="single" w:sz="4" w:space="0" w:color="auto"/>
              <w:right w:val="single" w:sz="4" w:space="0" w:color="auto"/>
            </w:tcBorders>
            <w:shd w:val="clear" w:color="auto" w:fill="auto"/>
            <w:noWrap/>
            <w:hideMark/>
          </w:tcPr>
          <w:p w14:paraId="66743D5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1.656.441</w:t>
            </w:r>
          </w:p>
        </w:tc>
        <w:tc>
          <w:tcPr>
            <w:tcW w:w="709" w:type="dxa"/>
            <w:tcBorders>
              <w:top w:val="nil"/>
              <w:left w:val="nil"/>
              <w:bottom w:val="single" w:sz="4" w:space="0" w:color="auto"/>
              <w:right w:val="single" w:sz="8" w:space="0" w:color="auto"/>
            </w:tcBorders>
            <w:shd w:val="clear" w:color="auto" w:fill="auto"/>
            <w:noWrap/>
            <w:hideMark/>
          </w:tcPr>
          <w:p w14:paraId="14628AD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184.049</w:t>
            </w:r>
          </w:p>
        </w:tc>
        <w:tc>
          <w:tcPr>
            <w:tcW w:w="851" w:type="dxa"/>
            <w:tcBorders>
              <w:top w:val="nil"/>
              <w:left w:val="single" w:sz="4" w:space="0" w:color="auto"/>
              <w:bottom w:val="single" w:sz="4" w:space="0" w:color="auto"/>
              <w:right w:val="single" w:sz="4" w:space="0" w:color="auto"/>
            </w:tcBorders>
            <w:shd w:val="clear" w:color="auto" w:fill="auto"/>
            <w:noWrap/>
            <w:hideMark/>
          </w:tcPr>
          <w:p w14:paraId="237588EA" w14:textId="574040E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115.488</w:t>
            </w:r>
          </w:p>
        </w:tc>
      </w:tr>
      <w:tr w:rsidR="005C332D" w:rsidRPr="003F6E51" w14:paraId="5A15017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BAB0F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5C8D955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BUJANOVAC</w:t>
            </w:r>
          </w:p>
        </w:tc>
        <w:tc>
          <w:tcPr>
            <w:tcW w:w="850" w:type="dxa"/>
            <w:tcBorders>
              <w:top w:val="nil"/>
              <w:left w:val="nil"/>
              <w:bottom w:val="single" w:sz="4" w:space="0" w:color="auto"/>
              <w:right w:val="single" w:sz="4" w:space="0" w:color="auto"/>
            </w:tcBorders>
            <w:shd w:val="clear" w:color="000000" w:fill="FFFFFF"/>
            <w:noWrap/>
            <w:hideMark/>
          </w:tcPr>
          <w:p w14:paraId="3EA6F99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37615</w:t>
            </w:r>
          </w:p>
        </w:tc>
        <w:tc>
          <w:tcPr>
            <w:tcW w:w="709" w:type="dxa"/>
            <w:tcBorders>
              <w:top w:val="nil"/>
              <w:left w:val="nil"/>
              <w:bottom w:val="single" w:sz="4" w:space="0" w:color="auto"/>
              <w:right w:val="single" w:sz="8" w:space="0" w:color="auto"/>
            </w:tcBorders>
            <w:shd w:val="clear" w:color="000000" w:fill="FFFFFF"/>
            <w:noWrap/>
            <w:hideMark/>
          </w:tcPr>
          <w:p w14:paraId="26C18DD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0,79</w:t>
            </w:r>
          </w:p>
        </w:tc>
        <w:tc>
          <w:tcPr>
            <w:tcW w:w="567" w:type="dxa"/>
            <w:tcBorders>
              <w:top w:val="nil"/>
              <w:left w:val="nil"/>
              <w:bottom w:val="single" w:sz="4" w:space="0" w:color="auto"/>
              <w:right w:val="single" w:sz="4" w:space="0" w:color="auto"/>
            </w:tcBorders>
            <w:shd w:val="clear" w:color="000000" w:fill="FFFFFF"/>
            <w:noWrap/>
            <w:hideMark/>
          </w:tcPr>
          <w:p w14:paraId="6A6B3A3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461</w:t>
            </w:r>
          </w:p>
        </w:tc>
        <w:tc>
          <w:tcPr>
            <w:tcW w:w="709" w:type="dxa"/>
            <w:tcBorders>
              <w:top w:val="nil"/>
              <w:left w:val="nil"/>
              <w:bottom w:val="single" w:sz="4" w:space="0" w:color="auto"/>
              <w:right w:val="single" w:sz="8" w:space="0" w:color="auto"/>
            </w:tcBorders>
            <w:shd w:val="clear" w:color="000000" w:fill="FFFFFF"/>
            <w:noWrap/>
            <w:hideMark/>
          </w:tcPr>
          <w:p w14:paraId="2EA5F46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0,86</w:t>
            </w:r>
          </w:p>
        </w:tc>
        <w:tc>
          <w:tcPr>
            <w:tcW w:w="850" w:type="dxa"/>
            <w:tcBorders>
              <w:top w:val="nil"/>
              <w:left w:val="nil"/>
              <w:bottom w:val="single" w:sz="4" w:space="0" w:color="auto"/>
              <w:right w:val="single" w:sz="4" w:space="0" w:color="auto"/>
            </w:tcBorders>
            <w:shd w:val="clear" w:color="000000" w:fill="FFFFFF"/>
            <w:noWrap/>
            <w:hideMark/>
          </w:tcPr>
          <w:p w14:paraId="2F9ED14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ACEE51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6E3840F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7F21C6E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4DD8978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113,89</w:t>
            </w:r>
          </w:p>
        </w:tc>
        <w:tc>
          <w:tcPr>
            <w:tcW w:w="851" w:type="dxa"/>
            <w:tcBorders>
              <w:top w:val="nil"/>
              <w:left w:val="nil"/>
              <w:bottom w:val="single" w:sz="4" w:space="0" w:color="auto"/>
              <w:right w:val="single" w:sz="4" w:space="0" w:color="auto"/>
            </w:tcBorders>
            <w:shd w:val="clear" w:color="auto" w:fill="auto"/>
            <w:noWrap/>
            <w:hideMark/>
          </w:tcPr>
          <w:p w14:paraId="09393F5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0,0084</w:t>
            </w:r>
          </w:p>
        </w:tc>
        <w:tc>
          <w:tcPr>
            <w:tcW w:w="1134" w:type="dxa"/>
            <w:tcBorders>
              <w:top w:val="nil"/>
              <w:left w:val="nil"/>
              <w:bottom w:val="single" w:sz="4" w:space="0" w:color="auto"/>
              <w:right w:val="single" w:sz="4" w:space="0" w:color="auto"/>
            </w:tcBorders>
            <w:shd w:val="clear" w:color="000000" w:fill="C6E0B4"/>
            <w:noWrap/>
            <w:hideMark/>
          </w:tcPr>
          <w:p w14:paraId="7440337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2.271.849</w:t>
            </w:r>
          </w:p>
        </w:tc>
        <w:tc>
          <w:tcPr>
            <w:tcW w:w="992" w:type="dxa"/>
            <w:tcBorders>
              <w:top w:val="nil"/>
              <w:left w:val="nil"/>
              <w:bottom w:val="single" w:sz="4" w:space="0" w:color="auto"/>
              <w:right w:val="single" w:sz="4" w:space="0" w:color="auto"/>
            </w:tcBorders>
            <w:shd w:val="clear" w:color="auto" w:fill="auto"/>
            <w:noWrap/>
            <w:hideMark/>
          </w:tcPr>
          <w:p w14:paraId="5E0338E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2.043.529</w:t>
            </w:r>
          </w:p>
        </w:tc>
        <w:tc>
          <w:tcPr>
            <w:tcW w:w="567" w:type="dxa"/>
            <w:tcBorders>
              <w:top w:val="nil"/>
              <w:left w:val="nil"/>
              <w:bottom w:val="single" w:sz="4" w:space="0" w:color="auto"/>
              <w:right w:val="single" w:sz="4" w:space="0" w:color="auto"/>
            </w:tcBorders>
            <w:shd w:val="clear" w:color="auto" w:fill="auto"/>
            <w:noWrap/>
            <w:hideMark/>
          </w:tcPr>
          <w:p w14:paraId="3CAB5D5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111,17</w:t>
            </w:r>
          </w:p>
        </w:tc>
        <w:tc>
          <w:tcPr>
            <w:tcW w:w="850" w:type="dxa"/>
            <w:tcBorders>
              <w:top w:val="nil"/>
              <w:left w:val="nil"/>
              <w:bottom w:val="single" w:sz="4" w:space="0" w:color="auto"/>
              <w:right w:val="single" w:sz="4" w:space="0" w:color="auto"/>
            </w:tcBorders>
            <w:shd w:val="clear" w:color="auto" w:fill="auto"/>
            <w:noWrap/>
            <w:hideMark/>
          </w:tcPr>
          <w:p w14:paraId="1529E2B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2.044.665</w:t>
            </w:r>
          </w:p>
        </w:tc>
        <w:tc>
          <w:tcPr>
            <w:tcW w:w="709" w:type="dxa"/>
            <w:tcBorders>
              <w:top w:val="nil"/>
              <w:left w:val="nil"/>
              <w:bottom w:val="single" w:sz="4" w:space="0" w:color="auto"/>
              <w:right w:val="single" w:sz="8" w:space="0" w:color="auto"/>
            </w:tcBorders>
            <w:shd w:val="clear" w:color="auto" w:fill="auto"/>
            <w:noWrap/>
            <w:hideMark/>
          </w:tcPr>
          <w:p w14:paraId="02EBAB8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227.185</w:t>
            </w:r>
          </w:p>
        </w:tc>
        <w:tc>
          <w:tcPr>
            <w:tcW w:w="851" w:type="dxa"/>
            <w:tcBorders>
              <w:top w:val="nil"/>
              <w:left w:val="single" w:sz="4" w:space="0" w:color="auto"/>
              <w:bottom w:val="single" w:sz="4" w:space="0" w:color="auto"/>
              <w:right w:val="single" w:sz="4" w:space="0" w:color="auto"/>
            </w:tcBorders>
            <w:shd w:val="clear" w:color="auto" w:fill="auto"/>
            <w:noWrap/>
            <w:hideMark/>
          </w:tcPr>
          <w:p w14:paraId="2620F99F" w14:textId="57074EF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54.358</w:t>
            </w:r>
          </w:p>
        </w:tc>
      </w:tr>
      <w:tr w:rsidR="005C332D" w:rsidRPr="003F6E51" w14:paraId="77D3AFA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2E6CFC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w:t>
            </w:r>
          </w:p>
        </w:tc>
        <w:tc>
          <w:tcPr>
            <w:tcW w:w="2213" w:type="dxa"/>
            <w:tcBorders>
              <w:top w:val="nil"/>
              <w:left w:val="single" w:sz="8" w:space="0" w:color="auto"/>
              <w:bottom w:val="single" w:sz="4" w:space="0" w:color="auto"/>
              <w:right w:val="single" w:sz="8" w:space="0" w:color="auto"/>
            </w:tcBorders>
            <w:shd w:val="clear" w:color="auto" w:fill="auto"/>
            <w:noWrap/>
            <w:hideMark/>
          </w:tcPr>
          <w:p w14:paraId="1BBE0E6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CRNA TRAVA</w:t>
            </w:r>
          </w:p>
        </w:tc>
        <w:tc>
          <w:tcPr>
            <w:tcW w:w="850" w:type="dxa"/>
            <w:tcBorders>
              <w:top w:val="nil"/>
              <w:left w:val="nil"/>
              <w:bottom w:val="single" w:sz="4" w:space="0" w:color="auto"/>
              <w:right w:val="single" w:sz="4" w:space="0" w:color="auto"/>
            </w:tcBorders>
            <w:shd w:val="clear" w:color="000000" w:fill="FFFFFF"/>
            <w:noWrap/>
            <w:hideMark/>
          </w:tcPr>
          <w:p w14:paraId="653BBB6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1100</w:t>
            </w:r>
          </w:p>
        </w:tc>
        <w:tc>
          <w:tcPr>
            <w:tcW w:w="709" w:type="dxa"/>
            <w:tcBorders>
              <w:top w:val="nil"/>
              <w:left w:val="nil"/>
              <w:bottom w:val="single" w:sz="4" w:space="0" w:color="auto"/>
              <w:right w:val="single" w:sz="8" w:space="0" w:color="auto"/>
            </w:tcBorders>
            <w:shd w:val="clear" w:color="000000" w:fill="FFFFFF"/>
            <w:noWrap/>
            <w:hideMark/>
          </w:tcPr>
          <w:p w14:paraId="3F91D99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0,02</w:t>
            </w:r>
          </w:p>
        </w:tc>
        <w:tc>
          <w:tcPr>
            <w:tcW w:w="567" w:type="dxa"/>
            <w:tcBorders>
              <w:top w:val="nil"/>
              <w:left w:val="nil"/>
              <w:bottom w:val="single" w:sz="4" w:space="0" w:color="auto"/>
              <w:right w:val="single" w:sz="4" w:space="0" w:color="auto"/>
            </w:tcBorders>
            <w:shd w:val="clear" w:color="000000" w:fill="FFFFFF"/>
            <w:noWrap/>
            <w:hideMark/>
          </w:tcPr>
          <w:p w14:paraId="5954D73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312</w:t>
            </w:r>
          </w:p>
        </w:tc>
        <w:tc>
          <w:tcPr>
            <w:tcW w:w="709" w:type="dxa"/>
            <w:tcBorders>
              <w:top w:val="nil"/>
              <w:left w:val="nil"/>
              <w:bottom w:val="single" w:sz="4" w:space="0" w:color="auto"/>
              <w:right w:val="single" w:sz="8" w:space="0" w:color="auto"/>
            </w:tcBorders>
            <w:shd w:val="clear" w:color="000000" w:fill="FFFFFF"/>
            <w:noWrap/>
            <w:hideMark/>
          </w:tcPr>
          <w:p w14:paraId="26D1014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0,58</w:t>
            </w:r>
          </w:p>
        </w:tc>
        <w:tc>
          <w:tcPr>
            <w:tcW w:w="850" w:type="dxa"/>
            <w:tcBorders>
              <w:top w:val="nil"/>
              <w:left w:val="nil"/>
              <w:bottom w:val="single" w:sz="4" w:space="0" w:color="auto"/>
              <w:right w:val="single" w:sz="4" w:space="0" w:color="auto"/>
            </w:tcBorders>
            <w:shd w:val="clear" w:color="000000" w:fill="FFFFFF"/>
            <w:noWrap/>
            <w:hideMark/>
          </w:tcPr>
          <w:p w14:paraId="3B2B697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0B79140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3F0233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5285333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B0B784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68,44</w:t>
            </w:r>
          </w:p>
        </w:tc>
        <w:tc>
          <w:tcPr>
            <w:tcW w:w="851" w:type="dxa"/>
            <w:tcBorders>
              <w:top w:val="nil"/>
              <w:left w:val="nil"/>
              <w:bottom w:val="single" w:sz="4" w:space="0" w:color="auto"/>
              <w:right w:val="single" w:sz="4" w:space="0" w:color="auto"/>
            </w:tcBorders>
            <w:shd w:val="clear" w:color="auto" w:fill="auto"/>
            <w:noWrap/>
            <w:hideMark/>
          </w:tcPr>
          <w:p w14:paraId="621178A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0,0050</w:t>
            </w:r>
          </w:p>
        </w:tc>
        <w:tc>
          <w:tcPr>
            <w:tcW w:w="1134" w:type="dxa"/>
            <w:tcBorders>
              <w:top w:val="nil"/>
              <w:left w:val="nil"/>
              <w:bottom w:val="single" w:sz="4" w:space="0" w:color="auto"/>
              <w:right w:val="single" w:sz="4" w:space="0" w:color="auto"/>
            </w:tcBorders>
            <w:shd w:val="clear" w:color="000000" w:fill="C6E0B4"/>
            <w:noWrap/>
            <w:hideMark/>
          </w:tcPr>
          <w:p w14:paraId="534EA87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1.365.267</w:t>
            </w:r>
          </w:p>
        </w:tc>
        <w:tc>
          <w:tcPr>
            <w:tcW w:w="992" w:type="dxa"/>
            <w:tcBorders>
              <w:top w:val="nil"/>
              <w:left w:val="nil"/>
              <w:bottom w:val="single" w:sz="4" w:space="0" w:color="auto"/>
              <w:right w:val="single" w:sz="4" w:space="0" w:color="auto"/>
            </w:tcBorders>
            <w:shd w:val="clear" w:color="auto" w:fill="auto"/>
            <w:noWrap/>
            <w:hideMark/>
          </w:tcPr>
          <w:p w14:paraId="0BA1922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189.082</w:t>
            </w:r>
          </w:p>
        </w:tc>
        <w:tc>
          <w:tcPr>
            <w:tcW w:w="567" w:type="dxa"/>
            <w:tcBorders>
              <w:top w:val="nil"/>
              <w:left w:val="nil"/>
              <w:bottom w:val="single" w:sz="4" w:space="0" w:color="auto"/>
              <w:right w:val="single" w:sz="4" w:space="0" w:color="auto"/>
            </w:tcBorders>
            <w:shd w:val="clear" w:color="auto" w:fill="auto"/>
            <w:noWrap/>
            <w:hideMark/>
          </w:tcPr>
          <w:p w14:paraId="506FDEF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722,05</w:t>
            </w:r>
          </w:p>
        </w:tc>
        <w:tc>
          <w:tcPr>
            <w:tcW w:w="850" w:type="dxa"/>
            <w:tcBorders>
              <w:top w:val="nil"/>
              <w:left w:val="nil"/>
              <w:bottom w:val="single" w:sz="4" w:space="0" w:color="auto"/>
              <w:right w:val="single" w:sz="4" w:space="0" w:color="auto"/>
            </w:tcBorders>
            <w:shd w:val="clear" w:color="auto" w:fill="auto"/>
            <w:noWrap/>
            <w:hideMark/>
          </w:tcPr>
          <w:p w14:paraId="6EC9A7E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1.228.740</w:t>
            </w:r>
          </w:p>
        </w:tc>
        <w:tc>
          <w:tcPr>
            <w:tcW w:w="709" w:type="dxa"/>
            <w:tcBorders>
              <w:top w:val="nil"/>
              <w:left w:val="nil"/>
              <w:bottom w:val="single" w:sz="4" w:space="0" w:color="auto"/>
              <w:right w:val="single" w:sz="8" w:space="0" w:color="auto"/>
            </w:tcBorders>
            <w:shd w:val="clear" w:color="auto" w:fill="auto"/>
            <w:noWrap/>
            <w:hideMark/>
          </w:tcPr>
          <w:p w14:paraId="493B6A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136.527</w:t>
            </w:r>
          </w:p>
        </w:tc>
        <w:tc>
          <w:tcPr>
            <w:tcW w:w="851" w:type="dxa"/>
            <w:tcBorders>
              <w:top w:val="nil"/>
              <w:left w:val="single" w:sz="4" w:space="0" w:color="auto"/>
              <w:bottom w:val="single" w:sz="4" w:space="0" w:color="auto"/>
              <w:right w:val="single" w:sz="4" w:space="0" w:color="auto"/>
            </w:tcBorders>
            <w:shd w:val="clear" w:color="auto" w:fill="auto"/>
            <w:noWrap/>
            <w:hideMark/>
          </w:tcPr>
          <w:p w14:paraId="0784418F" w14:textId="4E6D1A2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1.117.036</w:t>
            </w:r>
          </w:p>
        </w:tc>
      </w:tr>
      <w:tr w:rsidR="005C332D" w:rsidRPr="003F6E51" w14:paraId="39C98A9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F06E6C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w:t>
            </w:r>
          </w:p>
        </w:tc>
        <w:tc>
          <w:tcPr>
            <w:tcW w:w="2213" w:type="dxa"/>
            <w:tcBorders>
              <w:top w:val="nil"/>
              <w:left w:val="single" w:sz="8" w:space="0" w:color="auto"/>
              <w:bottom w:val="single" w:sz="4" w:space="0" w:color="auto"/>
              <w:right w:val="single" w:sz="8" w:space="0" w:color="auto"/>
            </w:tcBorders>
            <w:shd w:val="clear" w:color="auto" w:fill="auto"/>
            <w:noWrap/>
            <w:hideMark/>
          </w:tcPr>
          <w:p w14:paraId="16CF0D1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ĆIĆEVAC</w:t>
            </w:r>
          </w:p>
        </w:tc>
        <w:tc>
          <w:tcPr>
            <w:tcW w:w="850" w:type="dxa"/>
            <w:tcBorders>
              <w:top w:val="nil"/>
              <w:left w:val="nil"/>
              <w:bottom w:val="single" w:sz="4" w:space="0" w:color="auto"/>
              <w:right w:val="single" w:sz="4" w:space="0" w:color="auto"/>
            </w:tcBorders>
            <w:shd w:val="clear" w:color="000000" w:fill="FFFFFF"/>
            <w:noWrap/>
            <w:hideMark/>
          </w:tcPr>
          <w:p w14:paraId="203543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8406</w:t>
            </w:r>
          </w:p>
        </w:tc>
        <w:tc>
          <w:tcPr>
            <w:tcW w:w="709" w:type="dxa"/>
            <w:tcBorders>
              <w:top w:val="nil"/>
              <w:left w:val="nil"/>
              <w:bottom w:val="single" w:sz="4" w:space="0" w:color="auto"/>
              <w:right w:val="single" w:sz="8" w:space="0" w:color="auto"/>
            </w:tcBorders>
            <w:shd w:val="clear" w:color="000000" w:fill="FFFFFF"/>
            <w:noWrap/>
            <w:hideMark/>
          </w:tcPr>
          <w:p w14:paraId="36714EE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0,18</w:t>
            </w:r>
          </w:p>
        </w:tc>
        <w:tc>
          <w:tcPr>
            <w:tcW w:w="567" w:type="dxa"/>
            <w:tcBorders>
              <w:top w:val="nil"/>
              <w:left w:val="nil"/>
              <w:bottom w:val="single" w:sz="4" w:space="0" w:color="auto"/>
              <w:right w:val="single" w:sz="4" w:space="0" w:color="auto"/>
            </w:tcBorders>
            <w:shd w:val="clear" w:color="000000" w:fill="FFFFFF"/>
            <w:noWrap/>
            <w:hideMark/>
          </w:tcPr>
          <w:p w14:paraId="33EC1F8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124</w:t>
            </w:r>
          </w:p>
        </w:tc>
        <w:tc>
          <w:tcPr>
            <w:tcW w:w="709" w:type="dxa"/>
            <w:tcBorders>
              <w:top w:val="nil"/>
              <w:left w:val="nil"/>
              <w:bottom w:val="single" w:sz="4" w:space="0" w:color="auto"/>
              <w:right w:val="single" w:sz="8" w:space="0" w:color="auto"/>
            </w:tcBorders>
            <w:shd w:val="clear" w:color="000000" w:fill="FFFFFF"/>
            <w:noWrap/>
            <w:hideMark/>
          </w:tcPr>
          <w:p w14:paraId="048329D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850" w:type="dxa"/>
            <w:tcBorders>
              <w:top w:val="nil"/>
              <w:left w:val="nil"/>
              <w:bottom w:val="single" w:sz="4" w:space="0" w:color="auto"/>
              <w:right w:val="single" w:sz="4" w:space="0" w:color="auto"/>
            </w:tcBorders>
            <w:shd w:val="clear" w:color="000000" w:fill="FFFFFF"/>
            <w:noWrap/>
            <w:hideMark/>
          </w:tcPr>
          <w:p w14:paraId="36E8A06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155E68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1ED5B2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69CF442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single" w:sz="4" w:space="0" w:color="auto"/>
              <w:left w:val="single" w:sz="8" w:space="0" w:color="auto"/>
              <w:bottom w:val="nil"/>
              <w:right w:val="single" w:sz="4" w:space="0" w:color="auto"/>
            </w:tcBorders>
            <w:shd w:val="clear" w:color="auto" w:fill="auto"/>
            <w:noWrap/>
            <w:hideMark/>
          </w:tcPr>
          <w:p w14:paraId="4F75991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53,41</w:t>
            </w:r>
          </w:p>
        </w:tc>
        <w:tc>
          <w:tcPr>
            <w:tcW w:w="851" w:type="dxa"/>
            <w:tcBorders>
              <w:top w:val="nil"/>
              <w:left w:val="nil"/>
              <w:bottom w:val="single" w:sz="4" w:space="0" w:color="auto"/>
              <w:right w:val="single" w:sz="4" w:space="0" w:color="auto"/>
            </w:tcBorders>
            <w:shd w:val="clear" w:color="auto" w:fill="auto"/>
            <w:noWrap/>
            <w:hideMark/>
          </w:tcPr>
          <w:p w14:paraId="6D7E6E1A"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0,0039</w:t>
            </w:r>
          </w:p>
        </w:tc>
        <w:tc>
          <w:tcPr>
            <w:tcW w:w="1134" w:type="dxa"/>
            <w:tcBorders>
              <w:top w:val="nil"/>
              <w:left w:val="nil"/>
              <w:bottom w:val="single" w:sz="4" w:space="0" w:color="auto"/>
              <w:right w:val="single" w:sz="4" w:space="0" w:color="auto"/>
            </w:tcBorders>
            <w:shd w:val="clear" w:color="000000" w:fill="C6E0B4"/>
            <w:noWrap/>
            <w:hideMark/>
          </w:tcPr>
          <w:p w14:paraId="2652D37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1.065.372</w:t>
            </w:r>
          </w:p>
        </w:tc>
        <w:tc>
          <w:tcPr>
            <w:tcW w:w="992" w:type="dxa"/>
            <w:tcBorders>
              <w:top w:val="nil"/>
              <w:left w:val="nil"/>
              <w:bottom w:val="single" w:sz="4" w:space="0" w:color="auto"/>
              <w:right w:val="single" w:sz="4" w:space="0" w:color="auto"/>
            </w:tcBorders>
            <w:shd w:val="clear" w:color="auto" w:fill="auto"/>
            <w:noWrap/>
            <w:hideMark/>
          </w:tcPr>
          <w:p w14:paraId="5287EF1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194.618</w:t>
            </w:r>
          </w:p>
        </w:tc>
        <w:tc>
          <w:tcPr>
            <w:tcW w:w="567" w:type="dxa"/>
            <w:tcBorders>
              <w:top w:val="nil"/>
              <w:left w:val="nil"/>
              <w:bottom w:val="single" w:sz="4" w:space="0" w:color="auto"/>
              <w:right w:val="single" w:sz="4" w:space="0" w:color="auto"/>
            </w:tcBorders>
            <w:shd w:val="clear" w:color="auto" w:fill="auto"/>
            <w:noWrap/>
            <w:hideMark/>
          </w:tcPr>
          <w:p w14:paraId="43EB7A2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547,42</w:t>
            </w:r>
          </w:p>
        </w:tc>
        <w:tc>
          <w:tcPr>
            <w:tcW w:w="850" w:type="dxa"/>
            <w:tcBorders>
              <w:top w:val="nil"/>
              <w:left w:val="nil"/>
              <w:bottom w:val="single" w:sz="4" w:space="0" w:color="auto"/>
              <w:right w:val="single" w:sz="4" w:space="0" w:color="auto"/>
            </w:tcBorders>
            <w:shd w:val="clear" w:color="auto" w:fill="auto"/>
            <w:noWrap/>
            <w:hideMark/>
          </w:tcPr>
          <w:p w14:paraId="3BB90FB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958.835</w:t>
            </w:r>
          </w:p>
        </w:tc>
        <w:tc>
          <w:tcPr>
            <w:tcW w:w="709" w:type="dxa"/>
            <w:tcBorders>
              <w:top w:val="nil"/>
              <w:left w:val="nil"/>
              <w:bottom w:val="single" w:sz="4" w:space="0" w:color="auto"/>
              <w:right w:val="single" w:sz="8" w:space="0" w:color="auto"/>
            </w:tcBorders>
            <w:shd w:val="clear" w:color="auto" w:fill="auto"/>
            <w:noWrap/>
            <w:hideMark/>
          </w:tcPr>
          <w:p w14:paraId="459DB80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106.537</w:t>
            </w:r>
          </w:p>
        </w:tc>
        <w:tc>
          <w:tcPr>
            <w:tcW w:w="851" w:type="dxa"/>
            <w:tcBorders>
              <w:top w:val="nil"/>
              <w:left w:val="single" w:sz="4" w:space="0" w:color="auto"/>
              <w:bottom w:val="single" w:sz="4" w:space="0" w:color="auto"/>
              <w:right w:val="single" w:sz="4" w:space="0" w:color="auto"/>
            </w:tcBorders>
            <w:shd w:val="clear" w:color="auto" w:fill="auto"/>
            <w:noWrap/>
            <w:hideMark/>
          </w:tcPr>
          <w:p w14:paraId="4EA8B8E2" w14:textId="55549B9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114.065</w:t>
            </w:r>
          </w:p>
        </w:tc>
      </w:tr>
      <w:tr w:rsidR="005C332D" w:rsidRPr="003F6E51" w14:paraId="41665BE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3D7CB6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w:t>
            </w:r>
          </w:p>
        </w:tc>
        <w:tc>
          <w:tcPr>
            <w:tcW w:w="2213" w:type="dxa"/>
            <w:tcBorders>
              <w:top w:val="nil"/>
              <w:left w:val="single" w:sz="8" w:space="0" w:color="auto"/>
              <w:bottom w:val="single" w:sz="4" w:space="0" w:color="auto"/>
              <w:right w:val="single" w:sz="8" w:space="0" w:color="auto"/>
            </w:tcBorders>
            <w:shd w:val="clear" w:color="auto" w:fill="auto"/>
            <w:noWrap/>
            <w:hideMark/>
          </w:tcPr>
          <w:p w14:paraId="08A31FD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ĆUPRIJA</w:t>
            </w:r>
          </w:p>
        </w:tc>
        <w:tc>
          <w:tcPr>
            <w:tcW w:w="850" w:type="dxa"/>
            <w:tcBorders>
              <w:top w:val="nil"/>
              <w:left w:val="nil"/>
              <w:bottom w:val="single" w:sz="4" w:space="0" w:color="auto"/>
              <w:right w:val="single" w:sz="4" w:space="0" w:color="auto"/>
            </w:tcBorders>
            <w:shd w:val="clear" w:color="000000" w:fill="FFFFFF"/>
            <w:noWrap/>
            <w:hideMark/>
          </w:tcPr>
          <w:p w14:paraId="750A14E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27393</w:t>
            </w:r>
          </w:p>
        </w:tc>
        <w:tc>
          <w:tcPr>
            <w:tcW w:w="709" w:type="dxa"/>
            <w:tcBorders>
              <w:top w:val="nil"/>
              <w:left w:val="nil"/>
              <w:bottom w:val="single" w:sz="4" w:space="0" w:color="auto"/>
              <w:right w:val="single" w:sz="8" w:space="0" w:color="auto"/>
            </w:tcBorders>
            <w:shd w:val="clear" w:color="000000" w:fill="FFFFFF"/>
            <w:noWrap/>
            <w:hideMark/>
          </w:tcPr>
          <w:p w14:paraId="1ED10E4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0,58</w:t>
            </w:r>
          </w:p>
        </w:tc>
        <w:tc>
          <w:tcPr>
            <w:tcW w:w="567" w:type="dxa"/>
            <w:tcBorders>
              <w:top w:val="nil"/>
              <w:left w:val="nil"/>
              <w:bottom w:val="single" w:sz="4" w:space="0" w:color="auto"/>
              <w:right w:val="single" w:sz="4" w:space="0" w:color="auto"/>
            </w:tcBorders>
            <w:shd w:val="clear" w:color="000000" w:fill="FFFFFF"/>
            <w:noWrap/>
            <w:hideMark/>
          </w:tcPr>
          <w:p w14:paraId="551CA4C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287</w:t>
            </w:r>
          </w:p>
        </w:tc>
        <w:tc>
          <w:tcPr>
            <w:tcW w:w="709" w:type="dxa"/>
            <w:tcBorders>
              <w:top w:val="nil"/>
              <w:left w:val="nil"/>
              <w:bottom w:val="single" w:sz="4" w:space="0" w:color="auto"/>
              <w:right w:val="single" w:sz="8" w:space="0" w:color="auto"/>
            </w:tcBorders>
            <w:shd w:val="clear" w:color="000000" w:fill="FFFFFF"/>
            <w:noWrap/>
            <w:hideMark/>
          </w:tcPr>
          <w:p w14:paraId="46E99BD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0,54</w:t>
            </w:r>
          </w:p>
        </w:tc>
        <w:tc>
          <w:tcPr>
            <w:tcW w:w="850" w:type="dxa"/>
            <w:tcBorders>
              <w:top w:val="nil"/>
              <w:left w:val="nil"/>
              <w:bottom w:val="single" w:sz="4" w:space="0" w:color="auto"/>
              <w:right w:val="single" w:sz="4" w:space="0" w:color="auto"/>
            </w:tcBorders>
            <w:shd w:val="clear" w:color="000000" w:fill="FFFFFF"/>
            <w:noWrap/>
            <w:hideMark/>
          </w:tcPr>
          <w:p w14:paraId="0B0B65A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4F46E75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E25FF9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42CB684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106B26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75,33</w:t>
            </w:r>
          </w:p>
        </w:tc>
        <w:tc>
          <w:tcPr>
            <w:tcW w:w="851" w:type="dxa"/>
            <w:tcBorders>
              <w:top w:val="nil"/>
              <w:left w:val="nil"/>
              <w:bottom w:val="single" w:sz="4" w:space="0" w:color="auto"/>
              <w:right w:val="single" w:sz="4" w:space="0" w:color="auto"/>
            </w:tcBorders>
            <w:shd w:val="clear" w:color="auto" w:fill="auto"/>
            <w:noWrap/>
            <w:hideMark/>
          </w:tcPr>
          <w:p w14:paraId="79B6D8D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0,0055</w:t>
            </w:r>
          </w:p>
        </w:tc>
        <w:tc>
          <w:tcPr>
            <w:tcW w:w="1134" w:type="dxa"/>
            <w:tcBorders>
              <w:top w:val="nil"/>
              <w:left w:val="nil"/>
              <w:bottom w:val="single" w:sz="4" w:space="0" w:color="auto"/>
              <w:right w:val="single" w:sz="4" w:space="0" w:color="auto"/>
            </w:tcBorders>
            <w:shd w:val="clear" w:color="000000" w:fill="C6E0B4"/>
            <w:noWrap/>
            <w:hideMark/>
          </w:tcPr>
          <w:p w14:paraId="76A999D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1.502.791</w:t>
            </w:r>
          </w:p>
        </w:tc>
        <w:tc>
          <w:tcPr>
            <w:tcW w:w="992" w:type="dxa"/>
            <w:tcBorders>
              <w:top w:val="nil"/>
              <w:left w:val="nil"/>
              <w:bottom w:val="single" w:sz="4" w:space="0" w:color="auto"/>
              <w:right w:val="single" w:sz="4" w:space="0" w:color="auto"/>
            </w:tcBorders>
            <w:shd w:val="clear" w:color="auto" w:fill="auto"/>
            <w:noWrap/>
            <w:hideMark/>
          </w:tcPr>
          <w:p w14:paraId="637F3F3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1.289.018</w:t>
            </w:r>
          </w:p>
        </w:tc>
        <w:tc>
          <w:tcPr>
            <w:tcW w:w="567" w:type="dxa"/>
            <w:tcBorders>
              <w:top w:val="nil"/>
              <w:left w:val="nil"/>
              <w:bottom w:val="single" w:sz="4" w:space="0" w:color="auto"/>
              <w:right w:val="single" w:sz="4" w:space="0" w:color="auto"/>
            </w:tcBorders>
            <w:shd w:val="clear" w:color="auto" w:fill="auto"/>
            <w:noWrap/>
            <w:hideMark/>
          </w:tcPr>
          <w:p w14:paraId="23AA16A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116,58</w:t>
            </w:r>
          </w:p>
        </w:tc>
        <w:tc>
          <w:tcPr>
            <w:tcW w:w="850" w:type="dxa"/>
            <w:tcBorders>
              <w:top w:val="nil"/>
              <w:left w:val="nil"/>
              <w:bottom w:val="single" w:sz="4" w:space="0" w:color="auto"/>
              <w:right w:val="single" w:sz="4" w:space="0" w:color="auto"/>
            </w:tcBorders>
            <w:shd w:val="clear" w:color="auto" w:fill="auto"/>
            <w:noWrap/>
            <w:hideMark/>
          </w:tcPr>
          <w:p w14:paraId="4F33B21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1.352.512</w:t>
            </w:r>
          </w:p>
        </w:tc>
        <w:tc>
          <w:tcPr>
            <w:tcW w:w="709" w:type="dxa"/>
            <w:tcBorders>
              <w:top w:val="nil"/>
              <w:left w:val="nil"/>
              <w:bottom w:val="single" w:sz="4" w:space="0" w:color="auto"/>
              <w:right w:val="single" w:sz="8" w:space="0" w:color="auto"/>
            </w:tcBorders>
            <w:shd w:val="clear" w:color="auto" w:fill="auto"/>
            <w:noWrap/>
            <w:hideMark/>
          </w:tcPr>
          <w:p w14:paraId="0D435F9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150.279</w:t>
            </w:r>
          </w:p>
        </w:tc>
        <w:tc>
          <w:tcPr>
            <w:tcW w:w="851" w:type="dxa"/>
            <w:tcBorders>
              <w:top w:val="nil"/>
              <w:left w:val="single" w:sz="4" w:space="0" w:color="auto"/>
              <w:bottom w:val="single" w:sz="4" w:space="0" w:color="auto"/>
              <w:right w:val="single" w:sz="4" w:space="0" w:color="auto"/>
            </w:tcBorders>
            <w:shd w:val="clear" w:color="auto" w:fill="auto"/>
            <w:noWrap/>
            <w:hideMark/>
          </w:tcPr>
          <w:p w14:paraId="6CB6F1C7" w14:textId="29E118B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49.374</w:t>
            </w:r>
          </w:p>
        </w:tc>
      </w:tr>
      <w:tr w:rsidR="005C332D" w:rsidRPr="003F6E51" w14:paraId="093E00A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EE0631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20</w:t>
            </w:r>
          </w:p>
        </w:tc>
        <w:tc>
          <w:tcPr>
            <w:tcW w:w="2213" w:type="dxa"/>
            <w:tcBorders>
              <w:top w:val="nil"/>
              <w:left w:val="single" w:sz="8" w:space="0" w:color="auto"/>
              <w:bottom w:val="single" w:sz="4" w:space="0" w:color="auto"/>
              <w:right w:val="single" w:sz="8" w:space="0" w:color="auto"/>
            </w:tcBorders>
            <w:shd w:val="clear" w:color="auto" w:fill="auto"/>
            <w:noWrap/>
            <w:hideMark/>
          </w:tcPr>
          <w:p w14:paraId="51464FB5"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ČAJETINA</w:t>
            </w:r>
          </w:p>
        </w:tc>
        <w:tc>
          <w:tcPr>
            <w:tcW w:w="850" w:type="dxa"/>
            <w:tcBorders>
              <w:top w:val="nil"/>
              <w:left w:val="nil"/>
              <w:bottom w:val="single" w:sz="4" w:space="0" w:color="auto"/>
              <w:right w:val="single" w:sz="4" w:space="0" w:color="auto"/>
            </w:tcBorders>
            <w:shd w:val="clear" w:color="000000" w:fill="FFFFFF"/>
            <w:noWrap/>
            <w:hideMark/>
          </w:tcPr>
          <w:p w14:paraId="116CB13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14620</w:t>
            </w:r>
          </w:p>
        </w:tc>
        <w:tc>
          <w:tcPr>
            <w:tcW w:w="709" w:type="dxa"/>
            <w:tcBorders>
              <w:top w:val="nil"/>
              <w:left w:val="nil"/>
              <w:bottom w:val="single" w:sz="4" w:space="0" w:color="auto"/>
              <w:right w:val="single" w:sz="8" w:space="0" w:color="auto"/>
            </w:tcBorders>
            <w:shd w:val="clear" w:color="000000" w:fill="FFFFFF"/>
            <w:noWrap/>
            <w:hideMark/>
          </w:tcPr>
          <w:p w14:paraId="11D84C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0,31</w:t>
            </w:r>
          </w:p>
        </w:tc>
        <w:tc>
          <w:tcPr>
            <w:tcW w:w="567" w:type="dxa"/>
            <w:tcBorders>
              <w:top w:val="nil"/>
              <w:left w:val="nil"/>
              <w:bottom w:val="single" w:sz="4" w:space="0" w:color="auto"/>
              <w:right w:val="single" w:sz="4" w:space="0" w:color="auto"/>
            </w:tcBorders>
            <w:shd w:val="clear" w:color="000000" w:fill="FFFFFF"/>
            <w:noWrap/>
            <w:hideMark/>
          </w:tcPr>
          <w:p w14:paraId="3209ED7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647</w:t>
            </w:r>
          </w:p>
        </w:tc>
        <w:tc>
          <w:tcPr>
            <w:tcW w:w="709" w:type="dxa"/>
            <w:tcBorders>
              <w:top w:val="nil"/>
              <w:left w:val="nil"/>
              <w:bottom w:val="single" w:sz="4" w:space="0" w:color="auto"/>
              <w:right w:val="single" w:sz="8" w:space="0" w:color="auto"/>
            </w:tcBorders>
            <w:shd w:val="clear" w:color="000000" w:fill="FFFFFF"/>
            <w:noWrap/>
            <w:hideMark/>
          </w:tcPr>
          <w:p w14:paraId="41E6C72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1,21</w:t>
            </w:r>
          </w:p>
        </w:tc>
        <w:tc>
          <w:tcPr>
            <w:tcW w:w="850" w:type="dxa"/>
            <w:tcBorders>
              <w:top w:val="nil"/>
              <w:left w:val="nil"/>
              <w:bottom w:val="single" w:sz="4" w:space="0" w:color="auto"/>
              <w:right w:val="single" w:sz="4" w:space="0" w:color="auto"/>
            </w:tcBorders>
            <w:shd w:val="clear" w:color="000000" w:fill="FFFFFF"/>
            <w:noWrap/>
            <w:hideMark/>
          </w:tcPr>
          <w:p w14:paraId="4D7287A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3DCB91E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5A9EC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22E91F1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45B377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69,41</w:t>
            </w:r>
          </w:p>
        </w:tc>
        <w:tc>
          <w:tcPr>
            <w:tcW w:w="851" w:type="dxa"/>
            <w:tcBorders>
              <w:top w:val="nil"/>
              <w:left w:val="nil"/>
              <w:bottom w:val="single" w:sz="4" w:space="0" w:color="auto"/>
              <w:right w:val="single" w:sz="4" w:space="0" w:color="auto"/>
            </w:tcBorders>
            <w:shd w:val="clear" w:color="auto" w:fill="auto"/>
            <w:noWrap/>
            <w:hideMark/>
          </w:tcPr>
          <w:p w14:paraId="1A6C605F"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0,0051</w:t>
            </w:r>
          </w:p>
        </w:tc>
        <w:tc>
          <w:tcPr>
            <w:tcW w:w="1134" w:type="dxa"/>
            <w:tcBorders>
              <w:top w:val="nil"/>
              <w:left w:val="nil"/>
              <w:bottom w:val="single" w:sz="4" w:space="0" w:color="auto"/>
              <w:right w:val="single" w:sz="4" w:space="0" w:color="auto"/>
            </w:tcBorders>
            <w:shd w:val="clear" w:color="000000" w:fill="C6E0B4"/>
            <w:noWrap/>
            <w:hideMark/>
          </w:tcPr>
          <w:p w14:paraId="4AB9EB9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1.384.574</w:t>
            </w:r>
          </w:p>
        </w:tc>
        <w:tc>
          <w:tcPr>
            <w:tcW w:w="992" w:type="dxa"/>
            <w:tcBorders>
              <w:top w:val="nil"/>
              <w:left w:val="nil"/>
              <w:bottom w:val="single" w:sz="4" w:space="0" w:color="auto"/>
              <w:right w:val="single" w:sz="4" w:space="0" w:color="auto"/>
            </w:tcBorders>
            <w:shd w:val="clear" w:color="auto" w:fill="auto"/>
            <w:noWrap/>
            <w:hideMark/>
          </w:tcPr>
          <w:p w14:paraId="598EBE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6.277.929</w:t>
            </w:r>
          </w:p>
        </w:tc>
        <w:tc>
          <w:tcPr>
            <w:tcW w:w="567" w:type="dxa"/>
            <w:tcBorders>
              <w:top w:val="nil"/>
              <w:left w:val="nil"/>
              <w:bottom w:val="single" w:sz="4" w:space="0" w:color="auto"/>
              <w:right w:val="single" w:sz="4" w:space="0" w:color="auto"/>
            </w:tcBorders>
            <w:shd w:val="clear" w:color="auto" w:fill="auto"/>
            <w:noWrap/>
            <w:hideMark/>
          </w:tcPr>
          <w:p w14:paraId="5441DB4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22,05</w:t>
            </w:r>
          </w:p>
        </w:tc>
        <w:tc>
          <w:tcPr>
            <w:tcW w:w="850" w:type="dxa"/>
            <w:tcBorders>
              <w:top w:val="nil"/>
              <w:left w:val="nil"/>
              <w:bottom w:val="single" w:sz="4" w:space="0" w:color="auto"/>
              <w:right w:val="single" w:sz="4" w:space="0" w:color="auto"/>
            </w:tcBorders>
            <w:shd w:val="clear" w:color="auto" w:fill="auto"/>
            <w:noWrap/>
            <w:hideMark/>
          </w:tcPr>
          <w:p w14:paraId="7D863E2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1.246.117</w:t>
            </w:r>
          </w:p>
        </w:tc>
        <w:tc>
          <w:tcPr>
            <w:tcW w:w="709" w:type="dxa"/>
            <w:tcBorders>
              <w:top w:val="nil"/>
              <w:left w:val="nil"/>
              <w:bottom w:val="single" w:sz="4" w:space="0" w:color="auto"/>
              <w:right w:val="single" w:sz="8" w:space="0" w:color="auto"/>
            </w:tcBorders>
            <w:shd w:val="clear" w:color="auto" w:fill="auto"/>
            <w:noWrap/>
            <w:hideMark/>
          </w:tcPr>
          <w:p w14:paraId="220B7F0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138.457</w:t>
            </w:r>
          </w:p>
        </w:tc>
        <w:tc>
          <w:tcPr>
            <w:tcW w:w="851" w:type="dxa"/>
            <w:tcBorders>
              <w:top w:val="nil"/>
              <w:left w:val="single" w:sz="4" w:space="0" w:color="auto"/>
              <w:bottom w:val="single" w:sz="4" w:space="0" w:color="auto"/>
              <w:right w:val="single" w:sz="4" w:space="0" w:color="auto"/>
            </w:tcBorders>
            <w:shd w:val="clear" w:color="auto" w:fill="auto"/>
            <w:noWrap/>
            <w:hideMark/>
          </w:tcPr>
          <w:p w14:paraId="2E157BE0" w14:textId="3B7DF4C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85.234</w:t>
            </w:r>
          </w:p>
        </w:tc>
      </w:tr>
      <w:tr w:rsidR="005C332D" w:rsidRPr="003F6E51" w14:paraId="5204D79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AAC4DC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21</w:t>
            </w:r>
          </w:p>
        </w:tc>
        <w:tc>
          <w:tcPr>
            <w:tcW w:w="2213" w:type="dxa"/>
            <w:tcBorders>
              <w:top w:val="nil"/>
              <w:left w:val="single" w:sz="8" w:space="0" w:color="auto"/>
              <w:bottom w:val="single" w:sz="4" w:space="0" w:color="auto"/>
              <w:right w:val="single" w:sz="8" w:space="0" w:color="auto"/>
            </w:tcBorders>
            <w:shd w:val="clear" w:color="auto" w:fill="auto"/>
            <w:noWrap/>
            <w:hideMark/>
          </w:tcPr>
          <w:p w14:paraId="2F2FB058"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DESPOTOVAC</w:t>
            </w:r>
          </w:p>
        </w:tc>
        <w:tc>
          <w:tcPr>
            <w:tcW w:w="850" w:type="dxa"/>
            <w:tcBorders>
              <w:top w:val="nil"/>
              <w:left w:val="nil"/>
              <w:bottom w:val="single" w:sz="4" w:space="0" w:color="auto"/>
              <w:right w:val="single" w:sz="4" w:space="0" w:color="auto"/>
            </w:tcBorders>
            <w:shd w:val="clear" w:color="000000" w:fill="FFFFFF"/>
            <w:noWrap/>
            <w:hideMark/>
          </w:tcPr>
          <w:p w14:paraId="538CE18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19792</w:t>
            </w:r>
          </w:p>
        </w:tc>
        <w:tc>
          <w:tcPr>
            <w:tcW w:w="709" w:type="dxa"/>
            <w:tcBorders>
              <w:top w:val="nil"/>
              <w:left w:val="nil"/>
              <w:bottom w:val="single" w:sz="4" w:space="0" w:color="auto"/>
              <w:right w:val="single" w:sz="8" w:space="0" w:color="auto"/>
            </w:tcBorders>
            <w:shd w:val="clear" w:color="000000" w:fill="FFFFFF"/>
            <w:noWrap/>
            <w:hideMark/>
          </w:tcPr>
          <w:p w14:paraId="5EB4F5C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0,42</w:t>
            </w:r>
          </w:p>
        </w:tc>
        <w:tc>
          <w:tcPr>
            <w:tcW w:w="567" w:type="dxa"/>
            <w:tcBorders>
              <w:top w:val="nil"/>
              <w:left w:val="nil"/>
              <w:bottom w:val="single" w:sz="4" w:space="0" w:color="auto"/>
              <w:right w:val="single" w:sz="4" w:space="0" w:color="auto"/>
            </w:tcBorders>
            <w:shd w:val="clear" w:color="000000" w:fill="FFFFFF"/>
            <w:noWrap/>
            <w:hideMark/>
          </w:tcPr>
          <w:p w14:paraId="5F457ED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623</w:t>
            </w:r>
          </w:p>
        </w:tc>
        <w:tc>
          <w:tcPr>
            <w:tcW w:w="709" w:type="dxa"/>
            <w:tcBorders>
              <w:top w:val="nil"/>
              <w:left w:val="nil"/>
              <w:bottom w:val="single" w:sz="4" w:space="0" w:color="auto"/>
              <w:right w:val="single" w:sz="8" w:space="0" w:color="auto"/>
            </w:tcBorders>
            <w:shd w:val="clear" w:color="000000" w:fill="FFFFFF"/>
            <w:noWrap/>
            <w:hideMark/>
          </w:tcPr>
          <w:p w14:paraId="081F52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1,16</w:t>
            </w:r>
          </w:p>
        </w:tc>
        <w:tc>
          <w:tcPr>
            <w:tcW w:w="850" w:type="dxa"/>
            <w:tcBorders>
              <w:top w:val="nil"/>
              <w:left w:val="nil"/>
              <w:bottom w:val="single" w:sz="4" w:space="0" w:color="auto"/>
              <w:right w:val="single" w:sz="4" w:space="0" w:color="auto"/>
            </w:tcBorders>
            <w:shd w:val="clear" w:color="000000" w:fill="FFFFFF"/>
            <w:noWrap/>
            <w:hideMark/>
          </w:tcPr>
          <w:p w14:paraId="34BDF62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6988F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5D76B6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4440B16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00E190F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85,44</w:t>
            </w:r>
          </w:p>
        </w:tc>
        <w:tc>
          <w:tcPr>
            <w:tcW w:w="851" w:type="dxa"/>
            <w:tcBorders>
              <w:top w:val="nil"/>
              <w:left w:val="nil"/>
              <w:bottom w:val="single" w:sz="4" w:space="0" w:color="auto"/>
              <w:right w:val="single" w:sz="4" w:space="0" w:color="auto"/>
            </w:tcBorders>
            <w:shd w:val="clear" w:color="auto" w:fill="auto"/>
            <w:noWrap/>
            <w:hideMark/>
          </w:tcPr>
          <w:p w14:paraId="6883D69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0,0063</w:t>
            </w:r>
          </w:p>
        </w:tc>
        <w:tc>
          <w:tcPr>
            <w:tcW w:w="1134" w:type="dxa"/>
            <w:tcBorders>
              <w:top w:val="nil"/>
              <w:left w:val="nil"/>
              <w:bottom w:val="single" w:sz="4" w:space="0" w:color="auto"/>
              <w:right w:val="single" w:sz="4" w:space="0" w:color="auto"/>
            </w:tcBorders>
            <w:shd w:val="clear" w:color="000000" w:fill="C6E0B4"/>
            <w:noWrap/>
            <w:hideMark/>
          </w:tcPr>
          <w:p w14:paraId="24CCE7F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1.704.407</w:t>
            </w:r>
          </w:p>
        </w:tc>
        <w:tc>
          <w:tcPr>
            <w:tcW w:w="992" w:type="dxa"/>
            <w:tcBorders>
              <w:top w:val="nil"/>
              <w:left w:val="nil"/>
              <w:bottom w:val="single" w:sz="4" w:space="0" w:color="auto"/>
              <w:right w:val="single" w:sz="4" w:space="0" w:color="auto"/>
            </w:tcBorders>
            <w:shd w:val="clear" w:color="auto" w:fill="auto"/>
            <w:noWrap/>
            <w:hideMark/>
          </w:tcPr>
          <w:p w14:paraId="63EB534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701.124</w:t>
            </w:r>
          </w:p>
        </w:tc>
        <w:tc>
          <w:tcPr>
            <w:tcW w:w="567" w:type="dxa"/>
            <w:tcBorders>
              <w:top w:val="nil"/>
              <w:left w:val="nil"/>
              <w:bottom w:val="single" w:sz="4" w:space="0" w:color="auto"/>
              <w:right w:val="single" w:sz="4" w:space="0" w:color="auto"/>
            </w:tcBorders>
            <w:shd w:val="clear" w:color="auto" w:fill="auto"/>
            <w:noWrap/>
            <w:hideMark/>
          </w:tcPr>
          <w:p w14:paraId="55E7C51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243,10</w:t>
            </w:r>
          </w:p>
        </w:tc>
        <w:tc>
          <w:tcPr>
            <w:tcW w:w="850" w:type="dxa"/>
            <w:tcBorders>
              <w:top w:val="nil"/>
              <w:left w:val="nil"/>
              <w:bottom w:val="single" w:sz="4" w:space="0" w:color="auto"/>
              <w:right w:val="single" w:sz="4" w:space="0" w:color="auto"/>
            </w:tcBorders>
            <w:shd w:val="clear" w:color="auto" w:fill="auto"/>
            <w:noWrap/>
            <w:hideMark/>
          </w:tcPr>
          <w:p w14:paraId="37817A9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1.533.966</w:t>
            </w:r>
          </w:p>
        </w:tc>
        <w:tc>
          <w:tcPr>
            <w:tcW w:w="709" w:type="dxa"/>
            <w:tcBorders>
              <w:top w:val="nil"/>
              <w:left w:val="nil"/>
              <w:bottom w:val="single" w:sz="4" w:space="0" w:color="auto"/>
              <w:right w:val="single" w:sz="8" w:space="0" w:color="auto"/>
            </w:tcBorders>
            <w:shd w:val="clear" w:color="auto" w:fill="auto"/>
            <w:noWrap/>
            <w:hideMark/>
          </w:tcPr>
          <w:p w14:paraId="7D49E91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170.441</w:t>
            </w:r>
          </w:p>
        </w:tc>
        <w:tc>
          <w:tcPr>
            <w:tcW w:w="851" w:type="dxa"/>
            <w:tcBorders>
              <w:top w:val="nil"/>
              <w:left w:val="single" w:sz="4" w:space="0" w:color="auto"/>
              <w:bottom w:val="single" w:sz="4" w:space="0" w:color="auto"/>
              <w:right w:val="single" w:sz="4" w:space="0" w:color="auto"/>
            </w:tcBorders>
            <w:shd w:val="clear" w:color="auto" w:fill="auto"/>
            <w:noWrap/>
            <w:hideMark/>
          </w:tcPr>
          <w:p w14:paraId="17812F6B" w14:textId="6A2551E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77.504</w:t>
            </w:r>
          </w:p>
        </w:tc>
      </w:tr>
      <w:tr w:rsidR="005C332D" w:rsidRPr="003F6E51" w14:paraId="2BBCFA3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ECF8CC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w:t>
            </w:r>
          </w:p>
        </w:tc>
        <w:tc>
          <w:tcPr>
            <w:tcW w:w="2213" w:type="dxa"/>
            <w:tcBorders>
              <w:top w:val="nil"/>
              <w:left w:val="single" w:sz="8" w:space="0" w:color="auto"/>
              <w:bottom w:val="single" w:sz="4" w:space="0" w:color="auto"/>
              <w:right w:val="single" w:sz="8" w:space="0" w:color="auto"/>
            </w:tcBorders>
            <w:shd w:val="clear" w:color="auto" w:fill="auto"/>
            <w:noWrap/>
            <w:hideMark/>
          </w:tcPr>
          <w:p w14:paraId="1B588EB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DIMITROVGRAD</w:t>
            </w:r>
          </w:p>
        </w:tc>
        <w:tc>
          <w:tcPr>
            <w:tcW w:w="850" w:type="dxa"/>
            <w:tcBorders>
              <w:top w:val="nil"/>
              <w:left w:val="nil"/>
              <w:bottom w:val="single" w:sz="4" w:space="0" w:color="auto"/>
              <w:right w:val="single" w:sz="4" w:space="0" w:color="auto"/>
            </w:tcBorders>
            <w:shd w:val="clear" w:color="000000" w:fill="FFFFFF"/>
            <w:noWrap/>
            <w:hideMark/>
          </w:tcPr>
          <w:p w14:paraId="2F6846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8944</w:t>
            </w:r>
          </w:p>
        </w:tc>
        <w:tc>
          <w:tcPr>
            <w:tcW w:w="709" w:type="dxa"/>
            <w:tcBorders>
              <w:top w:val="nil"/>
              <w:left w:val="nil"/>
              <w:bottom w:val="single" w:sz="4" w:space="0" w:color="auto"/>
              <w:right w:val="single" w:sz="8" w:space="0" w:color="auto"/>
            </w:tcBorders>
            <w:shd w:val="clear" w:color="000000" w:fill="FFFFFF"/>
            <w:noWrap/>
            <w:hideMark/>
          </w:tcPr>
          <w:p w14:paraId="4E6AEFF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0,19</w:t>
            </w:r>
          </w:p>
        </w:tc>
        <w:tc>
          <w:tcPr>
            <w:tcW w:w="567" w:type="dxa"/>
            <w:tcBorders>
              <w:top w:val="nil"/>
              <w:left w:val="nil"/>
              <w:bottom w:val="single" w:sz="4" w:space="0" w:color="auto"/>
              <w:right w:val="single" w:sz="4" w:space="0" w:color="auto"/>
            </w:tcBorders>
            <w:shd w:val="clear" w:color="000000" w:fill="FFFFFF"/>
            <w:noWrap/>
            <w:hideMark/>
          </w:tcPr>
          <w:p w14:paraId="7784061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483</w:t>
            </w:r>
          </w:p>
        </w:tc>
        <w:tc>
          <w:tcPr>
            <w:tcW w:w="709" w:type="dxa"/>
            <w:tcBorders>
              <w:top w:val="nil"/>
              <w:left w:val="nil"/>
              <w:bottom w:val="single" w:sz="4" w:space="0" w:color="auto"/>
              <w:right w:val="single" w:sz="8" w:space="0" w:color="auto"/>
            </w:tcBorders>
            <w:shd w:val="clear" w:color="000000" w:fill="FFFFFF"/>
            <w:noWrap/>
            <w:hideMark/>
          </w:tcPr>
          <w:p w14:paraId="1EEB28E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850" w:type="dxa"/>
            <w:tcBorders>
              <w:top w:val="nil"/>
              <w:left w:val="nil"/>
              <w:bottom w:val="single" w:sz="4" w:space="0" w:color="auto"/>
              <w:right w:val="single" w:sz="4" w:space="0" w:color="auto"/>
            </w:tcBorders>
            <w:shd w:val="clear" w:color="000000" w:fill="FFFFFF"/>
            <w:noWrap/>
            <w:hideMark/>
          </w:tcPr>
          <w:p w14:paraId="3E8DF45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66E2E10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28DFB15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8A2603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78521E7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81,85</w:t>
            </w:r>
          </w:p>
        </w:tc>
        <w:tc>
          <w:tcPr>
            <w:tcW w:w="851" w:type="dxa"/>
            <w:tcBorders>
              <w:top w:val="nil"/>
              <w:left w:val="nil"/>
              <w:bottom w:val="single" w:sz="4" w:space="0" w:color="auto"/>
              <w:right w:val="single" w:sz="4" w:space="0" w:color="auto"/>
            </w:tcBorders>
            <w:shd w:val="clear" w:color="auto" w:fill="auto"/>
            <w:noWrap/>
            <w:hideMark/>
          </w:tcPr>
          <w:p w14:paraId="0168423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0,0060</w:t>
            </w:r>
          </w:p>
        </w:tc>
        <w:tc>
          <w:tcPr>
            <w:tcW w:w="1134" w:type="dxa"/>
            <w:tcBorders>
              <w:top w:val="nil"/>
              <w:left w:val="nil"/>
              <w:bottom w:val="single" w:sz="4" w:space="0" w:color="auto"/>
              <w:right w:val="single" w:sz="4" w:space="0" w:color="auto"/>
            </w:tcBorders>
            <w:shd w:val="clear" w:color="000000" w:fill="C6E0B4"/>
            <w:noWrap/>
            <w:hideMark/>
          </w:tcPr>
          <w:p w14:paraId="17C19A5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1.632.860</w:t>
            </w:r>
          </w:p>
        </w:tc>
        <w:tc>
          <w:tcPr>
            <w:tcW w:w="992" w:type="dxa"/>
            <w:tcBorders>
              <w:top w:val="nil"/>
              <w:left w:val="nil"/>
              <w:bottom w:val="single" w:sz="4" w:space="0" w:color="auto"/>
              <w:right w:val="single" w:sz="4" w:space="0" w:color="auto"/>
            </w:tcBorders>
            <w:shd w:val="clear" w:color="auto" w:fill="auto"/>
            <w:noWrap/>
            <w:hideMark/>
          </w:tcPr>
          <w:p w14:paraId="794ACB5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876.156</w:t>
            </w:r>
          </w:p>
        </w:tc>
        <w:tc>
          <w:tcPr>
            <w:tcW w:w="567" w:type="dxa"/>
            <w:tcBorders>
              <w:top w:val="nil"/>
              <w:left w:val="nil"/>
              <w:bottom w:val="single" w:sz="4" w:space="0" w:color="auto"/>
              <w:right w:val="single" w:sz="4" w:space="0" w:color="auto"/>
            </w:tcBorders>
            <w:shd w:val="clear" w:color="auto" w:fill="auto"/>
            <w:noWrap/>
            <w:hideMark/>
          </w:tcPr>
          <w:p w14:paraId="4567450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186,37</w:t>
            </w:r>
          </w:p>
        </w:tc>
        <w:tc>
          <w:tcPr>
            <w:tcW w:w="850" w:type="dxa"/>
            <w:tcBorders>
              <w:top w:val="nil"/>
              <w:left w:val="nil"/>
              <w:bottom w:val="single" w:sz="4" w:space="0" w:color="auto"/>
              <w:right w:val="single" w:sz="4" w:space="0" w:color="auto"/>
            </w:tcBorders>
            <w:shd w:val="clear" w:color="auto" w:fill="auto"/>
            <w:noWrap/>
            <w:hideMark/>
          </w:tcPr>
          <w:p w14:paraId="25D0B24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1.469.574</w:t>
            </w:r>
          </w:p>
        </w:tc>
        <w:tc>
          <w:tcPr>
            <w:tcW w:w="709" w:type="dxa"/>
            <w:tcBorders>
              <w:top w:val="nil"/>
              <w:left w:val="nil"/>
              <w:bottom w:val="single" w:sz="4" w:space="0" w:color="auto"/>
              <w:right w:val="single" w:sz="8" w:space="0" w:color="auto"/>
            </w:tcBorders>
            <w:shd w:val="clear" w:color="auto" w:fill="auto"/>
            <w:noWrap/>
            <w:hideMark/>
          </w:tcPr>
          <w:p w14:paraId="525339B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163.286</w:t>
            </w:r>
          </w:p>
        </w:tc>
        <w:tc>
          <w:tcPr>
            <w:tcW w:w="851" w:type="dxa"/>
            <w:tcBorders>
              <w:top w:val="nil"/>
              <w:left w:val="single" w:sz="4" w:space="0" w:color="auto"/>
              <w:bottom w:val="single" w:sz="4" w:space="0" w:color="auto"/>
              <w:right w:val="single" w:sz="4" w:space="0" w:color="auto"/>
            </w:tcBorders>
            <w:shd w:val="clear" w:color="auto" w:fill="auto"/>
            <w:noWrap/>
            <w:hideMark/>
          </w:tcPr>
          <w:p w14:paraId="5DDABE22" w14:textId="410D797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164.308</w:t>
            </w:r>
          </w:p>
        </w:tc>
      </w:tr>
      <w:tr w:rsidR="005C332D" w:rsidRPr="003F6E51" w14:paraId="4A79CB9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BD7DDF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w:t>
            </w:r>
          </w:p>
        </w:tc>
        <w:tc>
          <w:tcPr>
            <w:tcW w:w="2213" w:type="dxa"/>
            <w:tcBorders>
              <w:top w:val="nil"/>
              <w:left w:val="single" w:sz="8" w:space="0" w:color="auto"/>
              <w:bottom w:val="single" w:sz="4" w:space="0" w:color="auto"/>
              <w:right w:val="single" w:sz="8" w:space="0" w:color="auto"/>
            </w:tcBorders>
            <w:shd w:val="clear" w:color="auto" w:fill="auto"/>
            <w:noWrap/>
            <w:hideMark/>
          </w:tcPr>
          <w:p w14:paraId="736BC36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DOLJEVAC</w:t>
            </w:r>
          </w:p>
        </w:tc>
        <w:tc>
          <w:tcPr>
            <w:tcW w:w="850" w:type="dxa"/>
            <w:tcBorders>
              <w:top w:val="nil"/>
              <w:left w:val="nil"/>
              <w:bottom w:val="single" w:sz="4" w:space="0" w:color="auto"/>
              <w:right w:val="single" w:sz="4" w:space="0" w:color="auto"/>
            </w:tcBorders>
            <w:shd w:val="clear" w:color="000000" w:fill="FFFFFF"/>
            <w:noWrap/>
            <w:hideMark/>
          </w:tcPr>
          <w:p w14:paraId="0833D20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17690</w:t>
            </w:r>
          </w:p>
        </w:tc>
        <w:tc>
          <w:tcPr>
            <w:tcW w:w="709" w:type="dxa"/>
            <w:tcBorders>
              <w:top w:val="nil"/>
              <w:left w:val="nil"/>
              <w:bottom w:val="single" w:sz="4" w:space="0" w:color="auto"/>
              <w:right w:val="single" w:sz="8" w:space="0" w:color="auto"/>
            </w:tcBorders>
            <w:shd w:val="clear" w:color="000000" w:fill="FFFFFF"/>
            <w:noWrap/>
            <w:hideMark/>
          </w:tcPr>
          <w:p w14:paraId="470D5C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0,37</w:t>
            </w:r>
          </w:p>
        </w:tc>
        <w:tc>
          <w:tcPr>
            <w:tcW w:w="567" w:type="dxa"/>
            <w:tcBorders>
              <w:top w:val="nil"/>
              <w:left w:val="nil"/>
              <w:bottom w:val="single" w:sz="4" w:space="0" w:color="auto"/>
              <w:right w:val="single" w:sz="4" w:space="0" w:color="auto"/>
            </w:tcBorders>
            <w:shd w:val="clear" w:color="000000" w:fill="FFFFFF"/>
            <w:noWrap/>
            <w:hideMark/>
          </w:tcPr>
          <w:p w14:paraId="66ABA4B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121</w:t>
            </w:r>
          </w:p>
        </w:tc>
        <w:tc>
          <w:tcPr>
            <w:tcW w:w="709" w:type="dxa"/>
            <w:tcBorders>
              <w:top w:val="nil"/>
              <w:left w:val="nil"/>
              <w:bottom w:val="single" w:sz="4" w:space="0" w:color="auto"/>
              <w:right w:val="single" w:sz="8" w:space="0" w:color="auto"/>
            </w:tcBorders>
            <w:shd w:val="clear" w:color="000000" w:fill="FFFFFF"/>
            <w:noWrap/>
            <w:hideMark/>
          </w:tcPr>
          <w:p w14:paraId="61DAC31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850" w:type="dxa"/>
            <w:tcBorders>
              <w:top w:val="nil"/>
              <w:left w:val="nil"/>
              <w:bottom w:val="single" w:sz="4" w:space="0" w:color="auto"/>
              <w:right w:val="single" w:sz="4" w:space="0" w:color="auto"/>
            </w:tcBorders>
            <w:shd w:val="clear" w:color="000000" w:fill="FFFFFF"/>
            <w:noWrap/>
            <w:hideMark/>
          </w:tcPr>
          <w:p w14:paraId="207B358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31C2472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0530705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2E52BD4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373345E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72,41</w:t>
            </w:r>
          </w:p>
        </w:tc>
        <w:tc>
          <w:tcPr>
            <w:tcW w:w="851" w:type="dxa"/>
            <w:tcBorders>
              <w:top w:val="nil"/>
              <w:left w:val="nil"/>
              <w:bottom w:val="single" w:sz="4" w:space="0" w:color="auto"/>
              <w:right w:val="single" w:sz="4" w:space="0" w:color="auto"/>
            </w:tcBorders>
            <w:shd w:val="clear" w:color="auto" w:fill="auto"/>
            <w:noWrap/>
            <w:hideMark/>
          </w:tcPr>
          <w:p w14:paraId="450E4A5F"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0,0053</w:t>
            </w:r>
          </w:p>
        </w:tc>
        <w:tc>
          <w:tcPr>
            <w:tcW w:w="1134" w:type="dxa"/>
            <w:tcBorders>
              <w:top w:val="nil"/>
              <w:left w:val="nil"/>
              <w:bottom w:val="single" w:sz="4" w:space="0" w:color="auto"/>
              <w:right w:val="single" w:sz="4" w:space="0" w:color="auto"/>
            </w:tcBorders>
            <w:shd w:val="clear" w:color="000000" w:fill="C6E0B4"/>
            <w:noWrap/>
            <w:hideMark/>
          </w:tcPr>
          <w:p w14:paraId="5047FDF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1.444.465</w:t>
            </w:r>
          </w:p>
        </w:tc>
        <w:tc>
          <w:tcPr>
            <w:tcW w:w="992" w:type="dxa"/>
            <w:tcBorders>
              <w:top w:val="nil"/>
              <w:left w:val="nil"/>
              <w:bottom w:val="single" w:sz="4" w:space="0" w:color="auto"/>
              <w:right w:val="single" w:sz="4" w:space="0" w:color="auto"/>
            </w:tcBorders>
            <w:shd w:val="clear" w:color="auto" w:fill="auto"/>
            <w:noWrap/>
            <w:hideMark/>
          </w:tcPr>
          <w:p w14:paraId="74E6FCA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924.053</w:t>
            </w:r>
          </w:p>
        </w:tc>
        <w:tc>
          <w:tcPr>
            <w:tcW w:w="567" w:type="dxa"/>
            <w:tcBorders>
              <w:top w:val="nil"/>
              <w:left w:val="nil"/>
              <w:bottom w:val="single" w:sz="4" w:space="0" w:color="auto"/>
              <w:right w:val="single" w:sz="4" w:space="0" w:color="auto"/>
            </w:tcBorders>
            <w:shd w:val="clear" w:color="auto" w:fill="auto"/>
            <w:noWrap/>
            <w:hideMark/>
          </w:tcPr>
          <w:p w14:paraId="5C78035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156,32</w:t>
            </w:r>
          </w:p>
        </w:tc>
        <w:tc>
          <w:tcPr>
            <w:tcW w:w="850" w:type="dxa"/>
            <w:tcBorders>
              <w:top w:val="nil"/>
              <w:left w:val="nil"/>
              <w:bottom w:val="single" w:sz="4" w:space="0" w:color="auto"/>
              <w:right w:val="single" w:sz="4" w:space="0" w:color="auto"/>
            </w:tcBorders>
            <w:shd w:val="clear" w:color="auto" w:fill="auto"/>
            <w:noWrap/>
            <w:hideMark/>
          </w:tcPr>
          <w:p w14:paraId="0324E49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1.300.019</w:t>
            </w:r>
          </w:p>
        </w:tc>
        <w:tc>
          <w:tcPr>
            <w:tcW w:w="709" w:type="dxa"/>
            <w:tcBorders>
              <w:top w:val="nil"/>
              <w:left w:val="nil"/>
              <w:bottom w:val="single" w:sz="4" w:space="0" w:color="auto"/>
              <w:right w:val="single" w:sz="8" w:space="0" w:color="auto"/>
            </w:tcBorders>
            <w:shd w:val="clear" w:color="auto" w:fill="auto"/>
            <w:noWrap/>
            <w:hideMark/>
          </w:tcPr>
          <w:p w14:paraId="39615ED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144.447</w:t>
            </w:r>
          </w:p>
        </w:tc>
        <w:tc>
          <w:tcPr>
            <w:tcW w:w="851" w:type="dxa"/>
            <w:tcBorders>
              <w:top w:val="nil"/>
              <w:left w:val="single" w:sz="4" w:space="0" w:color="auto"/>
              <w:bottom w:val="single" w:sz="4" w:space="0" w:color="auto"/>
              <w:right w:val="single" w:sz="4" w:space="0" w:color="auto"/>
            </w:tcBorders>
            <w:shd w:val="clear" w:color="auto" w:fill="auto"/>
            <w:noWrap/>
            <w:hideMark/>
          </w:tcPr>
          <w:p w14:paraId="6780924F" w14:textId="3CF915C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73.489</w:t>
            </w:r>
          </w:p>
        </w:tc>
      </w:tr>
      <w:tr w:rsidR="005C332D" w:rsidRPr="003F6E51" w14:paraId="1DC10421"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D85745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2213" w:type="dxa"/>
            <w:tcBorders>
              <w:top w:val="nil"/>
              <w:left w:val="single" w:sz="8" w:space="0" w:color="auto"/>
              <w:bottom w:val="single" w:sz="4" w:space="0" w:color="auto"/>
              <w:right w:val="single" w:sz="8" w:space="0" w:color="auto"/>
            </w:tcBorders>
            <w:shd w:val="clear" w:color="auto" w:fill="auto"/>
            <w:noWrap/>
            <w:hideMark/>
          </w:tcPr>
          <w:p w14:paraId="43CC344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GADŽIN HAN</w:t>
            </w:r>
          </w:p>
        </w:tc>
        <w:tc>
          <w:tcPr>
            <w:tcW w:w="850" w:type="dxa"/>
            <w:tcBorders>
              <w:top w:val="nil"/>
              <w:left w:val="nil"/>
              <w:bottom w:val="single" w:sz="4" w:space="0" w:color="auto"/>
              <w:right w:val="single" w:sz="4" w:space="0" w:color="auto"/>
            </w:tcBorders>
            <w:shd w:val="clear" w:color="000000" w:fill="FFFFFF"/>
            <w:noWrap/>
            <w:hideMark/>
          </w:tcPr>
          <w:p w14:paraId="0BFF1E8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6480</w:t>
            </w:r>
          </w:p>
        </w:tc>
        <w:tc>
          <w:tcPr>
            <w:tcW w:w="709" w:type="dxa"/>
            <w:tcBorders>
              <w:top w:val="nil"/>
              <w:left w:val="nil"/>
              <w:bottom w:val="single" w:sz="4" w:space="0" w:color="auto"/>
              <w:right w:val="single" w:sz="8" w:space="0" w:color="auto"/>
            </w:tcBorders>
            <w:shd w:val="clear" w:color="000000" w:fill="FFFFFF"/>
            <w:noWrap/>
            <w:hideMark/>
          </w:tcPr>
          <w:p w14:paraId="5542EF7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0,14</w:t>
            </w:r>
          </w:p>
        </w:tc>
        <w:tc>
          <w:tcPr>
            <w:tcW w:w="567" w:type="dxa"/>
            <w:tcBorders>
              <w:top w:val="nil"/>
              <w:left w:val="nil"/>
              <w:bottom w:val="single" w:sz="4" w:space="0" w:color="auto"/>
              <w:right w:val="single" w:sz="4" w:space="0" w:color="auto"/>
            </w:tcBorders>
            <w:shd w:val="clear" w:color="000000" w:fill="FFFFFF"/>
            <w:noWrap/>
            <w:hideMark/>
          </w:tcPr>
          <w:p w14:paraId="03EA956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325</w:t>
            </w:r>
          </w:p>
        </w:tc>
        <w:tc>
          <w:tcPr>
            <w:tcW w:w="709" w:type="dxa"/>
            <w:tcBorders>
              <w:top w:val="nil"/>
              <w:left w:val="nil"/>
              <w:bottom w:val="single" w:sz="4" w:space="0" w:color="auto"/>
              <w:right w:val="single" w:sz="8" w:space="0" w:color="auto"/>
            </w:tcBorders>
            <w:shd w:val="clear" w:color="000000" w:fill="FFFFFF"/>
            <w:noWrap/>
            <w:hideMark/>
          </w:tcPr>
          <w:p w14:paraId="597382F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0,61</w:t>
            </w:r>
          </w:p>
        </w:tc>
        <w:tc>
          <w:tcPr>
            <w:tcW w:w="850" w:type="dxa"/>
            <w:tcBorders>
              <w:top w:val="nil"/>
              <w:left w:val="nil"/>
              <w:bottom w:val="single" w:sz="4" w:space="0" w:color="auto"/>
              <w:right w:val="single" w:sz="4" w:space="0" w:color="auto"/>
            </w:tcBorders>
            <w:shd w:val="clear" w:color="000000" w:fill="FFFFFF"/>
            <w:noWrap/>
            <w:hideMark/>
          </w:tcPr>
          <w:p w14:paraId="3F73133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3CB42F1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6780767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464D10D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158BD3A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73,69</w:t>
            </w:r>
          </w:p>
        </w:tc>
        <w:tc>
          <w:tcPr>
            <w:tcW w:w="851" w:type="dxa"/>
            <w:tcBorders>
              <w:top w:val="nil"/>
              <w:left w:val="nil"/>
              <w:bottom w:val="single" w:sz="4" w:space="0" w:color="auto"/>
              <w:right w:val="single" w:sz="4" w:space="0" w:color="auto"/>
            </w:tcBorders>
            <w:shd w:val="clear" w:color="auto" w:fill="auto"/>
            <w:noWrap/>
            <w:hideMark/>
          </w:tcPr>
          <w:p w14:paraId="3042CB4A"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0,0054</w:t>
            </w:r>
          </w:p>
        </w:tc>
        <w:tc>
          <w:tcPr>
            <w:tcW w:w="1134" w:type="dxa"/>
            <w:tcBorders>
              <w:top w:val="nil"/>
              <w:left w:val="nil"/>
              <w:bottom w:val="single" w:sz="4" w:space="0" w:color="auto"/>
              <w:right w:val="single" w:sz="4" w:space="0" w:color="auto"/>
            </w:tcBorders>
            <w:shd w:val="clear" w:color="000000" w:fill="C6E0B4"/>
            <w:noWrap/>
            <w:hideMark/>
          </w:tcPr>
          <w:p w14:paraId="0D7D9CC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1.470.097</w:t>
            </w:r>
          </w:p>
        </w:tc>
        <w:tc>
          <w:tcPr>
            <w:tcW w:w="992" w:type="dxa"/>
            <w:tcBorders>
              <w:top w:val="nil"/>
              <w:left w:val="nil"/>
              <w:bottom w:val="single" w:sz="4" w:space="0" w:color="auto"/>
              <w:right w:val="single" w:sz="4" w:space="0" w:color="auto"/>
            </w:tcBorders>
            <w:shd w:val="clear" w:color="auto" w:fill="auto"/>
            <w:noWrap/>
            <w:hideMark/>
          </w:tcPr>
          <w:p w14:paraId="26F3DE9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339.238</w:t>
            </w:r>
          </w:p>
        </w:tc>
        <w:tc>
          <w:tcPr>
            <w:tcW w:w="567" w:type="dxa"/>
            <w:tcBorders>
              <w:top w:val="nil"/>
              <w:left w:val="nil"/>
              <w:bottom w:val="single" w:sz="4" w:space="0" w:color="auto"/>
              <w:right w:val="single" w:sz="4" w:space="0" w:color="auto"/>
            </w:tcBorders>
            <w:shd w:val="clear" w:color="auto" w:fill="auto"/>
            <w:noWrap/>
            <w:hideMark/>
          </w:tcPr>
          <w:p w14:paraId="74AF73C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433,35</w:t>
            </w:r>
          </w:p>
        </w:tc>
        <w:tc>
          <w:tcPr>
            <w:tcW w:w="850" w:type="dxa"/>
            <w:tcBorders>
              <w:top w:val="nil"/>
              <w:left w:val="nil"/>
              <w:bottom w:val="single" w:sz="4" w:space="0" w:color="auto"/>
              <w:right w:val="single" w:sz="4" w:space="0" w:color="auto"/>
            </w:tcBorders>
            <w:shd w:val="clear" w:color="auto" w:fill="auto"/>
            <w:noWrap/>
            <w:hideMark/>
          </w:tcPr>
          <w:p w14:paraId="09F9EEE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1.323.087</w:t>
            </w:r>
          </w:p>
        </w:tc>
        <w:tc>
          <w:tcPr>
            <w:tcW w:w="709" w:type="dxa"/>
            <w:tcBorders>
              <w:top w:val="nil"/>
              <w:left w:val="nil"/>
              <w:bottom w:val="single" w:sz="4" w:space="0" w:color="auto"/>
              <w:right w:val="single" w:sz="8" w:space="0" w:color="auto"/>
            </w:tcBorders>
            <w:shd w:val="clear" w:color="auto" w:fill="auto"/>
            <w:noWrap/>
            <w:hideMark/>
          </w:tcPr>
          <w:p w14:paraId="544F5B7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147.010</w:t>
            </w:r>
          </w:p>
        </w:tc>
        <w:tc>
          <w:tcPr>
            <w:tcW w:w="851" w:type="dxa"/>
            <w:tcBorders>
              <w:top w:val="nil"/>
              <w:left w:val="single" w:sz="4" w:space="0" w:color="auto"/>
              <w:bottom w:val="single" w:sz="4" w:space="0" w:color="auto"/>
              <w:right w:val="single" w:sz="4" w:space="0" w:color="auto"/>
            </w:tcBorders>
            <w:shd w:val="clear" w:color="auto" w:fill="auto"/>
            <w:noWrap/>
            <w:hideMark/>
          </w:tcPr>
          <w:p w14:paraId="03743FD2" w14:textId="43122AA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204.180</w:t>
            </w:r>
          </w:p>
        </w:tc>
      </w:tr>
      <w:tr w:rsidR="005C332D" w:rsidRPr="003F6E51" w14:paraId="35AB065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0C8193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677D1C4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GOLUBAC</w:t>
            </w:r>
          </w:p>
        </w:tc>
        <w:tc>
          <w:tcPr>
            <w:tcW w:w="850" w:type="dxa"/>
            <w:tcBorders>
              <w:top w:val="nil"/>
              <w:left w:val="nil"/>
              <w:bottom w:val="single" w:sz="4" w:space="0" w:color="auto"/>
              <w:right w:val="single" w:sz="4" w:space="0" w:color="auto"/>
            </w:tcBorders>
            <w:shd w:val="clear" w:color="000000" w:fill="FFFFFF"/>
            <w:noWrap/>
            <w:hideMark/>
          </w:tcPr>
          <w:p w14:paraId="45B328A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7146</w:t>
            </w:r>
          </w:p>
        </w:tc>
        <w:tc>
          <w:tcPr>
            <w:tcW w:w="709" w:type="dxa"/>
            <w:tcBorders>
              <w:top w:val="nil"/>
              <w:left w:val="nil"/>
              <w:bottom w:val="single" w:sz="4" w:space="0" w:color="auto"/>
              <w:right w:val="single" w:sz="8" w:space="0" w:color="auto"/>
            </w:tcBorders>
            <w:shd w:val="clear" w:color="000000" w:fill="FFFFFF"/>
            <w:noWrap/>
            <w:hideMark/>
          </w:tcPr>
          <w:p w14:paraId="052AC25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0,15</w:t>
            </w:r>
          </w:p>
        </w:tc>
        <w:tc>
          <w:tcPr>
            <w:tcW w:w="567" w:type="dxa"/>
            <w:tcBorders>
              <w:top w:val="nil"/>
              <w:left w:val="nil"/>
              <w:bottom w:val="single" w:sz="4" w:space="0" w:color="auto"/>
              <w:right w:val="single" w:sz="4" w:space="0" w:color="auto"/>
            </w:tcBorders>
            <w:shd w:val="clear" w:color="000000" w:fill="FFFFFF"/>
            <w:noWrap/>
            <w:hideMark/>
          </w:tcPr>
          <w:p w14:paraId="546D73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367</w:t>
            </w:r>
          </w:p>
        </w:tc>
        <w:tc>
          <w:tcPr>
            <w:tcW w:w="709" w:type="dxa"/>
            <w:tcBorders>
              <w:top w:val="nil"/>
              <w:left w:val="nil"/>
              <w:bottom w:val="single" w:sz="4" w:space="0" w:color="auto"/>
              <w:right w:val="single" w:sz="8" w:space="0" w:color="auto"/>
            </w:tcBorders>
            <w:shd w:val="clear" w:color="000000" w:fill="FFFFFF"/>
            <w:noWrap/>
            <w:hideMark/>
          </w:tcPr>
          <w:p w14:paraId="05FE23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0,69</w:t>
            </w:r>
          </w:p>
        </w:tc>
        <w:tc>
          <w:tcPr>
            <w:tcW w:w="850" w:type="dxa"/>
            <w:tcBorders>
              <w:top w:val="nil"/>
              <w:left w:val="nil"/>
              <w:bottom w:val="single" w:sz="4" w:space="0" w:color="auto"/>
              <w:right w:val="single" w:sz="4" w:space="0" w:color="auto"/>
            </w:tcBorders>
            <w:shd w:val="clear" w:color="000000" w:fill="FFFFFF"/>
            <w:noWrap/>
            <w:hideMark/>
          </w:tcPr>
          <w:p w14:paraId="01A2F46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6386F66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4BA77ED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73BB11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6AA772D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87,43</w:t>
            </w:r>
          </w:p>
        </w:tc>
        <w:tc>
          <w:tcPr>
            <w:tcW w:w="851" w:type="dxa"/>
            <w:tcBorders>
              <w:top w:val="nil"/>
              <w:left w:val="nil"/>
              <w:bottom w:val="single" w:sz="4" w:space="0" w:color="auto"/>
              <w:right w:val="single" w:sz="4" w:space="0" w:color="auto"/>
            </w:tcBorders>
            <w:shd w:val="clear" w:color="auto" w:fill="auto"/>
            <w:noWrap/>
            <w:hideMark/>
          </w:tcPr>
          <w:p w14:paraId="34ED7BF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0,0064</w:t>
            </w:r>
          </w:p>
        </w:tc>
        <w:tc>
          <w:tcPr>
            <w:tcW w:w="1134" w:type="dxa"/>
            <w:tcBorders>
              <w:top w:val="nil"/>
              <w:left w:val="nil"/>
              <w:bottom w:val="single" w:sz="4" w:space="0" w:color="auto"/>
              <w:right w:val="single" w:sz="4" w:space="0" w:color="auto"/>
            </w:tcBorders>
            <w:shd w:val="clear" w:color="000000" w:fill="C6E0B4"/>
            <w:noWrap/>
            <w:hideMark/>
          </w:tcPr>
          <w:p w14:paraId="15B8C49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1.744.018</w:t>
            </w:r>
          </w:p>
        </w:tc>
        <w:tc>
          <w:tcPr>
            <w:tcW w:w="992" w:type="dxa"/>
            <w:tcBorders>
              <w:top w:val="nil"/>
              <w:left w:val="nil"/>
              <w:bottom w:val="single" w:sz="4" w:space="0" w:color="auto"/>
              <w:right w:val="single" w:sz="4" w:space="0" w:color="auto"/>
            </w:tcBorders>
            <w:shd w:val="clear" w:color="auto" w:fill="auto"/>
            <w:noWrap/>
            <w:hideMark/>
          </w:tcPr>
          <w:p w14:paraId="6C5A87E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776.647</w:t>
            </w:r>
          </w:p>
        </w:tc>
        <w:tc>
          <w:tcPr>
            <w:tcW w:w="567" w:type="dxa"/>
            <w:tcBorders>
              <w:top w:val="nil"/>
              <w:left w:val="nil"/>
              <w:bottom w:val="single" w:sz="4" w:space="0" w:color="auto"/>
              <w:right w:val="single" w:sz="4" w:space="0" w:color="auto"/>
            </w:tcBorders>
            <w:shd w:val="clear" w:color="auto" w:fill="auto"/>
            <w:noWrap/>
            <w:hideMark/>
          </w:tcPr>
          <w:p w14:paraId="681BB75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224,56</w:t>
            </w:r>
          </w:p>
        </w:tc>
        <w:tc>
          <w:tcPr>
            <w:tcW w:w="850" w:type="dxa"/>
            <w:tcBorders>
              <w:top w:val="nil"/>
              <w:left w:val="nil"/>
              <w:bottom w:val="single" w:sz="4" w:space="0" w:color="auto"/>
              <w:right w:val="single" w:sz="4" w:space="0" w:color="auto"/>
            </w:tcBorders>
            <w:shd w:val="clear" w:color="auto" w:fill="auto"/>
            <w:noWrap/>
            <w:hideMark/>
          </w:tcPr>
          <w:p w14:paraId="0A54DD4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1.569.616</w:t>
            </w:r>
          </w:p>
        </w:tc>
        <w:tc>
          <w:tcPr>
            <w:tcW w:w="709" w:type="dxa"/>
            <w:tcBorders>
              <w:top w:val="nil"/>
              <w:left w:val="nil"/>
              <w:bottom w:val="single" w:sz="4" w:space="0" w:color="auto"/>
              <w:right w:val="single" w:sz="8" w:space="0" w:color="auto"/>
            </w:tcBorders>
            <w:shd w:val="clear" w:color="auto" w:fill="auto"/>
            <w:noWrap/>
            <w:hideMark/>
          </w:tcPr>
          <w:p w14:paraId="74B96C0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174.402</w:t>
            </w:r>
          </w:p>
        </w:tc>
        <w:tc>
          <w:tcPr>
            <w:tcW w:w="851" w:type="dxa"/>
            <w:tcBorders>
              <w:top w:val="nil"/>
              <w:left w:val="single" w:sz="4" w:space="0" w:color="auto"/>
              <w:bottom w:val="single" w:sz="4" w:space="0" w:color="auto"/>
              <w:right w:val="single" w:sz="4" w:space="0" w:color="auto"/>
            </w:tcBorders>
            <w:shd w:val="clear" w:color="auto" w:fill="auto"/>
            <w:noWrap/>
            <w:hideMark/>
          </w:tcPr>
          <w:p w14:paraId="0872C2E2" w14:textId="6948E5A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219.650</w:t>
            </w:r>
          </w:p>
        </w:tc>
      </w:tr>
      <w:tr w:rsidR="005C332D" w:rsidRPr="003F6E51" w14:paraId="4EC4FC9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D1EC77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2213" w:type="dxa"/>
            <w:tcBorders>
              <w:top w:val="nil"/>
              <w:left w:val="single" w:sz="8" w:space="0" w:color="auto"/>
              <w:bottom w:val="single" w:sz="4" w:space="0" w:color="auto"/>
              <w:right w:val="single" w:sz="8" w:space="0" w:color="auto"/>
            </w:tcBorders>
            <w:shd w:val="clear" w:color="auto" w:fill="auto"/>
            <w:noWrap/>
            <w:hideMark/>
          </w:tcPr>
          <w:p w14:paraId="20D7F3B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GORNJI MILANOVAC</w:t>
            </w:r>
          </w:p>
        </w:tc>
        <w:tc>
          <w:tcPr>
            <w:tcW w:w="850" w:type="dxa"/>
            <w:tcBorders>
              <w:top w:val="nil"/>
              <w:left w:val="nil"/>
              <w:bottom w:val="single" w:sz="4" w:space="0" w:color="auto"/>
              <w:right w:val="single" w:sz="4" w:space="0" w:color="auto"/>
            </w:tcBorders>
            <w:shd w:val="clear" w:color="000000" w:fill="FFFFFF"/>
            <w:noWrap/>
            <w:hideMark/>
          </w:tcPr>
          <w:p w14:paraId="17AE276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40749</w:t>
            </w:r>
          </w:p>
        </w:tc>
        <w:tc>
          <w:tcPr>
            <w:tcW w:w="709" w:type="dxa"/>
            <w:tcBorders>
              <w:top w:val="nil"/>
              <w:left w:val="nil"/>
              <w:bottom w:val="single" w:sz="4" w:space="0" w:color="auto"/>
              <w:right w:val="single" w:sz="8" w:space="0" w:color="auto"/>
            </w:tcBorders>
            <w:shd w:val="clear" w:color="000000" w:fill="FFFFFF"/>
            <w:noWrap/>
            <w:hideMark/>
          </w:tcPr>
          <w:p w14:paraId="0F294A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0,86</w:t>
            </w:r>
          </w:p>
        </w:tc>
        <w:tc>
          <w:tcPr>
            <w:tcW w:w="567" w:type="dxa"/>
            <w:tcBorders>
              <w:top w:val="nil"/>
              <w:left w:val="nil"/>
              <w:bottom w:val="single" w:sz="4" w:space="0" w:color="auto"/>
              <w:right w:val="single" w:sz="4" w:space="0" w:color="auto"/>
            </w:tcBorders>
            <w:shd w:val="clear" w:color="000000" w:fill="FFFFFF"/>
            <w:noWrap/>
            <w:hideMark/>
          </w:tcPr>
          <w:p w14:paraId="3E1E7B7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836</w:t>
            </w:r>
          </w:p>
        </w:tc>
        <w:tc>
          <w:tcPr>
            <w:tcW w:w="709" w:type="dxa"/>
            <w:tcBorders>
              <w:top w:val="nil"/>
              <w:left w:val="nil"/>
              <w:bottom w:val="single" w:sz="4" w:space="0" w:color="auto"/>
              <w:right w:val="single" w:sz="8" w:space="0" w:color="auto"/>
            </w:tcBorders>
            <w:shd w:val="clear" w:color="000000" w:fill="FFFFFF"/>
            <w:noWrap/>
            <w:hideMark/>
          </w:tcPr>
          <w:p w14:paraId="32732F1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1,56</w:t>
            </w:r>
          </w:p>
        </w:tc>
        <w:tc>
          <w:tcPr>
            <w:tcW w:w="850" w:type="dxa"/>
            <w:tcBorders>
              <w:top w:val="nil"/>
              <w:left w:val="nil"/>
              <w:bottom w:val="single" w:sz="4" w:space="0" w:color="auto"/>
              <w:right w:val="single" w:sz="4" w:space="0" w:color="auto"/>
            </w:tcBorders>
            <w:shd w:val="clear" w:color="000000" w:fill="FFFFFF"/>
            <w:noWrap/>
            <w:hideMark/>
          </w:tcPr>
          <w:p w14:paraId="07E25B4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11D5599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0D9B2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7AADDD0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7B0565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98,15</w:t>
            </w:r>
          </w:p>
        </w:tc>
        <w:tc>
          <w:tcPr>
            <w:tcW w:w="851" w:type="dxa"/>
            <w:tcBorders>
              <w:top w:val="nil"/>
              <w:left w:val="nil"/>
              <w:bottom w:val="single" w:sz="4" w:space="0" w:color="auto"/>
              <w:right w:val="single" w:sz="4" w:space="0" w:color="auto"/>
            </w:tcBorders>
            <w:shd w:val="clear" w:color="auto" w:fill="auto"/>
            <w:noWrap/>
            <w:hideMark/>
          </w:tcPr>
          <w:p w14:paraId="190D373D"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0,0072</w:t>
            </w:r>
          </w:p>
        </w:tc>
        <w:tc>
          <w:tcPr>
            <w:tcW w:w="1134" w:type="dxa"/>
            <w:tcBorders>
              <w:top w:val="nil"/>
              <w:left w:val="nil"/>
              <w:bottom w:val="single" w:sz="4" w:space="0" w:color="auto"/>
              <w:right w:val="single" w:sz="4" w:space="0" w:color="auto"/>
            </w:tcBorders>
            <w:shd w:val="clear" w:color="000000" w:fill="C6E0B4"/>
            <w:noWrap/>
            <w:hideMark/>
          </w:tcPr>
          <w:p w14:paraId="2B0CCC0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1.957.912</w:t>
            </w:r>
          </w:p>
        </w:tc>
        <w:tc>
          <w:tcPr>
            <w:tcW w:w="992" w:type="dxa"/>
            <w:tcBorders>
              <w:top w:val="nil"/>
              <w:left w:val="nil"/>
              <w:bottom w:val="single" w:sz="4" w:space="0" w:color="auto"/>
              <w:right w:val="single" w:sz="4" w:space="0" w:color="auto"/>
            </w:tcBorders>
            <w:shd w:val="clear" w:color="auto" w:fill="auto"/>
            <w:noWrap/>
            <w:hideMark/>
          </w:tcPr>
          <w:p w14:paraId="24FC944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3.161.364</w:t>
            </w:r>
          </w:p>
        </w:tc>
        <w:tc>
          <w:tcPr>
            <w:tcW w:w="567" w:type="dxa"/>
            <w:tcBorders>
              <w:top w:val="nil"/>
              <w:left w:val="nil"/>
              <w:bottom w:val="single" w:sz="4" w:space="0" w:color="auto"/>
              <w:right w:val="single" w:sz="4" w:space="0" w:color="auto"/>
            </w:tcBorders>
            <w:shd w:val="clear" w:color="auto" w:fill="auto"/>
            <w:noWrap/>
            <w:hideMark/>
          </w:tcPr>
          <w:p w14:paraId="08D0DF7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61,93</w:t>
            </w:r>
          </w:p>
        </w:tc>
        <w:tc>
          <w:tcPr>
            <w:tcW w:w="850" w:type="dxa"/>
            <w:tcBorders>
              <w:top w:val="nil"/>
              <w:left w:val="nil"/>
              <w:bottom w:val="single" w:sz="4" w:space="0" w:color="auto"/>
              <w:right w:val="single" w:sz="4" w:space="0" w:color="auto"/>
            </w:tcBorders>
            <w:shd w:val="clear" w:color="auto" w:fill="auto"/>
            <w:noWrap/>
            <w:hideMark/>
          </w:tcPr>
          <w:p w14:paraId="501A1EF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1.762.121</w:t>
            </w:r>
          </w:p>
        </w:tc>
        <w:tc>
          <w:tcPr>
            <w:tcW w:w="709" w:type="dxa"/>
            <w:tcBorders>
              <w:top w:val="nil"/>
              <w:left w:val="nil"/>
              <w:bottom w:val="single" w:sz="4" w:space="0" w:color="auto"/>
              <w:right w:val="single" w:sz="8" w:space="0" w:color="auto"/>
            </w:tcBorders>
            <w:shd w:val="clear" w:color="auto" w:fill="auto"/>
            <w:noWrap/>
            <w:hideMark/>
          </w:tcPr>
          <w:p w14:paraId="1521D24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195.791</w:t>
            </w:r>
          </w:p>
        </w:tc>
        <w:tc>
          <w:tcPr>
            <w:tcW w:w="851" w:type="dxa"/>
            <w:tcBorders>
              <w:top w:val="nil"/>
              <w:left w:val="single" w:sz="4" w:space="0" w:color="auto"/>
              <w:bottom w:val="single" w:sz="4" w:space="0" w:color="auto"/>
              <w:right w:val="single" w:sz="4" w:space="0" w:color="auto"/>
            </w:tcBorders>
            <w:shd w:val="clear" w:color="auto" w:fill="auto"/>
            <w:noWrap/>
            <w:hideMark/>
          </w:tcPr>
          <w:p w14:paraId="4D8DAA24" w14:textId="2C9FC25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43.243</w:t>
            </w:r>
          </w:p>
        </w:tc>
      </w:tr>
      <w:tr w:rsidR="005C332D" w:rsidRPr="003F6E51" w14:paraId="0CBF70F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61A508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w:t>
            </w:r>
          </w:p>
        </w:tc>
        <w:tc>
          <w:tcPr>
            <w:tcW w:w="2213" w:type="dxa"/>
            <w:tcBorders>
              <w:top w:val="nil"/>
              <w:left w:val="single" w:sz="8" w:space="0" w:color="auto"/>
              <w:bottom w:val="single" w:sz="4" w:space="0" w:color="auto"/>
              <w:right w:val="single" w:sz="8" w:space="0" w:color="auto"/>
            </w:tcBorders>
            <w:shd w:val="clear" w:color="auto" w:fill="auto"/>
            <w:noWrap/>
            <w:hideMark/>
          </w:tcPr>
          <w:p w14:paraId="6A90C6B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IVANJICA</w:t>
            </w:r>
          </w:p>
        </w:tc>
        <w:tc>
          <w:tcPr>
            <w:tcW w:w="850" w:type="dxa"/>
            <w:tcBorders>
              <w:top w:val="nil"/>
              <w:left w:val="nil"/>
              <w:bottom w:val="single" w:sz="4" w:space="0" w:color="auto"/>
              <w:right w:val="single" w:sz="4" w:space="0" w:color="auto"/>
            </w:tcBorders>
            <w:shd w:val="clear" w:color="000000" w:fill="FFFFFF"/>
            <w:noWrap/>
            <w:hideMark/>
          </w:tcPr>
          <w:p w14:paraId="4F24AC8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29115</w:t>
            </w:r>
          </w:p>
        </w:tc>
        <w:tc>
          <w:tcPr>
            <w:tcW w:w="709" w:type="dxa"/>
            <w:tcBorders>
              <w:top w:val="nil"/>
              <w:left w:val="nil"/>
              <w:bottom w:val="single" w:sz="4" w:space="0" w:color="auto"/>
              <w:right w:val="single" w:sz="8" w:space="0" w:color="auto"/>
            </w:tcBorders>
            <w:shd w:val="clear" w:color="000000" w:fill="FFFFFF"/>
            <w:noWrap/>
            <w:hideMark/>
          </w:tcPr>
          <w:p w14:paraId="4CFAB00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0,61</w:t>
            </w:r>
          </w:p>
        </w:tc>
        <w:tc>
          <w:tcPr>
            <w:tcW w:w="567" w:type="dxa"/>
            <w:tcBorders>
              <w:top w:val="nil"/>
              <w:left w:val="nil"/>
              <w:bottom w:val="single" w:sz="4" w:space="0" w:color="auto"/>
              <w:right w:val="single" w:sz="4" w:space="0" w:color="auto"/>
            </w:tcBorders>
            <w:shd w:val="clear" w:color="000000" w:fill="FFFFFF"/>
            <w:noWrap/>
            <w:hideMark/>
          </w:tcPr>
          <w:p w14:paraId="483FA3E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1090</w:t>
            </w:r>
          </w:p>
        </w:tc>
        <w:tc>
          <w:tcPr>
            <w:tcW w:w="709" w:type="dxa"/>
            <w:tcBorders>
              <w:top w:val="nil"/>
              <w:left w:val="nil"/>
              <w:bottom w:val="single" w:sz="4" w:space="0" w:color="auto"/>
              <w:right w:val="single" w:sz="8" w:space="0" w:color="auto"/>
            </w:tcBorders>
            <w:shd w:val="clear" w:color="000000" w:fill="FFFFFF"/>
            <w:noWrap/>
            <w:hideMark/>
          </w:tcPr>
          <w:p w14:paraId="4C7ED67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2,04</w:t>
            </w:r>
          </w:p>
        </w:tc>
        <w:tc>
          <w:tcPr>
            <w:tcW w:w="850" w:type="dxa"/>
            <w:tcBorders>
              <w:top w:val="nil"/>
              <w:left w:val="nil"/>
              <w:bottom w:val="single" w:sz="4" w:space="0" w:color="auto"/>
              <w:right w:val="single" w:sz="4" w:space="0" w:color="auto"/>
            </w:tcBorders>
            <w:shd w:val="clear" w:color="000000" w:fill="FFFFFF"/>
            <w:noWrap/>
            <w:hideMark/>
          </w:tcPr>
          <w:p w14:paraId="38F56F8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AC3D2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57CBC0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D453EC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486AF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113,43</w:t>
            </w:r>
          </w:p>
        </w:tc>
        <w:tc>
          <w:tcPr>
            <w:tcW w:w="851" w:type="dxa"/>
            <w:tcBorders>
              <w:top w:val="nil"/>
              <w:left w:val="nil"/>
              <w:bottom w:val="single" w:sz="4" w:space="0" w:color="auto"/>
              <w:right w:val="single" w:sz="4" w:space="0" w:color="auto"/>
            </w:tcBorders>
            <w:shd w:val="clear" w:color="auto" w:fill="auto"/>
            <w:noWrap/>
            <w:hideMark/>
          </w:tcPr>
          <w:p w14:paraId="3E0FBB4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0,0083</w:t>
            </w:r>
          </w:p>
        </w:tc>
        <w:tc>
          <w:tcPr>
            <w:tcW w:w="1134" w:type="dxa"/>
            <w:tcBorders>
              <w:top w:val="nil"/>
              <w:left w:val="nil"/>
              <w:bottom w:val="single" w:sz="4" w:space="0" w:color="auto"/>
              <w:right w:val="single" w:sz="4" w:space="0" w:color="auto"/>
            </w:tcBorders>
            <w:shd w:val="clear" w:color="000000" w:fill="C6E0B4"/>
            <w:noWrap/>
            <w:hideMark/>
          </w:tcPr>
          <w:p w14:paraId="7C90445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2.262.693</w:t>
            </w:r>
          </w:p>
        </w:tc>
        <w:tc>
          <w:tcPr>
            <w:tcW w:w="992" w:type="dxa"/>
            <w:tcBorders>
              <w:top w:val="nil"/>
              <w:left w:val="nil"/>
              <w:bottom w:val="single" w:sz="4" w:space="0" w:color="auto"/>
              <w:right w:val="single" w:sz="4" w:space="0" w:color="auto"/>
            </w:tcBorders>
            <w:shd w:val="clear" w:color="auto" w:fill="auto"/>
            <w:noWrap/>
            <w:hideMark/>
          </w:tcPr>
          <w:p w14:paraId="4599DA1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744.134</w:t>
            </w:r>
          </w:p>
        </w:tc>
        <w:tc>
          <w:tcPr>
            <w:tcW w:w="567" w:type="dxa"/>
            <w:tcBorders>
              <w:top w:val="nil"/>
              <w:left w:val="nil"/>
              <w:bottom w:val="single" w:sz="4" w:space="0" w:color="auto"/>
              <w:right w:val="single" w:sz="4" w:space="0" w:color="auto"/>
            </w:tcBorders>
            <w:shd w:val="clear" w:color="auto" w:fill="auto"/>
            <w:noWrap/>
            <w:hideMark/>
          </w:tcPr>
          <w:p w14:paraId="3A50E8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304,07</w:t>
            </w:r>
          </w:p>
        </w:tc>
        <w:tc>
          <w:tcPr>
            <w:tcW w:w="850" w:type="dxa"/>
            <w:tcBorders>
              <w:top w:val="nil"/>
              <w:left w:val="nil"/>
              <w:bottom w:val="single" w:sz="4" w:space="0" w:color="auto"/>
              <w:right w:val="single" w:sz="4" w:space="0" w:color="auto"/>
            </w:tcBorders>
            <w:shd w:val="clear" w:color="auto" w:fill="auto"/>
            <w:noWrap/>
            <w:hideMark/>
          </w:tcPr>
          <w:p w14:paraId="4D035DA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2.036.424</w:t>
            </w:r>
          </w:p>
        </w:tc>
        <w:tc>
          <w:tcPr>
            <w:tcW w:w="709" w:type="dxa"/>
            <w:tcBorders>
              <w:top w:val="nil"/>
              <w:left w:val="nil"/>
              <w:bottom w:val="single" w:sz="4" w:space="0" w:color="auto"/>
              <w:right w:val="single" w:sz="8" w:space="0" w:color="auto"/>
            </w:tcBorders>
            <w:shd w:val="clear" w:color="auto" w:fill="auto"/>
            <w:noWrap/>
            <w:hideMark/>
          </w:tcPr>
          <w:p w14:paraId="152D907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226.269</w:t>
            </w:r>
          </w:p>
        </w:tc>
        <w:tc>
          <w:tcPr>
            <w:tcW w:w="851" w:type="dxa"/>
            <w:tcBorders>
              <w:top w:val="nil"/>
              <w:left w:val="single" w:sz="4" w:space="0" w:color="auto"/>
              <w:bottom w:val="single" w:sz="4" w:space="0" w:color="auto"/>
              <w:right w:val="single" w:sz="4" w:space="0" w:color="auto"/>
            </w:tcBorders>
            <w:shd w:val="clear" w:color="auto" w:fill="auto"/>
            <w:noWrap/>
            <w:hideMark/>
          </w:tcPr>
          <w:p w14:paraId="100AE352" w14:textId="07EF48B1"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69.944</w:t>
            </w:r>
          </w:p>
        </w:tc>
      </w:tr>
      <w:tr w:rsidR="005C332D" w:rsidRPr="003F6E51" w14:paraId="4E1AB8C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75DAC1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2213" w:type="dxa"/>
            <w:tcBorders>
              <w:top w:val="nil"/>
              <w:left w:val="single" w:sz="8" w:space="0" w:color="auto"/>
              <w:bottom w:val="single" w:sz="4" w:space="0" w:color="auto"/>
              <w:right w:val="single" w:sz="8" w:space="0" w:color="auto"/>
            </w:tcBorders>
            <w:shd w:val="clear" w:color="auto" w:fill="auto"/>
            <w:noWrap/>
            <w:hideMark/>
          </w:tcPr>
          <w:p w14:paraId="4F9ED71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KLADOVO</w:t>
            </w:r>
          </w:p>
        </w:tc>
        <w:tc>
          <w:tcPr>
            <w:tcW w:w="850" w:type="dxa"/>
            <w:tcBorders>
              <w:top w:val="nil"/>
              <w:left w:val="nil"/>
              <w:bottom w:val="single" w:sz="4" w:space="0" w:color="auto"/>
              <w:right w:val="single" w:sz="4" w:space="0" w:color="auto"/>
            </w:tcBorders>
            <w:shd w:val="clear" w:color="000000" w:fill="FFFFFF"/>
            <w:noWrap/>
            <w:hideMark/>
          </w:tcPr>
          <w:p w14:paraId="1BADD80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18002</w:t>
            </w:r>
          </w:p>
        </w:tc>
        <w:tc>
          <w:tcPr>
            <w:tcW w:w="709" w:type="dxa"/>
            <w:tcBorders>
              <w:top w:val="nil"/>
              <w:left w:val="nil"/>
              <w:bottom w:val="single" w:sz="4" w:space="0" w:color="auto"/>
              <w:right w:val="single" w:sz="8" w:space="0" w:color="auto"/>
            </w:tcBorders>
            <w:shd w:val="clear" w:color="000000" w:fill="FFFFFF"/>
            <w:noWrap/>
            <w:hideMark/>
          </w:tcPr>
          <w:p w14:paraId="774491F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0,38</w:t>
            </w:r>
          </w:p>
        </w:tc>
        <w:tc>
          <w:tcPr>
            <w:tcW w:w="567" w:type="dxa"/>
            <w:tcBorders>
              <w:top w:val="nil"/>
              <w:left w:val="nil"/>
              <w:bottom w:val="single" w:sz="4" w:space="0" w:color="auto"/>
              <w:right w:val="single" w:sz="4" w:space="0" w:color="auto"/>
            </w:tcBorders>
            <w:shd w:val="clear" w:color="000000" w:fill="FFFFFF"/>
            <w:noWrap/>
            <w:hideMark/>
          </w:tcPr>
          <w:p w14:paraId="1CA1081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629</w:t>
            </w:r>
          </w:p>
        </w:tc>
        <w:tc>
          <w:tcPr>
            <w:tcW w:w="709" w:type="dxa"/>
            <w:tcBorders>
              <w:top w:val="nil"/>
              <w:left w:val="nil"/>
              <w:bottom w:val="single" w:sz="4" w:space="0" w:color="auto"/>
              <w:right w:val="single" w:sz="8" w:space="0" w:color="auto"/>
            </w:tcBorders>
            <w:shd w:val="clear" w:color="000000" w:fill="FFFFFF"/>
            <w:noWrap/>
            <w:hideMark/>
          </w:tcPr>
          <w:p w14:paraId="68BF9C1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1,18</w:t>
            </w:r>
          </w:p>
        </w:tc>
        <w:tc>
          <w:tcPr>
            <w:tcW w:w="850" w:type="dxa"/>
            <w:tcBorders>
              <w:top w:val="nil"/>
              <w:left w:val="nil"/>
              <w:bottom w:val="single" w:sz="4" w:space="0" w:color="auto"/>
              <w:right w:val="single" w:sz="4" w:space="0" w:color="auto"/>
            </w:tcBorders>
            <w:shd w:val="clear" w:color="000000" w:fill="FFFFFF"/>
            <w:noWrap/>
            <w:hideMark/>
          </w:tcPr>
          <w:p w14:paraId="19D3FA5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438C41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40C754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3A133A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0EB6733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84,40</w:t>
            </w:r>
          </w:p>
        </w:tc>
        <w:tc>
          <w:tcPr>
            <w:tcW w:w="851" w:type="dxa"/>
            <w:tcBorders>
              <w:top w:val="nil"/>
              <w:left w:val="nil"/>
              <w:bottom w:val="single" w:sz="4" w:space="0" w:color="auto"/>
              <w:right w:val="single" w:sz="4" w:space="0" w:color="auto"/>
            </w:tcBorders>
            <w:shd w:val="clear" w:color="auto" w:fill="auto"/>
            <w:noWrap/>
            <w:hideMark/>
          </w:tcPr>
          <w:p w14:paraId="086F079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0,0062</w:t>
            </w:r>
          </w:p>
        </w:tc>
        <w:tc>
          <w:tcPr>
            <w:tcW w:w="1134" w:type="dxa"/>
            <w:tcBorders>
              <w:top w:val="nil"/>
              <w:left w:val="nil"/>
              <w:bottom w:val="single" w:sz="4" w:space="0" w:color="auto"/>
              <w:right w:val="single" w:sz="4" w:space="0" w:color="auto"/>
            </w:tcBorders>
            <w:shd w:val="clear" w:color="000000" w:fill="C6E0B4"/>
            <w:noWrap/>
            <w:hideMark/>
          </w:tcPr>
          <w:p w14:paraId="2682A99C"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1.683.732</w:t>
            </w:r>
          </w:p>
        </w:tc>
        <w:tc>
          <w:tcPr>
            <w:tcW w:w="992" w:type="dxa"/>
            <w:tcBorders>
              <w:top w:val="nil"/>
              <w:left w:val="nil"/>
              <w:bottom w:val="single" w:sz="4" w:space="0" w:color="auto"/>
              <w:right w:val="single" w:sz="4" w:space="0" w:color="auto"/>
            </w:tcBorders>
            <w:shd w:val="clear" w:color="auto" w:fill="auto"/>
            <w:noWrap/>
            <w:hideMark/>
          </w:tcPr>
          <w:p w14:paraId="7DB18E4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1.705.875</w:t>
            </w:r>
          </w:p>
        </w:tc>
        <w:tc>
          <w:tcPr>
            <w:tcW w:w="567" w:type="dxa"/>
            <w:tcBorders>
              <w:top w:val="nil"/>
              <w:left w:val="nil"/>
              <w:bottom w:val="single" w:sz="4" w:space="0" w:color="auto"/>
              <w:right w:val="single" w:sz="4" w:space="0" w:color="auto"/>
            </w:tcBorders>
            <w:shd w:val="clear" w:color="auto" w:fill="auto"/>
            <w:noWrap/>
            <w:hideMark/>
          </w:tcPr>
          <w:p w14:paraId="1FAC140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98,70</w:t>
            </w:r>
          </w:p>
        </w:tc>
        <w:tc>
          <w:tcPr>
            <w:tcW w:w="850" w:type="dxa"/>
            <w:tcBorders>
              <w:top w:val="nil"/>
              <w:left w:val="nil"/>
              <w:bottom w:val="single" w:sz="4" w:space="0" w:color="auto"/>
              <w:right w:val="single" w:sz="4" w:space="0" w:color="auto"/>
            </w:tcBorders>
            <w:shd w:val="clear" w:color="auto" w:fill="auto"/>
            <w:noWrap/>
            <w:hideMark/>
          </w:tcPr>
          <w:p w14:paraId="27885EE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1.515.359</w:t>
            </w:r>
          </w:p>
        </w:tc>
        <w:tc>
          <w:tcPr>
            <w:tcW w:w="709" w:type="dxa"/>
            <w:tcBorders>
              <w:top w:val="nil"/>
              <w:left w:val="nil"/>
              <w:bottom w:val="single" w:sz="4" w:space="0" w:color="auto"/>
              <w:right w:val="single" w:sz="8" w:space="0" w:color="auto"/>
            </w:tcBorders>
            <w:shd w:val="clear" w:color="auto" w:fill="auto"/>
            <w:noWrap/>
            <w:hideMark/>
          </w:tcPr>
          <w:p w14:paraId="35ACA28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168.373</w:t>
            </w:r>
          </w:p>
        </w:tc>
        <w:tc>
          <w:tcPr>
            <w:tcW w:w="851" w:type="dxa"/>
            <w:tcBorders>
              <w:top w:val="nil"/>
              <w:left w:val="single" w:sz="4" w:space="0" w:color="auto"/>
              <w:bottom w:val="single" w:sz="4" w:space="0" w:color="auto"/>
              <w:right w:val="single" w:sz="4" w:space="0" w:color="auto"/>
            </w:tcBorders>
            <w:shd w:val="clear" w:color="auto" w:fill="auto"/>
            <w:noWrap/>
            <w:hideMark/>
          </w:tcPr>
          <w:p w14:paraId="3AE3BEC7" w14:textId="01C473E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84.177</w:t>
            </w:r>
          </w:p>
        </w:tc>
      </w:tr>
      <w:tr w:rsidR="005C332D" w:rsidRPr="003F6E51" w14:paraId="268E543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230688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29</w:t>
            </w:r>
          </w:p>
        </w:tc>
        <w:tc>
          <w:tcPr>
            <w:tcW w:w="2213" w:type="dxa"/>
            <w:tcBorders>
              <w:top w:val="nil"/>
              <w:left w:val="single" w:sz="8" w:space="0" w:color="auto"/>
              <w:bottom w:val="single" w:sz="4" w:space="0" w:color="auto"/>
              <w:right w:val="single" w:sz="8" w:space="0" w:color="auto"/>
            </w:tcBorders>
            <w:shd w:val="clear" w:color="auto" w:fill="auto"/>
            <w:noWrap/>
            <w:hideMark/>
          </w:tcPr>
          <w:p w14:paraId="462653D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KNIĆ</w:t>
            </w:r>
          </w:p>
        </w:tc>
        <w:tc>
          <w:tcPr>
            <w:tcW w:w="850" w:type="dxa"/>
            <w:tcBorders>
              <w:top w:val="nil"/>
              <w:left w:val="nil"/>
              <w:bottom w:val="single" w:sz="4" w:space="0" w:color="auto"/>
              <w:right w:val="single" w:sz="4" w:space="0" w:color="auto"/>
            </w:tcBorders>
            <w:shd w:val="clear" w:color="000000" w:fill="FFFFFF"/>
            <w:noWrap/>
            <w:hideMark/>
          </w:tcPr>
          <w:p w14:paraId="476B284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12595</w:t>
            </w:r>
          </w:p>
        </w:tc>
        <w:tc>
          <w:tcPr>
            <w:tcW w:w="709" w:type="dxa"/>
            <w:tcBorders>
              <w:top w:val="nil"/>
              <w:left w:val="nil"/>
              <w:bottom w:val="single" w:sz="4" w:space="0" w:color="auto"/>
              <w:right w:val="single" w:sz="8" w:space="0" w:color="auto"/>
            </w:tcBorders>
            <w:shd w:val="clear" w:color="000000" w:fill="FFFFFF"/>
            <w:noWrap/>
            <w:hideMark/>
          </w:tcPr>
          <w:p w14:paraId="74F64A4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0,26</w:t>
            </w:r>
          </w:p>
        </w:tc>
        <w:tc>
          <w:tcPr>
            <w:tcW w:w="567" w:type="dxa"/>
            <w:tcBorders>
              <w:top w:val="nil"/>
              <w:left w:val="nil"/>
              <w:bottom w:val="single" w:sz="4" w:space="0" w:color="auto"/>
              <w:right w:val="single" w:sz="4" w:space="0" w:color="auto"/>
            </w:tcBorders>
            <w:shd w:val="clear" w:color="000000" w:fill="FFFFFF"/>
            <w:noWrap/>
            <w:hideMark/>
          </w:tcPr>
          <w:p w14:paraId="278D192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413</w:t>
            </w:r>
          </w:p>
        </w:tc>
        <w:tc>
          <w:tcPr>
            <w:tcW w:w="709" w:type="dxa"/>
            <w:tcBorders>
              <w:top w:val="nil"/>
              <w:left w:val="nil"/>
              <w:bottom w:val="single" w:sz="4" w:space="0" w:color="auto"/>
              <w:right w:val="single" w:sz="8" w:space="0" w:color="auto"/>
            </w:tcBorders>
            <w:shd w:val="clear" w:color="000000" w:fill="FFFFFF"/>
            <w:noWrap/>
            <w:hideMark/>
          </w:tcPr>
          <w:p w14:paraId="6B0ADB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0,77</w:t>
            </w:r>
          </w:p>
        </w:tc>
        <w:tc>
          <w:tcPr>
            <w:tcW w:w="850" w:type="dxa"/>
            <w:tcBorders>
              <w:top w:val="nil"/>
              <w:left w:val="nil"/>
              <w:bottom w:val="single" w:sz="4" w:space="0" w:color="auto"/>
              <w:right w:val="single" w:sz="4" w:space="0" w:color="auto"/>
            </w:tcBorders>
            <w:shd w:val="clear" w:color="000000" w:fill="FFFFFF"/>
            <w:noWrap/>
            <w:hideMark/>
          </w:tcPr>
          <w:p w14:paraId="1A8F463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585C9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7897E5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765769B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127EC07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68,61</w:t>
            </w:r>
          </w:p>
        </w:tc>
        <w:tc>
          <w:tcPr>
            <w:tcW w:w="851" w:type="dxa"/>
            <w:tcBorders>
              <w:top w:val="nil"/>
              <w:left w:val="nil"/>
              <w:bottom w:val="single" w:sz="4" w:space="0" w:color="auto"/>
              <w:right w:val="single" w:sz="4" w:space="0" w:color="auto"/>
            </w:tcBorders>
            <w:shd w:val="clear" w:color="auto" w:fill="auto"/>
            <w:noWrap/>
            <w:hideMark/>
          </w:tcPr>
          <w:p w14:paraId="23AB216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0,0051</w:t>
            </w:r>
          </w:p>
        </w:tc>
        <w:tc>
          <w:tcPr>
            <w:tcW w:w="1134" w:type="dxa"/>
            <w:tcBorders>
              <w:top w:val="nil"/>
              <w:left w:val="nil"/>
              <w:bottom w:val="single" w:sz="4" w:space="0" w:color="auto"/>
              <w:right w:val="single" w:sz="4" w:space="0" w:color="auto"/>
            </w:tcBorders>
            <w:shd w:val="clear" w:color="000000" w:fill="C6E0B4"/>
            <w:noWrap/>
            <w:hideMark/>
          </w:tcPr>
          <w:p w14:paraId="772D236A"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1.368.657</w:t>
            </w:r>
          </w:p>
        </w:tc>
        <w:tc>
          <w:tcPr>
            <w:tcW w:w="992" w:type="dxa"/>
            <w:tcBorders>
              <w:top w:val="nil"/>
              <w:left w:val="nil"/>
              <w:bottom w:val="single" w:sz="4" w:space="0" w:color="auto"/>
              <w:right w:val="single" w:sz="4" w:space="0" w:color="auto"/>
            </w:tcBorders>
            <w:shd w:val="clear" w:color="auto" w:fill="auto"/>
            <w:noWrap/>
            <w:hideMark/>
          </w:tcPr>
          <w:p w14:paraId="19B47FC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871.056</w:t>
            </w:r>
          </w:p>
        </w:tc>
        <w:tc>
          <w:tcPr>
            <w:tcW w:w="567" w:type="dxa"/>
            <w:tcBorders>
              <w:top w:val="nil"/>
              <w:left w:val="nil"/>
              <w:bottom w:val="single" w:sz="4" w:space="0" w:color="auto"/>
              <w:right w:val="single" w:sz="4" w:space="0" w:color="auto"/>
            </w:tcBorders>
            <w:shd w:val="clear" w:color="auto" w:fill="auto"/>
            <w:noWrap/>
            <w:hideMark/>
          </w:tcPr>
          <w:p w14:paraId="3C97199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157,13</w:t>
            </w:r>
          </w:p>
        </w:tc>
        <w:tc>
          <w:tcPr>
            <w:tcW w:w="850" w:type="dxa"/>
            <w:tcBorders>
              <w:top w:val="nil"/>
              <w:left w:val="nil"/>
              <w:bottom w:val="single" w:sz="4" w:space="0" w:color="auto"/>
              <w:right w:val="single" w:sz="4" w:space="0" w:color="auto"/>
            </w:tcBorders>
            <w:shd w:val="clear" w:color="auto" w:fill="auto"/>
            <w:noWrap/>
            <w:hideMark/>
          </w:tcPr>
          <w:p w14:paraId="0BBE5C7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1.231.791</w:t>
            </w:r>
          </w:p>
        </w:tc>
        <w:tc>
          <w:tcPr>
            <w:tcW w:w="709" w:type="dxa"/>
            <w:tcBorders>
              <w:top w:val="nil"/>
              <w:left w:val="nil"/>
              <w:bottom w:val="single" w:sz="4" w:space="0" w:color="auto"/>
              <w:right w:val="single" w:sz="8" w:space="0" w:color="auto"/>
            </w:tcBorders>
            <w:shd w:val="clear" w:color="auto" w:fill="auto"/>
            <w:noWrap/>
            <w:hideMark/>
          </w:tcPr>
          <w:p w14:paraId="20EE6FE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136.866</w:t>
            </w:r>
          </w:p>
        </w:tc>
        <w:tc>
          <w:tcPr>
            <w:tcW w:w="851" w:type="dxa"/>
            <w:tcBorders>
              <w:top w:val="nil"/>
              <w:left w:val="single" w:sz="4" w:space="0" w:color="auto"/>
              <w:bottom w:val="single" w:sz="4" w:space="0" w:color="auto"/>
              <w:right w:val="single" w:sz="4" w:space="0" w:color="auto"/>
            </w:tcBorders>
            <w:shd w:val="clear" w:color="auto" w:fill="auto"/>
            <w:noWrap/>
            <w:hideMark/>
          </w:tcPr>
          <w:p w14:paraId="764740D0" w14:textId="689F81A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97.800</w:t>
            </w:r>
          </w:p>
        </w:tc>
      </w:tr>
      <w:tr w:rsidR="005C332D" w:rsidRPr="003F6E51" w14:paraId="33D70F1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D42788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w:t>
            </w:r>
          </w:p>
        </w:tc>
        <w:tc>
          <w:tcPr>
            <w:tcW w:w="2213" w:type="dxa"/>
            <w:tcBorders>
              <w:top w:val="nil"/>
              <w:left w:val="single" w:sz="8" w:space="0" w:color="auto"/>
              <w:bottom w:val="single" w:sz="4" w:space="0" w:color="auto"/>
              <w:right w:val="single" w:sz="8" w:space="0" w:color="auto"/>
            </w:tcBorders>
            <w:shd w:val="clear" w:color="auto" w:fill="auto"/>
            <w:noWrap/>
            <w:hideMark/>
          </w:tcPr>
          <w:p w14:paraId="3A17DBF8"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KNJAŽEVAC</w:t>
            </w:r>
          </w:p>
        </w:tc>
        <w:tc>
          <w:tcPr>
            <w:tcW w:w="850" w:type="dxa"/>
            <w:tcBorders>
              <w:top w:val="nil"/>
              <w:left w:val="nil"/>
              <w:bottom w:val="single" w:sz="4" w:space="0" w:color="auto"/>
              <w:right w:val="single" w:sz="4" w:space="0" w:color="auto"/>
            </w:tcBorders>
            <w:shd w:val="clear" w:color="000000" w:fill="FFFFFF"/>
            <w:noWrap/>
            <w:hideMark/>
          </w:tcPr>
          <w:p w14:paraId="405E80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27005</w:t>
            </w:r>
          </w:p>
        </w:tc>
        <w:tc>
          <w:tcPr>
            <w:tcW w:w="709" w:type="dxa"/>
            <w:tcBorders>
              <w:top w:val="nil"/>
              <w:left w:val="nil"/>
              <w:bottom w:val="single" w:sz="4" w:space="0" w:color="auto"/>
              <w:right w:val="single" w:sz="8" w:space="0" w:color="auto"/>
            </w:tcBorders>
            <w:shd w:val="clear" w:color="000000" w:fill="FFFFFF"/>
            <w:noWrap/>
            <w:hideMark/>
          </w:tcPr>
          <w:p w14:paraId="047A4C0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567" w:type="dxa"/>
            <w:tcBorders>
              <w:top w:val="nil"/>
              <w:left w:val="nil"/>
              <w:bottom w:val="single" w:sz="4" w:space="0" w:color="auto"/>
              <w:right w:val="single" w:sz="4" w:space="0" w:color="auto"/>
            </w:tcBorders>
            <w:shd w:val="clear" w:color="000000" w:fill="FFFFFF"/>
            <w:noWrap/>
            <w:hideMark/>
          </w:tcPr>
          <w:p w14:paraId="62C4703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1202</w:t>
            </w:r>
          </w:p>
        </w:tc>
        <w:tc>
          <w:tcPr>
            <w:tcW w:w="709" w:type="dxa"/>
            <w:tcBorders>
              <w:top w:val="nil"/>
              <w:left w:val="nil"/>
              <w:bottom w:val="single" w:sz="4" w:space="0" w:color="auto"/>
              <w:right w:val="single" w:sz="8" w:space="0" w:color="auto"/>
            </w:tcBorders>
            <w:shd w:val="clear" w:color="000000" w:fill="FFFFFF"/>
            <w:noWrap/>
            <w:hideMark/>
          </w:tcPr>
          <w:p w14:paraId="251160C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2,25</w:t>
            </w:r>
          </w:p>
        </w:tc>
        <w:tc>
          <w:tcPr>
            <w:tcW w:w="850" w:type="dxa"/>
            <w:tcBorders>
              <w:top w:val="nil"/>
              <w:left w:val="nil"/>
              <w:bottom w:val="single" w:sz="4" w:space="0" w:color="auto"/>
              <w:right w:val="single" w:sz="4" w:space="0" w:color="auto"/>
            </w:tcBorders>
            <w:shd w:val="clear" w:color="000000" w:fill="FFFFFF"/>
            <w:noWrap/>
            <w:hideMark/>
          </w:tcPr>
          <w:p w14:paraId="26BB26C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74CBBB1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46D56BE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w:t>
            </w:r>
          </w:p>
        </w:tc>
        <w:tc>
          <w:tcPr>
            <w:tcW w:w="708" w:type="dxa"/>
            <w:tcBorders>
              <w:top w:val="nil"/>
              <w:left w:val="nil"/>
              <w:bottom w:val="single" w:sz="4" w:space="0" w:color="auto"/>
              <w:right w:val="nil"/>
            </w:tcBorders>
            <w:shd w:val="clear" w:color="auto" w:fill="auto"/>
            <w:noWrap/>
            <w:hideMark/>
          </w:tcPr>
          <w:p w14:paraId="04992A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0,76</w:t>
            </w:r>
          </w:p>
        </w:tc>
        <w:tc>
          <w:tcPr>
            <w:tcW w:w="709" w:type="dxa"/>
            <w:tcBorders>
              <w:top w:val="single" w:sz="4" w:space="0" w:color="auto"/>
              <w:left w:val="single" w:sz="8" w:space="0" w:color="auto"/>
              <w:bottom w:val="nil"/>
              <w:right w:val="single" w:sz="4" w:space="0" w:color="auto"/>
            </w:tcBorders>
            <w:shd w:val="clear" w:color="auto" w:fill="auto"/>
            <w:noWrap/>
            <w:hideMark/>
          </w:tcPr>
          <w:p w14:paraId="030DADF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127,70</w:t>
            </w:r>
          </w:p>
        </w:tc>
        <w:tc>
          <w:tcPr>
            <w:tcW w:w="851" w:type="dxa"/>
            <w:tcBorders>
              <w:top w:val="nil"/>
              <w:left w:val="nil"/>
              <w:bottom w:val="single" w:sz="4" w:space="0" w:color="auto"/>
              <w:right w:val="single" w:sz="4" w:space="0" w:color="auto"/>
            </w:tcBorders>
            <w:shd w:val="clear" w:color="auto" w:fill="auto"/>
            <w:noWrap/>
            <w:hideMark/>
          </w:tcPr>
          <w:p w14:paraId="3ED6814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0,0094</w:t>
            </w:r>
          </w:p>
        </w:tc>
        <w:tc>
          <w:tcPr>
            <w:tcW w:w="1134" w:type="dxa"/>
            <w:tcBorders>
              <w:top w:val="nil"/>
              <w:left w:val="nil"/>
              <w:bottom w:val="single" w:sz="4" w:space="0" w:color="auto"/>
              <w:right w:val="single" w:sz="4" w:space="0" w:color="auto"/>
            </w:tcBorders>
            <w:shd w:val="clear" w:color="000000" w:fill="C6E0B4"/>
            <w:noWrap/>
            <w:hideMark/>
          </w:tcPr>
          <w:p w14:paraId="4629E69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2.547.352</w:t>
            </w:r>
          </w:p>
        </w:tc>
        <w:tc>
          <w:tcPr>
            <w:tcW w:w="992" w:type="dxa"/>
            <w:tcBorders>
              <w:top w:val="nil"/>
              <w:left w:val="nil"/>
              <w:bottom w:val="single" w:sz="4" w:space="0" w:color="auto"/>
              <w:right w:val="single" w:sz="4" w:space="0" w:color="auto"/>
            </w:tcBorders>
            <w:shd w:val="clear" w:color="auto" w:fill="auto"/>
            <w:noWrap/>
            <w:hideMark/>
          </w:tcPr>
          <w:p w14:paraId="507F49D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1.220.740</w:t>
            </w:r>
          </w:p>
        </w:tc>
        <w:tc>
          <w:tcPr>
            <w:tcW w:w="567" w:type="dxa"/>
            <w:tcBorders>
              <w:top w:val="nil"/>
              <w:left w:val="nil"/>
              <w:bottom w:val="single" w:sz="4" w:space="0" w:color="auto"/>
              <w:right w:val="single" w:sz="4" w:space="0" w:color="auto"/>
            </w:tcBorders>
            <w:shd w:val="clear" w:color="auto" w:fill="auto"/>
            <w:noWrap/>
            <w:hideMark/>
          </w:tcPr>
          <w:p w14:paraId="3E410FB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208,67</w:t>
            </w:r>
          </w:p>
        </w:tc>
        <w:tc>
          <w:tcPr>
            <w:tcW w:w="850" w:type="dxa"/>
            <w:tcBorders>
              <w:top w:val="nil"/>
              <w:left w:val="nil"/>
              <w:bottom w:val="single" w:sz="4" w:space="0" w:color="auto"/>
              <w:right w:val="single" w:sz="4" w:space="0" w:color="auto"/>
            </w:tcBorders>
            <w:shd w:val="clear" w:color="auto" w:fill="auto"/>
            <w:noWrap/>
            <w:hideMark/>
          </w:tcPr>
          <w:p w14:paraId="6105431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2.292.616</w:t>
            </w:r>
          </w:p>
        </w:tc>
        <w:tc>
          <w:tcPr>
            <w:tcW w:w="709" w:type="dxa"/>
            <w:tcBorders>
              <w:top w:val="nil"/>
              <w:left w:val="nil"/>
              <w:bottom w:val="single" w:sz="4" w:space="0" w:color="auto"/>
              <w:right w:val="single" w:sz="8" w:space="0" w:color="auto"/>
            </w:tcBorders>
            <w:shd w:val="clear" w:color="auto" w:fill="auto"/>
            <w:noWrap/>
            <w:hideMark/>
          </w:tcPr>
          <w:p w14:paraId="21EC82A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254.735</w:t>
            </w:r>
          </w:p>
        </w:tc>
        <w:tc>
          <w:tcPr>
            <w:tcW w:w="851" w:type="dxa"/>
            <w:tcBorders>
              <w:top w:val="nil"/>
              <w:left w:val="single" w:sz="4" w:space="0" w:color="auto"/>
              <w:bottom w:val="single" w:sz="4" w:space="0" w:color="auto"/>
              <w:right w:val="single" w:sz="4" w:space="0" w:color="auto"/>
            </w:tcBorders>
            <w:shd w:val="clear" w:color="auto" w:fill="auto"/>
            <w:noWrap/>
            <w:hideMark/>
          </w:tcPr>
          <w:p w14:paraId="095C4531" w14:textId="4A3E56A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84.896</w:t>
            </w:r>
          </w:p>
        </w:tc>
      </w:tr>
      <w:tr w:rsidR="005C332D" w:rsidRPr="003F6E51" w14:paraId="0407365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C6AB83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31</w:t>
            </w:r>
          </w:p>
        </w:tc>
        <w:tc>
          <w:tcPr>
            <w:tcW w:w="2213" w:type="dxa"/>
            <w:tcBorders>
              <w:top w:val="nil"/>
              <w:left w:val="single" w:sz="8" w:space="0" w:color="auto"/>
              <w:bottom w:val="single" w:sz="4" w:space="0" w:color="auto"/>
              <w:right w:val="single" w:sz="8" w:space="0" w:color="auto"/>
            </w:tcBorders>
            <w:shd w:val="clear" w:color="auto" w:fill="auto"/>
            <w:noWrap/>
            <w:hideMark/>
          </w:tcPr>
          <w:p w14:paraId="052A5ED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KOCELJEVA</w:t>
            </w:r>
          </w:p>
        </w:tc>
        <w:tc>
          <w:tcPr>
            <w:tcW w:w="850" w:type="dxa"/>
            <w:tcBorders>
              <w:top w:val="nil"/>
              <w:left w:val="nil"/>
              <w:bottom w:val="single" w:sz="4" w:space="0" w:color="auto"/>
              <w:right w:val="single" w:sz="4" w:space="0" w:color="auto"/>
            </w:tcBorders>
            <w:shd w:val="clear" w:color="000000" w:fill="FFFFFF"/>
            <w:noWrap/>
            <w:hideMark/>
          </w:tcPr>
          <w:p w14:paraId="45861D4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11469</w:t>
            </w:r>
          </w:p>
        </w:tc>
        <w:tc>
          <w:tcPr>
            <w:tcW w:w="709" w:type="dxa"/>
            <w:tcBorders>
              <w:top w:val="nil"/>
              <w:left w:val="nil"/>
              <w:bottom w:val="single" w:sz="4" w:space="0" w:color="auto"/>
              <w:right w:val="single" w:sz="8" w:space="0" w:color="auto"/>
            </w:tcBorders>
            <w:shd w:val="clear" w:color="000000" w:fill="FFFFFF"/>
            <w:noWrap/>
            <w:hideMark/>
          </w:tcPr>
          <w:p w14:paraId="451EE4B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0,24</w:t>
            </w:r>
          </w:p>
        </w:tc>
        <w:tc>
          <w:tcPr>
            <w:tcW w:w="567" w:type="dxa"/>
            <w:tcBorders>
              <w:top w:val="nil"/>
              <w:left w:val="nil"/>
              <w:bottom w:val="single" w:sz="4" w:space="0" w:color="auto"/>
              <w:right w:val="single" w:sz="4" w:space="0" w:color="auto"/>
            </w:tcBorders>
            <w:shd w:val="clear" w:color="000000" w:fill="FFFFFF"/>
            <w:noWrap/>
            <w:hideMark/>
          </w:tcPr>
          <w:p w14:paraId="4D39473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257</w:t>
            </w:r>
          </w:p>
        </w:tc>
        <w:tc>
          <w:tcPr>
            <w:tcW w:w="709" w:type="dxa"/>
            <w:tcBorders>
              <w:top w:val="nil"/>
              <w:left w:val="nil"/>
              <w:bottom w:val="single" w:sz="4" w:space="0" w:color="auto"/>
              <w:right w:val="single" w:sz="8" w:space="0" w:color="auto"/>
            </w:tcBorders>
            <w:shd w:val="clear" w:color="000000" w:fill="FFFFFF"/>
            <w:noWrap/>
            <w:hideMark/>
          </w:tcPr>
          <w:p w14:paraId="296D5FF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0,48</w:t>
            </w:r>
          </w:p>
        </w:tc>
        <w:tc>
          <w:tcPr>
            <w:tcW w:w="850" w:type="dxa"/>
            <w:tcBorders>
              <w:top w:val="nil"/>
              <w:left w:val="nil"/>
              <w:bottom w:val="single" w:sz="4" w:space="0" w:color="auto"/>
              <w:right w:val="single" w:sz="4" w:space="0" w:color="auto"/>
            </w:tcBorders>
            <w:shd w:val="clear" w:color="000000" w:fill="FFFFFF"/>
            <w:noWrap/>
            <w:hideMark/>
          </w:tcPr>
          <w:p w14:paraId="640885C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60078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4B21B7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679017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DF0D6C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61,18</w:t>
            </w:r>
          </w:p>
        </w:tc>
        <w:tc>
          <w:tcPr>
            <w:tcW w:w="851" w:type="dxa"/>
            <w:tcBorders>
              <w:top w:val="nil"/>
              <w:left w:val="nil"/>
              <w:bottom w:val="single" w:sz="4" w:space="0" w:color="auto"/>
              <w:right w:val="single" w:sz="4" w:space="0" w:color="auto"/>
            </w:tcBorders>
            <w:shd w:val="clear" w:color="auto" w:fill="auto"/>
            <w:noWrap/>
            <w:hideMark/>
          </w:tcPr>
          <w:p w14:paraId="3B6C411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0,0045</w:t>
            </w:r>
          </w:p>
        </w:tc>
        <w:tc>
          <w:tcPr>
            <w:tcW w:w="1134" w:type="dxa"/>
            <w:tcBorders>
              <w:top w:val="nil"/>
              <w:left w:val="nil"/>
              <w:bottom w:val="single" w:sz="4" w:space="0" w:color="auto"/>
              <w:right w:val="single" w:sz="4" w:space="0" w:color="auto"/>
            </w:tcBorders>
            <w:shd w:val="clear" w:color="000000" w:fill="C6E0B4"/>
            <w:noWrap/>
            <w:hideMark/>
          </w:tcPr>
          <w:p w14:paraId="430932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1.220.508</w:t>
            </w:r>
          </w:p>
        </w:tc>
        <w:tc>
          <w:tcPr>
            <w:tcW w:w="992" w:type="dxa"/>
            <w:tcBorders>
              <w:top w:val="nil"/>
              <w:left w:val="nil"/>
              <w:bottom w:val="single" w:sz="4" w:space="0" w:color="auto"/>
              <w:right w:val="single" w:sz="4" w:space="0" w:color="auto"/>
            </w:tcBorders>
            <w:shd w:val="clear" w:color="auto" w:fill="auto"/>
            <w:noWrap/>
            <w:hideMark/>
          </w:tcPr>
          <w:p w14:paraId="52F24F7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488.596</w:t>
            </w:r>
          </w:p>
        </w:tc>
        <w:tc>
          <w:tcPr>
            <w:tcW w:w="567" w:type="dxa"/>
            <w:tcBorders>
              <w:top w:val="nil"/>
              <w:left w:val="nil"/>
              <w:bottom w:val="single" w:sz="4" w:space="0" w:color="auto"/>
              <w:right w:val="single" w:sz="4" w:space="0" w:color="auto"/>
            </w:tcBorders>
            <w:shd w:val="clear" w:color="auto" w:fill="auto"/>
            <w:noWrap/>
            <w:hideMark/>
          </w:tcPr>
          <w:p w14:paraId="34E02F2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249,80</w:t>
            </w:r>
          </w:p>
        </w:tc>
        <w:tc>
          <w:tcPr>
            <w:tcW w:w="850" w:type="dxa"/>
            <w:tcBorders>
              <w:top w:val="nil"/>
              <w:left w:val="nil"/>
              <w:bottom w:val="single" w:sz="4" w:space="0" w:color="auto"/>
              <w:right w:val="single" w:sz="4" w:space="0" w:color="auto"/>
            </w:tcBorders>
            <w:shd w:val="clear" w:color="auto" w:fill="auto"/>
            <w:noWrap/>
            <w:hideMark/>
          </w:tcPr>
          <w:p w14:paraId="177D9C4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1.098.457</w:t>
            </w:r>
          </w:p>
        </w:tc>
        <w:tc>
          <w:tcPr>
            <w:tcW w:w="709" w:type="dxa"/>
            <w:tcBorders>
              <w:top w:val="nil"/>
              <w:left w:val="nil"/>
              <w:bottom w:val="single" w:sz="4" w:space="0" w:color="auto"/>
              <w:right w:val="single" w:sz="8" w:space="0" w:color="auto"/>
            </w:tcBorders>
            <w:shd w:val="clear" w:color="auto" w:fill="auto"/>
            <w:noWrap/>
            <w:hideMark/>
          </w:tcPr>
          <w:p w14:paraId="48DFF5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122.051</w:t>
            </w:r>
          </w:p>
        </w:tc>
        <w:tc>
          <w:tcPr>
            <w:tcW w:w="851" w:type="dxa"/>
            <w:tcBorders>
              <w:top w:val="nil"/>
              <w:left w:val="single" w:sz="4" w:space="0" w:color="auto"/>
              <w:bottom w:val="single" w:sz="4" w:space="0" w:color="auto"/>
              <w:right w:val="single" w:sz="4" w:space="0" w:color="auto"/>
            </w:tcBorders>
            <w:shd w:val="clear" w:color="auto" w:fill="auto"/>
            <w:noWrap/>
            <w:hideMark/>
          </w:tcPr>
          <w:p w14:paraId="52E3B0EC" w14:textId="548F848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95.776</w:t>
            </w:r>
          </w:p>
        </w:tc>
      </w:tr>
      <w:tr w:rsidR="005C332D" w:rsidRPr="003F6E51" w14:paraId="7228CF24"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3BC4A9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2213" w:type="dxa"/>
            <w:tcBorders>
              <w:top w:val="nil"/>
              <w:left w:val="single" w:sz="8" w:space="0" w:color="auto"/>
              <w:bottom w:val="single" w:sz="4" w:space="0" w:color="auto"/>
              <w:right w:val="single" w:sz="8" w:space="0" w:color="auto"/>
            </w:tcBorders>
            <w:shd w:val="clear" w:color="auto" w:fill="auto"/>
            <w:noWrap/>
            <w:hideMark/>
          </w:tcPr>
          <w:p w14:paraId="0986A2C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KOSJERIĆ</w:t>
            </w:r>
          </w:p>
        </w:tc>
        <w:tc>
          <w:tcPr>
            <w:tcW w:w="850" w:type="dxa"/>
            <w:tcBorders>
              <w:top w:val="nil"/>
              <w:left w:val="nil"/>
              <w:bottom w:val="single" w:sz="4" w:space="0" w:color="auto"/>
              <w:right w:val="single" w:sz="4" w:space="0" w:color="auto"/>
            </w:tcBorders>
            <w:shd w:val="clear" w:color="000000" w:fill="FFFFFF"/>
            <w:noWrap/>
            <w:hideMark/>
          </w:tcPr>
          <w:p w14:paraId="0D1E916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10462</w:t>
            </w:r>
          </w:p>
        </w:tc>
        <w:tc>
          <w:tcPr>
            <w:tcW w:w="709" w:type="dxa"/>
            <w:tcBorders>
              <w:top w:val="nil"/>
              <w:left w:val="nil"/>
              <w:bottom w:val="single" w:sz="4" w:space="0" w:color="auto"/>
              <w:right w:val="single" w:sz="8" w:space="0" w:color="auto"/>
            </w:tcBorders>
            <w:shd w:val="clear" w:color="000000" w:fill="FFFFFF"/>
            <w:noWrap/>
            <w:hideMark/>
          </w:tcPr>
          <w:p w14:paraId="68BD7E6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0,22</w:t>
            </w:r>
          </w:p>
        </w:tc>
        <w:tc>
          <w:tcPr>
            <w:tcW w:w="567" w:type="dxa"/>
            <w:tcBorders>
              <w:top w:val="nil"/>
              <w:left w:val="nil"/>
              <w:bottom w:val="single" w:sz="4" w:space="0" w:color="auto"/>
              <w:right w:val="single" w:sz="4" w:space="0" w:color="auto"/>
            </w:tcBorders>
            <w:shd w:val="clear" w:color="000000" w:fill="FFFFFF"/>
            <w:noWrap/>
            <w:hideMark/>
          </w:tcPr>
          <w:p w14:paraId="48A708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358</w:t>
            </w:r>
          </w:p>
        </w:tc>
        <w:tc>
          <w:tcPr>
            <w:tcW w:w="709" w:type="dxa"/>
            <w:tcBorders>
              <w:top w:val="nil"/>
              <w:left w:val="nil"/>
              <w:bottom w:val="single" w:sz="4" w:space="0" w:color="auto"/>
              <w:right w:val="single" w:sz="8" w:space="0" w:color="auto"/>
            </w:tcBorders>
            <w:shd w:val="clear" w:color="000000" w:fill="FFFFFF"/>
            <w:noWrap/>
            <w:hideMark/>
          </w:tcPr>
          <w:p w14:paraId="4B04340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0,67</w:t>
            </w:r>
          </w:p>
        </w:tc>
        <w:tc>
          <w:tcPr>
            <w:tcW w:w="850" w:type="dxa"/>
            <w:tcBorders>
              <w:top w:val="nil"/>
              <w:left w:val="nil"/>
              <w:bottom w:val="single" w:sz="4" w:space="0" w:color="auto"/>
              <w:right w:val="single" w:sz="4" w:space="0" w:color="auto"/>
            </w:tcBorders>
            <w:shd w:val="clear" w:color="000000" w:fill="FFFFFF"/>
            <w:noWrap/>
            <w:hideMark/>
          </w:tcPr>
          <w:p w14:paraId="7B4CDB5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E86860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19D1491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0CEE8D5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36B118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52,85</w:t>
            </w:r>
          </w:p>
        </w:tc>
        <w:tc>
          <w:tcPr>
            <w:tcW w:w="851" w:type="dxa"/>
            <w:tcBorders>
              <w:top w:val="nil"/>
              <w:left w:val="nil"/>
              <w:bottom w:val="single" w:sz="4" w:space="0" w:color="auto"/>
              <w:right w:val="single" w:sz="4" w:space="0" w:color="auto"/>
            </w:tcBorders>
            <w:shd w:val="clear" w:color="auto" w:fill="auto"/>
            <w:noWrap/>
            <w:hideMark/>
          </w:tcPr>
          <w:p w14:paraId="42F65A9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0,0039</w:t>
            </w:r>
          </w:p>
        </w:tc>
        <w:tc>
          <w:tcPr>
            <w:tcW w:w="1134" w:type="dxa"/>
            <w:tcBorders>
              <w:top w:val="nil"/>
              <w:left w:val="nil"/>
              <w:bottom w:val="single" w:sz="4" w:space="0" w:color="auto"/>
              <w:right w:val="single" w:sz="4" w:space="0" w:color="auto"/>
            </w:tcBorders>
            <w:shd w:val="clear" w:color="000000" w:fill="C6E0B4"/>
            <w:noWrap/>
            <w:hideMark/>
          </w:tcPr>
          <w:p w14:paraId="7FFE0EB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1.054.209</w:t>
            </w:r>
          </w:p>
        </w:tc>
        <w:tc>
          <w:tcPr>
            <w:tcW w:w="992" w:type="dxa"/>
            <w:tcBorders>
              <w:top w:val="nil"/>
              <w:left w:val="nil"/>
              <w:bottom w:val="single" w:sz="4" w:space="0" w:color="auto"/>
              <w:right w:val="single" w:sz="4" w:space="0" w:color="auto"/>
            </w:tcBorders>
            <w:shd w:val="clear" w:color="auto" w:fill="auto"/>
            <w:noWrap/>
            <w:hideMark/>
          </w:tcPr>
          <w:p w14:paraId="5087AE1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219.517</w:t>
            </w:r>
          </w:p>
        </w:tc>
        <w:tc>
          <w:tcPr>
            <w:tcW w:w="567" w:type="dxa"/>
            <w:tcBorders>
              <w:top w:val="nil"/>
              <w:left w:val="nil"/>
              <w:bottom w:val="single" w:sz="4" w:space="0" w:color="auto"/>
              <w:right w:val="single" w:sz="4" w:space="0" w:color="auto"/>
            </w:tcBorders>
            <w:shd w:val="clear" w:color="auto" w:fill="auto"/>
            <w:noWrap/>
            <w:hideMark/>
          </w:tcPr>
          <w:p w14:paraId="002D9A5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480,24</w:t>
            </w:r>
          </w:p>
        </w:tc>
        <w:tc>
          <w:tcPr>
            <w:tcW w:w="850" w:type="dxa"/>
            <w:tcBorders>
              <w:top w:val="nil"/>
              <w:left w:val="nil"/>
              <w:bottom w:val="single" w:sz="4" w:space="0" w:color="auto"/>
              <w:right w:val="single" w:sz="4" w:space="0" w:color="auto"/>
            </w:tcBorders>
            <w:shd w:val="clear" w:color="auto" w:fill="auto"/>
            <w:noWrap/>
            <w:hideMark/>
          </w:tcPr>
          <w:p w14:paraId="7087D9F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948.788</w:t>
            </w:r>
          </w:p>
        </w:tc>
        <w:tc>
          <w:tcPr>
            <w:tcW w:w="709" w:type="dxa"/>
            <w:tcBorders>
              <w:top w:val="nil"/>
              <w:left w:val="nil"/>
              <w:bottom w:val="single" w:sz="4" w:space="0" w:color="auto"/>
              <w:right w:val="single" w:sz="8" w:space="0" w:color="auto"/>
            </w:tcBorders>
            <w:shd w:val="clear" w:color="auto" w:fill="auto"/>
            <w:noWrap/>
            <w:hideMark/>
          </w:tcPr>
          <w:p w14:paraId="26C1E66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105.421</w:t>
            </w:r>
          </w:p>
        </w:tc>
        <w:tc>
          <w:tcPr>
            <w:tcW w:w="851" w:type="dxa"/>
            <w:tcBorders>
              <w:top w:val="nil"/>
              <w:left w:val="single" w:sz="4" w:space="0" w:color="auto"/>
              <w:bottom w:val="single" w:sz="4" w:space="0" w:color="auto"/>
              <w:right w:val="single" w:sz="4" w:space="0" w:color="auto"/>
            </w:tcBorders>
            <w:shd w:val="clear" w:color="auto" w:fill="auto"/>
            <w:noWrap/>
            <w:hideMark/>
          </w:tcPr>
          <w:p w14:paraId="77B19187" w14:textId="20DD42C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90.689</w:t>
            </w:r>
          </w:p>
        </w:tc>
      </w:tr>
      <w:tr w:rsidR="005C332D" w:rsidRPr="003F6E51" w14:paraId="7076118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29F95E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33</w:t>
            </w:r>
          </w:p>
        </w:tc>
        <w:tc>
          <w:tcPr>
            <w:tcW w:w="2213" w:type="dxa"/>
            <w:tcBorders>
              <w:top w:val="nil"/>
              <w:left w:val="single" w:sz="8" w:space="0" w:color="auto"/>
              <w:bottom w:val="single" w:sz="4" w:space="0" w:color="auto"/>
              <w:right w:val="single" w:sz="8" w:space="0" w:color="auto"/>
            </w:tcBorders>
            <w:shd w:val="clear" w:color="auto" w:fill="auto"/>
            <w:noWrap/>
            <w:hideMark/>
          </w:tcPr>
          <w:p w14:paraId="5F45D80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KRUPANJ</w:t>
            </w:r>
          </w:p>
        </w:tc>
        <w:tc>
          <w:tcPr>
            <w:tcW w:w="850" w:type="dxa"/>
            <w:tcBorders>
              <w:top w:val="nil"/>
              <w:left w:val="nil"/>
              <w:bottom w:val="single" w:sz="4" w:space="0" w:color="auto"/>
              <w:right w:val="single" w:sz="4" w:space="0" w:color="auto"/>
            </w:tcBorders>
            <w:shd w:val="clear" w:color="000000" w:fill="FFFFFF"/>
            <w:noWrap/>
            <w:hideMark/>
          </w:tcPr>
          <w:p w14:paraId="157DE8C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15079</w:t>
            </w:r>
          </w:p>
        </w:tc>
        <w:tc>
          <w:tcPr>
            <w:tcW w:w="709" w:type="dxa"/>
            <w:tcBorders>
              <w:top w:val="nil"/>
              <w:left w:val="nil"/>
              <w:bottom w:val="single" w:sz="4" w:space="0" w:color="auto"/>
              <w:right w:val="single" w:sz="8" w:space="0" w:color="auto"/>
            </w:tcBorders>
            <w:shd w:val="clear" w:color="000000" w:fill="FFFFFF"/>
            <w:noWrap/>
            <w:hideMark/>
          </w:tcPr>
          <w:p w14:paraId="1A57D86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0,32</w:t>
            </w:r>
          </w:p>
        </w:tc>
        <w:tc>
          <w:tcPr>
            <w:tcW w:w="567" w:type="dxa"/>
            <w:tcBorders>
              <w:top w:val="nil"/>
              <w:left w:val="nil"/>
              <w:bottom w:val="single" w:sz="4" w:space="0" w:color="auto"/>
              <w:right w:val="single" w:sz="4" w:space="0" w:color="auto"/>
            </w:tcBorders>
            <w:shd w:val="clear" w:color="000000" w:fill="FFFFFF"/>
            <w:noWrap/>
            <w:hideMark/>
          </w:tcPr>
          <w:p w14:paraId="3715FD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342</w:t>
            </w:r>
          </w:p>
        </w:tc>
        <w:tc>
          <w:tcPr>
            <w:tcW w:w="709" w:type="dxa"/>
            <w:tcBorders>
              <w:top w:val="nil"/>
              <w:left w:val="nil"/>
              <w:bottom w:val="single" w:sz="4" w:space="0" w:color="auto"/>
              <w:right w:val="single" w:sz="8" w:space="0" w:color="auto"/>
            </w:tcBorders>
            <w:shd w:val="clear" w:color="000000" w:fill="FFFFFF"/>
            <w:noWrap/>
            <w:hideMark/>
          </w:tcPr>
          <w:p w14:paraId="61B94A0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0,64</w:t>
            </w:r>
          </w:p>
        </w:tc>
        <w:tc>
          <w:tcPr>
            <w:tcW w:w="850" w:type="dxa"/>
            <w:tcBorders>
              <w:top w:val="nil"/>
              <w:left w:val="nil"/>
              <w:bottom w:val="single" w:sz="4" w:space="0" w:color="auto"/>
              <w:right w:val="single" w:sz="4" w:space="0" w:color="auto"/>
            </w:tcBorders>
            <w:shd w:val="clear" w:color="000000" w:fill="FFFFFF"/>
            <w:noWrap/>
            <w:hideMark/>
          </w:tcPr>
          <w:p w14:paraId="1C59A53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362505E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45613D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3E71C66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2DD5C4A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79,78</w:t>
            </w:r>
          </w:p>
        </w:tc>
        <w:tc>
          <w:tcPr>
            <w:tcW w:w="851" w:type="dxa"/>
            <w:tcBorders>
              <w:top w:val="nil"/>
              <w:left w:val="nil"/>
              <w:bottom w:val="single" w:sz="4" w:space="0" w:color="auto"/>
              <w:right w:val="single" w:sz="4" w:space="0" w:color="auto"/>
            </w:tcBorders>
            <w:shd w:val="clear" w:color="auto" w:fill="auto"/>
            <w:noWrap/>
            <w:hideMark/>
          </w:tcPr>
          <w:p w14:paraId="7CE5DC9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0,0059</w:t>
            </w:r>
          </w:p>
        </w:tc>
        <w:tc>
          <w:tcPr>
            <w:tcW w:w="1134" w:type="dxa"/>
            <w:tcBorders>
              <w:top w:val="nil"/>
              <w:left w:val="nil"/>
              <w:bottom w:val="single" w:sz="4" w:space="0" w:color="auto"/>
              <w:right w:val="single" w:sz="4" w:space="0" w:color="auto"/>
            </w:tcBorders>
            <w:shd w:val="clear" w:color="000000" w:fill="C6E0B4"/>
            <w:noWrap/>
            <w:hideMark/>
          </w:tcPr>
          <w:p w14:paraId="194D316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1.591.473</w:t>
            </w:r>
          </w:p>
        </w:tc>
        <w:tc>
          <w:tcPr>
            <w:tcW w:w="992" w:type="dxa"/>
            <w:tcBorders>
              <w:top w:val="nil"/>
              <w:left w:val="nil"/>
              <w:bottom w:val="single" w:sz="4" w:space="0" w:color="auto"/>
              <w:right w:val="single" w:sz="4" w:space="0" w:color="auto"/>
            </w:tcBorders>
            <w:shd w:val="clear" w:color="auto" w:fill="auto"/>
            <w:noWrap/>
            <w:hideMark/>
          </w:tcPr>
          <w:p w14:paraId="416C0E8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982.245</w:t>
            </w:r>
          </w:p>
        </w:tc>
        <w:tc>
          <w:tcPr>
            <w:tcW w:w="567" w:type="dxa"/>
            <w:tcBorders>
              <w:top w:val="nil"/>
              <w:left w:val="nil"/>
              <w:bottom w:val="single" w:sz="4" w:space="0" w:color="auto"/>
              <w:right w:val="single" w:sz="4" w:space="0" w:color="auto"/>
            </w:tcBorders>
            <w:shd w:val="clear" w:color="auto" w:fill="auto"/>
            <w:noWrap/>
            <w:hideMark/>
          </w:tcPr>
          <w:p w14:paraId="69757AE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162,02</w:t>
            </w:r>
          </w:p>
        </w:tc>
        <w:tc>
          <w:tcPr>
            <w:tcW w:w="850" w:type="dxa"/>
            <w:tcBorders>
              <w:top w:val="nil"/>
              <w:left w:val="nil"/>
              <w:bottom w:val="single" w:sz="4" w:space="0" w:color="auto"/>
              <w:right w:val="single" w:sz="4" w:space="0" w:color="auto"/>
            </w:tcBorders>
            <w:shd w:val="clear" w:color="auto" w:fill="auto"/>
            <w:noWrap/>
            <w:hideMark/>
          </w:tcPr>
          <w:p w14:paraId="5AF7C18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1.432.326</w:t>
            </w:r>
          </w:p>
        </w:tc>
        <w:tc>
          <w:tcPr>
            <w:tcW w:w="709" w:type="dxa"/>
            <w:tcBorders>
              <w:top w:val="nil"/>
              <w:left w:val="nil"/>
              <w:bottom w:val="single" w:sz="4" w:space="0" w:color="auto"/>
              <w:right w:val="single" w:sz="8" w:space="0" w:color="auto"/>
            </w:tcBorders>
            <w:shd w:val="clear" w:color="auto" w:fill="auto"/>
            <w:noWrap/>
            <w:hideMark/>
          </w:tcPr>
          <w:p w14:paraId="6DC9712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159.147</w:t>
            </w:r>
          </w:p>
        </w:tc>
        <w:tc>
          <w:tcPr>
            <w:tcW w:w="851" w:type="dxa"/>
            <w:tcBorders>
              <w:top w:val="nil"/>
              <w:left w:val="single" w:sz="4" w:space="0" w:color="auto"/>
              <w:bottom w:val="single" w:sz="4" w:space="0" w:color="auto"/>
              <w:right w:val="single" w:sz="4" w:space="0" w:color="auto"/>
            </w:tcBorders>
            <w:shd w:val="clear" w:color="auto" w:fill="auto"/>
            <w:noWrap/>
            <w:hideMark/>
          </w:tcPr>
          <w:p w14:paraId="6406B5B7" w14:textId="6356DA0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94.988</w:t>
            </w:r>
          </w:p>
        </w:tc>
      </w:tr>
      <w:tr w:rsidR="005C332D" w:rsidRPr="003F6E51" w14:paraId="3CD0847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C8A94D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2213" w:type="dxa"/>
            <w:tcBorders>
              <w:top w:val="nil"/>
              <w:left w:val="single" w:sz="8" w:space="0" w:color="auto"/>
              <w:bottom w:val="single" w:sz="4" w:space="0" w:color="auto"/>
              <w:right w:val="single" w:sz="8" w:space="0" w:color="auto"/>
            </w:tcBorders>
            <w:shd w:val="clear" w:color="auto" w:fill="auto"/>
            <w:noWrap/>
            <w:hideMark/>
          </w:tcPr>
          <w:p w14:paraId="6B7E176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KUČEVO</w:t>
            </w:r>
          </w:p>
        </w:tc>
        <w:tc>
          <w:tcPr>
            <w:tcW w:w="850" w:type="dxa"/>
            <w:tcBorders>
              <w:top w:val="nil"/>
              <w:left w:val="nil"/>
              <w:bottom w:val="single" w:sz="4" w:space="0" w:color="auto"/>
              <w:right w:val="single" w:sz="4" w:space="0" w:color="auto"/>
            </w:tcBorders>
            <w:shd w:val="clear" w:color="000000" w:fill="FFFFFF"/>
            <w:noWrap/>
            <w:hideMark/>
          </w:tcPr>
          <w:p w14:paraId="5F540B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12641</w:t>
            </w:r>
          </w:p>
        </w:tc>
        <w:tc>
          <w:tcPr>
            <w:tcW w:w="709" w:type="dxa"/>
            <w:tcBorders>
              <w:top w:val="nil"/>
              <w:left w:val="nil"/>
              <w:bottom w:val="single" w:sz="4" w:space="0" w:color="auto"/>
              <w:right w:val="single" w:sz="8" w:space="0" w:color="auto"/>
            </w:tcBorders>
            <w:shd w:val="clear" w:color="000000" w:fill="FFFFFF"/>
            <w:noWrap/>
            <w:hideMark/>
          </w:tcPr>
          <w:p w14:paraId="365790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0,27</w:t>
            </w:r>
          </w:p>
        </w:tc>
        <w:tc>
          <w:tcPr>
            <w:tcW w:w="567" w:type="dxa"/>
            <w:tcBorders>
              <w:top w:val="nil"/>
              <w:left w:val="nil"/>
              <w:bottom w:val="single" w:sz="4" w:space="0" w:color="auto"/>
              <w:right w:val="single" w:sz="4" w:space="0" w:color="auto"/>
            </w:tcBorders>
            <w:shd w:val="clear" w:color="000000" w:fill="FFFFFF"/>
            <w:noWrap/>
            <w:hideMark/>
          </w:tcPr>
          <w:p w14:paraId="5859C8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721</w:t>
            </w:r>
          </w:p>
        </w:tc>
        <w:tc>
          <w:tcPr>
            <w:tcW w:w="709" w:type="dxa"/>
            <w:tcBorders>
              <w:top w:val="nil"/>
              <w:left w:val="nil"/>
              <w:bottom w:val="single" w:sz="4" w:space="0" w:color="auto"/>
              <w:right w:val="single" w:sz="8" w:space="0" w:color="auto"/>
            </w:tcBorders>
            <w:shd w:val="clear" w:color="000000" w:fill="FFFFFF"/>
            <w:noWrap/>
            <w:hideMark/>
          </w:tcPr>
          <w:p w14:paraId="077F2E5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1,35</w:t>
            </w:r>
          </w:p>
        </w:tc>
        <w:tc>
          <w:tcPr>
            <w:tcW w:w="850" w:type="dxa"/>
            <w:tcBorders>
              <w:top w:val="nil"/>
              <w:left w:val="nil"/>
              <w:bottom w:val="single" w:sz="4" w:space="0" w:color="auto"/>
              <w:right w:val="single" w:sz="4" w:space="0" w:color="auto"/>
            </w:tcBorders>
            <w:shd w:val="clear" w:color="000000" w:fill="FFFFFF"/>
            <w:noWrap/>
            <w:hideMark/>
          </w:tcPr>
          <w:p w14:paraId="35221A3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7855BD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0C5E3B6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61AD7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EC59E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96,04</w:t>
            </w:r>
          </w:p>
        </w:tc>
        <w:tc>
          <w:tcPr>
            <w:tcW w:w="851" w:type="dxa"/>
            <w:tcBorders>
              <w:top w:val="nil"/>
              <w:left w:val="nil"/>
              <w:bottom w:val="single" w:sz="4" w:space="0" w:color="auto"/>
              <w:right w:val="single" w:sz="4" w:space="0" w:color="auto"/>
            </w:tcBorders>
            <w:shd w:val="clear" w:color="auto" w:fill="auto"/>
            <w:noWrap/>
            <w:hideMark/>
          </w:tcPr>
          <w:p w14:paraId="1E4DFFB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0,0071</w:t>
            </w:r>
          </w:p>
        </w:tc>
        <w:tc>
          <w:tcPr>
            <w:tcW w:w="1134" w:type="dxa"/>
            <w:tcBorders>
              <w:top w:val="nil"/>
              <w:left w:val="nil"/>
              <w:bottom w:val="single" w:sz="4" w:space="0" w:color="auto"/>
              <w:right w:val="single" w:sz="4" w:space="0" w:color="auto"/>
            </w:tcBorders>
            <w:shd w:val="clear" w:color="000000" w:fill="C6E0B4"/>
            <w:noWrap/>
            <w:hideMark/>
          </w:tcPr>
          <w:p w14:paraId="3157EDE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1.915.812</w:t>
            </w:r>
          </w:p>
        </w:tc>
        <w:tc>
          <w:tcPr>
            <w:tcW w:w="992" w:type="dxa"/>
            <w:tcBorders>
              <w:top w:val="nil"/>
              <w:left w:val="nil"/>
              <w:bottom w:val="single" w:sz="4" w:space="0" w:color="auto"/>
              <w:right w:val="single" w:sz="4" w:space="0" w:color="auto"/>
            </w:tcBorders>
            <w:shd w:val="clear" w:color="auto" w:fill="auto"/>
            <w:noWrap/>
            <w:hideMark/>
          </w:tcPr>
          <w:p w14:paraId="154E189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809.552</w:t>
            </w:r>
          </w:p>
        </w:tc>
        <w:tc>
          <w:tcPr>
            <w:tcW w:w="567" w:type="dxa"/>
            <w:tcBorders>
              <w:top w:val="nil"/>
              <w:left w:val="nil"/>
              <w:bottom w:val="single" w:sz="4" w:space="0" w:color="auto"/>
              <w:right w:val="single" w:sz="4" w:space="0" w:color="auto"/>
            </w:tcBorders>
            <w:shd w:val="clear" w:color="auto" w:fill="auto"/>
            <w:noWrap/>
            <w:hideMark/>
          </w:tcPr>
          <w:p w14:paraId="7011839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236,65</w:t>
            </w:r>
          </w:p>
        </w:tc>
        <w:tc>
          <w:tcPr>
            <w:tcW w:w="850" w:type="dxa"/>
            <w:tcBorders>
              <w:top w:val="nil"/>
              <w:left w:val="nil"/>
              <w:bottom w:val="single" w:sz="4" w:space="0" w:color="auto"/>
              <w:right w:val="single" w:sz="4" w:space="0" w:color="auto"/>
            </w:tcBorders>
            <w:shd w:val="clear" w:color="auto" w:fill="auto"/>
            <w:noWrap/>
            <w:hideMark/>
          </w:tcPr>
          <w:p w14:paraId="6AF1F69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1.724.231</w:t>
            </w:r>
          </w:p>
        </w:tc>
        <w:tc>
          <w:tcPr>
            <w:tcW w:w="709" w:type="dxa"/>
            <w:tcBorders>
              <w:top w:val="nil"/>
              <w:left w:val="nil"/>
              <w:bottom w:val="single" w:sz="4" w:space="0" w:color="auto"/>
              <w:right w:val="single" w:sz="8" w:space="0" w:color="auto"/>
            </w:tcBorders>
            <w:shd w:val="clear" w:color="auto" w:fill="auto"/>
            <w:noWrap/>
            <w:hideMark/>
          </w:tcPr>
          <w:p w14:paraId="5F8D1A3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191.581</w:t>
            </w:r>
          </w:p>
        </w:tc>
        <w:tc>
          <w:tcPr>
            <w:tcW w:w="851" w:type="dxa"/>
            <w:tcBorders>
              <w:top w:val="nil"/>
              <w:left w:val="single" w:sz="4" w:space="0" w:color="auto"/>
              <w:bottom w:val="single" w:sz="4" w:space="0" w:color="auto"/>
              <w:right w:val="single" w:sz="4" w:space="0" w:color="auto"/>
            </w:tcBorders>
            <w:shd w:val="clear" w:color="auto" w:fill="auto"/>
            <w:noWrap/>
            <w:hideMark/>
          </w:tcPr>
          <w:p w14:paraId="4333FF28" w14:textId="436C596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136.400</w:t>
            </w:r>
          </w:p>
        </w:tc>
      </w:tr>
      <w:tr w:rsidR="005C332D" w:rsidRPr="003F6E51" w14:paraId="7671F3F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6758D8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06C39A3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KURŠUMLIJA</w:t>
            </w:r>
          </w:p>
        </w:tc>
        <w:tc>
          <w:tcPr>
            <w:tcW w:w="850" w:type="dxa"/>
            <w:tcBorders>
              <w:top w:val="nil"/>
              <w:left w:val="nil"/>
              <w:bottom w:val="single" w:sz="4" w:space="0" w:color="auto"/>
              <w:right w:val="single" w:sz="4" w:space="0" w:color="auto"/>
            </w:tcBorders>
            <w:shd w:val="clear" w:color="000000" w:fill="FFFFFF"/>
            <w:noWrap/>
            <w:hideMark/>
          </w:tcPr>
          <w:p w14:paraId="1900C4F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17051</w:t>
            </w:r>
          </w:p>
        </w:tc>
        <w:tc>
          <w:tcPr>
            <w:tcW w:w="709" w:type="dxa"/>
            <w:tcBorders>
              <w:top w:val="nil"/>
              <w:left w:val="nil"/>
              <w:bottom w:val="single" w:sz="4" w:space="0" w:color="auto"/>
              <w:right w:val="single" w:sz="8" w:space="0" w:color="auto"/>
            </w:tcBorders>
            <w:shd w:val="clear" w:color="000000" w:fill="FFFFFF"/>
            <w:noWrap/>
            <w:hideMark/>
          </w:tcPr>
          <w:p w14:paraId="4D920BE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0,36</w:t>
            </w:r>
          </w:p>
        </w:tc>
        <w:tc>
          <w:tcPr>
            <w:tcW w:w="567" w:type="dxa"/>
            <w:tcBorders>
              <w:top w:val="nil"/>
              <w:left w:val="nil"/>
              <w:bottom w:val="single" w:sz="4" w:space="0" w:color="auto"/>
              <w:right w:val="single" w:sz="4" w:space="0" w:color="auto"/>
            </w:tcBorders>
            <w:shd w:val="clear" w:color="000000" w:fill="FFFFFF"/>
            <w:noWrap/>
            <w:hideMark/>
          </w:tcPr>
          <w:p w14:paraId="76DF8FA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952</w:t>
            </w:r>
          </w:p>
        </w:tc>
        <w:tc>
          <w:tcPr>
            <w:tcW w:w="709" w:type="dxa"/>
            <w:tcBorders>
              <w:top w:val="nil"/>
              <w:left w:val="nil"/>
              <w:bottom w:val="single" w:sz="4" w:space="0" w:color="auto"/>
              <w:right w:val="single" w:sz="8" w:space="0" w:color="auto"/>
            </w:tcBorders>
            <w:shd w:val="clear" w:color="000000" w:fill="FFFFFF"/>
            <w:noWrap/>
            <w:hideMark/>
          </w:tcPr>
          <w:p w14:paraId="799617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1,78</w:t>
            </w:r>
          </w:p>
        </w:tc>
        <w:tc>
          <w:tcPr>
            <w:tcW w:w="850" w:type="dxa"/>
            <w:tcBorders>
              <w:top w:val="nil"/>
              <w:left w:val="nil"/>
              <w:bottom w:val="single" w:sz="4" w:space="0" w:color="auto"/>
              <w:right w:val="single" w:sz="4" w:space="0" w:color="auto"/>
            </w:tcBorders>
            <w:shd w:val="clear" w:color="000000" w:fill="FFFFFF"/>
            <w:noWrap/>
            <w:hideMark/>
          </w:tcPr>
          <w:p w14:paraId="0E0558E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E3020C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17667F7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52348D6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4522C4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121,70</w:t>
            </w:r>
          </w:p>
        </w:tc>
        <w:tc>
          <w:tcPr>
            <w:tcW w:w="851" w:type="dxa"/>
            <w:tcBorders>
              <w:top w:val="nil"/>
              <w:left w:val="nil"/>
              <w:bottom w:val="single" w:sz="4" w:space="0" w:color="auto"/>
              <w:right w:val="single" w:sz="4" w:space="0" w:color="auto"/>
            </w:tcBorders>
            <w:shd w:val="clear" w:color="auto" w:fill="auto"/>
            <w:noWrap/>
            <w:hideMark/>
          </w:tcPr>
          <w:p w14:paraId="61DFE32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0,0090</w:t>
            </w:r>
          </w:p>
        </w:tc>
        <w:tc>
          <w:tcPr>
            <w:tcW w:w="1134" w:type="dxa"/>
            <w:tcBorders>
              <w:top w:val="nil"/>
              <w:left w:val="nil"/>
              <w:bottom w:val="single" w:sz="4" w:space="0" w:color="auto"/>
              <w:right w:val="single" w:sz="4" w:space="0" w:color="auto"/>
            </w:tcBorders>
            <w:shd w:val="clear" w:color="000000" w:fill="C6E0B4"/>
            <w:noWrap/>
            <w:hideMark/>
          </w:tcPr>
          <w:p w14:paraId="651A6C3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2.427.705</w:t>
            </w:r>
          </w:p>
        </w:tc>
        <w:tc>
          <w:tcPr>
            <w:tcW w:w="992" w:type="dxa"/>
            <w:tcBorders>
              <w:top w:val="nil"/>
              <w:left w:val="nil"/>
              <w:bottom w:val="single" w:sz="4" w:space="0" w:color="auto"/>
              <w:right w:val="single" w:sz="4" w:space="0" w:color="auto"/>
            </w:tcBorders>
            <w:shd w:val="clear" w:color="auto" w:fill="auto"/>
            <w:noWrap/>
            <w:hideMark/>
          </w:tcPr>
          <w:p w14:paraId="41B66F6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600.567</w:t>
            </w:r>
          </w:p>
        </w:tc>
        <w:tc>
          <w:tcPr>
            <w:tcW w:w="567" w:type="dxa"/>
            <w:tcBorders>
              <w:top w:val="nil"/>
              <w:left w:val="nil"/>
              <w:bottom w:val="single" w:sz="4" w:space="0" w:color="auto"/>
              <w:right w:val="single" w:sz="4" w:space="0" w:color="auto"/>
            </w:tcBorders>
            <w:shd w:val="clear" w:color="auto" w:fill="auto"/>
            <w:noWrap/>
            <w:hideMark/>
          </w:tcPr>
          <w:p w14:paraId="0EDC415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404,24</w:t>
            </w:r>
          </w:p>
        </w:tc>
        <w:tc>
          <w:tcPr>
            <w:tcW w:w="850" w:type="dxa"/>
            <w:tcBorders>
              <w:top w:val="nil"/>
              <w:left w:val="nil"/>
              <w:bottom w:val="single" w:sz="4" w:space="0" w:color="auto"/>
              <w:right w:val="single" w:sz="4" w:space="0" w:color="auto"/>
            </w:tcBorders>
            <w:shd w:val="clear" w:color="auto" w:fill="auto"/>
            <w:noWrap/>
            <w:hideMark/>
          </w:tcPr>
          <w:p w14:paraId="32C49E8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2.184.935</w:t>
            </w:r>
          </w:p>
        </w:tc>
        <w:tc>
          <w:tcPr>
            <w:tcW w:w="709" w:type="dxa"/>
            <w:tcBorders>
              <w:top w:val="nil"/>
              <w:left w:val="nil"/>
              <w:bottom w:val="single" w:sz="4" w:space="0" w:color="auto"/>
              <w:right w:val="single" w:sz="8" w:space="0" w:color="auto"/>
            </w:tcBorders>
            <w:shd w:val="clear" w:color="auto" w:fill="auto"/>
            <w:noWrap/>
            <w:hideMark/>
          </w:tcPr>
          <w:p w14:paraId="3C02395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242.771</w:t>
            </w:r>
          </w:p>
        </w:tc>
        <w:tc>
          <w:tcPr>
            <w:tcW w:w="851" w:type="dxa"/>
            <w:tcBorders>
              <w:top w:val="nil"/>
              <w:left w:val="single" w:sz="4" w:space="0" w:color="auto"/>
              <w:bottom w:val="single" w:sz="4" w:space="0" w:color="auto"/>
              <w:right w:val="single" w:sz="4" w:space="0" w:color="auto"/>
            </w:tcBorders>
            <w:shd w:val="clear" w:color="auto" w:fill="auto"/>
            <w:noWrap/>
            <w:hideMark/>
          </w:tcPr>
          <w:p w14:paraId="3C5DD2EF" w14:textId="7C86F54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128.141</w:t>
            </w:r>
          </w:p>
        </w:tc>
      </w:tr>
      <w:tr w:rsidR="005C332D" w:rsidRPr="003F6E51" w14:paraId="4A795B7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CAA109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w:t>
            </w:r>
          </w:p>
        </w:tc>
        <w:tc>
          <w:tcPr>
            <w:tcW w:w="2213" w:type="dxa"/>
            <w:tcBorders>
              <w:top w:val="nil"/>
              <w:left w:val="single" w:sz="8" w:space="0" w:color="auto"/>
              <w:bottom w:val="single" w:sz="4" w:space="0" w:color="auto"/>
              <w:right w:val="single" w:sz="8" w:space="0" w:color="auto"/>
            </w:tcBorders>
            <w:shd w:val="clear" w:color="auto" w:fill="auto"/>
            <w:noWrap/>
            <w:hideMark/>
          </w:tcPr>
          <w:p w14:paraId="734B6F68"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LAJKOVAC</w:t>
            </w:r>
          </w:p>
        </w:tc>
        <w:tc>
          <w:tcPr>
            <w:tcW w:w="850" w:type="dxa"/>
            <w:tcBorders>
              <w:top w:val="nil"/>
              <w:left w:val="nil"/>
              <w:bottom w:val="single" w:sz="4" w:space="0" w:color="auto"/>
              <w:right w:val="single" w:sz="4" w:space="0" w:color="auto"/>
            </w:tcBorders>
            <w:shd w:val="clear" w:color="000000" w:fill="FFFFFF"/>
            <w:noWrap/>
            <w:hideMark/>
          </w:tcPr>
          <w:p w14:paraId="2FFDE0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14553</w:t>
            </w:r>
          </w:p>
        </w:tc>
        <w:tc>
          <w:tcPr>
            <w:tcW w:w="709" w:type="dxa"/>
            <w:tcBorders>
              <w:top w:val="nil"/>
              <w:left w:val="nil"/>
              <w:bottom w:val="single" w:sz="4" w:space="0" w:color="auto"/>
              <w:right w:val="single" w:sz="8" w:space="0" w:color="auto"/>
            </w:tcBorders>
            <w:shd w:val="clear" w:color="000000" w:fill="FFFFFF"/>
            <w:noWrap/>
            <w:hideMark/>
          </w:tcPr>
          <w:p w14:paraId="39AC4B0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0,31</w:t>
            </w:r>
          </w:p>
        </w:tc>
        <w:tc>
          <w:tcPr>
            <w:tcW w:w="567" w:type="dxa"/>
            <w:tcBorders>
              <w:top w:val="nil"/>
              <w:left w:val="nil"/>
              <w:bottom w:val="single" w:sz="4" w:space="0" w:color="auto"/>
              <w:right w:val="single" w:sz="4" w:space="0" w:color="auto"/>
            </w:tcBorders>
            <w:shd w:val="clear" w:color="000000" w:fill="FFFFFF"/>
            <w:noWrap/>
            <w:hideMark/>
          </w:tcPr>
          <w:p w14:paraId="21C8446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186</w:t>
            </w:r>
          </w:p>
        </w:tc>
        <w:tc>
          <w:tcPr>
            <w:tcW w:w="709" w:type="dxa"/>
            <w:tcBorders>
              <w:top w:val="nil"/>
              <w:left w:val="nil"/>
              <w:bottom w:val="single" w:sz="4" w:space="0" w:color="auto"/>
              <w:right w:val="single" w:sz="8" w:space="0" w:color="auto"/>
            </w:tcBorders>
            <w:shd w:val="clear" w:color="000000" w:fill="FFFFFF"/>
            <w:noWrap/>
            <w:hideMark/>
          </w:tcPr>
          <w:p w14:paraId="1AF622D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0,35</w:t>
            </w:r>
          </w:p>
        </w:tc>
        <w:tc>
          <w:tcPr>
            <w:tcW w:w="850" w:type="dxa"/>
            <w:tcBorders>
              <w:top w:val="nil"/>
              <w:left w:val="nil"/>
              <w:bottom w:val="single" w:sz="4" w:space="0" w:color="auto"/>
              <w:right w:val="single" w:sz="4" w:space="0" w:color="auto"/>
            </w:tcBorders>
            <w:shd w:val="clear" w:color="000000" w:fill="FFFFFF"/>
            <w:noWrap/>
            <w:hideMark/>
          </w:tcPr>
          <w:p w14:paraId="6FA2E3F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570FBF5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122B386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1F1FA72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1C5D486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35,85</w:t>
            </w:r>
          </w:p>
        </w:tc>
        <w:tc>
          <w:tcPr>
            <w:tcW w:w="851" w:type="dxa"/>
            <w:tcBorders>
              <w:top w:val="nil"/>
              <w:left w:val="nil"/>
              <w:bottom w:val="single" w:sz="4" w:space="0" w:color="auto"/>
              <w:right w:val="single" w:sz="4" w:space="0" w:color="auto"/>
            </w:tcBorders>
            <w:shd w:val="clear" w:color="auto" w:fill="auto"/>
            <w:noWrap/>
            <w:hideMark/>
          </w:tcPr>
          <w:p w14:paraId="41B0910F"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0,0026</w:t>
            </w:r>
          </w:p>
        </w:tc>
        <w:tc>
          <w:tcPr>
            <w:tcW w:w="1134" w:type="dxa"/>
            <w:tcBorders>
              <w:top w:val="nil"/>
              <w:left w:val="nil"/>
              <w:bottom w:val="single" w:sz="4" w:space="0" w:color="auto"/>
              <w:right w:val="single" w:sz="4" w:space="0" w:color="auto"/>
            </w:tcBorders>
            <w:shd w:val="clear" w:color="000000" w:fill="C6E0B4"/>
            <w:noWrap/>
            <w:hideMark/>
          </w:tcPr>
          <w:p w14:paraId="2DB9B1E9"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715.165</w:t>
            </w:r>
          </w:p>
        </w:tc>
        <w:tc>
          <w:tcPr>
            <w:tcW w:w="992" w:type="dxa"/>
            <w:tcBorders>
              <w:top w:val="nil"/>
              <w:left w:val="nil"/>
              <w:bottom w:val="single" w:sz="4" w:space="0" w:color="auto"/>
              <w:right w:val="single" w:sz="4" w:space="0" w:color="auto"/>
            </w:tcBorders>
            <w:shd w:val="clear" w:color="auto" w:fill="auto"/>
            <w:noWrap/>
            <w:hideMark/>
          </w:tcPr>
          <w:p w14:paraId="47EAF9B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1.808.809</w:t>
            </w:r>
          </w:p>
        </w:tc>
        <w:tc>
          <w:tcPr>
            <w:tcW w:w="567" w:type="dxa"/>
            <w:tcBorders>
              <w:top w:val="nil"/>
              <w:left w:val="nil"/>
              <w:bottom w:val="single" w:sz="4" w:space="0" w:color="auto"/>
              <w:right w:val="single" w:sz="4" w:space="0" w:color="auto"/>
            </w:tcBorders>
            <w:shd w:val="clear" w:color="auto" w:fill="auto"/>
            <w:noWrap/>
            <w:hideMark/>
          </w:tcPr>
          <w:p w14:paraId="1C7B5CB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39,54</w:t>
            </w:r>
          </w:p>
        </w:tc>
        <w:tc>
          <w:tcPr>
            <w:tcW w:w="850" w:type="dxa"/>
            <w:tcBorders>
              <w:top w:val="nil"/>
              <w:left w:val="nil"/>
              <w:bottom w:val="single" w:sz="4" w:space="0" w:color="auto"/>
              <w:right w:val="single" w:sz="4" w:space="0" w:color="auto"/>
            </w:tcBorders>
            <w:shd w:val="clear" w:color="auto" w:fill="auto"/>
            <w:noWrap/>
            <w:hideMark/>
          </w:tcPr>
          <w:p w14:paraId="43A0B3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643.649</w:t>
            </w:r>
          </w:p>
        </w:tc>
        <w:tc>
          <w:tcPr>
            <w:tcW w:w="709" w:type="dxa"/>
            <w:tcBorders>
              <w:top w:val="nil"/>
              <w:left w:val="nil"/>
              <w:bottom w:val="single" w:sz="4" w:space="0" w:color="auto"/>
              <w:right w:val="single" w:sz="8" w:space="0" w:color="auto"/>
            </w:tcBorders>
            <w:shd w:val="clear" w:color="auto" w:fill="auto"/>
            <w:noWrap/>
            <w:hideMark/>
          </w:tcPr>
          <w:p w14:paraId="072222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71.517</w:t>
            </w:r>
          </w:p>
        </w:tc>
        <w:tc>
          <w:tcPr>
            <w:tcW w:w="851" w:type="dxa"/>
            <w:tcBorders>
              <w:top w:val="nil"/>
              <w:left w:val="single" w:sz="4" w:space="0" w:color="auto"/>
              <w:bottom w:val="single" w:sz="4" w:space="0" w:color="auto"/>
              <w:right w:val="single" w:sz="4" w:space="0" w:color="auto"/>
            </w:tcBorders>
            <w:shd w:val="clear" w:color="auto" w:fill="auto"/>
            <w:noWrap/>
            <w:hideMark/>
          </w:tcPr>
          <w:p w14:paraId="439BC8F6" w14:textId="607DCD5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44.228</w:t>
            </w:r>
          </w:p>
        </w:tc>
      </w:tr>
      <w:tr w:rsidR="005C332D" w:rsidRPr="003F6E51" w14:paraId="2C3ED52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CB68C6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7234BFF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LEBANE</w:t>
            </w:r>
          </w:p>
        </w:tc>
        <w:tc>
          <w:tcPr>
            <w:tcW w:w="850" w:type="dxa"/>
            <w:tcBorders>
              <w:top w:val="nil"/>
              <w:left w:val="nil"/>
              <w:bottom w:val="single" w:sz="4" w:space="0" w:color="auto"/>
              <w:right w:val="single" w:sz="4" w:space="0" w:color="auto"/>
            </w:tcBorders>
            <w:shd w:val="clear" w:color="000000" w:fill="FFFFFF"/>
            <w:noWrap/>
            <w:hideMark/>
          </w:tcPr>
          <w:p w14:paraId="6CB4D57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19124</w:t>
            </w:r>
          </w:p>
        </w:tc>
        <w:tc>
          <w:tcPr>
            <w:tcW w:w="709" w:type="dxa"/>
            <w:tcBorders>
              <w:top w:val="nil"/>
              <w:left w:val="nil"/>
              <w:bottom w:val="single" w:sz="4" w:space="0" w:color="auto"/>
              <w:right w:val="single" w:sz="8" w:space="0" w:color="auto"/>
            </w:tcBorders>
            <w:shd w:val="clear" w:color="000000" w:fill="FFFFFF"/>
            <w:noWrap/>
            <w:hideMark/>
          </w:tcPr>
          <w:p w14:paraId="706F4B8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0,40</w:t>
            </w:r>
          </w:p>
        </w:tc>
        <w:tc>
          <w:tcPr>
            <w:tcW w:w="567" w:type="dxa"/>
            <w:tcBorders>
              <w:top w:val="nil"/>
              <w:left w:val="nil"/>
              <w:bottom w:val="single" w:sz="4" w:space="0" w:color="auto"/>
              <w:right w:val="single" w:sz="4" w:space="0" w:color="auto"/>
            </w:tcBorders>
            <w:shd w:val="clear" w:color="000000" w:fill="FFFFFF"/>
            <w:noWrap/>
            <w:hideMark/>
          </w:tcPr>
          <w:p w14:paraId="78B0F3D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337</w:t>
            </w:r>
          </w:p>
        </w:tc>
        <w:tc>
          <w:tcPr>
            <w:tcW w:w="709" w:type="dxa"/>
            <w:tcBorders>
              <w:top w:val="nil"/>
              <w:left w:val="nil"/>
              <w:bottom w:val="single" w:sz="4" w:space="0" w:color="auto"/>
              <w:right w:val="single" w:sz="8" w:space="0" w:color="auto"/>
            </w:tcBorders>
            <w:shd w:val="clear" w:color="000000" w:fill="FFFFFF"/>
            <w:noWrap/>
            <w:hideMark/>
          </w:tcPr>
          <w:p w14:paraId="3786BC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0,63</w:t>
            </w:r>
          </w:p>
        </w:tc>
        <w:tc>
          <w:tcPr>
            <w:tcW w:w="850" w:type="dxa"/>
            <w:tcBorders>
              <w:top w:val="nil"/>
              <w:left w:val="nil"/>
              <w:bottom w:val="single" w:sz="4" w:space="0" w:color="auto"/>
              <w:right w:val="single" w:sz="4" w:space="0" w:color="auto"/>
            </w:tcBorders>
            <w:shd w:val="clear" w:color="000000" w:fill="FFFFFF"/>
            <w:noWrap/>
            <w:hideMark/>
          </w:tcPr>
          <w:p w14:paraId="46FFDB6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609214D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5F35EB3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28EAE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26D2AD9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94,84</w:t>
            </w:r>
          </w:p>
        </w:tc>
        <w:tc>
          <w:tcPr>
            <w:tcW w:w="851" w:type="dxa"/>
            <w:tcBorders>
              <w:top w:val="nil"/>
              <w:left w:val="nil"/>
              <w:bottom w:val="single" w:sz="4" w:space="0" w:color="auto"/>
              <w:right w:val="single" w:sz="4" w:space="0" w:color="auto"/>
            </w:tcBorders>
            <w:shd w:val="clear" w:color="auto" w:fill="auto"/>
            <w:noWrap/>
            <w:hideMark/>
          </w:tcPr>
          <w:p w14:paraId="7B59D89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0,0070</w:t>
            </w:r>
          </w:p>
        </w:tc>
        <w:tc>
          <w:tcPr>
            <w:tcW w:w="1134" w:type="dxa"/>
            <w:tcBorders>
              <w:top w:val="nil"/>
              <w:left w:val="nil"/>
              <w:bottom w:val="single" w:sz="4" w:space="0" w:color="auto"/>
              <w:right w:val="single" w:sz="4" w:space="0" w:color="auto"/>
            </w:tcBorders>
            <w:shd w:val="clear" w:color="000000" w:fill="C6E0B4"/>
            <w:noWrap/>
            <w:hideMark/>
          </w:tcPr>
          <w:p w14:paraId="40D6D9D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1.891.825</w:t>
            </w:r>
          </w:p>
        </w:tc>
        <w:tc>
          <w:tcPr>
            <w:tcW w:w="992" w:type="dxa"/>
            <w:tcBorders>
              <w:top w:val="nil"/>
              <w:left w:val="nil"/>
              <w:bottom w:val="single" w:sz="4" w:space="0" w:color="auto"/>
              <w:right w:val="single" w:sz="4" w:space="0" w:color="auto"/>
            </w:tcBorders>
            <w:shd w:val="clear" w:color="auto" w:fill="auto"/>
            <w:noWrap/>
            <w:hideMark/>
          </w:tcPr>
          <w:p w14:paraId="0D6F135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289.767</w:t>
            </w:r>
          </w:p>
        </w:tc>
        <w:tc>
          <w:tcPr>
            <w:tcW w:w="567" w:type="dxa"/>
            <w:tcBorders>
              <w:top w:val="nil"/>
              <w:left w:val="nil"/>
              <w:bottom w:val="single" w:sz="4" w:space="0" w:color="auto"/>
              <w:right w:val="single" w:sz="4" w:space="0" w:color="auto"/>
            </w:tcBorders>
            <w:shd w:val="clear" w:color="auto" w:fill="auto"/>
            <w:noWrap/>
            <w:hideMark/>
          </w:tcPr>
          <w:p w14:paraId="794610C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652,88</w:t>
            </w:r>
          </w:p>
        </w:tc>
        <w:tc>
          <w:tcPr>
            <w:tcW w:w="850" w:type="dxa"/>
            <w:tcBorders>
              <w:top w:val="nil"/>
              <w:left w:val="nil"/>
              <w:bottom w:val="single" w:sz="4" w:space="0" w:color="auto"/>
              <w:right w:val="single" w:sz="4" w:space="0" w:color="auto"/>
            </w:tcBorders>
            <w:shd w:val="clear" w:color="auto" w:fill="auto"/>
            <w:noWrap/>
            <w:hideMark/>
          </w:tcPr>
          <w:p w14:paraId="0FFF6FA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1.702.642</w:t>
            </w:r>
          </w:p>
        </w:tc>
        <w:tc>
          <w:tcPr>
            <w:tcW w:w="709" w:type="dxa"/>
            <w:tcBorders>
              <w:top w:val="nil"/>
              <w:left w:val="nil"/>
              <w:bottom w:val="single" w:sz="4" w:space="0" w:color="auto"/>
              <w:right w:val="single" w:sz="8" w:space="0" w:color="auto"/>
            </w:tcBorders>
            <w:shd w:val="clear" w:color="auto" w:fill="auto"/>
            <w:noWrap/>
            <w:hideMark/>
          </w:tcPr>
          <w:p w14:paraId="556B11C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189.182</w:t>
            </w:r>
          </w:p>
        </w:tc>
        <w:tc>
          <w:tcPr>
            <w:tcW w:w="851" w:type="dxa"/>
            <w:tcBorders>
              <w:top w:val="nil"/>
              <w:left w:val="single" w:sz="4" w:space="0" w:color="auto"/>
              <w:bottom w:val="single" w:sz="4" w:space="0" w:color="auto"/>
              <w:right w:val="single" w:sz="4" w:space="0" w:color="auto"/>
            </w:tcBorders>
            <w:shd w:val="clear" w:color="auto" w:fill="auto"/>
            <w:noWrap/>
            <w:hideMark/>
          </w:tcPr>
          <w:p w14:paraId="07964E19" w14:textId="553B3CD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89.032</w:t>
            </w:r>
          </w:p>
        </w:tc>
      </w:tr>
      <w:tr w:rsidR="005C332D" w:rsidRPr="003F6E51" w14:paraId="5086CBC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183D1E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w:t>
            </w:r>
          </w:p>
        </w:tc>
        <w:tc>
          <w:tcPr>
            <w:tcW w:w="2213" w:type="dxa"/>
            <w:tcBorders>
              <w:top w:val="nil"/>
              <w:left w:val="single" w:sz="8" w:space="0" w:color="auto"/>
              <w:bottom w:val="single" w:sz="4" w:space="0" w:color="auto"/>
              <w:right w:val="single" w:sz="8" w:space="0" w:color="auto"/>
            </w:tcBorders>
            <w:shd w:val="clear" w:color="auto" w:fill="auto"/>
            <w:noWrap/>
            <w:hideMark/>
          </w:tcPr>
          <w:p w14:paraId="391815C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LUČANI</w:t>
            </w:r>
          </w:p>
        </w:tc>
        <w:tc>
          <w:tcPr>
            <w:tcW w:w="850" w:type="dxa"/>
            <w:tcBorders>
              <w:top w:val="nil"/>
              <w:left w:val="nil"/>
              <w:bottom w:val="single" w:sz="4" w:space="0" w:color="auto"/>
              <w:right w:val="single" w:sz="4" w:space="0" w:color="auto"/>
            </w:tcBorders>
            <w:shd w:val="clear" w:color="000000" w:fill="FFFFFF"/>
            <w:noWrap/>
            <w:hideMark/>
          </w:tcPr>
          <w:p w14:paraId="6C0880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17915</w:t>
            </w:r>
          </w:p>
        </w:tc>
        <w:tc>
          <w:tcPr>
            <w:tcW w:w="709" w:type="dxa"/>
            <w:tcBorders>
              <w:top w:val="nil"/>
              <w:left w:val="nil"/>
              <w:bottom w:val="single" w:sz="4" w:space="0" w:color="auto"/>
              <w:right w:val="single" w:sz="8" w:space="0" w:color="auto"/>
            </w:tcBorders>
            <w:shd w:val="clear" w:color="000000" w:fill="FFFFFF"/>
            <w:noWrap/>
            <w:hideMark/>
          </w:tcPr>
          <w:p w14:paraId="1D34F5E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0,38</w:t>
            </w:r>
          </w:p>
        </w:tc>
        <w:tc>
          <w:tcPr>
            <w:tcW w:w="567" w:type="dxa"/>
            <w:tcBorders>
              <w:top w:val="nil"/>
              <w:left w:val="nil"/>
              <w:bottom w:val="single" w:sz="4" w:space="0" w:color="auto"/>
              <w:right w:val="single" w:sz="4" w:space="0" w:color="auto"/>
            </w:tcBorders>
            <w:shd w:val="clear" w:color="000000" w:fill="FFFFFF"/>
            <w:noWrap/>
            <w:hideMark/>
          </w:tcPr>
          <w:p w14:paraId="13CA59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454</w:t>
            </w:r>
          </w:p>
        </w:tc>
        <w:tc>
          <w:tcPr>
            <w:tcW w:w="709" w:type="dxa"/>
            <w:tcBorders>
              <w:top w:val="nil"/>
              <w:left w:val="nil"/>
              <w:bottom w:val="single" w:sz="4" w:space="0" w:color="auto"/>
              <w:right w:val="single" w:sz="8" w:space="0" w:color="auto"/>
            </w:tcBorders>
            <w:shd w:val="clear" w:color="000000" w:fill="FFFFFF"/>
            <w:noWrap/>
            <w:hideMark/>
          </w:tcPr>
          <w:p w14:paraId="54E731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0,85</w:t>
            </w:r>
          </w:p>
        </w:tc>
        <w:tc>
          <w:tcPr>
            <w:tcW w:w="850" w:type="dxa"/>
            <w:tcBorders>
              <w:top w:val="nil"/>
              <w:left w:val="nil"/>
              <w:bottom w:val="single" w:sz="4" w:space="0" w:color="auto"/>
              <w:right w:val="single" w:sz="4" w:space="0" w:color="auto"/>
            </w:tcBorders>
            <w:shd w:val="clear" w:color="000000" w:fill="FFFFFF"/>
            <w:noWrap/>
            <w:hideMark/>
          </w:tcPr>
          <w:p w14:paraId="44602C3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88E13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3D9C570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1C48B2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C1B338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75,47</w:t>
            </w:r>
          </w:p>
        </w:tc>
        <w:tc>
          <w:tcPr>
            <w:tcW w:w="851" w:type="dxa"/>
            <w:tcBorders>
              <w:top w:val="nil"/>
              <w:left w:val="nil"/>
              <w:bottom w:val="single" w:sz="4" w:space="0" w:color="auto"/>
              <w:right w:val="single" w:sz="4" w:space="0" w:color="auto"/>
            </w:tcBorders>
            <w:shd w:val="clear" w:color="auto" w:fill="auto"/>
            <w:noWrap/>
            <w:hideMark/>
          </w:tcPr>
          <w:p w14:paraId="1A95A70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0,0056</w:t>
            </w:r>
          </w:p>
        </w:tc>
        <w:tc>
          <w:tcPr>
            <w:tcW w:w="1134" w:type="dxa"/>
            <w:tcBorders>
              <w:top w:val="nil"/>
              <w:left w:val="nil"/>
              <w:bottom w:val="single" w:sz="4" w:space="0" w:color="auto"/>
              <w:right w:val="single" w:sz="4" w:space="0" w:color="auto"/>
            </w:tcBorders>
            <w:shd w:val="clear" w:color="000000" w:fill="C6E0B4"/>
            <w:noWrap/>
            <w:hideMark/>
          </w:tcPr>
          <w:p w14:paraId="7A3491B9"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1.505.587</w:t>
            </w:r>
          </w:p>
        </w:tc>
        <w:tc>
          <w:tcPr>
            <w:tcW w:w="992" w:type="dxa"/>
            <w:tcBorders>
              <w:top w:val="nil"/>
              <w:left w:val="nil"/>
              <w:bottom w:val="single" w:sz="4" w:space="0" w:color="auto"/>
              <w:right w:val="single" w:sz="4" w:space="0" w:color="auto"/>
            </w:tcBorders>
            <w:shd w:val="clear" w:color="auto" w:fill="auto"/>
            <w:noWrap/>
            <w:hideMark/>
          </w:tcPr>
          <w:p w14:paraId="4DC7678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559.405</w:t>
            </w:r>
          </w:p>
        </w:tc>
        <w:tc>
          <w:tcPr>
            <w:tcW w:w="567" w:type="dxa"/>
            <w:tcBorders>
              <w:top w:val="nil"/>
              <w:left w:val="nil"/>
              <w:bottom w:val="single" w:sz="4" w:space="0" w:color="auto"/>
              <w:right w:val="single" w:sz="4" w:space="0" w:color="auto"/>
            </w:tcBorders>
            <w:shd w:val="clear" w:color="auto" w:fill="auto"/>
            <w:noWrap/>
            <w:hideMark/>
          </w:tcPr>
          <w:p w14:paraId="75DBB9E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269,14</w:t>
            </w:r>
          </w:p>
        </w:tc>
        <w:tc>
          <w:tcPr>
            <w:tcW w:w="850" w:type="dxa"/>
            <w:tcBorders>
              <w:top w:val="nil"/>
              <w:left w:val="nil"/>
              <w:bottom w:val="single" w:sz="4" w:space="0" w:color="auto"/>
              <w:right w:val="single" w:sz="4" w:space="0" w:color="auto"/>
            </w:tcBorders>
            <w:shd w:val="clear" w:color="auto" w:fill="auto"/>
            <w:noWrap/>
            <w:hideMark/>
          </w:tcPr>
          <w:p w14:paraId="0976AEA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1.355.028</w:t>
            </w:r>
          </w:p>
        </w:tc>
        <w:tc>
          <w:tcPr>
            <w:tcW w:w="709" w:type="dxa"/>
            <w:tcBorders>
              <w:top w:val="nil"/>
              <w:left w:val="nil"/>
              <w:bottom w:val="single" w:sz="4" w:space="0" w:color="auto"/>
              <w:right w:val="single" w:sz="8" w:space="0" w:color="auto"/>
            </w:tcBorders>
            <w:shd w:val="clear" w:color="auto" w:fill="auto"/>
            <w:noWrap/>
            <w:hideMark/>
          </w:tcPr>
          <w:p w14:paraId="2917F6B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150.559</w:t>
            </w:r>
          </w:p>
        </w:tc>
        <w:tc>
          <w:tcPr>
            <w:tcW w:w="851" w:type="dxa"/>
            <w:tcBorders>
              <w:top w:val="nil"/>
              <w:left w:val="single" w:sz="4" w:space="0" w:color="auto"/>
              <w:bottom w:val="single" w:sz="4" w:space="0" w:color="auto"/>
              <w:right w:val="single" w:sz="4" w:space="0" w:color="auto"/>
            </w:tcBorders>
            <w:shd w:val="clear" w:color="auto" w:fill="auto"/>
            <w:noWrap/>
            <w:hideMark/>
          </w:tcPr>
          <w:p w14:paraId="175FC7F5" w14:textId="5C9949A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75.637</w:t>
            </w:r>
          </w:p>
        </w:tc>
      </w:tr>
      <w:tr w:rsidR="005C332D" w:rsidRPr="003F6E51" w14:paraId="4CA4B73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E459AD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39</w:t>
            </w:r>
          </w:p>
        </w:tc>
        <w:tc>
          <w:tcPr>
            <w:tcW w:w="2213" w:type="dxa"/>
            <w:tcBorders>
              <w:top w:val="nil"/>
              <w:left w:val="single" w:sz="8" w:space="0" w:color="auto"/>
              <w:bottom w:val="single" w:sz="4" w:space="0" w:color="auto"/>
              <w:right w:val="single" w:sz="8" w:space="0" w:color="auto"/>
            </w:tcBorders>
            <w:shd w:val="clear" w:color="auto" w:fill="auto"/>
            <w:noWrap/>
            <w:hideMark/>
          </w:tcPr>
          <w:p w14:paraId="2F511CD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LJIG</w:t>
            </w:r>
          </w:p>
        </w:tc>
        <w:tc>
          <w:tcPr>
            <w:tcW w:w="850" w:type="dxa"/>
            <w:tcBorders>
              <w:top w:val="nil"/>
              <w:left w:val="nil"/>
              <w:bottom w:val="single" w:sz="4" w:space="0" w:color="auto"/>
              <w:right w:val="single" w:sz="4" w:space="0" w:color="auto"/>
            </w:tcBorders>
            <w:shd w:val="clear" w:color="000000" w:fill="FFFFFF"/>
            <w:noWrap/>
            <w:hideMark/>
          </w:tcPr>
          <w:p w14:paraId="55CD3B6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11017</w:t>
            </w:r>
          </w:p>
        </w:tc>
        <w:tc>
          <w:tcPr>
            <w:tcW w:w="709" w:type="dxa"/>
            <w:tcBorders>
              <w:top w:val="nil"/>
              <w:left w:val="nil"/>
              <w:bottom w:val="single" w:sz="4" w:space="0" w:color="auto"/>
              <w:right w:val="single" w:sz="8" w:space="0" w:color="auto"/>
            </w:tcBorders>
            <w:shd w:val="clear" w:color="000000" w:fill="FFFFFF"/>
            <w:noWrap/>
            <w:hideMark/>
          </w:tcPr>
          <w:p w14:paraId="3D6DA91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32FC2DF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279</w:t>
            </w:r>
          </w:p>
        </w:tc>
        <w:tc>
          <w:tcPr>
            <w:tcW w:w="709" w:type="dxa"/>
            <w:tcBorders>
              <w:top w:val="nil"/>
              <w:left w:val="nil"/>
              <w:bottom w:val="single" w:sz="4" w:space="0" w:color="auto"/>
              <w:right w:val="single" w:sz="8" w:space="0" w:color="auto"/>
            </w:tcBorders>
            <w:shd w:val="clear" w:color="000000" w:fill="FFFFFF"/>
            <w:noWrap/>
            <w:hideMark/>
          </w:tcPr>
          <w:p w14:paraId="0F7D5F4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0,52</w:t>
            </w:r>
          </w:p>
        </w:tc>
        <w:tc>
          <w:tcPr>
            <w:tcW w:w="850" w:type="dxa"/>
            <w:tcBorders>
              <w:top w:val="nil"/>
              <w:left w:val="nil"/>
              <w:bottom w:val="single" w:sz="4" w:space="0" w:color="auto"/>
              <w:right w:val="single" w:sz="4" w:space="0" w:color="auto"/>
            </w:tcBorders>
            <w:shd w:val="clear" w:color="000000" w:fill="FFFFFF"/>
            <w:noWrap/>
            <w:hideMark/>
          </w:tcPr>
          <w:p w14:paraId="57BD509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14C92E8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050AFF6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11F5171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0284A7A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73,50</w:t>
            </w:r>
          </w:p>
        </w:tc>
        <w:tc>
          <w:tcPr>
            <w:tcW w:w="851" w:type="dxa"/>
            <w:tcBorders>
              <w:top w:val="nil"/>
              <w:left w:val="nil"/>
              <w:bottom w:val="single" w:sz="4" w:space="0" w:color="auto"/>
              <w:right w:val="single" w:sz="4" w:space="0" w:color="auto"/>
            </w:tcBorders>
            <w:shd w:val="clear" w:color="auto" w:fill="auto"/>
            <w:noWrap/>
            <w:hideMark/>
          </w:tcPr>
          <w:p w14:paraId="3621602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0,0054</w:t>
            </w:r>
          </w:p>
        </w:tc>
        <w:tc>
          <w:tcPr>
            <w:tcW w:w="1134" w:type="dxa"/>
            <w:tcBorders>
              <w:top w:val="nil"/>
              <w:left w:val="nil"/>
              <w:bottom w:val="single" w:sz="4" w:space="0" w:color="auto"/>
              <w:right w:val="single" w:sz="4" w:space="0" w:color="auto"/>
            </w:tcBorders>
            <w:shd w:val="clear" w:color="000000" w:fill="C6E0B4"/>
            <w:noWrap/>
            <w:hideMark/>
          </w:tcPr>
          <w:p w14:paraId="39729CE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1.466.267</w:t>
            </w:r>
          </w:p>
        </w:tc>
        <w:tc>
          <w:tcPr>
            <w:tcW w:w="992" w:type="dxa"/>
            <w:tcBorders>
              <w:top w:val="nil"/>
              <w:left w:val="nil"/>
              <w:bottom w:val="single" w:sz="4" w:space="0" w:color="auto"/>
              <w:right w:val="single" w:sz="4" w:space="0" w:color="auto"/>
            </w:tcBorders>
            <w:shd w:val="clear" w:color="auto" w:fill="auto"/>
            <w:noWrap/>
            <w:hideMark/>
          </w:tcPr>
          <w:p w14:paraId="7CF90CA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282.962</w:t>
            </w:r>
          </w:p>
        </w:tc>
        <w:tc>
          <w:tcPr>
            <w:tcW w:w="567" w:type="dxa"/>
            <w:tcBorders>
              <w:top w:val="nil"/>
              <w:left w:val="nil"/>
              <w:bottom w:val="single" w:sz="4" w:space="0" w:color="auto"/>
              <w:right w:val="single" w:sz="4" w:space="0" w:color="auto"/>
            </w:tcBorders>
            <w:shd w:val="clear" w:color="auto" w:fill="auto"/>
            <w:noWrap/>
            <w:hideMark/>
          </w:tcPr>
          <w:p w14:paraId="79671CE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518,19</w:t>
            </w:r>
          </w:p>
        </w:tc>
        <w:tc>
          <w:tcPr>
            <w:tcW w:w="850" w:type="dxa"/>
            <w:tcBorders>
              <w:top w:val="nil"/>
              <w:left w:val="nil"/>
              <w:bottom w:val="single" w:sz="4" w:space="0" w:color="auto"/>
              <w:right w:val="single" w:sz="4" w:space="0" w:color="auto"/>
            </w:tcBorders>
            <w:shd w:val="clear" w:color="auto" w:fill="auto"/>
            <w:noWrap/>
            <w:hideMark/>
          </w:tcPr>
          <w:p w14:paraId="03CC0F8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1.319.640</w:t>
            </w:r>
          </w:p>
        </w:tc>
        <w:tc>
          <w:tcPr>
            <w:tcW w:w="709" w:type="dxa"/>
            <w:tcBorders>
              <w:top w:val="nil"/>
              <w:left w:val="nil"/>
              <w:bottom w:val="single" w:sz="4" w:space="0" w:color="auto"/>
              <w:right w:val="single" w:sz="8" w:space="0" w:color="auto"/>
            </w:tcBorders>
            <w:shd w:val="clear" w:color="auto" w:fill="auto"/>
            <w:noWrap/>
            <w:hideMark/>
          </w:tcPr>
          <w:p w14:paraId="467D5B0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146.627</w:t>
            </w:r>
          </w:p>
        </w:tc>
        <w:tc>
          <w:tcPr>
            <w:tcW w:w="851" w:type="dxa"/>
            <w:tcBorders>
              <w:top w:val="nil"/>
              <w:left w:val="single" w:sz="4" w:space="0" w:color="auto"/>
              <w:bottom w:val="single" w:sz="4" w:space="0" w:color="auto"/>
              <w:right w:val="single" w:sz="4" w:space="0" w:color="auto"/>
            </w:tcBorders>
            <w:shd w:val="clear" w:color="auto" w:fill="auto"/>
            <w:noWrap/>
            <w:hideMark/>
          </w:tcPr>
          <w:p w14:paraId="521A0E55" w14:textId="7AB8E44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119.782</w:t>
            </w:r>
          </w:p>
        </w:tc>
      </w:tr>
      <w:tr w:rsidR="005C332D" w:rsidRPr="003F6E51" w14:paraId="24DFFF3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6154E6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40</w:t>
            </w:r>
          </w:p>
        </w:tc>
        <w:tc>
          <w:tcPr>
            <w:tcW w:w="2213" w:type="dxa"/>
            <w:tcBorders>
              <w:top w:val="nil"/>
              <w:left w:val="single" w:sz="8" w:space="0" w:color="auto"/>
              <w:bottom w:val="single" w:sz="4" w:space="0" w:color="auto"/>
              <w:right w:val="single" w:sz="8" w:space="0" w:color="auto"/>
            </w:tcBorders>
            <w:shd w:val="clear" w:color="auto" w:fill="auto"/>
            <w:noWrap/>
            <w:hideMark/>
          </w:tcPr>
          <w:p w14:paraId="5A6DEA0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LJUBOVIJA</w:t>
            </w:r>
          </w:p>
        </w:tc>
        <w:tc>
          <w:tcPr>
            <w:tcW w:w="850" w:type="dxa"/>
            <w:tcBorders>
              <w:top w:val="nil"/>
              <w:left w:val="nil"/>
              <w:bottom w:val="single" w:sz="4" w:space="0" w:color="auto"/>
              <w:right w:val="single" w:sz="4" w:space="0" w:color="auto"/>
            </w:tcBorders>
            <w:shd w:val="clear" w:color="000000" w:fill="FFFFFF"/>
            <w:noWrap/>
            <w:hideMark/>
          </w:tcPr>
          <w:p w14:paraId="45B8379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12320</w:t>
            </w:r>
          </w:p>
        </w:tc>
        <w:tc>
          <w:tcPr>
            <w:tcW w:w="709" w:type="dxa"/>
            <w:tcBorders>
              <w:top w:val="nil"/>
              <w:left w:val="nil"/>
              <w:bottom w:val="single" w:sz="4" w:space="0" w:color="auto"/>
              <w:right w:val="single" w:sz="8" w:space="0" w:color="auto"/>
            </w:tcBorders>
            <w:shd w:val="clear" w:color="000000" w:fill="FFFFFF"/>
            <w:noWrap/>
            <w:hideMark/>
          </w:tcPr>
          <w:p w14:paraId="473920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0,26</w:t>
            </w:r>
          </w:p>
        </w:tc>
        <w:tc>
          <w:tcPr>
            <w:tcW w:w="567" w:type="dxa"/>
            <w:tcBorders>
              <w:top w:val="nil"/>
              <w:left w:val="nil"/>
              <w:bottom w:val="single" w:sz="4" w:space="0" w:color="auto"/>
              <w:right w:val="single" w:sz="4" w:space="0" w:color="auto"/>
            </w:tcBorders>
            <w:shd w:val="clear" w:color="000000" w:fill="FFFFFF"/>
            <w:noWrap/>
            <w:hideMark/>
          </w:tcPr>
          <w:p w14:paraId="75A3923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356</w:t>
            </w:r>
          </w:p>
        </w:tc>
        <w:tc>
          <w:tcPr>
            <w:tcW w:w="709" w:type="dxa"/>
            <w:tcBorders>
              <w:top w:val="nil"/>
              <w:left w:val="nil"/>
              <w:bottom w:val="single" w:sz="4" w:space="0" w:color="auto"/>
              <w:right w:val="single" w:sz="8" w:space="0" w:color="auto"/>
            </w:tcBorders>
            <w:shd w:val="clear" w:color="000000" w:fill="FFFFFF"/>
            <w:noWrap/>
            <w:hideMark/>
          </w:tcPr>
          <w:p w14:paraId="1F2E7BD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0,67</w:t>
            </w:r>
          </w:p>
        </w:tc>
        <w:tc>
          <w:tcPr>
            <w:tcW w:w="850" w:type="dxa"/>
            <w:tcBorders>
              <w:top w:val="nil"/>
              <w:left w:val="nil"/>
              <w:bottom w:val="single" w:sz="4" w:space="0" w:color="auto"/>
              <w:right w:val="single" w:sz="4" w:space="0" w:color="auto"/>
            </w:tcBorders>
            <w:shd w:val="clear" w:color="000000" w:fill="FFFFFF"/>
            <w:noWrap/>
            <w:hideMark/>
          </w:tcPr>
          <w:p w14:paraId="5551B1C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A1F2FB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97626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4C1C75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390A41B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66,43</w:t>
            </w:r>
          </w:p>
        </w:tc>
        <w:tc>
          <w:tcPr>
            <w:tcW w:w="851" w:type="dxa"/>
            <w:tcBorders>
              <w:top w:val="nil"/>
              <w:left w:val="nil"/>
              <w:bottom w:val="single" w:sz="4" w:space="0" w:color="auto"/>
              <w:right w:val="single" w:sz="4" w:space="0" w:color="auto"/>
            </w:tcBorders>
            <w:shd w:val="clear" w:color="auto" w:fill="auto"/>
            <w:noWrap/>
            <w:hideMark/>
          </w:tcPr>
          <w:p w14:paraId="598881F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0,0049</w:t>
            </w:r>
          </w:p>
        </w:tc>
        <w:tc>
          <w:tcPr>
            <w:tcW w:w="1134" w:type="dxa"/>
            <w:tcBorders>
              <w:top w:val="nil"/>
              <w:left w:val="nil"/>
              <w:bottom w:val="single" w:sz="4" w:space="0" w:color="auto"/>
              <w:right w:val="single" w:sz="4" w:space="0" w:color="auto"/>
            </w:tcBorders>
            <w:shd w:val="clear" w:color="000000" w:fill="C6E0B4"/>
            <w:noWrap/>
            <w:hideMark/>
          </w:tcPr>
          <w:p w14:paraId="64EDE0A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1.325.264</w:t>
            </w:r>
          </w:p>
        </w:tc>
        <w:tc>
          <w:tcPr>
            <w:tcW w:w="992" w:type="dxa"/>
            <w:tcBorders>
              <w:top w:val="nil"/>
              <w:left w:val="nil"/>
              <w:bottom w:val="single" w:sz="4" w:space="0" w:color="auto"/>
              <w:right w:val="single" w:sz="4" w:space="0" w:color="auto"/>
            </w:tcBorders>
            <w:shd w:val="clear" w:color="auto" w:fill="auto"/>
            <w:noWrap/>
            <w:hideMark/>
          </w:tcPr>
          <w:p w14:paraId="14D13CC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1.173.989</w:t>
            </w:r>
          </w:p>
        </w:tc>
        <w:tc>
          <w:tcPr>
            <w:tcW w:w="567" w:type="dxa"/>
            <w:tcBorders>
              <w:top w:val="nil"/>
              <w:left w:val="nil"/>
              <w:bottom w:val="single" w:sz="4" w:space="0" w:color="auto"/>
              <w:right w:val="single" w:sz="4" w:space="0" w:color="auto"/>
            </w:tcBorders>
            <w:shd w:val="clear" w:color="auto" w:fill="auto"/>
            <w:noWrap/>
            <w:hideMark/>
          </w:tcPr>
          <w:p w14:paraId="3A15F97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112,89</w:t>
            </w:r>
          </w:p>
        </w:tc>
        <w:tc>
          <w:tcPr>
            <w:tcW w:w="850" w:type="dxa"/>
            <w:tcBorders>
              <w:top w:val="nil"/>
              <w:left w:val="nil"/>
              <w:bottom w:val="single" w:sz="4" w:space="0" w:color="auto"/>
              <w:right w:val="single" w:sz="4" w:space="0" w:color="auto"/>
            </w:tcBorders>
            <w:shd w:val="clear" w:color="auto" w:fill="auto"/>
            <w:noWrap/>
            <w:hideMark/>
          </w:tcPr>
          <w:p w14:paraId="780FE2C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1.192.738</w:t>
            </w:r>
          </w:p>
        </w:tc>
        <w:tc>
          <w:tcPr>
            <w:tcW w:w="709" w:type="dxa"/>
            <w:tcBorders>
              <w:top w:val="nil"/>
              <w:left w:val="nil"/>
              <w:bottom w:val="single" w:sz="4" w:space="0" w:color="auto"/>
              <w:right w:val="single" w:sz="8" w:space="0" w:color="auto"/>
            </w:tcBorders>
            <w:shd w:val="clear" w:color="auto" w:fill="auto"/>
            <w:noWrap/>
            <w:hideMark/>
          </w:tcPr>
          <w:p w14:paraId="147CE8D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132.526</w:t>
            </w:r>
          </w:p>
        </w:tc>
        <w:tc>
          <w:tcPr>
            <w:tcW w:w="851" w:type="dxa"/>
            <w:tcBorders>
              <w:top w:val="nil"/>
              <w:left w:val="single" w:sz="4" w:space="0" w:color="auto"/>
              <w:bottom w:val="single" w:sz="4" w:space="0" w:color="auto"/>
              <w:right w:val="single" w:sz="4" w:space="0" w:color="auto"/>
            </w:tcBorders>
            <w:shd w:val="clear" w:color="auto" w:fill="auto"/>
            <w:noWrap/>
            <w:hideMark/>
          </w:tcPr>
          <w:p w14:paraId="16FDE251" w14:textId="2219A00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96.813</w:t>
            </w:r>
          </w:p>
        </w:tc>
      </w:tr>
      <w:tr w:rsidR="005C332D" w:rsidRPr="003F6E51" w14:paraId="6A398F0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04EA6E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41</w:t>
            </w:r>
          </w:p>
        </w:tc>
        <w:tc>
          <w:tcPr>
            <w:tcW w:w="2213" w:type="dxa"/>
            <w:tcBorders>
              <w:top w:val="nil"/>
              <w:left w:val="single" w:sz="8" w:space="0" w:color="auto"/>
              <w:bottom w:val="single" w:sz="4" w:space="0" w:color="auto"/>
              <w:right w:val="single" w:sz="8" w:space="0" w:color="auto"/>
            </w:tcBorders>
            <w:shd w:val="clear" w:color="auto" w:fill="auto"/>
            <w:noWrap/>
            <w:hideMark/>
          </w:tcPr>
          <w:p w14:paraId="24653E5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MAJDANPEK</w:t>
            </w:r>
          </w:p>
        </w:tc>
        <w:tc>
          <w:tcPr>
            <w:tcW w:w="850" w:type="dxa"/>
            <w:tcBorders>
              <w:top w:val="nil"/>
              <w:left w:val="nil"/>
              <w:bottom w:val="single" w:sz="4" w:space="0" w:color="auto"/>
              <w:right w:val="single" w:sz="4" w:space="0" w:color="auto"/>
            </w:tcBorders>
            <w:shd w:val="clear" w:color="000000" w:fill="FFFFFF"/>
            <w:noWrap/>
            <w:hideMark/>
          </w:tcPr>
          <w:p w14:paraId="5B163ED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15893</w:t>
            </w:r>
          </w:p>
        </w:tc>
        <w:tc>
          <w:tcPr>
            <w:tcW w:w="709" w:type="dxa"/>
            <w:tcBorders>
              <w:top w:val="nil"/>
              <w:left w:val="nil"/>
              <w:bottom w:val="single" w:sz="4" w:space="0" w:color="auto"/>
              <w:right w:val="single" w:sz="8" w:space="0" w:color="auto"/>
            </w:tcBorders>
            <w:shd w:val="clear" w:color="000000" w:fill="FFFFFF"/>
            <w:noWrap/>
            <w:hideMark/>
          </w:tcPr>
          <w:p w14:paraId="7F759BC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0,33</w:t>
            </w:r>
          </w:p>
        </w:tc>
        <w:tc>
          <w:tcPr>
            <w:tcW w:w="567" w:type="dxa"/>
            <w:tcBorders>
              <w:top w:val="nil"/>
              <w:left w:val="nil"/>
              <w:bottom w:val="single" w:sz="4" w:space="0" w:color="auto"/>
              <w:right w:val="single" w:sz="4" w:space="0" w:color="auto"/>
            </w:tcBorders>
            <w:shd w:val="clear" w:color="000000" w:fill="FFFFFF"/>
            <w:noWrap/>
            <w:hideMark/>
          </w:tcPr>
          <w:p w14:paraId="5DE589F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932</w:t>
            </w:r>
          </w:p>
        </w:tc>
        <w:tc>
          <w:tcPr>
            <w:tcW w:w="709" w:type="dxa"/>
            <w:tcBorders>
              <w:top w:val="nil"/>
              <w:left w:val="nil"/>
              <w:bottom w:val="single" w:sz="4" w:space="0" w:color="auto"/>
              <w:right w:val="single" w:sz="8" w:space="0" w:color="auto"/>
            </w:tcBorders>
            <w:shd w:val="clear" w:color="000000" w:fill="FFFFFF"/>
            <w:noWrap/>
            <w:hideMark/>
          </w:tcPr>
          <w:p w14:paraId="49EB9C6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1,74</w:t>
            </w:r>
          </w:p>
        </w:tc>
        <w:tc>
          <w:tcPr>
            <w:tcW w:w="850" w:type="dxa"/>
            <w:tcBorders>
              <w:top w:val="nil"/>
              <w:left w:val="nil"/>
              <w:bottom w:val="single" w:sz="4" w:space="0" w:color="auto"/>
              <w:right w:val="single" w:sz="4" w:space="0" w:color="auto"/>
            </w:tcBorders>
            <w:shd w:val="clear" w:color="000000" w:fill="FFFFFF"/>
            <w:noWrap/>
            <w:hideMark/>
          </w:tcPr>
          <w:p w14:paraId="6EDB1D8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67090AF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60F6FC8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7E437DF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7E45722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85,04</w:t>
            </w:r>
          </w:p>
        </w:tc>
        <w:tc>
          <w:tcPr>
            <w:tcW w:w="851" w:type="dxa"/>
            <w:tcBorders>
              <w:top w:val="nil"/>
              <w:left w:val="nil"/>
              <w:bottom w:val="single" w:sz="4" w:space="0" w:color="auto"/>
              <w:right w:val="single" w:sz="4" w:space="0" w:color="auto"/>
            </w:tcBorders>
            <w:shd w:val="clear" w:color="auto" w:fill="auto"/>
            <w:noWrap/>
            <w:hideMark/>
          </w:tcPr>
          <w:p w14:paraId="49385BB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0,0063</w:t>
            </w:r>
          </w:p>
        </w:tc>
        <w:tc>
          <w:tcPr>
            <w:tcW w:w="1134" w:type="dxa"/>
            <w:tcBorders>
              <w:top w:val="nil"/>
              <w:left w:val="nil"/>
              <w:bottom w:val="single" w:sz="4" w:space="0" w:color="auto"/>
              <w:right w:val="single" w:sz="4" w:space="0" w:color="auto"/>
            </w:tcBorders>
            <w:shd w:val="clear" w:color="000000" w:fill="C6E0B4"/>
            <w:noWrap/>
            <w:hideMark/>
          </w:tcPr>
          <w:p w14:paraId="1224565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1.696.411</w:t>
            </w:r>
          </w:p>
        </w:tc>
        <w:tc>
          <w:tcPr>
            <w:tcW w:w="992" w:type="dxa"/>
            <w:tcBorders>
              <w:top w:val="nil"/>
              <w:left w:val="nil"/>
              <w:bottom w:val="single" w:sz="4" w:space="0" w:color="auto"/>
              <w:right w:val="single" w:sz="4" w:space="0" w:color="auto"/>
            </w:tcBorders>
            <w:shd w:val="clear" w:color="auto" w:fill="auto"/>
            <w:noWrap/>
            <w:hideMark/>
          </w:tcPr>
          <w:p w14:paraId="171080E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1.308.874</w:t>
            </w:r>
          </w:p>
        </w:tc>
        <w:tc>
          <w:tcPr>
            <w:tcW w:w="567" w:type="dxa"/>
            <w:tcBorders>
              <w:top w:val="nil"/>
              <w:left w:val="nil"/>
              <w:bottom w:val="single" w:sz="4" w:space="0" w:color="auto"/>
              <w:right w:val="single" w:sz="4" w:space="0" w:color="auto"/>
            </w:tcBorders>
            <w:shd w:val="clear" w:color="auto" w:fill="auto"/>
            <w:noWrap/>
            <w:hideMark/>
          </w:tcPr>
          <w:p w14:paraId="6F2CD93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129,61</w:t>
            </w:r>
          </w:p>
        </w:tc>
        <w:tc>
          <w:tcPr>
            <w:tcW w:w="850" w:type="dxa"/>
            <w:tcBorders>
              <w:top w:val="nil"/>
              <w:left w:val="nil"/>
              <w:bottom w:val="single" w:sz="4" w:space="0" w:color="auto"/>
              <w:right w:val="single" w:sz="4" w:space="0" w:color="auto"/>
            </w:tcBorders>
            <w:shd w:val="clear" w:color="auto" w:fill="auto"/>
            <w:noWrap/>
            <w:hideMark/>
          </w:tcPr>
          <w:p w14:paraId="26968DB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1.526.770</w:t>
            </w:r>
          </w:p>
        </w:tc>
        <w:tc>
          <w:tcPr>
            <w:tcW w:w="709" w:type="dxa"/>
            <w:tcBorders>
              <w:top w:val="nil"/>
              <w:left w:val="nil"/>
              <w:bottom w:val="single" w:sz="4" w:space="0" w:color="auto"/>
              <w:right w:val="single" w:sz="8" w:space="0" w:color="auto"/>
            </w:tcBorders>
            <w:shd w:val="clear" w:color="auto" w:fill="auto"/>
            <w:noWrap/>
            <w:hideMark/>
          </w:tcPr>
          <w:p w14:paraId="78C6904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169.641</w:t>
            </w:r>
          </w:p>
        </w:tc>
        <w:tc>
          <w:tcPr>
            <w:tcW w:w="851" w:type="dxa"/>
            <w:tcBorders>
              <w:top w:val="nil"/>
              <w:left w:val="single" w:sz="4" w:space="0" w:color="auto"/>
              <w:bottom w:val="single" w:sz="4" w:space="0" w:color="auto"/>
              <w:right w:val="single" w:sz="4" w:space="0" w:color="auto"/>
            </w:tcBorders>
            <w:shd w:val="clear" w:color="auto" w:fill="auto"/>
            <w:noWrap/>
            <w:hideMark/>
          </w:tcPr>
          <w:p w14:paraId="749A9B02" w14:textId="4C1DF81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96.066</w:t>
            </w:r>
          </w:p>
        </w:tc>
      </w:tr>
      <w:tr w:rsidR="005C332D" w:rsidRPr="003F6E51" w14:paraId="509F1953"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D31617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42</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2A746B6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MALI ZVORNIK</w:t>
            </w:r>
          </w:p>
        </w:tc>
        <w:tc>
          <w:tcPr>
            <w:tcW w:w="850" w:type="dxa"/>
            <w:tcBorders>
              <w:top w:val="nil"/>
              <w:left w:val="nil"/>
              <w:bottom w:val="single" w:sz="4" w:space="0" w:color="auto"/>
              <w:right w:val="single" w:sz="4" w:space="0" w:color="auto"/>
            </w:tcBorders>
            <w:shd w:val="clear" w:color="000000" w:fill="FFFFFF"/>
            <w:noWrap/>
            <w:hideMark/>
          </w:tcPr>
          <w:p w14:paraId="4F49BE4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11035</w:t>
            </w:r>
          </w:p>
        </w:tc>
        <w:tc>
          <w:tcPr>
            <w:tcW w:w="709" w:type="dxa"/>
            <w:tcBorders>
              <w:top w:val="nil"/>
              <w:left w:val="nil"/>
              <w:bottom w:val="single" w:sz="4" w:space="0" w:color="auto"/>
              <w:right w:val="single" w:sz="8" w:space="0" w:color="auto"/>
            </w:tcBorders>
            <w:shd w:val="clear" w:color="000000" w:fill="FFFFFF"/>
            <w:noWrap/>
            <w:hideMark/>
          </w:tcPr>
          <w:p w14:paraId="5B14FA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4EE3FB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184</w:t>
            </w:r>
          </w:p>
        </w:tc>
        <w:tc>
          <w:tcPr>
            <w:tcW w:w="709" w:type="dxa"/>
            <w:tcBorders>
              <w:top w:val="nil"/>
              <w:left w:val="nil"/>
              <w:bottom w:val="single" w:sz="4" w:space="0" w:color="auto"/>
              <w:right w:val="single" w:sz="8" w:space="0" w:color="auto"/>
            </w:tcBorders>
            <w:shd w:val="clear" w:color="000000" w:fill="FFFFFF"/>
            <w:noWrap/>
            <w:hideMark/>
          </w:tcPr>
          <w:p w14:paraId="1B3FCAD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850" w:type="dxa"/>
            <w:tcBorders>
              <w:top w:val="nil"/>
              <w:left w:val="nil"/>
              <w:bottom w:val="single" w:sz="4" w:space="0" w:color="auto"/>
              <w:right w:val="single" w:sz="4" w:space="0" w:color="auto"/>
            </w:tcBorders>
            <w:shd w:val="clear" w:color="000000" w:fill="FFFFFF"/>
            <w:noWrap/>
            <w:hideMark/>
          </w:tcPr>
          <w:p w14:paraId="7954FB4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4C39EC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653E4BE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1F328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0873DD3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81,39</w:t>
            </w:r>
          </w:p>
        </w:tc>
        <w:tc>
          <w:tcPr>
            <w:tcW w:w="851" w:type="dxa"/>
            <w:tcBorders>
              <w:top w:val="nil"/>
              <w:left w:val="nil"/>
              <w:bottom w:val="single" w:sz="4" w:space="0" w:color="auto"/>
              <w:right w:val="single" w:sz="4" w:space="0" w:color="auto"/>
            </w:tcBorders>
            <w:shd w:val="clear" w:color="auto" w:fill="auto"/>
            <w:noWrap/>
            <w:hideMark/>
          </w:tcPr>
          <w:p w14:paraId="5FF93CA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0,0060</w:t>
            </w:r>
          </w:p>
        </w:tc>
        <w:tc>
          <w:tcPr>
            <w:tcW w:w="1134" w:type="dxa"/>
            <w:tcBorders>
              <w:top w:val="nil"/>
              <w:left w:val="nil"/>
              <w:bottom w:val="single" w:sz="4" w:space="0" w:color="auto"/>
              <w:right w:val="single" w:sz="4" w:space="0" w:color="auto"/>
            </w:tcBorders>
            <w:shd w:val="clear" w:color="000000" w:fill="C6E0B4"/>
            <w:noWrap/>
            <w:hideMark/>
          </w:tcPr>
          <w:p w14:paraId="7799823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1.623.645</w:t>
            </w:r>
          </w:p>
        </w:tc>
        <w:tc>
          <w:tcPr>
            <w:tcW w:w="992" w:type="dxa"/>
            <w:tcBorders>
              <w:top w:val="nil"/>
              <w:left w:val="nil"/>
              <w:bottom w:val="single" w:sz="4" w:space="0" w:color="auto"/>
              <w:right w:val="single" w:sz="4" w:space="0" w:color="auto"/>
            </w:tcBorders>
            <w:shd w:val="clear" w:color="auto" w:fill="auto"/>
            <w:noWrap/>
            <w:hideMark/>
          </w:tcPr>
          <w:p w14:paraId="5724D80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1.551.472</w:t>
            </w:r>
          </w:p>
        </w:tc>
        <w:tc>
          <w:tcPr>
            <w:tcW w:w="567" w:type="dxa"/>
            <w:tcBorders>
              <w:top w:val="nil"/>
              <w:left w:val="nil"/>
              <w:bottom w:val="single" w:sz="4" w:space="0" w:color="auto"/>
              <w:right w:val="single" w:sz="4" w:space="0" w:color="auto"/>
            </w:tcBorders>
            <w:shd w:val="clear" w:color="auto" w:fill="auto"/>
            <w:noWrap/>
            <w:hideMark/>
          </w:tcPr>
          <w:p w14:paraId="3B81A91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104,65</w:t>
            </w:r>
          </w:p>
        </w:tc>
        <w:tc>
          <w:tcPr>
            <w:tcW w:w="850" w:type="dxa"/>
            <w:tcBorders>
              <w:top w:val="nil"/>
              <w:left w:val="nil"/>
              <w:bottom w:val="single" w:sz="4" w:space="0" w:color="auto"/>
              <w:right w:val="single" w:sz="4" w:space="0" w:color="auto"/>
            </w:tcBorders>
            <w:shd w:val="clear" w:color="auto" w:fill="auto"/>
            <w:noWrap/>
            <w:hideMark/>
          </w:tcPr>
          <w:p w14:paraId="7841AC6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1.461.280</w:t>
            </w:r>
          </w:p>
        </w:tc>
        <w:tc>
          <w:tcPr>
            <w:tcW w:w="709" w:type="dxa"/>
            <w:tcBorders>
              <w:top w:val="nil"/>
              <w:left w:val="nil"/>
              <w:bottom w:val="single" w:sz="4" w:space="0" w:color="auto"/>
              <w:right w:val="single" w:sz="8" w:space="0" w:color="auto"/>
            </w:tcBorders>
            <w:shd w:val="clear" w:color="auto" w:fill="auto"/>
            <w:noWrap/>
            <w:hideMark/>
          </w:tcPr>
          <w:p w14:paraId="0A80CB3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162.364</w:t>
            </w:r>
          </w:p>
        </w:tc>
        <w:tc>
          <w:tcPr>
            <w:tcW w:w="851" w:type="dxa"/>
            <w:tcBorders>
              <w:top w:val="nil"/>
              <w:left w:val="single" w:sz="4" w:space="0" w:color="auto"/>
              <w:bottom w:val="single" w:sz="4" w:space="0" w:color="auto"/>
              <w:right w:val="single" w:sz="4" w:space="0" w:color="auto"/>
            </w:tcBorders>
            <w:shd w:val="clear" w:color="auto" w:fill="auto"/>
            <w:noWrap/>
            <w:hideMark/>
          </w:tcPr>
          <w:p w14:paraId="0A00829B" w14:textId="56C54D1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132.422</w:t>
            </w:r>
          </w:p>
        </w:tc>
      </w:tr>
      <w:tr w:rsidR="005C332D" w:rsidRPr="003F6E51" w14:paraId="06D99C1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29B54A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43</w:t>
            </w:r>
          </w:p>
        </w:tc>
        <w:tc>
          <w:tcPr>
            <w:tcW w:w="2213" w:type="dxa"/>
            <w:tcBorders>
              <w:top w:val="nil"/>
              <w:left w:val="single" w:sz="8" w:space="0" w:color="auto"/>
              <w:bottom w:val="single" w:sz="4" w:space="0" w:color="auto"/>
              <w:right w:val="single" w:sz="8" w:space="0" w:color="auto"/>
            </w:tcBorders>
            <w:shd w:val="clear" w:color="auto" w:fill="auto"/>
            <w:noWrap/>
            <w:hideMark/>
          </w:tcPr>
          <w:p w14:paraId="1C0B59C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MALO CRNIĆE</w:t>
            </w:r>
          </w:p>
        </w:tc>
        <w:tc>
          <w:tcPr>
            <w:tcW w:w="850" w:type="dxa"/>
            <w:tcBorders>
              <w:top w:val="nil"/>
              <w:left w:val="nil"/>
              <w:bottom w:val="single" w:sz="4" w:space="0" w:color="auto"/>
              <w:right w:val="single" w:sz="4" w:space="0" w:color="auto"/>
            </w:tcBorders>
            <w:shd w:val="clear" w:color="000000" w:fill="FFFFFF"/>
            <w:noWrap/>
            <w:hideMark/>
          </w:tcPr>
          <w:p w14:paraId="7A80936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9439</w:t>
            </w:r>
          </w:p>
        </w:tc>
        <w:tc>
          <w:tcPr>
            <w:tcW w:w="709" w:type="dxa"/>
            <w:tcBorders>
              <w:top w:val="nil"/>
              <w:left w:val="nil"/>
              <w:bottom w:val="single" w:sz="4" w:space="0" w:color="auto"/>
              <w:right w:val="single" w:sz="8" w:space="0" w:color="auto"/>
            </w:tcBorders>
            <w:shd w:val="clear" w:color="000000" w:fill="FFFFFF"/>
            <w:noWrap/>
            <w:hideMark/>
          </w:tcPr>
          <w:p w14:paraId="31A3619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0,20</w:t>
            </w:r>
          </w:p>
        </w:tc>
        <w:tc>
          <w:tcPr>
            <w:tcW w:w="567" w:type="dxa"/>
            <w:tcBorders>
              <w:top w:val="nil"/>
              <w:left w:val="nil"/>
              <w:bottom w:val="single" w:sz="4" w:space="0" w:color="auto"/>
              <w:right w:val="single" w:sz="4" w:space="0" w:color="auto"/>
            </w:tcBorders>
            <w:shd w:val="clear" w:color="000000" w:fill="FFFFFF"/>
            <w:noWrap/>
            <w:hideMark/>
          </w:tcPr>
          <w:p w14:paraId="63E36D8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269</w:t>
            </w:r>
          </w:p>
        </w:tc>
        <w:tc>
          <w:tcPr>
            <w:tcW w:w="709" w:type="dxa"/>
            <w:tcBorders>
              <w:top w:val="nil"/>
              <w:left w:val="nil"/>
              <w:bottom w:val="single" w:sz="4" w:space="0" w:color="auto"/>
              <w:right w:val="single" w:sz="8" w:space="0" w:color="auto"/>
            </w:tcBorders>
            <w:shd w:val="clear" w:color="000000" w:fill="FFFFFF"/>
            <w:noWrap/>
            <w:hideMark/>
          </w:tcPr>
          <w:p w14:paraId="26ED395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0,50</w:t>
            </w:r>
          </w:p>
        </w:tc>
        <w:tc>
          <w:tcPr>
            <w:tcW w:w="850" w:type="dxa"/>
            <w:tcBorders>
              <w:top w:val="nil"/>
              <w:left w:val="nil"/>
              <w:bottom w:val="single" w:sz="4" w:space="0" w:color="auto"/>
              <w:right w:val="single" w:sz="4" w:space="0" w:color="auto"/>
            </w:tcBorders>
            <w:shd w:val="clear" w:color="000000" w:fill="FFFFFF"/>
            <w:noWrap/>
            <w:hideMark/>
          </w:tcPr>
          <w:p w14:paraId="75BEB1D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FBAB95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296505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398FF6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3F8B7F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72,56</w:t>
            </w:r>
          </w:p>
        </w:tc>
        <w:tc>
          <w:tcPr>
            <w:tcW w:w="851" w:type="dxa"/>
            <w:tcBorders>
              <w:top w:val="nil"/>
              <w:left w:val="nil"/>
              <w:bottom w:val="single" w:sz="4" w:space="0" w:color="auto"/>
              <w:right w:val="single" w:sz="4" w:space="0" w:color="auto"/>
            </w:tcBorders>
            <w:shd w:val="clear" w:color="auto" w:fill="auto"/>
            <w:noWrap/>
            <w:hideMark/>
          </w:tcPr>
          <w:p w14:paraId="65AF732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0,0053</w:t>
            </w:r>
          </w:p>
        </w:tc>
        <w:tc>
          <w:tcPr>
            <w:tcW w:w="1134" w:type="dxa"/>
            <w:tcBorders>
              <w:top w:val="nil"/>
              <w:left w:val="nil"/>
              <w:bottom w:val="single" w:sz="4" w:space="0" w:color="auto"/>
              <w:right w:val="single" w:sz="4" w:space="0" w:color="auto"/>
            </w:tcBorders>
            <w:shd w:val="clear" w:color="000000" w:fill="C6E0B4"/>
            <w:noWrap/>
            <w:hideMark/>
          </w:tcPr>
          <w:p w14:paraId="16E0CF8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1.447.558</w:t>
            </w:r>
          </w:p>
        </w:tc>
        <w:tc>
          <w:tcPr>
            <w:tcW w:w="992" w:type="dxa"/>
            <w:tcBorders>
              <w:top w:val="nil"/>
              <w:left w:val="nil"/>
              <w:bottom w:val="single" w:sz="4" w:space="0" w:color="auto"/>
              <w:right w:val="single" w:sz="4" w:space="0" w:color="auto"/>
            </w:tcBorders>
            <w:shd w:val="clear" w:color="auto" w:fill="auto"/>
            <w:noWrap/>
            <w:hideMark/>
          </w:tcPr>
          <w:p w14:paraId="4985F7E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707.873</w:t>
            </w:r>
          </w:p>
        </w:tc>
        <w:tc>
          <w:tcPr>
            <w:tcW w:w="567" w:type="dxa"/>
            <w:tcBorders>
              <w:top w:val="nil"/>
              <w:left w:val="nil"/>
              <w:bottom w:val="single" w:sz="4" w:space="0" w:color="auto"/>
              <w:right w:val="single" w:sz="4" w:space="0" w:color="auto"/>
            </w:tcBorders>
            <w:shd w:val="clear" w:color="auto" w:fill="auto"/>
            <w:noWrap/>
            <w:hideMark/>
          </w:tcPr>
          <w:p w14:paraId="338564C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204,49</w:t>
            </w:r>
          </w:p>
        </w:tc>
        <w:tc>
          <w:tcPr>
            <w:tcW w:w="850" w:type="dxa"/>
            <w:tcBorders>
              <w:top w:val="nil"/>
              <w:left w:val="nil"/>
              <w:bottom w:val="single" w:sz="4" w:space="0" w:color="auto"/>
              <w:right w:val="single" w:sz="4" w:space="0" w:color="auto"/>
            </w:tcBorders>
            <w:shd w:val="clear" w:color="auto" w:fill="auto"/>
            <w:noWrap/>
            <w:hideMark/>
          </w:tcPr>
          <w:p w14:paraId="1F777DF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1.302.802</w:t>
            </w:r>
          </w:p>
        </w:tc>
        <w:tc>
          <w:tcPr>
            <w:tcW w:w="709" w:type="dxa"/>
            <w:tcBorders>
              <w:top w:val="nil"/>
              <w:left w:val="nil"/>
              <w:bottom w:val="single" w:sz="4" w:space="0" w:color="auto"/>
              <w:right w:val="single" w:sz="8" w:space="0" w:color="auto"/>
            </w:tcBorders>
            <w:shd w:val="clear" w:color="auto" w:fill="auto"/>
            <w:noWrap/>
            <w:hideMark/>
          </w:tcPr>
          <w:p w14:paraId="4628EAA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144.756</w:t>
            </w:r>
          </w:p>
        </w:tc>
        <w:tc>
          <w:tcPr>
            <w:tcW w:w="851" w:type="dxa"/>
            <w:tcBorders>
              <w:top w:val="nil"/>
              <w:left w:val="single" w:sz="4" w:space="0" w:color="auto"/>
              <w:bottom w:val="single" w:sz="4" w:space="0" w:color="auto"/>
              <w:right w:val="single" w:sz="4" w:space="0" w:color="auto"/>
            </w:tcBorders>
            <w:shd w:val="clear" w:color="auto" w:fill="auto"/>
            <w:noWrap/>
            <w:hideMark/>
          </w:tcPr>
          <w:p w14:paraId="2ABF457D" w14:textId="25B1EF1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138.023</w:t>
            </w:r>
          </w:p>
        </w:tc>
      </w:tr>
      <w:tr w:rsidR="005C332D" w:rsidRPr="003F6E51" w14:paraId="0E8BCF0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544C88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44</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1ACD13F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MEDVEĐA</w:t>
            </w:r>
          </w:p>
        </w:tc>
        <w:tc>
          <w:tcPr>
            <w:tcW w:w="850" w:type="dxa"/>
            <w:tcBorders>
              <w:top w:val="nil"/>
              <w:left w:val="nil"/>
              <w:bottom w:val="single" w:sz="4" w:space="0" w:color="auto"/>
              <w:right w:val="single" w:sz="4" w:space="0" w:color="auto"/>
            </w:tcBorders>
            <w:shd w:val="clear" w:color="000000" w:fill="FFFFFF"/>
            <w:noWrap/>
            <w:hideMark/>
          </w:tcPr>
          <w:p w14:paraId="4884DF4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6309</w:t>
            </w:r>
          </w:p>
        </w:tc>
        <w:tc>
          <w:tcPr>
            <w:tcW w:w="709" w:type="dxa"/>
            <w:tcBorders>
              <w:top w:val="nil"/>
              <w:left w:val="nil"/>
              <w:bottom w:val="single" w:sz="4" w:space="0" w:color="auto"/>
              <w:right w:val="single" w:sz="8" w:space="0" w:color="auto"/>
            </w:tcBorders>
            <w:shd w:val="clear" w:color="000000" w:fill="FFFFFF"/>
            <w:noWrap/>
            <w:hideMark/>
          </w:tcPr>
          <w:p w14:paraId="2C765EC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0,13</w:t>
            </w:r>
          </w:p>
        </w:tc>
        <w:tc>
          <w:tcPr>
            <w:tcW w:w="567" w:type="dxa"/>
            <w:tcBorders>
              <w:top w:val="nil"/>
              <w:left w:val="nil"/>
              <w:bottom w:val="single" w:sz="4" w:space="0" w:color="auto"/>
              <w:right w:val="single" w:sz="4" w:space="0" w:color="auto"/>
            </w:tcBorders>
            <w:shd w:val="clear" w:color="000000" w:fill="FFFFFF"/>
            <w:noWrap/>
            <w:hideMark/>
          </w:tcPr>
          <w:p w14:paraId="541E52F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524</w:t>
            </w:r>
          </w:p>
        </w:tc>
        <w:tc>
          <w:tcPr>
            <w:tcW w:w="709" w:type="dxa"/>
            <w:tcBorders>
              <w:top w:val="nil"/>
              <w:left w:val="nil"/>
              <w:bottom w:val="single" w:sz="4" w:space="0" w:color="auto"/>
              <w:right w:val="single" w:sz="8" w:space="0" w:color="auto"/>
            </w:tcBorders>
            <w:shd w:val="clear" w:color="000000" w:fill="FFFFFF"/>
            <w:noWrap/>
            <w:hideMark/>
          </w:tcPr>
          <w:p w14:paraId="2A622F7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0,98</w:t>
            </w:r>
          </w:p>
        </w:tc>
        <w:tc>
          <w:tcPr>
            <w:tcW w:w="850" w:type="dxa"/>
            <w:tcBorders>
              <w:top w:val="nil"/>
              <w:left w:val="nil"/>
              <w:bottom w:val="single" w:sz="4" w:space="0" w:color="auto"/>
              <w:right w:val="single" w:sz="4" w:space="0" w:color="auto"/>
            </w:tcBorders>
            <w:shd w:val="clear" w:color="000000" w:fill="FFFFFF"/>
            <w:noWrap/>
            <w:hideMark/>
          </w:tcPr>
          <w:p w14:paraId="13C4B31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C183E2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4915E14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676FF24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CAD677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94,15</w:t>
            </w:r>
          </w:p>
        </w:tc>
        <w:tc>
          <w:tcPr>
            <w:tcW w:w="851" w:type="dxa"/>
            <w:tcBorders>
              <w:top w:val="nil"/>
              <w:left w:val="nil"/>
              <w:bottom w:val="single" w:sz="4" w:space="0" w:color="auto"/>
              <w:right w:val="single" w:sz="4" w:space="0" w:color="auto"/>
            </w:tcBorders>
            <w:shd w:val="clear" w:color="auto" w:fill="auto"/>
            <w:noWrap/>
            <w:hideMark/>
          </w:tcPr>
          <w:p w14:paraId="33669DB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0,0069</w:t>
            </w:r>
          </w:p>
        </w:tc>
        <w:tc>
          <w:tcPr>
            <w:tcW w:w="1134" w:type="dxa"/>
            <w:tcBorders>
              <w:top w:val="nil"/>
              <w:left w:val="nil"/>
              <w:bottom w:val="single" w:sz="4" w:space="0" w:color="auto"/>
              <w:right w:val="single" w:sz="4" w:space="0" w:color="auto"/>
            </w:tcBorders>
            <w:shd w:val="clear" w:color="000000" w:fill="C6E0B4"/>
            <w:noWrap/>
            <w:hideMark/>
          </w:tcPr>
          <w:p w14:paraId="02BC4C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1.878.061</w:t>
            </w:r>
          </w:p>
        </w:tc>
        <w:tc>
          <w:tcPr>
            <w:tcW w:w="992" w:type="dxa"/>
            <w:tcBorders>
              <w:top w:val="nil"/>
              <w:left w:val="nil"/>
              <w:bottom w:val="single" w:sz="4" w:space="0" w:color="auto"/>
              <w:right w:val="single" w:sz="4" w:space="0" w:color="auto"/>
            </w:tcBorders>
            <w:shd w:val="clear" w:color="auto" w:fill="auto"/>
            <w:noWrap/>
            <w:hideMark/>
          </w:tcPr>
          <w:p w14:paraId="0CDEAC8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673.872</w:t>
            </w:r>
          </w:p>
        </w:tc>
        <w:tc>
          <w:tcPr>
            <w:tcW w:w="567" w:type="dxa"/>
            <w:tcBorders>
              <w:top w:val="nil"/>
              <w:left w:val="nil"/>
              <w:bottom w:val="single" w:sz="4" w:space="0" w:color="auto"/>
              <w:right w:val="single" w:sz="4" w:space="0" w:color="auto"/>
            </w:tcBorders>
            <w:shd w:val="clear" w:color="auto" w:fill="auto"/>
            <w:noWrap/>
            <w:hideMark/>
          </w:tcPr>
          <w:p w14:paraId="558CBD5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278,70</w:t>
            </w:r>
          </w:p>
        </w:tc>
        <w:tc>
          <w:tcPr>
            <w:tcW w:w="850" w:type="dxa"/>
            <w:tcBorders>
              <w:top w:val="nil"/>
              <w:left w:val="nil"/>
              <w:bottom w:val="single" w:sz="4" w:space="0" w:color="auto"/>
              <w:right w:val="single" w:sz="4" w:space="0" w:color="auto"/>
            </w:tcBorders>
            <w:shd w:val="clear" w:color="auto" w:fill="auto"/>
            <w:noWrap/>
            <w:hideMark/>
          </w:tcPr>
          <w:p w14:paraId="134963D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1.690.255</w:t>
            </w:r>
          </w:p>
        </w:tc>
        <w:tc>
          <w:tcPr>
            <w:tcW w:w="709" w:type="dxa"/>
            <w:tcBorders>
              <w:top w:val="nil"/>
              <w:left w:val="nil"/>
              <w:bottom w:val="single" w:sz="4" w:space="0" w:color="auto"/>
              <w:right w:val="single" w:sz="8" w:space="0" w:color="auto"/>
            </w:tcBorders>
            <w:shd w:val="clear" w:color="auto" w:fill="auto"/>
            <w:noWrap/>
            <w:hideMark/>
          </w:tcPr>
          <w:p w14:paraId="0188934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187.806</w:t>
            </w:r>
          </w:p>
        </w:tc>
        <w:tc>
          <w:tcPr>
            <w:tcW w:w="851" w:type="dxa"/>
            <w:tcBorders>
              <w:top w:val="nil"/>
              <w:left w:val="single" w:sz="4" w:space="0" w:color="auto"/>
              <w:bottom w:val="single" w:sz="4" w:space="0" w:color="auto"/>
              <w:right w:val="single" w:sz="4" w:space="0" w:color="auto"/>
            </w:tcBorders>
            <w:shd w:val="clear" w:color="auto" w:fill="auto"/>
            <w:noWrap/>
            <w:hideMark/>
          </w:tcPr>
          <w:p w14:paraId="6F864ED9" w14:textId="1C3FBA1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267.912</w:t>
            </w:r>
          </w:p>
        </w:tc>
      </w:tr>
      <w:tr w:rsidR="005C332D" w:rsidRPr="003F6E51" w14:paraId="408E389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492DA1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45</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30C5C9A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MEROŠINA</w:t>
            </w:r>
          </w:p>
        </w:tc>
        <w:tc>
          <w:tcPr>
            <w:tcW w:w="850" w:type="dxa"/>
            <w:tcBorders>
              <w:top w:val="nil"/>
              <w:left w:val="nil"/>
              <w:bottom w:val="single" w:sz="4" w:space="0" w:color="auto"/>
              <w:right w:val="single" w:sz="4" w:space="0" w:color="auto"/>
            </w:tcBorders>
            <w:shd w:val="clear" w:color="000000" w:fill="FFFFFF"/>
            <w:noWrap/>
            <w:hideMark/>
          </w:tcPr>
          <w:p w14:paraId="2ED5B39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12724</w:t>
            </w:r>
          </w:p>
        </w:tc>
        <w:tc>
          <w:tcPr>
            <w:tcW w:w="709" w:type="dxa"/>
            <w:tcBorders>
              <w:top w:val="nil"/>
              <w:left w:val="nil"/>
              <w:bottom w:val="single" w:sz="4" w:space="0" w:color="auto"/>
              <w:right w:val="single" w:sz="8" w:space="0" w:color="auto"/>
            </w:tcBorders>
            <w:shd w:val="clear" w:color="000000" w:fill="FFFFFF"/>
            <w:noWrap/>
            <w:hideMark/>
          </w:tcPr>
          <w:p w14:paraId="5758140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0,27</w:t>
            </w:r>
          </w:p>
        </w:tc>
        <w:tc>
          <w:tcPr>
            <w:tcW w:w="567" w:type="dxa"/>
            <w:tcBorders>
              <w:top w:val="nil"/>
              <w:left w:val="nil"/>
              <w:bottom w:val="single" w:sz="4" w:space="0" w:color="auto"/>
              <w:right w:val="single" w:sz="4" w:space="0" w:color="auto"/>
            </w:tcBorders>
            <w:shd w:val="clear" w:color="000000" w:fill="FFFFFF"/>
            <w:noWrap/>
            <w:hideMark/>
          </w:tcPr>
          <w:p w14:paraId="69053EC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193</w:t>
            </w:r>
          </w:p>
        </w:tc>
        <w:tc>
          <w:tcPr>
            <w:tcW w:w="709" w:type="dxa"/>
            <w:tcBorders>
              <w:top w:val="nil"/>
              <w:left w:val="nil"/>
              <w:bottom w:val="single" w:sz="4" w:space="0" w:color="auto"/>
              <w:right w:val="single" w:sz="8" w:space="0" w:color="auto"/>
            </w:tcBorders>
            <w:shd w:val="clear" w:color="000000" w:fill="FFFFFF"/>
            <w:noWrap/>
            <w:hideMark/>
          </w:tcPr>
          <w:p w14:paraId="0945A01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0,36</w:t>
            </w:r>
          </w:p>
        </w:tc>
        <w:tc>
          <w:tcPr>
            <w:tcW w:w="850" w:type="dxa"/>
            <w:tcBorders>
              <w:top w:val="nil"/>
              <w:left w:val="nil"/>
              <w:bottom w:val="single" w:sz="4" w:space="0" w:color="auto"/>
              <w:right w:val="single" w:sz="4" w:space="0" w:color="auto"/>
            </w:tcBorders>
            <w:shd w:val="clear" w:color="000000" w:fill="FFFFFF"/>
            <w:noWrap/>
            <w:hideMark/>
          </w:tcPr>
          <w:p w14:paraId="4F1BB01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43ED6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29BE2B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7F87405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02BCD5B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84,09</w:t>
            </w:r>
          </w:p>
        </w:tc>
        <w:tc>
          <w:tcPr>
            <w:tcW w:w="851" w:type="dxa"/>
            <w:tcBorders>
              <w:top w:val="nil"/>
              <w:left w:val="nil"/>
              <w:bottom w:val="single" w:sz="4" w:space="0" w:color="auto"/>
              <w:right w:val="single" w:sz="4" w:space="0" w:color="auto"/>
            </w:tcBorders>
            <w:shd w:val="clear" w:color="auto" w:fill="auto"/>
            <w:noWrap/>
            <w:hideMark/>
          </w:tcPr>
          <w:p w14:paraId="215F0A6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0,0062</w:t>
            </w:r>
          </w:p>
        </w:tc>
        <w:tc>
          <w:tcPr>
            <w:tcW w:w="1134" w:type="dxa"/>
            <w:tcBorders>
              <w:top w:val="nil"/>
              <w:left w:val="nil"/>
              <w:bottom w:val="single" w:sz="4" w:space="0" w:color="auto"/>
              <w:right w:val="single" w:sz="4" w:space="0" w:color="auto"/>
            </w:tcBorders>
            <w:shd w:val="clear" w:color="000000" w:fill="C6E0B4"/>
            <w:noWrap/>
            <w:hideMark/>
          </w:tcPr>
          <w:p w14:paraId="561F954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1.677.469</w:t>
            </w:r>
          </w:p>
        </w:tc>
        <w:tc>
          <w:tcPr>
            <w:tcW w:w="992" w:type="dxa"/>
            <w:tcBorders>
              <w:top w:val="nil"/>
              <w:left w:val="nil"/>
              <w:bottom w:val="single" w:sz="4" w:space="0" w:color="auto"/>
              <w:right w:val="single" w:sz="4" w:space="0" w:color="auto"/>
            </w:tcBorders>
            <w:shd w:val="clear" w:color="auto" w:fill="auto"/>
            <w:noWrap/>
            <w:hideMark/>
          </w:tcPr>
          <w:p w14:paraId="14AE663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222.379</w:t>
            </w:r>
          </w:p>
        </w:tc>
        <w:tc>
          <w:tcPr>
            <w:tcW w:w="567" w:type="dxa"/>
            <w:tcBorders>
              <w:top w:val="nil"/>
              <w:left w:val="nil"/>
              <w:bottom w:val="single" w:sz="4" w:space="0" w:color="auto"/>
              <w:right w:val="single" w:sz="4" w:space="0" w:color="auto"/>
            </w:tcBorders>
            <w:shd w:val="clear" w:color="auto" w:fill="auto"/>
            <w:noWrap/>
            <w:hideMark/>
          </w:tcPr>
          <w:p w14:paraId="0193FFE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754,33</w:t>
            </w:r>
          </w:p>
        </w:tc>
        <w:tc>
          <w:tcPr>
            <w:tcW w:w="850" w:type="dxa"/>
            <w:tcBorders>
              <w:top w:val="nil"/>
              <w:left w:val="nil"/>
              <w:bottom w:val="single" w:sz="4" w:space="0" w:color="auto"/>
              <w:right w:val="single" w:sz="4" w:space="0" w:color="auto"/>
            </w:tcBorders>
            <w:shd w:val="clear" w:color="auto" w:fill="auto"/>
            <w:noWrap/>
            <w:hideMark/>
          </w:tcPr>
          <w:p w14:paraId="25CD3C6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1.509.722</w:t>
            </w:r>
          </w:p>
        </w:tc>
        <w:tc>
          <w:tcPr>
            <w:tcW w:w="709" w:type="dxa"/>
            <w:tcBorders>
              <w:top w:val="nil"/>
              <w:left w:val="nil"/>
              <w:bottom w:val="single" w:sz="4" w:space="0" w:color="auto"/>
              <w:right w:val="single" w:sz="8" w:space="0" w:color="auto"/>
            </w:tcBorders>
            <w:shd w:val="clear" w:color="auto" w:fill="auto"/>
            <w:noWrap/>
            <w:hideMark/>
          </w:tcPr>
          <w:p w14:paraId="4D92FC1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167.747</w:t>
            </w:r>
          </w:p>
        </w:tc>
        <w:tc>
          <w:tcPr>
            <w:tcW w:w="851" w:type="dxa"/>
            <w:tcBorders>
              <w:top w:val="nil"/>
              <w:left w:val="single" w:sz="4" w:space="0" w:color="auto"/>
              <w:bottom w:val="single" w:sz="4" w:space="0" w:color="auto"/>
              <w:right w:val="single" w:sz="4" w:space="0" w:color="auto"/>
            </w:tcBorders>
            <w:shd w:val="clear" w:color="auto" w:fill="auto"/>
            <w:noWrap/>
            <w:hideMark/>
          </w:tcPr>
          <w:p w14:paraId="1ADD8D9B" w14:textId="626847D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118.652</w:t>
            </w:r>
          </w:p>
        </w:tc>
      </w:tr>
      <w:tr w:rsidR="005C332D" w:rsidRPr="003F6E51" w14:paraId="2D1021D4"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B1EDFE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46</w:t>
            </w:r>
          </w:p>
        </w:tc>
        <w:tc>
          <w:tcPr>
            <w:tcW w:w="2213" w:type="dxa"/>
            <w:tcBorders>
              <w:top w:val="nil"/>
              <w:left w:val="single" w:sz="8" w:space="0" w:color="auto"/>
              <w:bottom w:val="single" w:sz="4" w:space="0" w:color="auto"/>
              <w:right w:val="single" w:sz="8" w:space="0" w:color="auto"/>
            </w:tcBorders>
            <w:shd w:val="clear" w:color="auto" w:fill="auto"/>
            <w:noWrap/>
            <w:hideMark/>
          </w:tcPr>
          <w:p w14:paraId="5A80D7A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MIONICA</w:t>
            </w:r>
          </w:p>
        </w:tc>
        <w:tc>
          <w:tcPr>
            <w:tcW w:w="850" w:type="dxa"/>
            <w:tcBorders>
              <w:top w:val="nil"/>
              <w:left w:val="nil"/>
              <w:bottom w:val="single" w:sz="4" w:space="0" w:color="auto"/>
              <w:right w:val="single" w:sz="4" w:space="0" w:color="auto"/>
            </w:tcBorders>
            <w:shd w:val="clear" w:color="000000" w:fill="FFFFFF"/>
            <w:noWrap/>
            <w:hideMark/>
          </w:tcPr>
          <w:p w14:paraId="1BDE95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12709</w:t>
            </w:r>
          </w:p>
        </w:tc>
        <w:tc>
          <w:tcPr>
            <w:tcW w:w="709" w:type="dxa"/>
            <w:tcBorders>
              <w:top w:val="nil"/>
              <w:left w:val="nil"/>
              <w:bottom w:val="single" w:sz="4" w:space="0" w:color="auto"/>
              <w:right w:val="single" w:sz="8" w:space="0" w:color="auto"/>
            </w:tcBorders>
            <w:shd w:val="clear" w:color="000000" w:fill="FFFFFF"/>
            <w:noWrap/>
            <w:hideMark/>
          </w:tcPr>
          <w:p w14:paraId="4525119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0,27</w:t>
            </w:r>
          </w:p>
        </w:tc>
        <w:tc>
          <w:tcPr>
            <w:tcW w:w="567" w:type="dxa"/>
            <w:tcBorders>
              <w:top w:val="nil"/>
              <w:left w:val="nil"/>
              <w:bottom w:val="single" w:sz="4" w:space="0" w:color="auto"/>
              <w:right w:val="single" w:sz="4" w:space="0" w:color="auto"/>
            </w:tcBorders>
            <w:shd w:val="clear" w:color="000000" w:fill="FFFFFF"/>
            <w:noWrap/>
            <w:hideMark/>
          </w:tcPr>
          <w:p w14:paraId="3A21ACD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329</w:t>
            </w:r>
          </w:p>
        </w:tc>
        <w:tc>
          <w:tcPr>
            <w:tcW w:w="709" w:type="dxa"/>
            <w:tcBorders>
              <w:top w:val="nil"/>
              <w:left w:val="nil"/>
              <w:bottom w:val="single" w:sz="4" w:space="0" w:color="auto"/>
              <w:right w:val="single" w:sz="8" w:space="0" w:color="auto"/>
            </w:tcBorders>
            <w:shd w:val="clear" w:color="000000" w:fill="FFFFFF"/>
            <w:noWrap/>
            <w:hideMark/>
          </w:tcPr>
          <w:p w14:paraId="38EFC6A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0,61</w:t>
            </w:r>
          </w:p>
        </w:tc>
        <w:tc>
          <w:tcPr>
            <w:tcW w:w="850" w:type="dxa"/>
            <w:tcBorders>
              <w:top w:val="nil"/>
              <w:left w:val="nil"/>
              <w:bottom w:val="single" w:sz="4" w:space="0" w:color="auto"/>
              <w:right w:val="single" w:sz="4" w:space="0" w:color="auto"/>
            </w:tcBorders>
            <w:shd w:val="clear" w:color="000000" w:fill="FFFFFF"/>
            <w:noWrap/>
            <w:hideMark/>
          </w:tcPr>
          <w:p w14:paraId="61A4269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716964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7349B5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6DD6BD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239E2F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77,08</w:t>
            </w:r>
          </w:p>
        </w:tc>
        <w:tc>
          <w:tcPr>
            <w:tcW w:w="851" w:type="dxa"/>
            <w:tcBorders>
              <w:top w:val="nil"/>
              <w:left w:val="nil"/>
              <w:bottom w:val="single" w:sz="4" w:space="0" w:color="auto"/>
              <w:right w:val="single" w:sz="4" w:space="0" w:color="auto"/>
            </w:tcBorders>
            <w:shd w:val="clear" w:color="auto" w:fill="auto"/>
            <w:noWrap/>
            <w:hideMark/>
          </w:tcPr>
          <w:p w14:paraId="61C5C9F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7BE2028F"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1.537.696</w:t>
            </w:r>
          </w:p>
        </w:tc>
        <w:tc>
          <w:tcPr>
            <w:tcW w:w="992" w:type="dxa"/>
            <w:tcBorders>
              <w:top w:val="nil"/>
              <w:left w:val="nil"/>
              <w:bottom w:val="single" w:sz="4" w:space="0" w:color="auto"/>
              <w:right w:val="single" w:sz="4" w:space="0" w:color="auto"/>
            </w:tcBorders>
            <w:shd w:val="clear" w:color="auto" w:fill="auto"/>
            <w:noWrap/>
            <w:hideMark/>
          </w:tcPr>
          <w:p w14:paraId="2889357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734.963</w:t>
            </w:r>
          </w:p>
        </w:tc>
        <w:tc>
          <w:tcPr>
            <w:tcW w:w="567" w:type="dxa"/>
            <w:tcBorders>
              <w:top w:val="nil"/>
              <w:left w:val="nil"/>
              <w:bottom w:val="single" w:sz="4" w:space="0" w:color="auto"/>
              <w:right w:val="single" w:sz="4" w:space="0" w:color="auto"/>
            </w:tcBorders>
            <w:shd w:val="clear" w:color="auto" w:fill="auto"/>
            <w:noWrap/>
            <w:hideMark/>
          </w:tcPr>
          <w:p w14:paraId="32D5DA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209,22</w:t>
            </w:r>
          </w:p>
        </w:tc>
        <w:tc>
          <w:tcPr>
            <w:tcW w:w="850" w:type="dxa"/>
            <w:tcBorders>
              <w:top w:val="nil"/>
              <w:left w:val="nil"/>
              <w:bottom w:val="single" w:sz="4" w:space="0" w:color="auto"/>
              <w:right w:val="single" w:sz="4" w:space="0" w:color="auto"/>
            </w:tcBorders>
            <w:shd w:val="clear" w:color="auto" w:fill="auto"/>
            <w:noWrap/>
            <w:hideMark/>
          </w:tcPr>
          <w:p w14:paraId="513B5EE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1.383.926</w:t>
            </w:r>
          </w:p>
        </w:tc>
        <w:tc>
          <w:tcPr>
            <w:tcW w:w="709" w:type="dxa"/>
            <w:tcBorders>
              <w:top w:val="nil"/>
              <w:left w:val="nil"/>
              <w:bottom w:val="single" w:sz="4" w:space="0" w:color="auto"/>
              <w:right w:val="single" w:sz="8" w:space="0" w:color="auto"/>
            </w:tcBorders>
            <w:shd w:val="clear" w:color="auto" w:fill="auto"/>
            <w:noWrap/>
            <w:hideMark/>
          </w:tcPr>
          <w:p w14:paraId="6DB4AA5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153.770</w:t>
            </w:r>
          </w:p>
        </w:tc>
        <w:tc>
          <w:tcPr>
            <w:tcW w:w="851" w:type="dxa"/>
            <w:tcBorders>
              <w:top w:val="nil"/>
              <w:left w:val="single" w:sz="4" w:space="0" w:color="auto"/>
              <w:bottom w:val="single" w:sz="4" w:space="0" w:color="auto"/>
              <w:right w:val="single" w:sz="4" w:space="0" w:color="auto"/>
            </w:tcBorders>
            <w:shd w:val="clear" w:color="auto" w:fill="auto"/>
            <w:noWrap/>
            <w:hideMark/>
          </w:tcPr>
          <w:p w14:paraId="46F7D76C" w14:textId="76D98CD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108.893</w:t>
            </w:r>
          </w:p>
        </w:tc>
      </w:tr>
      <w:tr w:rsidR="005C332D" w:rsidRPr="003F6E51" w14:paraId="1FCC2D48"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EEE827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47</w:t>
            </w:r>
          </w:p>
        </w:tc>
        <w:tc>
          <w:tcPr>
            <w:tcW w:w="2213" w:type="dxa"/>
            <w:tcBorders>
              <w:top w:val="nil"/>
              <w:left w:val="single" w:sz="8" w:space="0" w:color="auto"/>
              <w:bottom w:val="single" w:sz="4" w:space="0" w:color="auto"/>
              <w:right w:val="single" w:sz="8" w:space="0" w:color="auto"/>
            </w:tcBorders>
            <w:shd w:val="clear" w:color="auto" w:fill="auto"/>
            <w:noWrap/>
            <w:hideMark/>
          </w:tcPr>
          <w:p w14:paraId="7F0F7E1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NEGOTIN</w:t>
            </w:r>
          </w:p>
        </w:tc>
        <w:tc>
          <w:tcPr>
            <w:tcW w:w="850" w:type="dxa"/>
            <w:tcBorders>
              <w:top w:val="nil"/>
              <w:left w:val="nil"/>
              <w:bottom w:val="single" w:sz="4" w:space="0" w:color="auto"/>
              <w:right w:val="single" w:sz="4" w:space="0" w:color="auto"/>
            </w:tcBorders>
            <w:shd w:val="clear" w:color="000000" w:fill="FFFFFF"/>
            <w:noWrap/>
            <w:hideMark/>
          </w:tcPr>
          <w:p w14:paraId="106461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31332</w:t>
            </w:r>
          </w:p>
        </w:tc>
        <w:tc>
          <w:tcPr>
            <w:tcW w:w="709" w:type="dxa"/>
            <w:tcBorders>
              <w:top w:val="nil"/>
              <w:left w:val="nil"/>
              <w:bottom w:val="single" w:sz="4" w:space="0" w:color="auto"/>
              <w:right w:val="single" w:sz="8" w:space="0" w:color="auto"/>
            </w:tcBorders>
            <w:shd w:val="clear" w:color="000000" w:fill="FFFFFF"/>
            <w:noWrap/>
            <w:hideMark/>
          </w:tcPr>
          <w:p w14:paraId="760C2A2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0,66</w:t>
            </w:r>
          </w:p>
        </w:tc>
        <w:tc>
          <w:tcPr>
            <w:tcW w:w="567" w:type="dxa"/>
            <w:tcBorders>
              <w:top w:val="nil"/>
              <w:left w:val="nil"/>
              <w:bottom w:val="single" w:sz="4" w:space="0" w:color="auto"/>
              <w:right w:val="single" w:sz="4" w:space="0" w:color="auto"/>
            </w:tcBorders>
            <w:shd w:val="clear" w:color="000000" w:fill="FFFFFF"/>
            <w:noWrap/>
            <w:hideMark/>
          </w:tcPr>
          <w:p w14:paraId="4BB9776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1090</w:t>
            </w:r>
          </w:p>
        </w:tc>
        <w:tc>
          <w:tcPr>
            <w:tcW w:w="709" w:type="dxa"/>
            <w:tcBorders>
              <w:top w:val="nil"/>
              <w:left w:val="nil"/>
              <w:bottom w:val="single" w:sz="4" w:space="0" w:color="auto"/>
              <w:right w:val="single" w:sz="8" w:space="0" w:color="auto"/>
            </w:tcBorders>
            <w:shd w:val="clear" w:color="000000" w:fill="FFFFFF"/>
            <w:noWrap/>
            <w:hideMark/>
          </w:tcPr>
          <w:p w14:paraId="2526797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2,04</w:t>
            </w:r>
          </w:p>
        </w:tc>
        <w:tc>
          <w:tcPr>
            <w:tcW w:w="850" w:type="dxa"/>
            <w:tcBorders>
              <w:top w:val="nil"/>
              <w:left w:val="nil"/>
              <w:bottom w:val="single" w:sz="4" w:space="0" w:color="auto"/>
              <w:right w:val="single" w:sz="4" w:space="0" w:color="auto"/>
            </w:tcBorders>
            <w:shd w:val="clear" w:color="000000" w:fill="FFFFFF"/>
            <w:noWrap/>
            <w:hideMark/>
          </w:tcPr>
          <w:p w14:paraId="500EBC4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60598E7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6BA43B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12C3B17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787B3B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115,75</w:t>
            </w:r>
          </w:p>
        </w:tc>
        <w:tc>
          <w:tcPr>
            <w:tcW w:w="851" w:type="dxa"/>
            <w:tcBorders>
              <w:top w:val="nil"/>
              <w:left w:val="nil"/>
              <w:bottom w:val="single" w:sz="4" w:space="0" w:color="auto"/>
              <w:right w:val="single" w:sz="4" w:space="0" w:color="auto"/>
            </w:tcBorders>
            <w:shd w:val="clear" w:color="auto" w:fill="auto"/>
            <w:noWrap/>
            <w:hideMark/>
          </w:tcPr>
          <w:p w14:paraId="2AA97C7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0,0085</w:t>
            </w:r>
          </w:p>
        </w:tc>
        <w:tc>
          <w:tcPr>
            <w:tcW w:w="1134" w:type="dxa"/>
            <w:tcBorders>
              <w:top w:val="nil"/>
              <w:left w:val="nil"/>
              <w:bottom w:val="single" w:sz="4" w:space="0" w:color="auto"/>
              <w:right w:val="single" w:sz="4" w:space="0" w:color="auto"/>
            </w:tcBorders>
            <w:shd w:val="clear" w:color="000000" w:fill="C6E0B4"/>
            <w:noWrap/>
            <w:hideMark/>
          </w:tcPr>
          <w:p w14:paraId="43181FF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2.308.993</w:t>
            </w:r>
          </w:p>
        </w:tc>
        <w:tc>
          <w:tcPr>
            <w:tcW w:w="992" w:type="dxa"/>
            <w:tcBorders>
              <w:top w:val="nil"/>
              <w:left w:val="nil"/>
              <w:bottom w:val="single" w:sz="4" w:space="0" w:color="auto"/>
              <w:right w:val="single" w:sz="4" w:space="0" w:color="auto"/>
            </w:tcBorders>
            <w:shd w:val="clear" w:color="auto" w:fill="auto"/>
            <w:noWrap/>
            <w:hideMark/>
          </w:tcPr>
          <w:p w14:paraId="0F8F3EE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1.678.187</w:t>
            </w:r>
          </w:p>
        </w:tc>
        <w:tc>
          <w:tcPr>
            <w:tcW w:w="567" w:type="dxa"/>
            <w:tcBorders>
              <w:top w:val="nil"/>
              <w:left w:val="nil"/>
              <w:bottom w:val="single" w:sz="4" w:space="0" w:color="auto"/>
              <w:right w:val="single" w:sz="4" w:space="0" w:color="auto"/>
            </w:tcBorders>
            <w:shd w:val="clear" w:color="auto" w:fill="auto"/>
            <w:noWrap/>
            <w:hideMark/>
          </w:tcPr>
          <w:p w14:paraId="056D7E5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137,59</w:t>
            </w:r>
          </w:p>
        </w:tc>
        <w:tc>
          <w:tcPr>
            <w:tcW w:w="850" w:type="dxa"/>
            <w:tcBorders>
              <w:top w:val="nil"/>
              <w:left w:val="nil"/>
              <w:bottom w:val="single" w:sz="4" w:space="0" w:color="auto"/>
              <w:right w:val="single" w:sz="4" w:space="0" w:color="auto"/>
            </w:tcBorders>
            <w:shd w:val="clear" w:color="auto" w:fill="auto"/>
            <w:noWrap/>
            <w:hideMark/>
          </w:tcPr>
          <w:p w14:paraId="54946F3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2.078.094</w:t>
            </w:r>
          </w:p>
        </w:tc>
        <w:tc>
          <w:tcPr>
            <w:tcW w:w="709" w:type="dxa"/>
            <w:tcBorders>
              <w:top w:val="nil"/>
              <w:left w:val="nil"/>
              <w:bottom w:val="single" w:sz="4" w:space="0" w:color="auto"/>
              <w:right w:val="single" w:sz="8" w:space="0" w:color="auto"/>
            </w:tcBorders>
            <w:shd w:val="clear" w:color="auto" w:fill="auto"/>
            <w:noWrap/>
            <w:hideMark/>
          </w:tcPr>
          <w:p w14:paraId="5D7BD09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230.899</w:t>
            </w:r>
          </w:p>
        </w:tc>
        <w:tc>
          <w:tcPr>
            <w:tcW w:w="851" w:type="dxa"/>
            <w:tcBorders>
              <w:top w:val="nil"/>
              <w:left w:val="single" w:sz="4" w:space="0" w:color="auto"/>
              <w:bottom w:val="single" w:sz="4" w:space="0" w:color="auto"/>
              <w:right w:val="single" w:sz="4" w:space="0" w:color="auto"/>
            </w:tcBorders>
            <w:shd w:val="clear" w:color="auto" w:fill="auto"/>
            <w:noWrap/>
            <w:hideMark/>
          </w:tcPr>
          <w:p w14:paraId="71FD5C55" w14:textId="12FD1F0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66.325</w:t>
            </w:r>
          </w:p>
        </w:tc>
      </w:tr>
      <w:tr w:rsidR="005C332D" w:rsidRPr="003F6E51" w14:paraId="0CE5EDC3"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6F1D52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w:t>
            </w:r>
          </w:p>
        </w:tc>
        <w:tc>
          <w:tcPr>
            <w:tcW w:w="2213" w:type="dxa"/>
            <w:tcBorders>
              <w:top w:val="nil"/>
              <w:left w:val="single" w:sz="8" w:space="0" w:color="auto"/>
              <w:bottom w:val="single" w:sz="4" w:space="0" w:color="auto"/>
              <w:right w:val="single" w:sz="8" w:space="0" w:color="auto"/>
            </w:tcBorders>
            <w:shd w:val="clear" w:color="auto" w:fill="auto"/>
            <w:noWrap/>
            <w:hideMark/>
          </w:tcPr>
          <w:p w14:paraId="368A591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NOVA VAROŠ</w:t>
            </w:r>
          </w:p>
        </w:tc>
        <w:tc>
          <w:tcPr>
            <w:tcW w:w="850" w:type="dxa"/>
            <w:tcBorders>
              <w:top w:val="nil"/>
              <w:left w:val="nil"/>
              <w:bottom w:val="single" w:sz="4" w:space="0" w:color="auto"/>
              <w:right w:val="single" w:sz="4" w:space="0" w:color="auto"/>
            </w:tcBorders>
            <w:shd w:val="clear" w:color="000000" w:fill="FFFFFF"/>
            <w:noWrap/>
            <w:hideMark/>
          </w:tcPr>
          <w:p w14:paraId="7489664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14054</w:t>
            </w:r>
          </w:p>
        </w:tc>
        <w:tc>
          <w:tcPr>
            <w:tcW w:w="709" w:type="dxa"/>
            <w:tcBorders>
              <w:top w:val="nil"/>
              <w:left w:val="nil"/>
              <w:bottom w:val="single" w:sz="4" w:space="0" w:color="auto"/>
              <w:right w:val="single" w:sz="8" w:space="0" w:color="auto"/>
            </w:tcBorders>
            <w:shd w:val="clear" w:color="000000" w:fill="FFFFFF"/>
            <w:noWrap/>
            <w:hideMark/>
          </w:tcPr>
          <w:p w14:paraId="5624B8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0,30</w:t>
            </w:r>
          </w:p>
        </w:tc>
        <w:tc>
          <w:tcPr>
            <w:tcW w:w="567" w:type="dxa"/>
            <w:tcBorders>
              <w:top w:val="nil"/>
              <w:left w:val="nil"/>
              <w:bottom w:val="single" w:sz="4" w:space="0" w:color="auto"/>
              <w:right w:val="single" w:sz="4" w:space="0" w:color="auto"/>
            </w:tcBorders>
            <w:shd w:val="clear" w:color="000000" w:fill="FFFFFF"/>
            <w:noWrap/>
            <w:hideMark/>
          </w:tcPr>
          <w:p w14:paraId="59CEE3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581</w:t>
            </w:r>
          </w:p>
        </w:tc>
        <w:tc>
          <w:tcPr>
            <w:tcW w:w="709" w:type="dxa"/>
            <w:tcBorders>
              <w:top w:val="nil"/>
              <w:left w:val="nil"/>
              <w:bottom w:val="single" w:sz="4" w:space="0" w:color="auto"/>
              <w:right w:val="single" w:sz="8" w:space="0" w:color="auto"/>
            </w:tcBorders>
            <w:shd w:val="clear" w:color="000000" w:fill="FFFFFF"/>
            <w:noWrap/>
            <w:hideMark/>
          </w:tcPr>
          <w:p w14:paraId="70FD66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w:t>
            </w:r>
          </w:p>
        </w:tc>
        <w:tc>
          <w:tcPr>
            <w:tcW w:w="850" w:type="dxa"/>
            <w:tcBorders>
              <w:top w:val="nil"/>
              <w:left w:val="nil"/>
              <w:bottom w:val="single" w:sz="4" w:space="0" w:color="auto"/>
              <w:right w:val="single" w:sz="4" w:space="0" w:color="auto"/>
            </w:tcBorders>
            <w:shd w:val="clear" w:color="000000" w:fill="FFFFFF"/>
            <w:noWrap/>
            <w:hideMark/>
          </w:tcPr>
          <w:p w14:paraId="445F9AF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2C9444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1E4E5C3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3F34C22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609755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89,85</w:t>
            </w:r>
          </w:p>
        </w:tc>
        <w:tc>
          <w:tcPr>
            <w:tcW w:w="851" w:type="dxa"/>
            <w:tcBorders>
              <w:top w:val="nil"/>
              <w:left w:val="nil"/>
              <w:bottom w:val="single" w:sz="4" w:space="0" w:color="auto"/>
              <w:right w:val="single" w:sz="4" w:space="0" w:color="auto"/>
            </w:tcBorders>
            <w:shd w:val="clear" w:color="auto" w:fill="auto"/>
            <w:noWrap/>
            <w:hideMark/>
          </w:tcPr>
          <w:p w14:paraId="13E83BC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0,0066</w:t>
            </w:r>
          </w:p>
        </w:tc>
        <w:tc>
          <w:tcPr>
            <w:tcW w:w="1134" w:type="dxa"/>
            <w:tcBorders>
              <w:top w:val="nil"/>
              <w:left w:val="nil"/>
              <w:bottom w:val="single" w:sz="4" w:space="0" w:color="auto"/>
              <w:right w:val="single" w:sz="4" w:space="0" w:color="auto"/>
            </w:tcBorders>
            <w:shd w:val="clear" w:color="000000" w:fill="C6E0B4"/>
            <w:noWrap/>
            <w:hideMark/>
          </w:tcPr>
          <w:p w14:paraId="4F4A876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1.792.298</w:t>
            </w:r>
          </w:p>
        </w:tc>
        <w:tc>
          <w:tcPr>
            <w:tcW w:w="992" w:type="dxa"/>
            <w:tcBorders>
              <w:top w:val="nil"/>
              <w:left w:val="nil"/>
              <w:bottom w:val="single" w:sz="4" w:space="0" w:color="auto"/>
              <w:right w:val="single" w:sz="4" w:space="0" w:color="auto"/>
            </w:tcBorders>
            <w:shd w:val="clear" w:color="auto" w:fill="auto"/>
            <w:noWrap/>
            <w:hideMark/>
          </w:tcPr>
          <w:p w14:paraId="79395E2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1.770.780</w:t>
            </w:r>
          </w:p>
        </w:tc>
        <w:tc>
          <w:tcPr>
            <w:tcW w:w="567" w:type="dxa"/>
            <w:tcBorders>
              <w:top w:val="nil"/>
              <w:left w:val="nil"/>
              <w:bottom w:val="single" w:sz="4" w:space="0" w:color="auto"/>
              <w:right w:val="single" w:sz="4" w:space="0" w:color="auto"/>
            </w:tcBorders>
            <w:shd w:val="clear" w:color="auto" w:fill="auto"/>
            <w:noWrap/>
            <w:hideMark/>
          </w:tcPr>
          <w:p w14:paraId="28DDA89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101,22</w:t>
            </w:r>
          </w:p>
        </w:tc>
        <w:tc>
          <w:tcPr>
            <w:tcW w:w="850" w:type="dxa"/>
            <w:tcBorders>
              <w:top w:val="nil"/>
              <w:left w:val="nil"/>
              <w:bottom w:val="single" w:sz="4" w:space="0" w:color="auto"/>
              <w:right w:val="single" w:sz="4" w:space="0" w:color="auto"/>
            </w:tcBorders>
            <w:shd w:val="clear" w:color="auto" w:fill="auto"/>
            <w:noWrap/>
            <w:hideMark/>
          </w:tcPr>
          <w:p w14:paraId="5A99084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1.613.068</w:t>
            </w:r>
          </w:p>
        </w:tc>
        <w:tc>
          <w:tcPr>
            <w:tcW w:w="709" w:type="dxa"/>
            <w:tcBorders>
              <w:top w:val="nil"/>
              <w:left w:val="nil"/>
              <w:bottom w:val="single" w:sz="4" w:space="0" w:color="auto"/>
              <w:right w:val="single" w:sz="8" w:space="0" w:color="auto"/>
            </w:tcBorders>
            <w:shd w:val="clear" w:color="auto" w:fill="auto"/>
            <w:noWrap/>
            <w:hideMark/>
          </w:tcPr>
          <w:p w14:paraId="3BDECBA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179.230</w:t>
            </w:r>
          </w:p>
        </w:tc>
        <w:tc>
          <w:tcPr>
            <w:tcW w:w="851" w:type="dxa"/>
            <w:tcBorders>
              <w:top w:val="nil"/>
              <w:left w:val="single" w:sz="4" w:space="0" w:color="auto"/>
              <w:bottom w:val="single" w:sz="4" w:space="0" w:color="auto"/>
              <w:right w:val="single" w:sz="4" w:space="0" w:color="auto"/>
            </w:tcBorders>
            <w:shd w:val="clear" w:color="auto" w:fill="auto"/>
            <w:noWrap/>
            <w:hideMark/>
          </w:tcPr>
          <w:p w14:paraId="6D37B349" w14:textId="61CDF84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114.776</w:t>
            </w:r>
          </w:p>
        </w:tc>
      </w:tr>
      <w:tr w:rsidR="005C332D" w:rsidRPr="003F6E51" w14:paraId="1DB7EC38"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BDEF71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49</w:t>
            </w:r>
          </w:p>
        </w:tc>
        <w:tc>
          <w:tcPr>
            <w:tcW w:w="2213" w:type="dxa"/>
            <w:tcBorders>
              <w:top w:val="nil"/>
              <w:left w:val="single" w:sz="8" w:space="0" w:color="auto"/>
              <w:bottom w:val="single" w:sz="4" w:space="0" w:color="auto"/>
              <w:right w:val="single" w:sz="8" w:space="0" w:color="auto"/>
            </w:tcBorders>
            <w:shd w:val="clear" w:color="auto" w:fill="auto"/>
            <w:noWrap/>
            <w:hideMark/>
          </w:tcPr>
          <w:p w14:paraId="63B99EA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OSEČINA</w:t>
            </w:r>
          </w:p>
        </w:tc>
        <w:tc>
          <w:tcPr>
            <w:tcW w:w="850" w:type="dxa"/>
            <w:tcBorders>
              <w:top w:val="nil"/>
              <w:left w:val="nil"/>
              <w:bottom w:val="single" w:sz="4" w:space="0" w:color="auto"/>
              <w:right w:val="single" w:sz="4" w:space="0" w:color="auto"/>
            </w:tcBorders>
            <w:shd w:val="clear" w:color="000000" w:fill="FFFFFF"/>
            <w:noWrap/>
            <w:hideMark/>
          </w:tcPr>
          <w:p w14:paraId="6308EF3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10717</w:t>
            </w:r>
          </w:p>
        </w:tc>
        <w:tc>
          <w:tcPr>
            <w:tcW w:w="709" w:type="dxa"/>
            <w:tcBorders>
              <w:top w:val="nil"/>
              <w:left w:val="nil"/>
              <w:bottom w:val="single" w:sz="4" w:space="0" w:color="auto"/>
              <w:right w:val="single" w:sz="8" w:space="0" w:color="auto"/>
            </w:tcBorders>
            <w:shd w:val="clear" w:color="000000" w:fill="FFFFFF"/>
            <w:noWrap/>
            <w:hideMark/>
          </w:tcPr>
          <w:p w14:paraId="68CF17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6BCB64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319</w:t>
            </w:r>
          </w:p>
        </w:tc>
        <w:tc>
          <w:tcPr>
            <w:tcW w:w="709" w:type="dxa"/>
            <w:tcBorders>
              <w:top w:val="nil"/>
              <w:left w:val="nil"/>
              <w:bottom w:val="single" w:sz="4" w:space="0" w:color="auto"/>
              <w:right w:val="single" w:sz="8" w:space="0" w:color="auto"/>
            </w:tcBorders>
            <w:shd w:val="clear" w:color="000000" w:fill="FFFFFF"/>
            <w:noWrap/>
            <w:hideMark/>
          </w:tcPr>
          <w:p w14:paraId="74E3B4C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0,60</w:t>
            </w:r>
          </w:p>
        </w:tc>
        <w:tc>
          <w:tcPr>
            <w:tcW w:w="850" w:type="dxa"/>
            <w:tcBorders>
              <w:top w:val="nil"/>
              <w:left w:val="nil"/>
              <w:bottom w:val="single" w:sz="4" w:space="0" w:color="auto"/>
              <w:right w:val="single" w:sz="4" w:space="0" w:color="auto"/>
            </w:tcBorders>
            <w:shd w:val="clear" w:color="000000" w:fill="FFFFFF"/>
            <w:noWrap/>
            <w:hideMark/>
          </w:tcPr>
          <w:p w14:paraId="5E9ABFC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1BD44B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502C6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568BAC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47709D1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63,18</w:t>
            </w:r>
          </w:p>
        </w:tc>
        <w:tc>
          <w:tcPr>
            <w:tcW w:w="851" w:type="dxa"/>
            <w:tcBorders>
              <w:top w:val="nil"/>
              <w:left w:val="nil"/>
              <w:bottom w:val="single" w:sz="4" w:space="0" w:color="auto"/>
              <w:right w:val="single" w:sz="4" w:space="0" w:color="auto"/>
            </w:tcBorders>
            <w:shd w:val="clear" w:color="auto" w:fill="auto"/>
            <w:noWrap/>
            <w:hideMark/>
          </w:tcPr>
          <w:p w14:paraId="46478825"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0,0047</w:t>
            </w:r>
          </w:p>
        </w:tc>
        <w:tc>
          <w:tcPr>
            <w:tcW w:w="1134" w:type="dxa"/>
            <w:tcBorders>
              <w:top w:val="nil"/>
              <w:left w:val="nil"/>
              <w:bottom w:val="single" w:sz="4" w:space="0" w:color="auto"/>
              <w:right w:val="single" w:sz="4" w:space="0" w:color="auto"/>
            </w:tcBorders>
            <w:shd w:val="clear" w:color="000000" w:fill="C6E0B4"/>
            <w:noWrap/>
            <w:hideMark/>
          </w:tcPr>
          <w:p w14:paraId="413ED8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1.260.374</w:t>
            </w:r>
          </w:p>
        </w:tc>
        <w:tc>
          <w:tcPr>
            <w:tcW w:w="992" w:type="dxa"/>
            <w:tcBorders>
              <w:top w:val="nil"/>
              <w:left w:val="nil"/>
              <w:bottom w:val="single" w:sz="4" w:space="0" w:color="auto"/>
              <w:right w:val="single" w:sz="4" w:space="0" w:color="auto"/>
            </w:tcBorders>
            <w:shd w:val="clear" w:color="auto" w:fill="auto"/>
            <w:noWrap/>
            <w:hideMark/>
          </w:tcPr>
          <w:p w14:paraId="2313A0C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372.714</w:t>
            </w:r>
          </w:p>
        </w:tc>
        <w:tc>
          <w:tcPr>
            <w:tcW w:w="567" w:type="dxa"/>
            <w:tcBorders>
              <w:top w:val="nil"/>
              <w:left w:val="nil"/>
              <w:bottom w:val="single" w:sz="4" w:space="0" w:color="auto"/>
              <w:right w:val="single" w:sz="4" w:space="0" w:color="auto"/>
            </w:tcBorders>
            <w:shd w:val="clear" w:color="auto" w:fill="auto"/>
            <w:noWrap/>
            <w:hideMark/>
          </w:tcPr>
          <w:p w14:paraId="430BFF7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338,16</w:t>
            </w:r>
          </w:p>
        </w:tc>
        <w:tc>
          <w:tcPr>
            <w:tcW w:w="850" w:type="dxa"/>
            <w:tcBorders>
              <w:top w:val="nil"/>
              <w:left w:val="nil"/>
              <w:bottom w:val="single" w:sz="4" w:space="0" w:color="auto"/>
              <w:right w:val="single" w:sz="4" w:space="0" w:color="auto"/>
            </w:tcBorders>
            <w:shd w:val="clear" w:color="auto" w:fill="auto"/>
            <w:noWrap/>
            <w:hideMark/>
          </w:tcPr>
          <w:p w14:paraId="3E540D7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1.134.336</w:t>
            </w:r>
          </w:p>
        </w:tc>
        <w:tc>
          <w:tcPr>
            <w:tcW w:w="709" w:type="dxa"/>
            <w:tcBorders>
              <w:top w:val="nil"/>
              <w:left w:val="nil"/>
              <w:bottom w:val="single" w:sz="4" w:space="0" w:color="auto"/>
              <w:right w:val="single" w:sz="8" w:space="0" w:color="auto"/>
            </w:tcBorders>
            <w:shd w:val="clear" w:color="auto" w:fill="auto"/>
            <w:noWrap/>
            <w:hideMark/>
          </w:tcPr>
          <w:p w14:paraId="399444A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126.037</w:t>
            </w:r>
          </w:p>
        </w:tc>
        <w:tc>
          <w:tcPr>
            <w:tcW w:w="851" w:type="dxa"/>
            <w:tcBorders>
              <w:top w:val="nil"/>
              <w:left w:val="single" w:sz="4" w:space="0" w:color="auto"/>
              <w:bottom w:val="single" w:sz="4" w:space="0" w:color="auto"/>
              <w:right w:val="single" w:sz="4" w:space="0" w:color="auto"/>
            </w:tcBorders>
            <w:shd w:val="clear" w:color="auto" w:fill="auto"/>
            <w:noWrap/>
            <w:hideMark/>
          </w:tcPr>
          <w:p w14:paraId="081B632A" w14:textId="4155F9F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105.845</w:t>
            </w:r>
          </w:p>
        </w:tc>
      </w:tr>
      <w:tr w:rsidR="005C332D" w:rsidRPr="003F6E51" w14:paraId="332D31E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3EDEF6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50</w:t>
            </w:r>
          </w:p>
        </w:tc>
        <w:tc>
          <w:tcPr>
            <w:tcW w:w="2213" w:type="dxa"/>
            <w:tcBorders>
              <w:top w:val="nil"/>
              <w:left w:val="single" w:sz="8" w:space="0" w:color="auto"/>
              <w:bottom w:val="single" w:sz="4" w:space="0" w:color="auto"/>
              <w:right w:val="single" w:sz="8" w:space="0" w:color="auto"/>
            </w:tcBorders>
            <w:shd w:val="clear" w:color="auto" w:fill="auto"/>
            <w:noWrap/>
            <w:hideMark/>
          </w:tcPr>
          <w:p w14:paraId="4A05C15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PARAĆIN</w:t>
            </w:r>
          </w:p>
        </w:tc>
        <w:tc>
          <w:tcPr>
            <w:tcW w:w="850" w:type="dxa"/>
            <w:tcBorders>
              <w:top w:val="nil"/>
              <w:left w:val="nil"/>
              <w:bottom w:val="single" w:sz="4" w:space="0" w:color="auto"/>
              <w:right w:val="single" w:sz="4" w:space="0" w:color="auto"/>
            </w:tcBorders>
            <w:shd w:val="clear" w:color="000000" w:fill="FFFFFF"/>
            <w:noWrap/>
            <w:hideMark/>
          </w:tcPr>
          <w:p w14:paraId="59D81E8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49596</w:t>
            </w:r>
          </w:p>
        </w:tc>
        <w:tc>
          <w:tcPr>
            <w:tcW w:w="709" w:type="dxa"/>
            <w:tcBorders>
              <w:top w:val="nil"/>
              <w:left w:val="nil"/>
              <w:bottom w:val="single" w:sz="4" w:space="0" w:color="auto"/>
              <w:right w:val="single" w:sz="8" w:space="0" w:color="auto"/>
            </w:tcBorders>
            <w:shd w:val="clear" w:color="000000" w:fill="FFFFFF"/>
            <w:noWrap/>
            <w:hideMark/>
          </w:tcPr>
          <w:p w14:paraId="5317B95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567" w:type="dxa"/>
            <w:tcBorders>
              <w:top w:val="nil"/>
              <w:left w:val="nil"/>
              <w:bottom w:val="single" w:sz="4" w:space="0" w:color="auto"/>
              <w:right w:val="single" w:sz="4" w:space="0" w:color="auto"/>
            </w:tcBorders>
            <w:shd w:val="clear" w:color="000000" w:fill="FFFFFF"/>
            <w:noWrap/>
            <w:hideMark/>
          </w:tcPr>
          <w:p w14:paraId="502D52E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542</w:t>
            </w:r>
          </w:p>
        </w:tc>
        <w:tc>
          <w:tcPr>
            <w:tcW w:w="709" w:type="dxa"/>
            <w:tcBorders>
              <w:top w:val="nil"/>
              <w:left w:val="nil"/>
              <w:bottom w:val="single" w:sz="4" w:space="0" w:color="auto"/>
              <w:right w:val="single" w:sz="8" w:space="0" w:color="auto"/>
            </w:tcBorders>
            <w:shd w:val="clear" w:color="000000" w:fill="FFFFFF"/>
            <w:noWrap/>
            <w:hideMark/>
          </w:tcPr>
          <w:p w14:paraId="75D373F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1,01</w:t>
            </w:r>
          </w:p>
        </w:tc>
        <w:tc>
          <w:tcPr>
            <w:tcW w:w="850" w:type="dxa"/>
            <w:tcBorders>
              <w:top w:val="nil"/>
              <w:left w:val="nil"/>
              <w:bottom w:val="single" w:sz="4" w:space="0" w:color="auto"/>
              <w:right w:val="single" w:sz="4" w:space="0" w:color="auto"/>
            </w:tcBorders>
            <w:shd w:val="clear" w:color="000000" w:fill="FFFFFF"/>
            <w:noWrap/>
            <w:hideMark/>
          </w:tcPr>
          <w:p w14:paraId="4C15909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258EF6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8E560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72C5CB0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290BC46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103,58</w:t>
            </w:r>
          </w:p>
        </w:tc>
        <w:tc>
          <w:tcPr>
            <w:tcW w:w="851" w:type="dxa"/>
            <w:tcBorders>
              <w:top w:val="nil"/>
              <w:left w:val="nil"/>
              <w:bottom w:val="single" w:sz="4" w:space="0" w:color="auto"/>
              <w:right w:val="single" w:sz="4" w:space="0" w:color="auto"/>
            </w:tcBorders>
            <w:shd w:val="clear" w:color="auto" w:fill="auto"/>
            <w:noWrap/>
            <w:hideMark/>
          </w:tcPr>
          <w:p w14:paraId="437BA2D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0,0076</w:t>
            </w:r>
          </w:p>
        </w:tc>
        <w:tc>
          <w:tcPr>
            <w:tcW w:w="1134" w:type="dxa"/>
            <w:tcBorders>
              <w:top w:val="nil"/>
              <w:left w:val="nil"/>
              <w:bottom w:val="single" w:sz="4" w:space="0" w:color="auto"/>
              <w:right w:val="single" w:sz="4" w:space="0" w:color="auto"/>
            </w:tcBorders>
            <w:shd w:val="clear" w:color="000000" w:fill="C6E0B4"/>
            <w:noWrap/>
            <w:hideMark/>
          </w:tcPr>
          <w:p w14:paraId="792263F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2.066.263</w:t>
            </w:r>
          </w:p>
        </w:tc>
        <w:tc>
          <w:tcPr>
            <w:tcW w:w="992" w:type="dxa"/>
            <w:tcBorders>
              <w:top w:val="nil"/>
              <w:left w:val="nil"/>
              <w:bottom w:val="single" w:sz="4" w:space="0" w:color="auto"/>
              <w:right w:val="single" w:sz="4" w:space="0" w:color="auto"/>
            </w:tcBorders>
            <w:shd w:val="clear" w:color="auto" w:fill="auto"/>
            <w:noWrap/>
            <w:hideMark/>
          </w:tcPr>
          <w:p w14:paraId="37613F5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2.655.985</w:t>
            </w:r>
          </w:p>
        </w:tc>
        <w:tc>
          <w:tcPr>
            <w:tcW w:w="567" w:type="dxa"/>
            <w:tcBorders>
              <w:top w:val="nil"/>
              <w:left w:val="nil"/>
              <w:bottom w:val="single" w:sz="4" w:space="0" w:color="auto"/>
              <w:right w:val="single" w:sz="4" w:space="0" w:color="auto"/>
            </w:tcBorders>
            <w:shd w:val="clear" w:color="auto" w:fill="auto"/>
            <w:noWrap/>
            <w:hideMark/>
          </w:tcPr>
          <w:p w14:paraId="28C6B86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77,80</w:t>
            </w:r>
          </w:p>
        </w:tc>
        <w:tc>
          <w:tcPr>
            <w:tcW w:w="850" w:type="dxa"/>
            <w:tcBorders>
              <w:top w:val="nil"/>
              <w:left w:val="nil"/>
              <w:bottom w:val="single" w:sz="4" w:space="0" w:color="auto"/>
              <w:right w:val="single" w:sz="4" w:space="0" w:color="auto"/>
            </w:tcBorders>
            <w:shd w:val="clear" w:color="auto" w:fill="auto"/>
            <w:noWrap/>
            <w:hideMark/>
          </w:tcPr>
          <w:p w14:paraId="6A9D272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1.859.636</w:t>
            </w:r>
          </w:p>
        </w:tc>
        <w:tc>
          <w:tcPr>
            <w:tcW w:w="709" w:type="dxa"/>
            <w:tcBorders>
              <w:top w:val="nil"/>
              <w:left w:val="nil"/>
              <w:bottom w:val="single" w:sz="4" w:space="0" w:color="auto"/>
              <w:right w:val="single" w:sz="8" w:space="0" w:color="auto"/>
            </w:tcBorders>
            <w:shd w:val="clear" w:color="auto" w:fill="auto"/>
            <w:noWrap/>
            <w:hideMark/>
          </w:tcPr>
          <w:p w14:paraId="29F4C86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206.626</w:t>
            </w:r>
          </w:p>
        </w:tc>
        <w:tc>
          <w:tcPr>
            <w:tcW w:w="851" w:type="dxa"/>
            <w:tcBorders>
              <w:top w:val="nil"/>
              <w:left w:val="single" w:sz="4" w:space="0" w:color="auto"/>
              <w:bottom w:val="single" w:sz="4" w:space="0" w:color="auto"/>
              <w:right w:val="single" w:sz="4" w:space="0" w:color="auto"/>
            </w:tcBorders>
            <w:shd w:val="clear" w:color="auto" w:fill="auto"/>
            <w:noWrap/>
            <w:hideMark/>
          </w:tcPr>
          <w:p w14:paraId="2EBA110F" w14:textId="1A6325C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37.496</w:t>
            </w:r>
          </w:p>
        </w:tc>
      </w:tr>
      <w:tr w:rsidR="005C332D" w:rsidRPr="003F6E51" w14:paraId="697706F1"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7E079B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51</w:t>
            </w:r>
          </w:p>
        </w:tc>
        <w:tc>
          <w:tcPr>
            <w:tcW w:w="2213" w:type="dxa"/>
            <w:tcBorders>
              <w:top w:val="nil"/>
              <w:left w:val="single" w:sz="8" w:space="0" w:color="auto"/>
              <w:bottom w:val="single" w:sz="4" w:space="0" w:color="auto"/>
              <w:right w:val="single" w:sz="8" w:space="0" w:color="auto"/>
            </w:tcBorders>
            <w:shd w:val="clear" w:color="auto" w:fill="auto"/>
            <w:noWrap/>
            <w:hideMark/>
          </w:tcPr>
          <w:p w14:paraId="29AADCB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PETROVAC</w:t>
            </w:r>
          </w:p>
        </w:tc>
        <w:tc>
          <w:tcPr>
            <w:tcW w:w="850" w:type="dxa"/>
            <w:tcBorders>
              <w:top w:val="nil"/>
              <w:left w:val="nil"/>
              <w:bottom w:val="single" w:sz="4" w:space="0" w:color="auto"/>
              <w:right w:val="single" w:sz="4" w:space="0" w:color="auto"/>
            </w:tcBorders>
            <w:shd w:val="clear" w:color="000000" w:fill="FFFFFF"/>
            <w:noWrap/>
            <w:hideMark/>
          </w:tcPr>
          <w:p w14:paraId="1AE233E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27292</w:t>
            </w:r>
          </w:p>
        </w:tc>
        <w:tc>
          <w:tcPr>
            <w:tcW w:w="709" w:type="dxa"/>
            <w:tcBorders>
              <w:top w:val="nil"/>
              <w:left w:val="nil"/>
              <w:bottom w:val="single" w:sz="4" w:space="0" w:color="auto"/>
              <w:right w:val="single" w:sz="8" w:space="0" w:color="auto"/>
            </w:tcBorders>
            <w:shd w:val="clear" w:color="000000" w:fill="FFFFFF"/>
            <w:noWrap/>
            <w:hideMark/>
          </w:tcPr>
          <w:p w14:paraId="72EDA2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567" w:type="dxa"/>
            <w:tcBorders>
              <w:top w:val="nil"/>
              <w:left w:val="nil"/>
              <w:bottom w:val="single" w:sz="4" w:space="0" w:color="auto"/>
              <w:right w:val="single" w:sz="4" w:space="0" w:color="auto"/>
            </w:tcBorders>
            <w:shd w:val="clear" w:color="000000" w:fill="FFFFFF"/>
            <w:noWrap/>
            <w:hideMark/>
          </w:tcPr>
          <w:p w14:paraId="218948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655</w:t>
            </w:r>
          </w:p>
        </w:tc>
        <w:tc>
          <w:tcPr>
            <w:tcW w:w="709" w:type="dxa"/>
            <w:tcBorders>
              <w:top w:val="nil"/>
              <w:left w:val="nil"/>
              <w:bottom w:val="single" w:sz="4" w:space="0" w:color="auto"/>
              <w:right w:val="single" w:sz="8" w:space="0" w:color="auto"/>
            </w:tcBorders>
            <w:shd w:val="clear" w:color="000000" w:fill="FFFFFF"/>
            <w:noWrap/>
            <w:hideMark/>
          </w:tcPr>
          <w:p w14:paraId="2AC0DB7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1,22</w:t>
            </w:r>
          </w:p>
        </w:tc>
        <w:tc>
          <w:tcPr>
            <w:tcW w:w="850" w:type="dxa"/>
            <w:tcBorders>
              <w:top w:val="nil"/>
              <w:left w:val="nil"/>
              <w:bottom w:val="single" w:sz="4" w:space="0" w:color="auto"/>
              <w:right w:val="single" w:sz="4" w:space="0" w:color="auto"/>
            </w:tcBorders>
            <w:shd w:val="clear" w:color="000000" w:fill="FFFFFF"/>
            <w:noWrap/>
            <w:hideMark/>
          </w:tcPr>
          <w:p w14:paraId="43B00C6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53D83F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2A1A558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F4ECB8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CE273C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103,73</w:t>
            </w:r>
          </w:p>
        </w:tc>
        <w:tc>
          <w:tcPr>
            <w:tcW w:w="851" w:type="dxa"/>
            <w:tcBorders>
              <w:top w:val="nil"/>
              <w:left w:val="nil"/>
              <w:bottom w:val="single" w:sz="4" w:space="0" w:color="auto"/>
              <w:right w:val="single" w:sz="4" w:space="0" w:color="auto"/>
            </w:tcBorders>
            <w:shd w:val="clear" w:color="auto" w:fill="auto"/>
            <w:noWrap/>
            <w:hideMark/>
          </w:tcPr>
          <w:p w14:paraId="367F5CB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0,0076</w:t>
            </w:r>
          </w:p>
        </w:tc>
        <w:tc>
          <w:tcPr>
            <w:tcW w:w="1134" w:type="dxa"/>
            <w:tcBorders>
              <w:top w:val="nil"/>
              <w:left w:val="nil"/>
              <w:bottom w:val="single" w:sz="4" w:space="0" w:color="auto"/>
              <w:right w:val="single" w:sz="4" w:space="0" w:color="auto"/>
            </w:tcBorders>
            <w:shd w:val="clear" w:color="000000" w:fill="C6E0B4"/>
            <w:noWrap/>
            <w:hideMark/>
          </w:tcPr>
          <w:p w14:paraId="4F141199"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2.069.290</w:t>
            </w:r>
          </w:p>
        </w:tc>
        <w:tc>
          <w:tcPr>
            <w:tcW w:w="992" w:type="dxa"/>
            <w:tcBorders>
              <w:top w:val="nil"/>
              <w:left w:val="nil"/>
              <w:bottom w:val="single" w:sz="4" w:space="0" w:color="auto"/>
              <w:right w:val="single" w:sz="4" w:space="0" w:color="auto"/>
            </w:tcBorders>
            <w:shd w:val="clear" w:color="auto" w:fill="auto"/>
            <w:noWrap/>
            <w:hideMark/>
          </w:tcPr>
          <w:p w14:paraId="4FF3FAD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1.510.825</w:t>
            </w:r>
          </w:p>
        </w:tc>
        <w:tc>
          <w:tcPr>
            <w:tcW w:w="567" w:type="dxa"/>
            <w:tcBorders>
              <w:top w:val="nil"/>
              <w:left w:val="nil"/>
              <w:bottom w:val="single" w:sz="4" w:space="0" w:color="auto"/>
              <w:right w:val="single" w:sz="4" w:space="0" w:color="auto"/>
            </w:tcBorders>
            <w:shd w:val="clear" w:color="auto" w:fill="auto"/>
            <w:noWrap/>
            <w:hideMark/>
          </w:tcPr>
          <w:p w14:paraId="5DEBD9C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136,96</w:t>
            </w:r>
          </w:p>
        </w:tc>
        <w:tc>
          <w:tcPr>
            <w:tcW w:w="850" w:type="dxa"/>
            <w:tcBorders>
              <w:top w:val="nil"/>
              <w:left w:val="nil"/>
              <w:bottom w:val="single" w:sz="4" w:space="0" w:color="auto"/>
              <w:right w:val="single" w:sz="4" w:space="0" w:color="auto"/>
            </w:tcBorders>
            <w:shd w:val="clear" w:color="auto" w:fill="auto"/>
            <w:noWrap/>
            <w:hideMark/>
          </w:tcPr>
          <w:p w14:paraId="3C0EC44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1.862.361</w:t>
            </w:r>
          </w:p>
        </w:tc>
        <w:tc>
          <w:tcPr>
            <w:tcW w:w="709" w:type="dxa"/>
            <w:tcBorders>
              <w:top w:val="nil"/>
              <w:left w:val="nil"/>
              <w:bottom w:val="single" w:sz="4" w:space="0" w:color="auto"/>
              <w:right w:val="single" w:sz="8" w:space="0" w:color="auto"/>
            </w:tcBorders>
            <w:shd w:val="clear" w:color="auto" w:fill="auto"/>
            <w:noWrap/>
            <w:hideMark/>
          </w:tcPr>
          <w:p w14:paraId="1D8C532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206.929</w:t>
            </w:r>
          </w:p>
        </w:tc>
        <w:tc>
          <w:tcPr>
            <w:tcW w:w="851" w:type="dxa"/>
            <w:tcBorders>
              <w:top w:val="nil"/>
              <w:left w:val="single" w:sz="4" w:space="0" w:color="auto"/>
              <w:bottom w:val="single" w:sz="4" w:space="0" w:color="auto"/>
              <w:right w:val="single" w:sz="4" w:space="0" w:color="auto"/>
            </w:tcBorders>
            <w:shd w:val="clear" w:color="auto" w:fill="auto"/>
            <w:noWrap/>
            <w:hideMark/>
          </w:tcPr>
          <w:p w14:paraId="2B5EA89B" w14:textId="68AC8A0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68.238</w:t>
            </w:r>
          </w:p>
        </w:tc>
      </w:tr>
      <w:tr w:rsidR="005C332D" w:rsidRPr="003F6E51" w14:paraId="27C4C8F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652341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w:t>
            </w:r>
          </w:p>
        </w:tc>
        <w:tc>
          <w:tcPr>
            <w:tcW w:w="2213" w:type="dxa"/>
            <w:tcBorders>
              <w:top w:val="nil"/>
              <w:left w:val="single" w:sz="8" w:space="0" w:color="auto"/>
              <w:bottom w:val="single" w:sz="4" w:space="0" w:color="auto"/>
              <w:right w:val="single" w:sz="8" w:space="0" w:color="auto"/>
            </w:tcBorders>
            <w:shd w:val="clear" w:color="auto" w:fill="auto"/>
            <w:noWrap/>
            <w:hideMark/>
          </w:tcPr>
          <w:p w14:paraId="6AA4A5A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POŽEGA</w:t>
            </w:r>
          </w:p>
        </w:tc>
        <w:tc>
          <w:tcPr>
            <w:tcW w:w="850" w:type="dxa"/>
            <w:tcBorders>
              <w:top w:val="nil"/>
              <w:left w:val="nil"/>
              <w:bottom w:val="single" w:sz="4" w:space="0" w:color="auto"/>
              <w:right w:val="single" w:sz="4" w:space="0" w:color="auto"/>
            </w:tcBorders>
            <w:shd w:val="clear" w:color="000000" w:fill="FFFFFF"/>
            <w:noWrap/>
            <w:hideMark/>
          </w:tcPr>
          <w:p w14:paraId="4973CE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26954</w:t>
            </w:r>
          </w:p>
        </w:tc>
        <w:tc>
          <w:tcPr>
            <w:tcW w:w="709" w:type="dxa"/>
            <w:tcBorders>
              <w:top w:val="nil"/>
              <w:left w:val="nil"/>
              <w:bottom w:val="single" w:sz="4" w:space="0" w:color="auto"/>
              <w:right w:val="single" w:sz="8" w:space="0" w:color="auto"/>
            </w:tcBorders>
            <w:shd w:val="clear" w:color="000000" w:fill="FFFFFF"/>
            <w:noWrap/>
            <w:hideMark/>
          </w:tcPr>
          <w:p w14:paraId="7AD77E4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567" w:type="dxa"/>
            <w:tcBorders>
              <w:top w:val="nil"/>
              <w:left w:val="nil"/>
              <w:bottom w:val="single" w:sz="4" w:space="0" w:color="auto"/>
              <w:right w:val="single" w:sz="4" w:space="0" w:color="auto"/>
            </w:tcBorders>
            <w:shd w:val="clear" w:color="000000" w:fill="FFFFFF"/>
            <w:noWrap/>
            <w:hideMark/>
          </w:tcPr>
          <w:p w14:paraId="3814F5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426</w:t>
            </w:r>
          </w:p>
        </w:tc>
        <w:tc>
          <w:tcPr>
            <w:tcW w:w="709" w:type="dxa"/>
            <w:tcBorders>
              <w:top w:val="nil"/>
              <w:left w:val="nil"/>
              <w:bottom w:val="single" w:sz="4" w:space="0" w:color="auto"/>
              <w:right w:val="single" w:sz="8" w:space="0" w:color="auto"/>
            </w:tcBorders>
            <w:shd w:val="clear" w:color="000000" w:fill="FFFFFF"/>
            <w:noWrap/>
            <w:hideMark/>
          </w:tcPr>
          <w:p w14:paraId="17213C5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0,80</w:t>
            </w:r>
          </w:p>
        </w:tc>
        <w:tc>
          <w:tcPr>
            <w:tcW w:w="850" w:type="dxa"/>
            <w:tcBorders>
              <w:top w:val="nil"/>
              <w:left w:val="nil"/>
              <w:bottom w:val="single" w:sz="4" w:space="0" w:color="auto"/>
              <w:right w:val="single" w:sz="4" w:space="0" w:color="auto"/>
            </w:tcBorders>
            <w:shd w:val="clear" w:color="000000" w:fill="FFFFFF"/>
            <w:noWrap/>
            <w:hideMark/>
          </w:tcPr>
          <w:p w14:paraId="7113ED2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247DE9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0D70E8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3FA63AE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72F5E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68,15</w:t>
            </w:r>
          </w:p>
        </w:tc>
        <w:tc>
          <w:tcPr>
            <w:tcW w:w="851" w:type="dxa"/>
            <w:tcBorders>
              <w:top w:val="nil"/>
              <w:left w:val="nil"/>
              <w:bottom w:val="single" w:sz="4" w:space="0" w:color="auto"/>
              <w:right w:val="single" w:sz="4" w:space="0" w:color="auto"/>
            </w:tcBorders>
            <w:shd w:val="clear" w:color="auto" w:fill="auto"/>
            <w:noWrap/>
            <w:hideMark/>
          </w:tcPr>
          <w:p w14:paraId="1F56B95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0,0050</w:t>
            </w:r>
          </w:p>
        </w:tc>
        <w:tc>
          <w:tcPr>
            <w:tcW w:w="1134" w:type="dxa"/>
            <w:tcBorders>
              <w:top w:val="nil"/>
              <w:left w:val="nil"/>
              <w:bottom w:val="single" w:sz="4" w:space="0" w:color="auto"/>
              <w:right w:val="single" w:sz="4" w:space="0" w:color="auto"/>
            </w:tcBorders>
            <w:shd w:val="clear" w:color="000000" w:fill="C6E0B4"/>
            <w:noWrap/>
            <w:hideMark/>
          </w:tcPr>
          <w:p w14:paraId="5D11513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1.359.592</w:t>
            </w:r>
          </w:p>
        </w:tc>
        <w:tc>
          <w:tcPr>
            <w:tcW w:w="992" w:type="dxa"/>
            <w:tcBorders>
              <w:top w:val="nil"/>
              <w:left w:val="nil"/>
              <w:bottom w:val="single" w:sz="4" w:space="0" w:color="auto"/>
              <w:right w:val="single" w:sz="4" w:space="0" w:color="auto"/>
            </w:tcBorders>
            <w:shd w:val="clear" w:color="auto" w:fill="auto"/>
            <w:noWrap/>
            <w:hideMark/>
          </w:tcPr>
          <w:p w14:paraId="7C667D0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946.324</w:t>
            </w:r>
          </w:p>
        </w:tc>
        <w:tc>
          <w:tcPr>
            <w:tcW w:w="567" w:type="dxa"/>
            <w:tcBorders>
              <w:top w:val="nil"/>
              <w:left w:val="nil"/>
              <w:bottom w:val="single" w:sz="4" w:space="0" w:color="auto"/>
              <w:right w:val="single" w:sz="4" w:space="0" w:color="auto"/>
            </w:tcBorders>
            <w:shd w:val="clear" w:color="auto" w:fill="auto"/>
            <w:noWrap/>
            <w:hideMark/>
          </w:tcPr>
          <w:p w14:paraId="02D8718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143,67</w:t>
            </w:r>
          </w:p>
        </w:tc>
        <w:tc>
          <w:tcPr>
            <w:tcW w:w="850" w:type="dxa"/>
            <w:tcBorders>
              <w:top w:val="nil"/>
              <w:left w:val="nil"/>
              <w:bottom w:val="single" w:sz="4" w:space="0" w:color="auto"/>
              <w:right w:val="single" w:sz="4" w:space="0" w:color="auto"/>
            </w:tcBorders>
            <w:shd w:val="clear" w:color="auto" w:fill="auto"/>
            <w:noWrap/>
            <w:hideMark/>
          </w:tcPr>
          <w:p w14:paraId="44873F9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1.223.633</w:t>
            </w:r>
          </w:p>
        </w:tc>
        <w:tc>
          <w:tcPr>
            <w:tcW w:w="709" w:type="dxa"/>
            <w:tcBorders>
              <w:top w:val="nil"/>
              <w:left w:val="nil"/>
              <w:bottom w:val="single" w:sz="4" w:space="0" w:color="auto"/>
              <w:right w:val="single" w:sz="8" w:space="0" w:color="auto"/>
            </w:tcBorders>
            <w:shd w:val="clear" w:color="auto" w:fill="auto"/>
            <w:noWrap/>
            <w:hideMark/>
          </w:tcPr>
          <w:p w14:paraId="139FB35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135.959</w:t>
            </w:r>
          </w:p>
        </w:tc>
        <w:tc>
          <w:tcPr>
            <w:tcW w:w="851" w:type="dxa"/>
            <w:tcBorders>
              <w:top w:val="nil"/>
              <w:left w:val="single" w:sz="4" w:space="0" w:color="auto"/>
              <w:bottom w:val="single" w:sz="4" w:space="0" w:color="auto"/>
              <w:right w:val="single" w:sz="4" w:space="0" w:color="auto"/>
            </w:tcBorders>
            <w:shd w:val="clear" w:color="auto" w:fill="auto"/>
            <w:noWrap/>
            <w:hideMark/>
          </w:tcPr>
          <w:p w14:paraId="70AFEA84" w14:textId="3E38D0E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45.397</w:t>
            </w:r>
          </w:p>
        </w:tc>
      </w:tr>
      <w:tr w:rsidR="005C332D" w:rsidRPr="003F6E51" w14:paraId="13170B4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35E345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53</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100B0FE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PREŠEVO</w:t>
            </w:r>
          </w:p>
        </w:tc>
        <w:tc>
          <w:tcPr>
            <w:tcW w:w="850" w:type="dxa"/>
            <w:tcBorders>
              <w:top w:val="nil"/>
              <w:left w:val="nil"/>
              <w:bottom w:val="single" w:sz="4" w:space="0" w:color="auto"/>
              <w:right w:val="single" w:sz="4" w:space="0" w:color="auto"/>
            </w:tcBorders>
            <w:shd w:val="clear" w:color="000000" w:fill="FFFFFF"/>
            <w:noWrap/>
            <w:hideMark/>
          </w:tcPr>
          <w:p w14:paraId="136DD50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30172</w:t>
            </w:r>
          </w:p>
        </w:tc>
        <w:tc>
          <w:tcPr>
            <w:tcW w:w="709" w:type="dxa"/>
            <w:tcBorders>
              <w:top w:val="nil"/>
              <w:left w:val="nil"/>
              <w:bottom w:val="single" w:sz="4" w:space="0" w:color="auto"/>
              <w:right w:val="single" w:sz="8" w:space="0" w:color="auto"/>
            </w:tcBorders>
            <w:shd w:val="clear" w:color="000000" w:fill="FFFFFF"/>
            <w:noWrap/>
            <w:hideMark/>
          </w:tcPr>
          <w:p w14:paraId="77924BA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0,63</w:t>
            </w:r>
          </w:p>
        </w:tc>
        <w:tc>
          <w:tcPr>
            <w:tcW w:w="567" w:type="dxa"/>
            <w:tcBorders>
              <w:top w:val="nil"/>
              <w:left w:val="nil"/>
              <w:bottom w:val="single" w:sz="4" w:space="0" w:color="auto"/>
              <w:right w:val="single" w:sz="4" w:space="0" w:color="auto"/>
            </w:tcBorders>
            <w:shd w:val="clear" w:color="000000" w:fill="FFFFFF"/>
            <w:noWrap/>
            <w:hideMark/>
          </w:tcPr>
          <w:p w14:paraId="426D24E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264</w:t>
            </w:r>
          </w:p>
        </w:tc>
        <w:tc>
          <w:tcPr>
            <w:tcW w:w="709" w:type="dxa"/>
            <w:tcBorders>
              <w:top w:val="nil"/>
              <w:left w:val="nil"/>
              <w:bottom w:val="single" w:sz="4" w:space="0" w:color="auto"/>
              <w:right w:val="single" w:sz="8" w:space="0" w:color="auto"/>
            </w:tcBorders>
            <w:shd w:val="clear" w:color="000000" w:fill="FFFFFF"/>
            <w:noWrap/>
            <w:hideMark/>
          </w:tcPr>
          <w:p w14:paraId="702D86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850" w:type="dxa"/>
            <w:tcBorders>
              <w:top w:val="nil"/>
              <w:left w:val="nil"/>
              <w:bottom w:val="single" w:sz="4" w:space="0" w:color="auto"/>
              <w:right w:val="single" w:sz="4" w:space="0" w:color="auto"/>
            </w:tcBorders>
            <w:shd w:val="clear" w:color="000000" w:fill="FFFFFF"/>
            <w:noWrap/>
            <w:hideMark/>
          </w:tcPr>
          <w:p w14:paraId="1D93EBF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4ECF61A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04E1389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4F4540F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2EDB09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99,21</w:t>
            </w:r>
          </w:p>
        </w:tc>
        <w:tc>
          <w:tcPr>
            <w:tcW w:w="851" w:type="dxa"/>
            <w:tcBorders>
              <w:top w:val="nil"/>
              <w:left w:val="nil"/>
              <w:bottom w:val="single" w:sz="4" w:space="0" w:color="auto"/>
              <w:right w:val="single" w:sz="4" w:space="0" w:color="auto"/>
            </w:tcBorders>
            <w:shd w:val="clear" w:color="auto" w:fill="auto"/>
            <w:noWrap/>
            <w:hideMark/>
          </w:tcPr>
          <w:p w14:paraId="241A43B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0,0073</w:t>
            </w:r>
          </w:p>
        </w:tc>
        <w:tc>
          <w:tcPr>
            <w:tcW w:w="1134" w:type="dxa"/>
            <w:tcBorders>
              <w:top w:val="nil"/>
              <w:left w:val="nil"/>
              <w:bottom w:val="single" w:sz="4" w:space="0" w:color="auto"/>
              <w:right w:val="single" w:sz="4" w:space="0" w:color="auto"/>
            </w:tcBorders>
            <w:shd w:val="clear" w:color="000000" w:fill="C6E0B4"/>
            <w:noWrap/>
            <w:hideMark/>
          </w:tcPr>
          <w:p w14:paraId="1EA3938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1.979.024</w:t>
            </w:r>
          </w:p>
        </w:tc>
        <w:tc>
          <w:tcPr>
            <w:tcW w:w="992" w:type="dxa"/>
            <w:tcBorders>
              <w:top w:val="nil"/>
              <w:left w:val="nil"/>
              <w:bottom w:val="single" w:sz="4" w:space="0" w:color="auto"/>
              <w:right w:val="single" w:sz="4" w:space="0" w:color="auto"/>
            </w:tcBorders>
            <w:shd w:val="clear" w:color="auto" w:fill="auto"/>
            <w:noWrap/>
            <w:hideMark/>
          </w:tcPr>
          <w:p w14:paraId="04604F2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1.889.829</w:t>
            </w:r>
          </w:p>
        </w:tc>
        <w:tc>
          <w:tcPr>
            <w:tcW w:w="567" w:type="dxa"/>
            <w:tcBorders>
              <w:top w:val="nil"/>
              <w:left w:val="nil"/>
              <w:bottom w:val="single" w:sz="4" w:space="0" w:color="auto"/>
              <w:right w:val="single" w:sz="4" w:space="0" w:color="auto"/>
            </w:tcBorders>
            <w:shd w:val="clear" w:color="auto" w:fill="auto"/>
            <w:noWrap/>
            <w:hideMark/>
          </w:tcPr>
          <w:p w14:paraId="7DCA721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104,72</w:t>
            </w:r>
          </w:p>
        </w:tc>
        <w:tc>
          <w:tcPr>
            <w:tcW w:w="850" w:type="dxa"/>
            <w:tcBorders>
              <w:top w:val="nil"/>
              <w:left w:val="nil"/>
              <w:bottom w:val="single" w:sz="4" w:space="0" w:color="auto"/>
              <w:right w:val="single" w:sz="4" w:space="0" w:color="auto"/>
            </w:tcBorders>
            <w:shd w:val="clear" w:color="auto" w:fill="auto"/>
            <w:noWrap/>
            <w:hideMark/>
          </w:tcPr>
          <w:p w14:paraId="5A871E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1.781.122</w:t>
            </w:r>
          </w:p>
        </w:tc>
        <w:tc>
          <w:tcPr>
            <w:tcW w:w="709" w:type="dxa"/>
            <w:tcBorders>
              <w:top w:val="nil"/>
              <w:left w:val="nil"/>
              <w:bottom w:val="single" w:sz="4" w:space="0" w:color="auto"/>
              <w:right w:val="single" w:sz="8" w:space="0" w:color="auto"/>
            </w:tcBorders>
            <w:shd w:val="clear" w:color="auto" w:fill="auto"/>
            <w:noWrap/>
            <w:hideMark/>
          </w:tcPr>
          <w:p w14:paraId="0CBCB2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197.902</w:t>
            </w:r>
          </w:p>
        </w:tc>
        <w:tc>
          <w:tcPr>
            <w:tcW w:w="851" w:type="dxa"/>
            <w:tcBorders>
              <w:top w:val="nil"/>
              <w:left w:val="single" w:sz="4" w:space="0" w:color="auto"/>
              <w:bottom w:val="single" w:sz="4" w:space="0" w:color="auto"/>
              <w:right w:val="single" w:sz="4" w:space="0" w:color="auto"/>
            </w:tcBorders>
            <w:shd w:val="clear" w:color="auto" w:fill="auto"/>
            <w:noWrap/>
            <w:hideMark/>
          </w:tcPr>
          <w:p w14:paraId="3E27ACA5" w14:textId="24B28F3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59.032</w:t>
            </w:r>
          </w:p>
        </w:tc>
      </w:tr>
      <w:tr w:rsidR="005C332D" w:rsidRPr="003F6E51" w14:paraId="66DE38E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618C51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54</w:t>
            </w:r>
          </w:p>
        </w:tc>
        <w:tc>
          <w:tcPr>
            <w:tcW w:w="2213" w:type="dxa"/>
            <w:tcBorders>
              <w:top w:val="nil"/>
              <w:left w:val="single" w:sz="8" w:space="0" w:color="auto"/>
              <w:bottom w:val="single" w:sz="4" w:space="0" w:color="auto"/>
              <w:right w:val="single" w:sz="8" w:space="0" w:color="auto"/>
            </w:tcBorders>
            <w:shd w:val="clear" w:color="auto" w:fill="auto"/>
            <w:noWrap/>
            <w:hideMark/>
          </w:tcPr>
          <w:p w14:paraId="2F4DC77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PRIBOJ</w:t>
            </w:r>
          </w:p>
        </w:tc>
        <w:tc>
          <w:tcPr>
            <w:tcW w:w="850" w:type="dxa"/>
            <w:tcBorders>
              <w:top w:val="nil"/>
              <w:left w:val="nil"/>
              <w:bottom w:val="single" w:sz="4" w:space="0" w:color="auto"/>
              <w:right w:val="single" w:sz="4" w:space="0" w:color="auto"/>
            </w:tcBorders>
            <w:shd w:val="clear" w:color="000000" w:fill="FFFFFF"/>
            <w:noWrap/>
            <w:hideMark/>
          </w:tcPr>
          <w:p w14:paraId="55E9FE6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23373</w:t>
            </w:r>
          </w:p>
        </w:tc>
        <w:tc>
          <w:tcPr>
            <w:tcW w:w="709" w:type="dxa"/>
            <w:tcBorders>
              <w:top w:val="nil"/>
              <w:left w:val="nil"/>
              <w:bottom w:val="single" w:sz="4" w:space="0" w:color="auto"/>
              <w:right w:val="single" w:sz="8" w:space="0" w:color="auto"/>
            </w:tcBorders>
            <w:shd w:val="clear" w:color="000000" w:fill="FFFFFF"/>
            <w:noWrap/>
            <w:hideMark/>
          </w:tcPr>
          <w:p w14:paraId="0CD20E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567" w:type="dxa"/>
            <w:tcBorders>
              <w:top w:val="nil"/>
              <w:left w:val="nil"/>
              <w:bottom w:val="single" w:sz="4" w:space="0" w:color="auto"/>
              <w:right w:val="single" w:sz="4" w:space="0" w:color="auto"/>
            </w:tcBorders>
            <w:shd w:val="clear" w:color="000000" w:fill="FFFFFF"/>
            <w:noWrap/>
            <w:hideMark/>
          </w:tcPr>
          <w:p w14:paraId="718B2C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553</w:t>
            </w:r>
          </w:p>
        </w:tc>
        <w:tc>
          <w:tcPr>
            <w:tcW w:w="709" w:type="dxa"/>
            <w:tcBorders>
              <w:top w:val="nil"/>
              <w:left w:val="nil"/>
              <w:bottom w:val="single" w:sz="4" w:space="0" w:color="auto"/>
              <w:right w:val="single" w:sz="8" w:space="0" w:color="auto"/>
            </w:tcBorders>
            <w:shd w:val="clear" w:color="000000" w:fill="FFFFFF"/>
            <w:noWrap/>
            <w:hideMark/>
          </w:tcPr>
          <w:p w14:paraId="033D59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850" w:type="dxa"/>
            <w:tcBorders>
              <w:top w:val="nil"/>
              <w:left w:val="nil"/>
              <w:bottom w:val="single" w:sz="4" w:space="0" w:color="auto"/>
              <w:right w:val="single" w:sz="4" w:space="0" w:color="auto"/>
            </w:tcBorders>
            <w:shd w:val="clear" w:color="000000" w:fill="FFFFFF"/>
            <w:noWrap/>
            <w:hideMark/>
          </w:tcPr>
          <w:p w14:paraId="63A780C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C04D83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50E8B3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0A4CE4B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42EF467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95,39</w:t>
            </w:r>
          </w:p>
        </w:tc>
        <w:tc>
          <w:tcPr>
            <w:tcW w:w="851" w:type="dxa"/>
            <w:tcBorders>
              <w:top w:val="nil"/>
              <w:left w:val="nil"/>
              <w:bottom w:val="single" w:sz="4" w:space="0" w:color="auto"/>
              <w:right w:val="single" w:sz="4" w:space="0" w:color="auto"/>
            </w:tcBorders>
            <w:shd w:val="clear" w:color="auto" w:fill="auto"/>
            <w:noWrap/>
            <w:hideMark/>
          </w:tcPr>
          <w:p w14:paraId="706EA14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0,0070</w:t>
            </w:r>
          </w:p>
        </w:tc>
        <w:tc>
          <w:tcPr>
            <w:tcW w:w="1134" w:type="dxa"/>
            <w:tcBorders>
              <w:top w:val="nil"/>
              <w:left w:val="nil"/>
              <w:bottom w:val="single" w:sz="4" w:space="0" w:color="auto"/>
              <w:right w:val="single" w:sz="4" w:space="0" w:color="auto"/>
            </w:tcBorders>
            <w:shd w:val="clear" w:color="000000" w:fill="C6E0B4"/>
            <w:noWrap/>
            <w:hideMark/>
          </w:tcPr>
          <w:p w14:paraId="5F2E62D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1.902.950</w:t>
            </w:r>
          </w:p>
        </w:tc>
        <w:tc>
          <w:tcPr>
            <w:tcW w:w="992" w:type="dxa"/>
            <w:tcBorders>
              <w:top w:val="nil"/>
              <w:left w:val="nil"/>
              <w:bottom w:val="single" w:sz="4" w:space="0" w:color="auto"/>
              <w:right w:val="single" w:sz="4" w:space="0" w:color="auto"/>
            </w:tcBorders>
            <w:shd w:val="clear" w:color="auto" w:fill="auto"/>
            <w:noWrap/>
            <w:hideMark/>
          </w:tcPr>
          <w:p w14:paraId="119356A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1.401.046</w:t>
            </w:r>
          </w:p>
        </w:tc>
        <w:tc>
          <w:tcPr>
            <w:tcW w:w="567" w:type="dxa"/>
            <w:tcBorders>
              <w:top w:val="nil"/>
              <w:left w:val="nil"/>
              <w:bottom w:val="single" w:sz="4" w:space="0" w:color="auto"/>
              <w:right w:val="single" w:sz="4" w:space="0" w:color="auto"/>
            </w:tcBorders>
            <w:shd w:val="clear" w:color="auto" w:fill="auto"/>
            <w:noWrap/>
            <w:hideMark/>
          </w:tcPr>
          <w:p w14:paraId="5C6F4DF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135,82</w:t>
            </w:r>
          </w:p>
        </w:tc>
        <w:tc>
          <w:tcPr>
            <w:tcW w:w="850" w:type="dxa"/>
            <w:tcBorders>
              <w:top w:val="nil"/>
              <w:left w:val="nil"/>
              <w:bottom w:val="single" w:sz="4" w:space="0" w:color="auto"/>
              <w:right w:val="single" w:sz="4" w:space="0" w:color="auto"/>
            </w:tcBorders>
            <w:shd w:val="clear" w:color="auto" w:fill="auto"/>
            <w:noWrap/>
            <w:hideMark/>
          </w:tcPr>
          <w:p w14:paraId="350F7AD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1.712.655</w:t>
            </w:r>
          </w:p>
        </w:tc>
        <w:tc>
          <w:tcPr>
            <w:tcW w:w="709" w:type="dxa"/>
            <w:tcBorders>
              <w:top w:val="nil"/>
              <w:left w:val="nil"/>
              <w:bottom w:val="single" w:sz="4" w:space="0" w:color="auto"/>
              <w:right w:val="single" w:sz="8" w:space="0" w:color="auto"/>
            </w:tcBorders>
            <w:shd w:val="clear" w:color="auto" w:fill="auto"/>
            <w:noWrap/>
            <w:hideMark/>
          </w:tcPr>
          <w:p w14:paraId="2DE7553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190.295</w:t>
            </w:r>
          </w:p>
        </w:tc>
        <w:tc>
          <w:tcPr>
            <w:tcW w:w="851" w:type="dxa"/>
            <w:tcBorders>
              <w:top w:val="nil"/>
              <w:left w:val="single" w:sz="4" w:space="0" w:color="auto"/>
              <w:bottom w:val="single" w:sz="4" w:space="0" w:color="auto"/>
              <w:right w:val="single" w:sz="4" w:space="0" w:color="auto"/>
            </w:tcBorders>
            <w:shd w:val="clear" w:color="auto" w:fill="auto"/>
            <w:noWrap/>
            <w:hideMark/>
          </w:tcPr>
          <w:p w14:paraId="1EBD7FD8" w14:textId="712C5F3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73.275</w:t>
            </w:r>
          </w:p>
        </w:tc>
      </w:tr>
      <w:tr w:rsidR="005C332D" w:rsidRPr="003F6E51" w14:paraId="1905CC2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63A52B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55</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3684B51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PRIJEPOLJE</w:t>
            </w:r>
          </w:p>
        </w:tc>
        <w:tc>
          <w:tcPr>
            <w:tcW w:w="850" w:type="dxa"/>
            <w:tcBorders>
              <w:top w:val="nil"/>
              <w:left w:val="nil"/>
              <w:bottom w:val="single" w:sz="4" w:space="0" w:color="auto"/>
              <w:right w:val="single" w:sz="4" w:space="0" w:color="auto"/>
            </w:tcBorders>
            <w:shd w:val="clear" w:color="000000" w:fill="FFFFFF"/>
            <w:noWrap/>
            <w:hideMark/>
          </w:tcPr>
          <w:p w14:paraId="1C23EF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34077</w:t>
            </w:r>
          </w:p>
        </w:tc>
        <w:tc>
          <w:tcPr>
            <w:tcW w:w="709" w:type="dxa"/>
            <w:tcBorders>
              <w:top w:val="nil"/>
              <w:left w:val="nil"/>
              <w:bottom w:val="single" w:sz="4" w:space="0" w:color="auto"/>
              <w:right w:val="single" w:sz="8" w:space="0" w:color="auto"/>
            </w:tcBorders>
            <w:shd w:val="clear" w:color="000000" w:fill="FFFFFF"/>
            <w:noWrap/>
            <w:hideMark/>
          </w:tcPr>
          <w:p w14:paraId="29977CD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0,72</w:t>
            </w:r>
          </w:p>
        </w:tc>
        <w:tc>
          <w:tcPr>
            <w:tcW w:w="567" w:type="dxa"/>
            <w:tcBorders>
              <w:top w:val="nil"/>
              <w:left w:val="nil"/>
              <w:bottom w:val="single" w:sz="4" w:space="0" w:color="auto"/>
              <w:right w:val="single" w:sz="4" w:space="0" w:color="auto"/>
            </w:tcBorders>
            <w:shd w:val="clear" w:color="000000" w:fill="FFFFFF"/>
            <w:noWrap/>
            <w:hideMark/>
          </w:tcPr>
          <w:p w14:paraId="339C8B1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827</w:t>
            </w:r>
          </w:p>
        </w:tc>
        <w:tc>
          <w:tcPr>
            <w:tcW w:w="709" w:type="dxa"/>
            <w:tcBorders>
              <w:top w:val="nil"/>
              <w:left w:val="nil"/>
              <w:bottom w:val="single" w:sz="4" w:space="0" w:color="auto"/>
              <w:right w:val="single" w:sz="8" w:space="0" w:color="auto"/>
            </w:tcBorders>
            <w:shd w:val="clear" w:color="000000" w:fill="FFFFFF"/>
            <w:noWrap/>
            <w:hideMark/>
          </w:tcPr>
          <w:p w14:paraId="17909C1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1,55</w:t>
            </w:r>
          </w:p>
        </w:tc>
        <w:tc>
          <w:tcPr>
            <w:tcW w:w="850" w:type="dxa"/>
            <w:tcBorders>
              <w:top w:val="nil"/>
              <w:left w:val="nil"/>
              <w:bottom w:val="single" w:sz="4" w:space="0" w:color="auto"/>
              <w:right w:val="single" w:sz="4" w:space="0" w:color="auto"/>
            </w:tcBorders>
            <w:shd w:val="clear" w:color="000000" w:fill="FFFFFF"/>
            <w:noWrap/>
            <w:hideMark/>
          </w:tcPr>
          <w:p w14:paraId="21C0002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5DD3D3E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2275340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055A256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E5A662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128,04</w:t>
            </w:r>
          </w:p>
        </w:tc>
        <w:tc>
          <w:tcPr>
            <w:tcW w:w="851" w:type="dxa"/>
            <w:tcBorders>
              <w:top w:val="nil"/>
              <w:left w:val="nil"/>
              <w:bottom w:val="single" w:sz="4" w:space="0" w:color="auto"/>
              <w:right w:val="single" w:sz="4" w:space="0" w:color="auto"/>
            </w:tcBorders>
            <w:shd w:val="clear" w:color="auto" w:fill="auto"/>
            <w:noWrap/>
            <w:hideMark/>
          </w:tcPr>
          <w:p w14:paraId="1D0D5EFA"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0,0094</w:t>
            </w:r>
          </w:p>
        </w:tc>
        <w:tc>
          <w:tcPr>
            <w:tcW w:w="1134" w:type="dxa"/>
            <w:tcBorders>
              <w:top w:val="nil"/>
              <w:left w:val="nil"/>
              <w:bottom w:val="single" w:sz="4" w:space="0" w:color="auto"/>
              <w:right w:val="single" w:sz="4" w:space="0" w:color="auto"/>
            </w:tcBorders>
            <w:shd w:val="clear" w:color="000000" w:fill="C6E0B4"/>
            <w:noWrap/>
            <w:hideMark/>
          </w:tcPr>
          <w:p w14:paraId="250165E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2.554.163</w:t>
            </w:r>
          </w:p>
        </w:tc>
        <w:tc>
          <w:tcPr>
            <w:tcW w:w="992" w:type="dxa"/>
            <w:tcBorders>
              <w:top w:val="nil"/>
              <w:left w:val="nil"/>
              <w:bottom w:val="single" w:sz="4" w:space="0" w:color="auto"/>
              <w:right w:val="single" w:sz="4" w:space="0" w:color="auto"/>
            </w:tcBorders>
            <w:shd w:val="clear" w:color="auto" w:fill="auto"/>
            <w:noWrap/>
            <w:hideMark/>
          </w:tcPr>
          <w:p w14:paraId="41AE200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1.183.736</w:t>
            </w:r>
          </w:p>
        </w:tc>
        <w:tc>
          <w:tcPr>
            <w:tcW w:w="567" w:type="dxa"/>
            <w:tcBorders>
              <w:top w:val="nil"/>
              <w:left w:val="nil"/>
              <w:bottom w:val="single" w:sz="4" w:space="0" w:color="auto"/>
              <w:right w:val="single" w:sz="4" w:space="0" w:color="auto"/>
            </w:tcBorders>
            <w:shd w:val="clear" w:color="auto" w:fill="auto"/>
            <w:noWrap/>
            <w:hideMark/>
          </w:tcPr>
          <w:p w14:paraId="500FD50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215,77</w:t>
            </w:r>
          </w:p>
        </w:tc>
        <w:tc>
          <w:tcPr>
            <w:tcW w:w="850" w:type="dxa"/>
            <w:tcBorders>
              <w:top w:val="nil"/>
              <w:left w:val="nil"/>
              <w:bottom w:val="single" w:sz="4" w:space="0" w:color="auto"/>
              <w:right w:val="single" w:sz="4" w:space="0" w:color="auto"/>
            </w:tcBorders>
            <w:shd w:val="clear" w:color="auto" w:fill="auto"/>
            <w:noWrap/>
            <w:hideMark/>
          </w:tcPr>
          <w:p w14:paraId="0A6D677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2.298.747</w:t>
            </w:r>
          </w:p>
        </w:tc>
        <w:tc>
          <w:tcPr>
            <w:tcW w:w="709" w:type="dxa"/>
            <w:tcBorders>
              <w:top w:val="nil"/>
              <w:left w:val="nil"/>
              <w:bottom w:val="single" w:sz="4" w:space="0" w:color="auto"/>
              <w:right w:val="single" w:sz="8" w:space="0" w:color="auto"/>
            </w:tcBorders>
            <w:shd w:val="clear" w:color="auto" w:fill="auto"/>
            <w:noWrap/>
            <w:hideMark/>
          </w:tcPr>
          <w:p w14:paraId="2227BB0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255.416</w:t>
            </w:r>
          </w:p>
        </w:tc>
        <w:tc>
          <w:tcPr>
            <w:tcW w:w="851" w:type="dxa"/>
            <w:tcBorders>
              <w:top w:val="nil"/>
              <w:left w:val="single" w:sz="4" w:space="0" w:color="auto"/>
              <w:bottom w:val="single" w:sz="4" w:space="0" w:color="auto"/>
              <w:right w:val="single" w:sz="4" w:space="0" w:color="auto"/>
            </w:tcBorders>
            <w:shd w:val="clear" w:color="auto" w:fill="auto"/>
            <w:noWrap/>
            <w:hideMark/>
          </w:tcPr>
          <w:p w14:paraId="693E606B" w14:textId="4E4E541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67.457</w:t>
            </w:r>
          </w:p>
        </w:tc>
      </w:tr>
      <w:tr w:rsidR="005C332D" w:rsidRPr="003F6E51" w14:paraId="7287C89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E75C17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56</w:t>
            </w:r>
          </w:p>
        </w:tc>
        <w:tc>
          <w:tcPr>
            <w:tcW w:w="2213" w:type="dxa"/>
            <w:tcBorders>
              <w:top w:val="nil"/>
              <w:left w:val="single" w:sz="8" w:space="0" w:color="auto"/>
              <w:bottom w:val="single" w:sz="4" w:space="0" w:color="auto"/>
              <w:right w:val="single" w:sz="8" w:space="0" w:color="auto"/>
            </w:tcBorders>
            <w:shd w:val="clear" w:color="auto" w:fill="auto"/>
            <w:noWrap/>
            <w:hideMark/>
          </w:tcPr>
          <w:p w14:paraId="568CE9F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PROKUPLJE</w:t>
            </w:r>
          </w:p>
        </w:tc>
        <w:tc>
          <w:tcPr>
            <w:tcW w:w="850" w:type="dxa"/>
            <w:tcBorders>
              <w:top w:val="nil"/>
              <w:left w:val="nil"/>
              <w:bottom w:val="single" w:sz="4" w:space="0" w:color="auto"/>
              <w:right w:val="single" w:sz="4" w:space="0" w:color="auto"/>
            </w:tcBorders>
            <w:shd w:val="clear" w:color="000000" w:fill="FFFFFF"/>
            <w:noWrap/>
            <w:hideMark/>
          </w:tcPr>
          <w:p w14:paraId="76F9B2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40229</w:t>
            </w:r>
          </w:p>
        </w:tc>
        <w:tc>
          <w:tcPr>
            <w:tcW w:w="709" w:type="dxa"/>
            <w:tcBorders>
              <w:top w:val="nil"/>
              <w:left w:val="nil"/>
              <w:bottom w:val="single" w:sz="4" w:space="0" w:color="auto"/>
              <w:right w:val="single" w:sz="8" w:space="0" w:color="auto"/>
            </w:tcBorders>
            <w:shd w:val="clear" w:color="000000" w:fill="FFFFFF"/>
            <w:noWrap/>
            <w:hideMark/>
          </w:tcPr>
          <w:p w14:paraId="64497F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0,85</w:t>
            </w:r>
          </w:p>
        </w:tc>
        <w:tc>
          <w:tcPr>
            <w:tcW w:w="567" w:type="dxa"/>
            <w:tcBorders>
              <w:top w:val="nil"/>
              <w:left w:val="nil"/>
              <w:bottom w:val="single" w:sz="4" w:space="0" w:color="auto"/>
              <w:right w:val="single" w:sz="4" w:space="0" w:color="auto"/>
            </w:tcBorders>
            <w:shd w:val="clear" w:color="000000" w:fill="FFFFFF"/>
            <w:noWrap/>
            <w:hideMark/>
          </w:tcPr>
          <w:p w14:paraId="72B7CDC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759</w:t>
            </w:r>
          </w:p>
        </w:tc>
        <w:tc>
          <w:tcPr>
            <w:tcW w:w="709" w:type="dxa"/>
            <w:tcBorders>
              <w:top w:val="nil"/>
              <w:left w:val="nil"/>
              <w:bottom w:val="single" w:sz="4" w:space="0" w:color="auto"/>
              <w:right w:val="single" w:sz="8" w:space="0" w:color="auto"/>
            </w:tcBorders>
            <w:shd w:val="clear" w:color="000000" w:fill="FFFFFF"/>
            <w:noWrap/>
            <w:hideMark/>
          </w:tcPr>
          <w:p w14:paraId="105E5F5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1,42</w:t>
            </w:r>
          </w:p>
        </w:tc>
        <w:tc>
          <w:tcPr>
            <w:tcW w:w="850" w:type="dxa"/>
            <w:tcBorders>
              <w:top w:val="nil"/>
              <w:left w:val="nil"/>
              <w:bottom w:val="single" w:sz="4" w:space="0" w:color="auto"/>
              <w:right w:val="single" w:sz="4" w:space="0" w:color="auto"/>
            </w:tcBorders>
            <w:shd w:val="clear" w:color="000000" w:fill="FFFFFF"/>
            <w:noWrap/>
            <w:hideMark/>
          </w:tcPr>
          <w:p w14:paraId="0F7CD68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433F339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AABF2D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618EFB2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45465F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105,79</w:t>
            </w:r>
          </w:p>
        </w:tc>
        <w:tc>
          <w:tcPr>
            <w:tcW w:w="851" w:type="dxa"/>
            <w:tcBorders>
              <w:top w:val="nil"/>
              <w:left w:val="nil"/>
              <w:bottom w:val="single" w:sz="4" w:space="0" w:color="auto"/>
              <w:right w:val="single" w:sz="4" w:space="0" w:color="auto"/>
            </w:tcBorders>
            <w:shd w:val="clear" w:color="auto" w:fill="auto"/>
            <w:noWrap/>
            <w:hideMark/>
          </w:tcPr>
          <w:p w14:paraId="37D5809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0,0078</w:t>
            </w:r>
          </w:p>
        </w:tc>
        <w:tc>
          <w:tcPr>
            <w:tcW w:w="1134" w:type="dxa"/>
            <w:tcBorders>
              <w:top w:val="nil"/>
              <w:left w:val="nil"/>
              <w:bottom w:val="single" w:sz="4" w:space="0" w:color="auto"/>
              <w:right w:val="single" w:sz="4" w:space="0" w:color="auto"/>
            </w:tcBorders>
            <w:shd w:val="clear" w:color="000000" w:fill="C6E0B4"/>
            <w:noWrap/>
            <w:hideMark/>
          </w:tcPr>
          <w:p w14:paraId="14B2907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2.110.404</w:t>
            </w:r>
          </w:p>
        </w:tc>
        <w:tc>
          <w:tcPr>
            <w:tcW w:w="992" w:type="dxa"/>
            <w:tcBorders>
              <w:top w:val="nil"/>
              <w:left w:val="nil"/>
              <w:bottom w:val="single" w:sz="4" w:space="0" w:color="auto"/>
              <w:right w:val="single" w:sz="4" w:space="0" w:color="auto"/>
            </w:tcBorders>
            <w:shd w:val="clear" w:color="auto" w:fill="auto"/>
            <w:noWrap/>
            <w:hideMark/>
          </w:tcPr>
          <w:p w14:paraId="215C47B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1.062.282</w:t>
            </w:r>
          </w:p>
        </w:tc>
        <w:tc>
          <w:tcPr>
            <w:tcW w:w="567" w:type="dxa"/>
            <w:tcBorders>
              <w:top w:val="nil"/>
              <w:left w:val="nil"/>
              <w:bottom w:val="single" w:sz="4" w:space="0" w:color="auto"/>
              <w:right w:val="single" w:sz="4" w:space="0" w:color="auto"/>
            </w:tcBorders>
            <w:shd w:val="clear" w:color="auto" w:fill="auto"/>
            <w:noWrap/>
            <w:hideMark/>
          </w:tcPr>
          <w:p w14:paraId="6C3843A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198,67</w:t>
            </w:r>
          </w:p>
        </w:tc>
        <w:tc>
          <w:tcPr>
            <w:tcW w:w="850" w:type="dxa"/>
            <w:tcBorders>
              <w:top w:val="nil"/>
              <w:left w:val="nil"/>
              <w:bottom w:val="single" w:sz="4" w:space="0" w:color="auto"/>
              <w:right w:val="single" w:sz="4" w:space="0" w:color="auto"/>
            </w:tcBorders>
            <w:shd w:val="clear" w:color="auto" w:fill="auto"/>
            <w:noWrap/>
            <w:hideMark/>
          </w:tcPr>
          <w:p w14:paraId="4588F18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1.899.364</w:t>
            </w:r>
          </w:p>
        </w:tc>
        <w:tc>
          <w:tcPr>
            <w:tcW w:w="709" w:type="dxa"/>
            <w:tcBorders>
              <w:top w:val="nil"/>
              <w:left w:val="nil"/>
              <w:bottom w:val="single" w:sz="4" w:space="0" w:color="auto"/>
              <w:right w:val="single" w:sz="8" w:space="0" w:color="auto"/>
            </w:tcBorders>
            <w:shd w:val="clear" w:color="auto" w:fill="auto"/>
            <w:noWrap/>
            <w:hideMark/>
          </w:tcPr>
          <w:p w14:paraId="31A7A6C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211.040</w:t>
            </w:r>
          </w:p>
        </w:tc>
        <w:tc>
          <w:tcPr>
            <w:tcW w:w="851" w:type="dxa"/>
            <w:tcBorders>
              <w:top w:val="nil"/>
              <w:left w:val="single" w:sz="4" w:space="0" w:color="auto"/>
              <w:bottom w:val="single" w:sz="4" w:space="0" w:color="auto"/>
              <w:right w:val="single" w:sz="4" w:space="0" w:color="auto"/>
            </w:tcBorders>
            <w:shd w:val="clear" w:color="auto" w:fill="auto"/>
            <w:noWrap/>
            <w:hideMark/>
          </w:tcPr>
          <w:p w14:paraId="07B62A77" w14:textId="2DFDDC2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47.214</w:t>
            </w:r>
          </w:p>
        </w:tc>
      </w:tr>
      <w:tr w:rsidR="005C332D" w:rsidRPr="003F6E51" w14:paraId="31E1447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E27D70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57</w:t>
            </w:r>
          </w:p>
        </w:tc>
        <w:tc>
          <w:tcPr>
            <w:tcW w:w="2213" w:type="dxa"/>
            <w:tcBorders>
              <w:top w:val="nil"/>
              <w:left w:val="single" w:sz="8" w:space="0" w:color="auto"/>
              <w:bottom w:val="single" w:sz="4" w:space="0" w:color="auto"/>
              <w:right w:val="single" w:sz="8" w:space="0" w:color="auto"/>
            </w:tcBorders>
            <w:shd w:val="clear" w:color="auto" w:fill="auto"/>
            <w:noWrap/>
            <w:hideMark/>
          </w:tcPr>
          <w:p w14:paraId="3971C10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RAČA</w:t>
            </w:r>
          </w:p>
        </w:tc>
        <w:tc>
          <w:tcPr>
            <w:tcW w:w="850" w:type="dxa"/>
            <w:tcBorders>
              <w:top w:val="nil"/>
              <w:left w:val="nil"/>
              <w:bottom w:val="single" w:sz="4" w:space="0" w:color="auto"/>
              <w:right w:val="single" w:sz="4" w:space="0" w:color="auto"/>
            </w:tcBorders>
            <w:shd w:val="clear" w:color="000000" w:fill="FFFFFF"/>
            <w:noWrap/>
            <w:hideMark/>
          </w:tcPr>
          <w:p w14:paraId="5C07D3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10226</w:t>
            </w:r>
          </w:p>
        </w:tc>
        <w:tc>
          <w:tcPr>
            <w:tcW w:w="709" w:type="dxa"/>
            <w:tcBorders>
              <w:top w:val="nil"/>
              <w:left w:val="nil"/>
              <w:bottom w:val="single" w:sz="4" w:space="0" w:color="auto"/>
              <w:right w:val="single" w:sz="8" w:space="0" w:color="auto"/>
            </w:tcBorders>
            <w:shd w:val="clear" w:color="000000" w:fill="FFFFFF"/>
            <w:noWrap/>
            <w:hideMark/>
          </w:tcPr>
          <w:p w14:paraId="3348112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6EC6393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216</w:t>
            </w:r>
          </w:p>
        </w:tc>
        <w:tc>
          <w:tcPr>
            <w:tcW w:w="709" w:type="dxa"/>
            <w:tcBorders>
              <w:top w:val="nil"/>
              <w:left w:val="nil"/>
              <w:bottom w:val="single" w:sz="4" w:space="0" w:color="auto"/>
              <w:right w:val="single" w:sz="8" w:space="0" w:color="auto"/>
            </w:tcBorders>
            <w:shd w:val="clear" w:color="000000" w:fill="FFFFFF"/>
            <w:noWrap/>
            <w:hideMark/>
          </w:tcPr>
          <w:p w14:paraId="458CDF9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0,40</w:t>
            </w:r>
          </w:p>
        </w:tc>
        <w:tc>
          <w:tcPr>
            <w:tcW w:w="850" w:type="dxa"/>
            <w:tcBorders>
              <w:top w:val="nil"/>
              <w:left w:val="nil"/>
              <w:bottom w:val="single" w:sz="4" w:space="0" w:color="auto"/>
              <w:right w:val="single" w:sz="4" w:space="0" w:color="auto"/>
            </w:tcBorders>
            <w:shd w:val="clear" w:color="000000" w:fill="FFFFFF"/>
            <w:noWrap/>
            <w:hideMark/>
          </w:tcPr>
          <w:p w14:paraId="486ABF7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240B5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78AD3A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33E5D21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12BA310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45,69</w:t>
            </w:r>
          </w:p>
        </w:tc>
        <w:tc>
          <w:tcPr>
            <w:tcW w:w="851" w:type="dxa"/>
            <w:tcBorders>
              <w:top w:val="nil"/>
              <w:left w:val="nil"/>
              <w:bottom w:val="single" w:sz="4" w:space="0" w:color="auto"/>
              <w:right w:val="single" w:sz="4" w:space="0" w:color="auto"/>
            </w:tcBorders>
            <w:shd w:val="clear" w:color="auto" w:fill="auto"/>
            <w:noWrap/>
            <w:hideMark/>
          </w:tcPr>
          <w:p w14:paraId="0BF682A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0,0034</w:t>
            </w:r>
          </w:p>
        </w:tc>
        <w:tc>
          <w:tcPr>
            <w:tcW w:w="1134" w:type="dxa"/>
            <w:tcBorders>
              <w:top w:val="nil"/>
              <w:left w:val="nil"/>
              <w:bottom w:val="single" w:sz="4" w:space="0" w:color="auto"/>
              <w:right w:val="single" w:sz="4" w:space="0" w:color="auto"/>
            </w:tcBorders>
            <w:shd w:val="clear" w:color="000000" w:fill="C6E0B4"/>
            <w:noWrap/>
            <w:hideMark/>
          </w:tcPr>
          <w:p w14:paraId="0AFEF63F"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911.518</w:t>
            </w:r>
          </w:p>
        </w:tc>
        <w:tc>
          <w:tcPr>
            <w:tcW w:w="992" w:type="dxa"/>
            <w:tcBorders>
              <w:top w:val="nil"/>
              <w:left w:val="nil"/>
              <w:bottom w:val="single" w:sz="4" w:space="0" w:color="auto"/>
              <w:right w:val="single" w:sz="4" w:space="0" w:color="auto"/>
            </w:tcBorders>
            <w:shd w:val="clear" w:color="auto" w:fill="auto"/>
            <w:noWrap/>
            <w:hideMark/>
          </w:tcPr>
          <w:p w14:paraId="72397D7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429.047</w:t>
            </w:r>
          </w:p>
        </w:tc>
        <w:tc>
          <w:tcPr>
            <w:tcW w:w="567" w:type="dxa"/>
            <w:tcBorders>
              <w:top w:val="nil"/>
              <w:left w:val="nil"/>
              <w:bottom w:val="single" w:sz="4" w:space="0" w:color="auto"/>
              <w:right w:val="single" w:sz="4" w:space="0" w:color="auto"/>
            </w:tcBorders>
            <w:shd w:val="clear" w:color="auto" w:fill="auto"/>
            <w:noWrap/>
            <w:hideMark/>
          </w:tcPr>
          <w:p w14:paraId="229023D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212,45</w:t>
            </w:r>
          </w:p>
        </w:tc>
        <w:tc>
          <w:tcPr>
            <w:tcW w:w="850" w:type="dxa"/>
            <w:tcBorders>
              <w:top w:val="nil"/>
              <w:left w:val="nil"/>
              <w:bottom w:val="single" w:sz="4" w:space="0" w:color="auto"/>
              <w:right w:val="single" w:sz="4" w:space="0" w:color="auto"/>
            </w:tcBorders>
            <w:shd w:val="clear" w:color="auto" w:fill="auto"/>
            <w:noWrap/>
            <w:hideMark/>
          </w:tcPr>
          <w:p w14:paraId="0EBCAE1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820.366</w:t>
            </w:r>
          </w:p>
        </w:tc>
        <w:tc>
          <w:tcPr>
            <w:tcW w:w="709" w:type="dxa"/>
            <w:tcBorders>
              <w:top w:val="nil"/>
              <w:left w:val="nil"/>
              <w:bottom w:val="single" w:sz="4" w:space="0" w:color="auto"/>
              <w:right w:val="single" w:sz="8" w:space="0" w:color="auto"/>
            </w:tcBorders>
            <w:shd w:val="clear" w:color="auto" w:fill="auto"/>
            <w:noWrap/>
            <w:hideMark/>
          </w:tcPr>
          <w:p w14:paraId="776EF21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91.152</w:t>
            </w:r>
          </w:p>
        </w:tc>
        <w:tc>
          <w:tcPr>
            <w:tcW w:w="851" w:type="dxa"/>
            <w:tcBorders>
              <w:top w:val="nil"/>
              <w:left w:val="single" w:sz="4" w:space="0" w:color="auto"/>
              <w:bottom w:val="single" w:sz="4" w:space="0" w:color="auto"/>
              <w:right w:val="single" w:sz="4" w:space="0" w:color="auto"/>
            </w:tcBorders>
            <w:shd w:val="clear" w:color="auto" w:fill="auto"/>
            <w:noWrap/>
            <w:hideMark/>
          </w:tcPr>
          <w:p w14:paraId="764AE287" w14:textId="7EF3115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80.224</w:t>
            </w:r>
          </w:p>
        </w:tc>
      </w:tr>
      <w:tr w:rsidR="005C332D" w:rsidRPr="003F6E51" w14:paraId="4A23B12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A0C409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58</w:t>
            </w:r>
          </w:p>
        </w:tc>
        <w:tc>
          <w:tcPr>
            <w:tcW w:w="2213" w:type="dxa"/>
            <w:tcBorders>
              <w:top w:val="nil"/>
              <w:left w:val="single" w:sz="8" w:space="0" w:color="auto"/>
              <w:bottom w:val="single" w:sz="4" w:space="0" w:color="auto"/>
              <w:right w:val="single" w:sz="8" w:space="0" w:color="auto"/>
            </w:tcBorders>
            <w:shd w:val="clear" w:color="auto" w:fill="auto"/>
            <w:noWrap/>
            <w:hideMark/>
          </w:tcPr>
          <w:p w14:paraId="331736B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RAŠKA</w:t>
            </w:r>
          </w:p>
        </w:tc>
        <w:tc>
          <w:tcPr>
            <w:tcW w:w="850" w:type="dxa"/>
            <w:tcBorders>
              <w:top w:val="nil"/>
              <w:left w:val="nil"/>
              <w:bottom w:val="single" w:sz="4" w:space="0" w:color="auto"/>
              <w:right w:val="single" w:sz="4" w:space="0" w:color="auto"/>
            </w:tcBorders>
            <w:shd w:val="clear" w:color="000000" w:fill="FFFFFF"/>
            <w:noWrap/>
            <w:hideMark/>
          </w:tcPr>
          <w:p w14:paraId="1C9A5A4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22077</w:t>
            </w:r>
          </w:p>
        </w:tc>
        <w:tc>
          <w:tcPr>
            <w:tcW w:w="709" w:type="dxa"/>
            <w:tcBorders>
              <w:top w:val="nil"/>
              <w:left w:val="nil"/>
              <w:bottom w:val="single" w:sz="4" w:space="0" w:color="auto"/>
              <w:right w:val="single" w:sz="8" w:space="0" w:color="auto"/>
            </w:tcBorders>
            <w:shd w:val="clear" w:color="000000" w:fill="FFFFFF"/>
            <w:noWrap/>
            <w:hideMark/>
          </w:tcPr>
          <w:p w14:paraId="68871DA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0,46</w:t>
            </w:r>
          </w:p>
        </w:tc>
        <w:tc>
          <w:tcPr>
            <w:tcW w:w="567" w:type="dxa"/>
            <w:tcBorders>
              <w:top w:val="nil"/>
              <w:left w:val="nil"/>
              <w:bottom w:val="single" w:sz="4" w:space="0" w:color="auto"/>
              <w:right w:val="single" w:sz="4" w:space="0" w:color="auto"/>
            </w:tcBorders>
            <w:shd w:val="clear" w:color="000000" w:fill="FFFFFF"/>
            <w:noWrap/>
            <w:hideMark/>
          </w:tcPr>
          <w:p w14:paraId="228A70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670</w:t>
            </w:r>
          </w:p>
        </w:tc>
        <w:tc>
          <w:tcPr>
            <w:tcW w:w="709" w:type="dxa"/>
            <w:tcBorders>
              <w:top w:val="nil"/>
              <w:left w:val="nil"/>
              <w:bottom w:val="single" w:sz="4" w:space="0" w:color="auto"/>
              <w:right w:val="single" w:sz="8" w:space="0" w:color="auto"/>
            </w:tcBorders>
            <w:shd w:val="clear" w:color="000000" w:fill="FFFFFF"/>
            <w:noWrap/>
            <w:hideMark/>
          </w:tcPr>
          <w:p w14:paraId="3410AB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1,25</w:t>
            </w:r>
          </w:p>
        </w:tc>
        <w:tc>
          <w:tcPr>
            <w:tcW w:w="850" w:type="dxa"/>
            <w:tcBorders>
              <w:top w:val="nil"/>
              <w:left w:val="nil"/>
              <w:bottom w:val="single" w:sz="4" w:space="0" w:color="auto"/>
              <w:right w:val="single" w:sz="4" w:space="0" w:color="auto"/>
            </w:tcBorders>
            <w:shd w:val="clear" w:color="000000" w:fill="FFFFFF"/>
            <w:noWrap/>
            <w:hideMark/>
          </w:tcPr>
          <w:p w14:paraId="7E980DF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A5C234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2BC157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34FF9C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E2E146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100,60</w:t>
            </w:r>
          </w:p>
        </w:tc>
        <w:tc>
          <w:tcPr>
            <w:tcW w:w="851" w:type="dxa"/>
            <w:tcBorders>
              <w:top w:val="nil"/>
              <w:left w:val="nil"/>
              <w:bottom w:val="single" w:sz="4" w:space="0" w:color="auto"/>
              <w:right w:val="single" w:sz="4" w:space="0" w:color="auto"/>
            </w:tcBorders>
            <w:shd w:val="clear" w:color="auto" w:fill="auto"/>
            <w:noWrap/>
            <w:hideMark/>
          </w:tcPr>
          <w:p w14:paraId="68D13D0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0,0074</w:t>
            </w:r>
          </w:p>
        </w:tc>
        <w:tc>
          <w:tcPr>
            <w:tcW w:w="1134" w:type="dxa"/>
            <w:tcBorders>
              <w:top w:val="nil"/>
              <w:left w:val="nil"/>
              <w:bottom w:val="single" w:sz="4" w:space="0" w:color="auto"/>
              <w:right w:val="single" w:sz="4" w:space="0" w:color="auto"/>
            </w:tcBorders>
            <w:shd w:val="clear" w:color="000000" w:fill="C6E0B4"/>
            <w:noWrap/>
            <w:hideMark/>
          </w:tcPr>
          <w:p w14:paraId="3E1E592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2.006.745</w:t>
            </w:r>
          </w:p>
        </w:tc>
        <w:tc>
          <w:tcPr>
            <w:tcW w:w="992" w:type="dxa"/>
            <w:tcBorders>
              <w:top w:val="nil"/>
              <w:left w:val="nil"/>
              <w:bottom w:val="single" w:sz="4" w:space="0" w:color="auto"/>
              <w:right w:val="single" w:sz="4" w:space="0" w:color="auto"/>
            </w:tcBorders>
            <w:shd w:val="clear" w:color="auto" w:fill="auto"/>
            <w:noWrap/>
            <w:hideMark/>
          </w:tcPr>
          <w:p w14:paraId="2D4F2EC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1.942.239</w:t>
            </w:r>
          </w:p>
        </w:tc>
        <w:tc>
          <w:tcPr>
            <w:tcW w:w="567" w:type="dxa"/>
            <w:tcBorders>
              <w:top w:val="nil"/>
              <w:left w:val="nil"/>
              <w:bottom w:val="single" w:sz="4" w:space="0" w:color="auto"/>
              <w:right w:val="single" w:sz="4" w:space="0" w:color="auto"/>
            </w:tcBorders>
            <w:shd w:val="clear" w:color="auto" w:fill="auto"/>
            <w:noWrap/>
            <w:hideMark/>
          </w:tcPr>
          <w:p w14:paraId="51C304B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103,32</w:t>
            </w:r>
          </w:p>
        </w:tc>
        <w:tc>
          <w:tcPr>
            <w:tcW w:w="850" w:type="dxa"/>
            <w:tcBorders>
              <w:top w:val="nil"/>
              <w:left w:val="nil"/>
              <w:bottom w:val="single" w:sz="4" w:space="0" w:color="auto"/>
              <w:right w:val="single" w:sz="4" w:space="0" w:color="auto"/>
            </w:tcBorders>
            <w:shd w:val="clear" w:color="auto" w:fill="auto"/>
            <w:noWrap/>
            <w:hideMark/>
          </w:tcPr>
          <w:p w14:paraId="41992B6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1.806.070</w:t>
            </w:r>
          </w:p>
        </w:tc>
        <w:tc>
          <w:tcPr>
            <w:tcW w:w="709" w:type="dxa"/>
            <w:tcBorders>
              <w:top w:val="nil"/>
              <w:left w:val="nil"/>
              <w:bottom w:val="single" w:sz="4" w:space="0" w:color="auto"/>
              <w:right w:val="single" w:sz="8" w:space="0" w:color="auto"/>
            </w:tcBorders>
            <w:shd w:val="clear" w:color="auto" w:fill="auto"/>
            <w:noWrap/>
            <w:hideMark/>
          </w:tcPr>
          <w:p w14:paraId="2C224A4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200.674</w:t>
            </w:r>
          </w:p>
        </w:tc>
        <w:tc>
          <w:tcPr>
            <w:tcW w:w="851" w:type="dxa"/>
            <w:tcBorders>
              <w:top w:val="nil"/>
              <w:left w:val="single" w:sz="4" w:space="0" w:color="auto"/>
              <w:bottom w:val="single" w:sz="4" w:space="0" w:color="auto"/>
              <w:right w:val="single" w:sz="4" w:space="0" w:color="auto"/>
            </w:tcBorders>
            <w:shd w:val="clear" w:color="auto" w:fill="auto"/>
            <w:noWrap/>
            <w:hideMark/>
          </w:tcPr>
          <w:p w14:paraId="3A898E45" w14:textId="4DEE172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81.808</w:t>
            </w:r>
          </w:p>
        </w:tc>
      </w:tr>
      <w:tr w:rsidR="005C332D" w:rsidRPr="003F6E51" w14:paraId="127368F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650E97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59</w:t>
            </w:r>
          </w:p>
        </w:tc>
        <w:tc>
          <w:tcPr>
            <w:tcW w:w="2213" w:type="dxa"/>
            <w:tcBorders>
              <w:top w:val="nil"/>
              <w:left w:val="single" w:sz="8" w:space="0" w:color="auto"/>
              <w:bottom w:val="single" w:sz="4" w:space="0" w:color="auto"/>
              <w:right w:val="single" w:sz="8" w:space="0" w:color="auto"/>
            </w:tcBorders>
            <w:shd w:val="clear" w:color="auto" w:fill="auto"/>
            <w:noWrap/>
            <w:hideMark/>
          </w:tcPr>
          <w:p w14:paraId="79190CB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RAŽANJ</w:t>
            </w:r>
          </w:p>
        </w:tc>
        <w:tc>
          <w:tcPr>
            <w:tcW w:w="850" w:type="dxa"/>
            <w:tcBorders>
              <w:top w:val="nil"/>
              <w:left w:val="nil"/>
              <w:bottom w:val="single" w:sz="4" w:space="0" w:color="auto"/>
              <w:right w:val="single" w:sz="4" w:space="0" w:color="auto"/>
            </w:tcBorders>
            <w:shd w:val="clear" w:color="000000" w:fill="FFFFFF"/>
            <w:noWrap/>
            <w:hideMark/>
          </w:tcPr>
          <w:p w14:paraId="510A83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7664</w:t>
            </w:r>
          </w:p>
        </w:tc>
        <w:tc>
          <w:tcPr>
            <w:tcW w:w="709" w:type="dxa"/>
            <w:tcBorders>
              <w:top w:val="nil"/>
              <w:left w:val="nil"/>
              <w:bottom w:val="single" w:sz="4" w:space="0" w:color="auto"/>
              <w:right w:val="single" w:sz="8" w:space="0" w:color="auto"/>
            </w:tcBorders>
            <w:shd w:val="clear" w:color="000000" w:fill="FFFFFF"/>
            <w:noWrap/>
            <w:hideMark/>
          </w:tcPr>
          <w:p w14:paraId="1B5D11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0,16</w:t>
            </w:r>
          </w:p>
        </w:tc>
        <w:tc>
          <w:tcPr>
            <w:tcW w:w="567" w:type="dxa"/>
            <w:tcBorders>
              <w:top w:val="nil"/>
              <w:left w:val="nil"/>
              <w:bottom w:val="single" w:sz="4" w:space="0" w:color="auto"/>
              <w:right w:val="single" w:sz="4" w:space="0" w:color="auto"/>
            </w:tcBorders>
            <w:shd w:val="clear" w:color="000000" w:fill="FFFFFF"/>
            <w:noWrap/>
            <w:hideMark/>
          </w:tcPr>
          <w:p w14:paraId="5C65AEE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289</w:t>
            </w:r>
          </w:p>
        </w:tc>
        <w:tc>
          <w:tcPr>
            <w:tcW w:w="709" w:type="dxa"/>
            <w:tcBorders>
              <w:top w:val="nil"/>
              <w:left w:val="nil"/>
              <w:bottom w:val="single" w:sz="4" w:space="0" w:color="auto"/>
              <w:right w:val="single" w:sz="8" w:space="0" w:color="auto"/>
            </w:tcBorders>
            <w:shd w:val="clear" w:color="000000" w:fill="FFFFFF"/>
            <w:noWrap/>
            <w:hideMark/>
          </w:tcPr>
          <w:p w14:paraId="43F4481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0,54</w:t>
            </w:r>
          </w:p>
        </w:tc>
        <w:tc>
          <w:tcPr>
            <w:tcW w:w="850" w:type="dxa"/>
            <w:tcBorders>
              <w:top w:val="nil"/>
              <w:left w:val="nil"/>
              <w:bottom w:val="single" w:sz="4" w:space="0" w:color="auto"/>
              <w:right w:val="single" w:sz="4" w:space="0" w:color="auto"/>
            </w:tcBorders>
            <w:shd w:val="clear" w:color="000000" w:fill="FFFFFF"/>
            <w:noWrap/>
            <w:hideMark/>
          </w:tcPr>
          <w:p w14:paraId="0D7F32B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63CA4AF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62AA921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44B344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2C4CAC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72,88</w:t>
            </w:r>
          </w:p>
        </w:tc>
        <w:tc>
          <w:tcPr>
            <w:tcW w:w="851" w:type="dxa"/>
            <w:tcBorders>
              <w:top w:val="nil"/>
              <w:left w:val="nil"/>
              <w:bottom w:val="single" w:sz="4" w:space="0" w:color="auto"/>
              <w:right w:val="single" w:sz="4" w:space="0" w:color="auto"/>
            </w:tcBorders>
            <w:shd w:val="clear" w:color="auto" w:fill="auto"/>
            <w:noWrap/>
            <w:hideMark/>
          </w:tcPr>
          <w:p w14:paraId="1490DE60"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0,0054</w:t>
            </w:r>
          </w:p>
        </w:tc>
        <w:tc>
          <w:tcPr>
            <w:tcW w:w="1134" w:type="dxa"/>
            <w:tcBorders>
              <w:top w:val="nil"/>
              <w:left w:val="nil"/>
              <w:bottom w:val="single" w:sz="4" w:space="0" w:color="auto"/>
              <w:right w:val="single" w:sz="4" w:space="0" w:color="auto"/>
            </w:tcBorders>
            <w:shd w:val="clear" w:color="000000" w:fill="C6E0B4"/>
            <w:noWrap/>
            <w:hideMark/>
          </w:tcPr>
          <w:p w14:paraId="14AFC9EA"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1.453.919</w:t>
            </w:r>
          </w:p>
        </w:tc>
        <w:tc>
          <w:tcPr>
            <w:tcW w:w="992" w:type="dxa"/>
            <w:tcBorders>
              <w:top w:val="nil"/>
              <w:left w:val="nil"/>
              <w:bottom w:val="single" w:sz="4" w:space="0" w:color="auto"/>
              <w:right w:val="single" w:sz="4" w:space="0" w:color="auto"/>
            </w:tcBorders>
            <w:shd w:val="clear" w:color="auto" w:fill="auto"/>
            <w:noWrap/>
            <w:hideMark/>
          </w:tcPr>
          <w:p w14:paraId="36E1E2F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549.233</w:t>
            </w:r>
          </w:p>
        </w:tc>
        <w:tc>
          <w:tcPr>
            <w:tcW w:w="567" w:type="dxa"/>
            <w:tcBorders>
              <w:top w:val="nil"/>
              <w:left w:val="nil"/>
              <w:bottom w:val="single" w:sz="4" w:space="0" w:color="auto"/>
              <w:right w:val="single" w:sz="4" w:space="0" w:color="auto"/>
            </w:tcBorders>
            <w:shd w:val="clear" w:color="auto" w:fill="auto"/>
            <w:noWrap/>
            <w:hideMark/>
          </w:tcPr>
          <w:p w14:paraId="12CCBF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264,72</w:t>
            </w:r>
          </w:p>
        </w:tc>
        <w:tc>
          <w:tcPr>
            <w:tcW w:w="850" w:type="dxa"/>
            <w:tcBorders>
              <w:top w:val="nil"/>
              <w:left w:val="nil"/>
              <w:bottom w:val="single" w:sz="4" w:space="0" w:color="auto"/>
              <w:right w:val="single" w:sz="4" w:space="0" w:color="auto"/>
            </w:tcBorders>
            <w:shd w:val="clear" w:color="auto" w:fill="auto"/>
            <w:noWrap/>
            <w:hideMark/>
          </w:tcPr>
          <w:p w14:paraId="53E4EE0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1.308.527</w:t>
            </w:r>
          </w:p>
        </w:tc>
        <w:tc>
          <w:tcPr>
            <w:tcW w:w="709" w:type="dxa"/>
            <w:tcBorders>
              <w:top w:val="nil"/>
              <w:left w:val="nil"/>
              <w:bottom w:val="single" w:sz="4" w:space="0" w:color="auto"/>
              <w:right w:val="single" w:sz="8" w:space="0" w:color="auto"/>
            </w:tcBorders>
            <w:shd w:val="clear" w:color="auto" w:fill="auto"/>
            <w:noWrap/>
            <w:hideMark/>
          </w:tcPr>
          <w:p w14:paraId="108D8FF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145.392</w:t>
            </w:r>
          </w:p>
        </w:tc>
        <w:tc>
          <w:tcPr>
            <w:tcW w:w="851" w:type="dxa"/>
            <w:tcBorders>
              <w:top w:val="nil"/>
              <w:left w:val="single" w:sz="4" w:space="0" w:color="auto"/>
              <w:bottom w:val="single" w:sz="4" w:space="0" w:color="auto"/>
              <w:right w:val="single" w:sz="4" w:space="0" w:color="auto"/>
            </w:tcBorders>
            <w:shd w:val="clear" w:color="auto" w:fill="auto"/>
            <w:noWrap/>
            <w:hideMark/>
          </w:tcPr>
          <w:p w14:paraId="21D8BA65" w14:textId="4981B4E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170.737</w:t>
            </w:r>
          </w:p>
        </w:tc>
      </w:tr>
      <w:tr w:rsidR="005C332D" w:rsidRPr="003F6E51" w14:paraId="68DF54E8"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08FA9D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60</w:t>
            </w:r>
          </w:p>
        </w:tc>
        <w:tc>
          <w:tcPr>
            <w:tcW w:w="2213" w:type="dxa"/>
            <w:tcBorders>
              <w:top w:val="nil"/>
              <w:left w:val="single" w:sz="8" w:space="0" w:color="auto"/>
              <w:bottom w:val="single" w:sz="4" w:space="0" w:color="auto"/>
              <w:right w:val="single" w:sz="8" w:space="0" w:color="auto"/>
            </w:tcBorders>
            <w:shd w:val="clear" w:color="auto" w:fill="auto"/>
            <w:noWrap/>
            <w:hideMark/>
          </w:tcPr>
          <w:p w14:paraId="5274A26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REKOVAC</w:t>
            </w:r>
          </w:p>
        </w:tc>
        <w:tc>
          <w:tcPr>
            <w:tcW w:w="850" w:type="dxa"/>
            <w:tcBorders>
              <w:top w:val="nil"/>
              <w:left w:val="nil"/>
              <w:bottom w:val="single" w:sz="4" w:space="0" w:color="auto"/>
              <w:right w:val="single" w:sz="4" w:space="0" w:color="auto"/>
            </w:tcBorders>
            <w:shd w:val="clear" w:color="000000" w:fill="FFFFFF"/>
            <w:noWrap/>
            <w:hideMark/>
          </w:tcPr>
          <w:p w14:paraId="5F884EA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8811</w:t>
            </w:r>
          </w:p>
        </w:tc>
        <w:tc>
          <w:tcPr>
            <w:tcW w:w="709" w:type="dxa"/>
            <w:tcBorders>
              <w:top w:val="nil"/>
              <w:left w:val="nil"/>
              <w:bottom w:val="single" w:sz="4" w:space="0" w:color="auto"/>
              <w:right w:val="single" w:sz="8" w:space="0" w:color="auto"/>
            </w:tcBorders>
            <w:shd w:val="clear" w:color="000000" w:fill="FFFFFF"/>
            <w:noWrap/>
            <w:hideMark/>
          </w:tcPr>
          <w:p w14:paraId="0B3EE7D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0,19</w:t>
            </w:r>
          </w:p>
        </w:tc>
        <w:tc>
          <w:tcPr>
            <w:tcW w:w="567" w:type="dxa"/>
            <w:tcBorders>
              <w:top w:val="nil"/>
              <w:left w:val="nil"/>
              <w:bottom w:val="single" w:sz="4" w:space="0" w:color="auto"/>
              <w:right w:val="single" w:sz="4" w:space="0" w:color="auto"/>
            </w:tcBorders>
            <w:shd w:val="clear" w:color="000000" w:fill="FFFFFF"/>
            <w:noWrap/>
            <w:hideMark/>
          </w:tcPr>
          <w:p w14:paraId="0751D8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366</w:t>
            </w:r>
          </w:p>
        </w:tc>
        <w:tc>
          <w:tcPr>
            <w:tcW w:w="709" w:type="dxa"/>
            <w:tcBorders>
              <w:top w:val="nil"/>
              <w:left w:val="nil"/>
              <w:bottom w:val="single" w:sz="4" w:space="0" w:color="auto"/>
              <w:right w:val="single" w:sz="8" w:space="0" w:color="auto"/>
            </w:tcBorders>
            <w:shd w:val="clear" w:color="000000" w:fill="FFFFFF"/>
            <w:noWrap/>
            <w:hideMark/>
          </w:tcPr>
          <w:p w14:paraId="69F6662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850" w:type="dxa"/>
            <w:tcBorders>
              <w:top w:val="nil"/>
              <w:left w:val="nil"/>
              <w:bottom w:val="single" w:sz="4" w:space="0" w:color="auto"/>
              <w:right w:val="single" w:sz="4" w:space="0" w:color="auto"/>
            </w:tcBorders>
            <w:shd w:val="clear" w:color="000000" w:fill="FFFFFF"/>
            <w:noWrap/>
            <w:hideMark/>
          </w:tcPr>
          <w:p w14:paraId="2CB96C1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60746F3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6DDC82E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3F96A88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11CCA10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77,32</w:t>
            </w:r>
          </w:p>
        </w:tc>
        <w:tc>
          <w:tcPr>
            <w:tcW w:w="851" w:type="dxa"/>
            <w:tcBorders>
              <w:top w:val="nil"/>
              <w:left w:val="nil"/>
              <w:bottom w:val="single" w:sz="4" w:space="0" w:color="auto"/>
              <w:right w:val="single" w:sz="4" w:space="0" w:color="auto"/>
            </w:tcBorders>
            <w:shd w:val="clear" w:color="auto" w:fill="auto"/>
            <w:noWrap/>
            <w:hideMark/>
          </w:tcPr>
          <w:p w14:paraId="724B77A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5439BB7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1.542.515</w:t>
            </w:r>
          </w:p>
        </w:tc>
        <w:tc>
          <w:tcPr>
            <w:tcW w:w="992" w:type="dxa"/>
            <w:tcBorders>
              <w:top w:val="nil"/>
              <w:left w:val="nil"/>
              <w:bottom w:val="single" w:sz="4" w:space="0" w:color="auto"/>
              <w:right w:val="single" w:sz="4" w:space="0" w:color="auto"/>
            </w:tcBorders>
            <w:shd w:val="clear" w:color="auto" w:fill="auto"/>
            <w:noWrap/>
            <w:hideMark/>
          </w:tcPr>
          <w:p w14:paraId="45D901C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159.510</w:t>
            </w:r>
          </w:p>
        </w:tc>
        <w:tc>
          <w:tcPr>
            <w:tcW w:w="567" w:type="dxa"/>
            <w:tcBorders>
              <w:top w:val="nil"/>
              <w:left w:val="nil"/>
              <w:bottom w:val="single" w:sz="4" w:space="0" w:color="auto"/>
              <w:right w:val="single" w:sz="4" w:space="0" w:color="auto"/>
            </w:tcBorders>
            <w:shd w:val="clear" w:color="auto" w:fill="auto"/>
            <w:noWrap/>
            <w:hideMark/>
          </w:tcPr>
          <w:p w14:paraId="3125B7F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967,03</w:t>
            </w:r>
          </w:p>
        </w:tc>
        <w:tc>
          <w:tcPr>
            <w:tcW w:w="850" w:type="dxa"/>
            <w:tcBorders>
              <w:top w:val="nil"/>
              <w:left w:val="nil"/>
              <w:bottom w:val="single" w:sz="4" w:space="0" w:color="auto"/>
              <w:right w:val="single" w:sz="4" w:space="0" w:color="auto"/>
            </w:tcBorders>
            <w:shd w:val="clear" w:color="auto" w:fill="auto"/>
            <w:noWrap/>
            <w:hideMark/>
          </w:tcPr>
          <w:p w14:paraId="0F101B1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1.388.263</w:t>
            </w:r>
          </w:p>
        </w:tc>
        <w:tc>
          <w:tcPr>
            <w:tcW w:w="709" w:type="dxa"/>
            <w:tcBorders>
              <w:top w:val="nil"/>
              <w:left w:val="nil"/>
              <w:bottom w:val="single" w:sz="4" w:space="0" w:color="auto"/>
              <w:right w:val="single" w:sz="8" w:space="0" w:color="auto"/>
            </w:tcBorders>
            <w:shd w:val="clear" w:color="auto" w:fill="auto"/>
            <w:noWrap/>
            <w:hideMark/>
          </w:tcPr>
          <w:p w14:paraId="77EBDAF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154.251</w:t>
            </w:r>
          </w:p>
        </w:tc>
        <w:tc>
          <w:tcPr>
            <w:tcW w:w="851" w:type="dxa"/>
            <w:tcBorders>
              <w:top w:val="nil"/>
              <w:left w:val="single" w:sz="4" w:space="0" w:color="auto"/>
              <w:bottom w:val="single" w:sz="4" w:space="0" w:color="auto"/>
              <w:right w:val="single" w:sz="4" w:space="0" w:color="auto"/>
            </w:tcBorders>
            <w:shd w:val="clear" w:color="auto" w:fill="auto"/>
            <w:noWrap/>
            <w:hideMark/>
          </w:tcPr>
          <w:p w14:paraId="2E3CADAB" w14:textId="61CE75A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157.560</w:t>
            </w:r>
          </w:p>
        </w:tc>
      </w:tr>
      <w:tr w:rsidR="005C332D" w:rsidRPr="003F6E51" w14:paraId="681AF46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AC935A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61</w:t>
            </w:r>
          </w:p>
        </w:tc>
        <w:tc>
          <w:tcPr>
            <w:tcW w:w="2213" w:type="dxa"/>
            <w:tcBorders>
              <w:top w:val="nil"/>
              <w:left w:val="single" w:sz="8" w:space="0" w:color="auto"/>
              <w:bottom w:val="single" w:sz="4" w:space="0" w:color="auto"/>
              <w:right w:val="single" w:sz="8" w:space="0" w:color="auto"/>
            </w:tcBorders>
            <w:shd w:val="clear" w:color="auto" w:fill="auto"/>
            <w:noWrap/>
            <w:hideMark/>
          </w:tcPr>
          <w:p w14:paraId="741D0F2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SJENICA</w:t>
            </w:r>
          </w:p>
        </w:tc>
        <w:tc>
          <w:tcPr>
            <w:tcW w:w="850" w:type="dxa"/>
            <w:tcBorders>
              <w:top w:val="nil"/>
              <w:left w:val="nil"/>
              <w:bottom w:val="single" w:sz="4" w:space="0" w:color="auto"/>
              <w:right w:val="single" w:sz="4" w:space="0" w:color="auto"/>
            </w:tcBorders>
            <w:shd w:val="clear" w:color="000000" w:fill="FFFFFF"/>
            <w:noWrap/>
            <w:hideMark/>
          </w:tcPr>
          <w:p w14:paraId="19DC2FA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25560</w:t>
            </w:r>
          </w:p>
        </w:tc>
        <w:tc>
          <w:tcPr>
            <w:tcW w:w="709" w:type="dxa"/>
            <w:tcBorders>
              <w:top w:val="nil"/>
              <w:left w:val="nil"/>
              <w:bottom w:val="single" w:sz="4" w:space="0" w:color="auto"/>
              <w:right w:val="single" w:sz="8" w:space="0" w:color="auto"/>
            </w:tcBorders>
            <w:shd w:val="clear" w:color="000000" w:fill="FFFFFF"/>
            <w:noWrap/>
            <w:hideMark/>
          </w:tcPr>
          <w:p w14:paraId="2F1DE32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0,54</w:t>
            </w:r>
          </w:p>
        </w:tc>
        <w:tc>
          <w:tcPr>
            <w:tcW w:w="567" w:type="dxa"/>
            <w:tcBorders>
              <w:top w:val="nil"/>
              <w:left w:val="nil"/>
              <w:bottom w:val="single" w:sz="4" w:space="0" w:color="auto"/>
              <w:right w:val="single" w:sz="4" w:space="0" w:color="auto"/>
            </w:tcBorders>
            <w:shd w:val="clear" w:color="000000" w:fill="FFFFFF"/>
            <w:noWrap/>
            <w:hideMark/>
          </w:tcPr>
          <w:p w14:paraId="289F365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1059</w:t>
            </w:r>
          </w:p>
        </w:tc>
        <w:tc>
          <w:tcPr>
            <w:tcW w:w="709" w:type="dxa"/>
            <w:tcBorders>
              <w:top w:val="nil"/>
              <w:left w:val="nil"/>
              <w:bottom w:val="single" w:sz="4" w:space="0" w:color="auto"/>
              <w:right w:val="single" w:sz="8" w:space="0" w:color="auto"/>
            </w:tcBorders>
            <w:shd w:val="clear" w:color="000000" w:fill="FFFFFF"/>
            <w:noWrap/>
            <w:hideMark/>
          </w:tcPr>
          <w:p w14:paraId="7EF3864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1,98</w:t>
            </w:r>
          </w:p>
        </w:tc>
        <w:tc>
          <w:tcPr>
            <w:tcW w:w="850" w:type="dxa"/>
            <w:tcBorders>
              <w:top w:val="nil"/>
              <w:left w:val="nil"/>
              <w:bottom w:val="single" w:sz="4" w:space="0" w:color="auto"/>
              <w:right w:val="single" w:sz="4" w:space="0" w:color="auto"/>
            </w:tcBorders>
            <w:shd w:val="clear" w:color="000000" w:fill="FFFFFF"/>
            <w:noWrap/>
            <w:hideMark/>
          </w:tcPr>
          <w:p w14:paraId="5F73759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6B72D7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2FD0AB2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7342DD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747752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120,64</w:t>
            </w:r>
          </w:p>
        </w:tc>
        <w:tc>
          <w:tcPr>
            <w:tcW w:w="851" w:type="dxa"/>
            <w:tcBorders>
              <w:top w:val="nil"/>
              <w:left w:val="nil"/>
              <w:bottom w:val="single" w:sz="4" w:space="0" w:color="auto"/>
              <w:right w:val="single" w:sz="4" w:space="0" w:color="auto"/>
            </w:tcBorders>
            <w:shd w:val="clear" w:color="auto" w:fill="auto"/>
            <w:noWrap/>
            <w:hideMark/>
          </w:tcPr>
          <w:p w14:paraId="3B6646A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0,0089</w:t>
            </w:r>
          </w:p>
        </w:tc>
        <w:tc>
          <w:tcPr>
            <w:tcW w:w="1134" w:type="dxa"/>
            <w:tcBorders>
              <w:top w:val="nil"/>
              <w:left w:val="nil"/>
              <w:bottom w:val="single" w:sz="4" w:space="0" w:color="auto"/>
              <w:right w:val="single" w:sz="4" w:space="0" w:color="auto"/>
            </w:tcBorders>
            <w:shd w:val="clear" w:color="000000" w:fill="C6E0B4"/>
            <w:noWrap/>
            <w:hideMark/>
          </w:tcPr>
          <w:p w14:paraId="5DB0C38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2.406.638</w:t>
            </w:r>
          </w:p>
        </w:tc>
        <w:tc>
          <w:tcPr>
            <w:tcW w:w="992" w:type="dxa"/>
            <w:tcBorders>
              <w:top w:val="nil"/>
              <w:left w:val="nil"/>
              <w:bottom w:val="single" w:sz="4" w:space="0" w:color="auto"/>
              <w:right w:val="single" w:sz="4" w:space="0" w:color="auto"/>
            </w:tcBorders>
            <w:shd w:val="clear" w:color="auto" w:fill="auto"/>
            <w:noWrap/>
            <w:hideMark/>
          </w:tcPr>
          <w:p w14:paraId="614972C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1.463.424</w:t>
            </w:r>
          </w:p>
        </w:tc>
        <w:tc>
          <w:tcPr>
            <w:tcW w:w="567" w:type="dxa"/>
            <w:tcBorders>
              <w:top w:val="nil"/>
              <w:left w:val="nil"/>
              <w:bottom w:val="single" w:sz="4" w:space="0" w:color="auto"/>
              <w:right w:val="single" w:sz="4" w:space="0" w:color="auto"/>
            </w:tcBorders>
            <w:shd w:val="clear" w:color="auto" w:fill="auto"/>
            <w:noWrap/>
            <w:hideMark/>
          </w:tcPr>
          <w:p w14:paraId="59C5DFC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164,45</w:t>
            </w:r>
          </w:p>
        </w:tc>
        <w:tc>
          <w:tcPr>
            <w:tcW w:w="850" w:type="dxa"/>
            <w:tcBorders>
              <w:top w:val="nil"/>
              <w:left w:val="nil"/>
              <w:bottom w:val="single" w:sz="4" w:space="0" w:color="auto"/>
              <w:right w:val="single" w:sz="4" w:space="0" w:color="auto"/>
            </w:tcBorders>
            <w:shd w:val="clear" w:color="auto" w:fill="auto"/>
            <w:noWrap/>
            <w:hideMark/>
          </w:tcPr>
          <w:p w14:paraId="17262C0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2.165.974</w:t>
            </w:r>
          </w:p>
        </w:tc>
        <w:tc>
          <w:tcPr>
            <w:tcW w:w="709" w:type="dxa"/>
            <w:tcBorders>
              <w:top w:val="nil"/>
              <w:left w:val="nil"/>
              <w:bottom w:val="single" w:sz="4" w:space="0" w:color="auto"/>
              <w:right w:val="single" w:sz="8" w:space="0" w:color="auto"/>
            </w:tcBorders>
            <w:shd w:val="clear" w:color="auto" w:fill="auto"/>
            <w:noWrap/>
            <w:hideMark/>
          </w:tcPr>
          <w:p w14:paraId="2E731F5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240.664</w:t>
            </w:r>
          </w:p>
        </w:tc>
        <w:tc>
          <w:tcPr>
            <w:tcW w:w="851" w:type="dxa"/>
            <w:tcBorders>
              <w:top w:val="nil"/>
              <w:left w:val="single" w:sz="4" w:space="0" w:color="auto"/>
              <w:bottom w:val="single" w:sz="4" w:space="0" w:color="auto"/>
              <w:right w:val="single" w:sz="4" w:space="0" w:color="auto"/>
            </w:tcBorders>
            <w:shd w:val="clear" w:color="auto" w:fill="auto"/>
            <w:noWrap/>
            <w:hideMark/>
          </w:tcPr>
          <w:p w14:paraId="11864BE9" w14:textId="48850BE5"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84.741</w:t>
            </w:r>
          </w:p>
        </w:tc>
      </w:tr>
      <w:tr w:rsidR="005C332D" w:rsidRPr="003F6E51" w14:paraId="1A1CEC5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D1FB7B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62</w:t>
            </w:r>
          </w:p>
        </w:tc>
        <w:tc>
          <w:tcPr>
            <w:tcW w:w="2213" w:type="dxa"/>
            <w:tcBorders>
              <w:top w:val="nil"/>
              <w:left w:val="single" w:sz="8" w:space="0" w:color="auto"/>
              <w:bottom w:val="single" w:sz="4" w:space="0" w:color="auto"/>
              <w:right w:val="single" w:sz="8" w:space="0" w:color="auto"/>
            </w:tcBorders>
            <w:shd w:val="clear" w:color="auto" w:fill="auto"/>
            <w:noWrap/>
            <w:hideMark/>
          </w:tcPr>
          <w:p w14:paraId="74D7B135"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SMED.PALANKA</w:t>
            </w:r>
          </w:p>
        </w:tc>
        <w:tc>
          <w:tcPr>
            <w:tcW w:w="850" w:type="dxa"/>
            <w:tcBorders>
              <w:top w:val="nil"/>
              <w:left w:val="nil"/>
              <w:bottom w:val="single" w:sz="4" w:space="0" w:color="auto"/>
              <w:right w:val="single" w:sz="4" w:space="0" w:color="auto"/>
            </w:tcBorders>
            <w:shd w:val="clear" w:color="000000" w:fill="FFFFFF"/>
            <w:noWrap/>
            <w:hideMark/>
          </w:tcPr>
          <w:p w14:paraId="11B6344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44341</w:t>
            </w:r>
          </w:p>
        </w:tc>
        <w:tc>
          <w:tcPr>
            <w:tcW w:w="709" w:type="dxa"/>
            <w:tcBorders>
              <w:top w:val="nil"/>
              <w:left w:val="nil"/>
              <w:bottom w:val="single" w:sz="4" w:space="0" w:color="auto"/>
              <w:right w:val="single" w:sz="8" w:space="0" w:color="auto"/>
            </w:tcBorders>
            <w:shd w:val="clear" w:color="000000" w:fill="FFFFFF"/>
            <w:noWrap/>
            <w:hideMark/>
          </w:tcPr>
          <w:p w14:paraId="15FFF1D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0,93</w:t>
            </w:r>
          </w:p>
        </w:tc>
        <w:tc>
          <w:tcPr>
            <w:tcW w:w="567" w:type="dxa"/>
            <w:tcBorders>
              <w:top w:val="nil"/>
              <w:left w:val="nil"/>
              <w:bottom w:val="single" w:sz="4" w:space="0" w:color="auto"/>
              <w:right w:val="single" w:sz="4" w:space="0" w:color="auto"/>
            </w:tcBorders>
            <w:shd w:val="clear" w:color="000000" w:fill="FFFFFF"/>
            <w:noWrap/>
            <w:hideMark/>
          </w:tcPr>
          <w:p w14:paraId="16ED967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421</w:t>
            </w:r>
          </w:p>
        </w:tc>
        <w:tc>
          <w:tcPr>
            <w:tcW w:w="709" w:type="dxa"/>
            <w:tcBorders>
              <w:top w:val="nil"/>
              <w:left w:val="nil"/>
              <w:bottom w:val="single" w:sz="4" w:space="0" w:color="auto"/>
              <w:right w:val="single" w:sz="8" w:space="0" w:color="auto"/>
            </w:tcBorders>
            <w:shd w:val="clear" w:color="000000" w:fill="FFFFFF"/>
            <w:noWrap/>
            <w:hideMark/>
          </w:tcPr>
          <w:p w14:paraId="33B2AA3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0,79</w:t>
            </w:r>
          </w:p>
        </w:tc>
        <w:tc>
          <w:tcPr>
            <w:tcW w:w="850" w:type="dxa"/>
            <w:tcBorders>
              <w:top w:val="nil"/>
              <w:left w:val="nil"/>
              <w:bottom w:val="single" w:sz="4" w:space="0" w:color="auto"/>
              <w:right w:val="single" w:sz="4" w:space="0" w:color="auto"/>
            </w:tcBorders>
            <w:shd w:val="clear" w:color="000000" w:fill="FFFFFF"/>
            <w:noWrap/>
            <w:hideMark/>
          </w:tcPr>
          <w:p w14:paraId="6838453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51C4FF6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D875F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1D6A4A9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1BD5C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93,03</w:t>
            </w:r>
          </w:p>
        </w:tc>
        <w:tc>
          <w:tcPr>
            <w:tcW w:w="851" w:type="dxa"/>
            <w:tcBorders>
              <w:top w:val="nil"/>
              <w:left w:val="nil"/>
              <w:bottom w:val="single" w:sz="4" w:space="0" w:color="auto"/>
              <w:right w:val="single" w:sz="4" w:space="0" w:color="auto"/>
            </w:tcBorders>
            <w:shd w:val="clear" w:color="auto" w:fill="auto"/>
            <w:noWrap/>
            <w:hideMark/>
          </w:tcPr>
          <w:p w14:paraId="288F90F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0,0068</w:t>
            </w:r>
          </w:p>
        </w:tc>
        <w:tc>
          <w:tcPr>
            <w:tcW w:w="1134" w:type="dxa"/>
            <w:tcBorders>
              <w:top w:val="nil"/>
              <w:left w:val="nil"/>
              <w:bottom w:val="single" w:sz="4" w:space="0" w:color="auto"/>
              <w:right w:val="single" w:sz="4" w:space="0" w:color="auto"/>
            </w:tcBorders>
            <w:shd w:val="clear" w:color="000000" w:fill="C6E0B4"/>
            <w:noWrap/>
            <w:hideMark/>
          </w:tcPr>
          <w:p w14:paraId="26B87B7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1.855.726</w:t>
            </w:r>
          </w:p>
        </w:tc>
        <w:tc>
          <w:tcPr>
            <w:tcW w:w="992" w:type="dxa"/>
            <w:tcBorders>
              <w:top w:val="nil"/>
              <w:left w:val="nil"/>
              <w:bottom w:val="single" w:sz="4" w:space="0" w:color="auto"/>
              <w:right w:val="single" w:sz="4" w:space="0" w:color="auto"/>
            </w:tcBorders>
            <w:shd w:val="clear" w:color="auto" w:fill="auto"/>
            <w:noWrap/>
            <w:hideMark/>
          </w:tcPr>
          <w:p w14:paraId="0E655F1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250.103</w:t>
            </w:r>
          </w:p>
        </w:tc>
        <w:tc>
          <w:tcPr>
            <w:tcW w:w="567" w:type="dxa"/>
            <w:tcBorders>
              <w:top w:val="nil"/>
              <w:left w:val="nil"/>
              <w:bottom w:val="single" w:sz="4" w:space="0" w:color="auto"/>
              <w:right w:val="single" w:sz="4" w:space="0" w:color="auto"/>
            </w:tcBorders>
            <w:shd w:val="clear" w:color="auto" w:fill="auto"/>
            <w:noWrap/>
            <w:hideMark/>
          </w:tcPr>
          <w:p w14:paraId="61FEE86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741,98</w:t>
            </w:r>
          </w:p>
        </w:tc>
        <w:tc>
          <w:tcPr>
            <w:tcW w:w="850" w:type="dxa"/>
            <w:tcBorders>
              <w:top w:val="nil"/>
              <w:left w:val="nil"/>
              <w:bottom w:val="single" w:sz="4" w:space="0" w:color="auto"/>
              <w:right w:val="single" w:sz="4" w:space="0" w:color="auto"/>
            </w:tcBorders>
            <w:shd w:val="clear" w:color="auto" w:fill="auto"/>
            <w:noWrap/>
            <w:hideMark/>
          </w:tcPr>
          <w:p w14:paraId="0B267D7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1.670.153</w:t>
            </w:r>
          </w:p>
        </w:tc>
        <w:tc>
          <w:tcPr>
            <w:tcW w:w="709" w:type="dxa"/>
            <w:tcBorders>
              <w:top w:val="nil"/>
              <w:left w:val="nil"/>
              <w:bottom w:val="single" w:sz="4" w:space="0" w:color="auto"/>
              <w:right w:val="single" w:sz="8" w:space="0" w:color="auto"/>
            </w:tcBorders>
            <w:shd w:val="clear" w:color="auto" w:fill="auto"/>
            <w:noWrap/>
            <w:hideMark/>
          </w:tcPr>
          <w:p w14:paraId="5EA884C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185.573</w:t>
            </w:r>
          </w:p>
        </w:tc>
        <w:tc>
          <w:tcPr>
            <w:tcW w:w="851" w:type="dxa"/>
            <w:tcBorders>
              <w:top w:val="nil"/>
              <w:left w:val="single" w:sz="4" w:space="0" w:color="auto"/>
              <w:bottom w:val="single" w:sz="4" w:space="0" w:color="auto"/>
              <w:right w:val="single" w:sz="4" w:space="0" w:color="auto"/>
            </w:tcBorders>
            <w:shd w:val="clear" w:color="auto" w:fill="auto"/>
            <w:noWrap/>
            <w:hideMark/>
          </w:tcPr>
          <w:p w14:paraId="01FB2090" w14:textId="332623D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37.666</w:t>
            </w:r>
          </w:p>
        </w:tc>
      </w:tr>
      <w:tr w:rsidR="005C332D" w:rsidRPr="003F6E51" w14:paraId="58018DE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2A45A2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63</w:t>
            </w:r>
          </w:p>
        </w:tc>
        <w:tc>
          <w:tcPr>
            <w:tcW w:w="2213" w:type="dxa"/>
            <w:tcBorders>
              <w:top w:val="nil"/>
              <w:left w:val="single" w:sz="8" w:space="0" w:color="auto"/>
              <w:bottom w:val="single" w:sz="4" w:space="0" w:color="auto"/>
              <w:right w:val="single" w:sz="8" w:space="0" w:color="auto"/>
            </w:tcBorders>
            <w:shd w:val="clear" w:color="auto" w:fill="auto"/>
            <w:noWrap/>
            <w:hideMark/>
          </w:tcPr>
          <w:p w14:paraId="5623FEC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SOKOBANJA</w:t>
            </w:r>
          </w:p>
        </w:tc>
        <w:tc>
          <w:tcPr>
            <w:tcW w:w="850" w:type="dxa"/>
            <w:tcBorders>
              <w:top w:val="nil"/>
              <w:left w:val="nil"/>
              <w:bottom w:val="single" w:sz="4" w:space="0" w:color="auto"/>
              <w:right w:val="single" w:sz="4" w:space="0" w:color="auto"/>
            </w:tcBorders>
            <w:shd w:val="clear" w:color="000000" w:fill="FFFFFF"/>
            <w:noWrap/>
            <w:hideMark/>
          </w:tcPr>
          <w:p w14:paraId="3DF327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13760</w:t>
            </w:r>
          </w:p>
        </w:tc>
        <w:tc>
          <w:tcPr>
            <w:tcW w:w="709" w:type="dxa"/>
            <w:tcBorders>
              <w:top w:val="nil"/>
              <w:left w:val="nil"/>
              <w:bottom w:val="single" w:sz="4" w:space="0" w:color="auto"/>
              <w:right w:val="single" w:sz="8" w:space="0" w:color="auto"/>
            </w:tcBorders>
            <w:shd w:val="clear" w:color="000000" w:fill="FFFFFF"/>
            <w:noWrap/>
            <w:hideMark/>
          </w:tcPr>
          <w:p w14:paraId="34341E8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0,29</w:t>
            </w:r>
          </w:p>
        </w:tc>
        <w:tc>
          <w:tcPr>
            <w:tcW w:w="567" w:type="dxa"/>
            <w:tcBorders>
              <w:top w:val="nil"/>
              <w:left w:val="nil"/>
              <w:bottom w:val="single" w:sz="4" w:space="0" w:color="auto"/>
              <w:right w:val="single" w:sz="4" w:space="0" w:color="auto"/>
            </w:tcBorders>
            <w:shd w:val="clear" w:color="000000" w:fill="FFFFFF"/>
            <w:noWrap/>
            <w:hideMark/>
          </w:tcPr>
          <w:p w14:paraId="4E85028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525</w:t>
            </w:r>
          </w:p>
        </w:tc>
        <w:tc>
          <w:tcPr>
            <w:tcW w:w="709" w:type="dxa"/>
            <w:tcBorders>
              <w:top w:val="nil"/>
              <w:left w:val="nil"/>
              <w:bottom w:val="single" w:sz="4" w:space="0" w:color="auto"/>
              <w:right w:val="single" w:sz="8" w:space="0" w:color="auto"/>
            </w:tcBorders>
            <w:shd w:val="clear" w:color="000000" w:fill="FFFFFF"/>
            <w:noWrap/>
            <w:hideMark/>
          </w:tcPr>
          <w:p w14:paraId="5FBFDAA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0,98</w:t>
            </w:r>
          </w:p>
        </w:tc>
        <w:tc>
          <w:tcPr>
            <w:tcW w:w="850" w:type="dxa"/>
            <w:tcBorders>
              <w:top w:val="nil"/>
              <w:left w:val="nil"/>
              <w:bottom w:val="single" w:sz="4" w:space="0" w:color="auto"/>
              <w:right w:val="single" w:sz="4" w:space="0" w:color="auto"/>
            </w:tcBorders>
            <w:shd w:val="clear" w:color="000000" w:fill="FFFFFF"/>
            <w:noWrap/>
            <w:hideMark/>
          </w:tcPr>
          <w:p w14:paraId="5E34F79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10A2B8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E358A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w:t>
            </w:r>
          </w:p>
        </w:tc>
        <w:tc>
          <w:tcPr>
            <w:tcW w:w="708" w:type="dxa"/>
            <w:tcBorders>
              <w:top w:val="nil"/>
              <w:left w:val="nil"/>
              <w:bottom w:val="single" w:sz="4" w:space="0" w:color="auto"/>
              <w:right w:val="nil"/>
            </w:tcBorders>
            <w:shd w:val="clear" w:color="auto" w:fill="auto"/>
            <w:noWrap/>
            <w:hideMark/>
          </w:tcPr>
          <w:p w14:paraId="1716E40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0,76</w:t>
            </w:r>
          </w:p>
        </w:tc>
        <w:tc>
          <w:tcPr>
            <w:tcW w:w="709" w:type="dxa"/>
            <w:tcBorders>
              <w:top w:val="single" w:sz="4" w:space="0" w:color="auto"/>
              <w:left w:val="single" w:sz="8" w:space="0" w:color="auto"/>
              <w:bottom w:val="nil"/>
              <w:right w:val="single" w:sz="4" w:space="0" w:color="auto"/>
            </w:tcBorders>
            <w:shd w:val="clear" w:color="auto" w:fill="auto"/>
            <w:noWrap/>
            <w:hideMark/>
          </w:tcPr>
          <w:p w14:paraId="643587E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74,35</w:t>
            </w:r>
          </w:p>
        </w:tc>
        <w:tc>
          <w:tcPr>
            <w:tcW w:w="851" w:type="dxa"/>
            <w:tcBorders>
              <w:top w:val="nil"/>
              <w:left w:val="nil"/>
              <w:bottom w:val="single" w:sz="4" w:space="0" w:color="auto"/>
              <w:right w:val="single" w:sz="4" w:space="0" w:color="auto"/>
            </w:tcBorders>
            <w:shd w:val="clear" w:color="auto" w:fill="auto"/>
            <w:noWrap/>
            <w:hideMark/>
          </w:tcPr>
          <w:p w14:paraId="74AC643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0,0055</w:t>
            </w:r>
          </w:p>
        </w:tc>
        <w:tc>
          <w:tcPr>
            <w:tcW w:w="1134" w:type="dxa"/>
            <w:tcBorders>
              <w:top w:val="nil"/>
              <w:left w:val="nil"/>
              <w:bottom w:val="single" w:sz="4" w:space="0" w:color="auto"/>
              <w:right w:val="single" w:sz="4" w:space="0" w:color="auto"/>
            </w:tcBorders>
            <w:shd w:val="clear" w:color="000000" w:fill="C6E0B4"/>
            <w:noWrap/>
            <w:hideMark/>
          </w:tcPr>
          <w:p w14:paraId="148D790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1.483.253</w:t>
            </w:r>
          </w:p>
        </w:tc>
        <w:tc>
          <w:tcPr>
            <w:tcW w:w="992" w:type="dxa"/>
            <w:tcBorders>
              <w:top w:val="nil"/>
              <w:left w:val="nil"/>
              <w:bottom w:val="single" w:sz="4" w:space="0" w:color="auto"/>
              <w:right w:val="single" w:sz="4" w:space="0" w:color="auto"/>
            </w:tcBorders>
            <w:shd w:val="clear" w:color="auto" w:fill="auto"/>
            <w:noWrap/>
            <w:hideMark/>
          </w:tcPr>
          <w:p w14:paraId="1268124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1.453.227</w:t>
            </w:r>
          </w:p>
        </w:tc>
        <w:tc>
          <w:tcPr>
            <w:tcW w:w="567" w:type="dxa"/>
            <w:tcBorders>
              <w:top w:val="nil"/>
              <w:left w:val="nil"/>
              <w:bottom w:val="single" w:sz="4" w:space="0" w:color="auto"/>
              <w:right w:val="single" w:sz="4" w:space="0" w:color="auto"/>
            </w:tcBorders>
            <w:shd w:val="clear" w:color="auto" w:fill="auto"/>
            <w:noWrap/>
            <w:hideMark/>
          </w:tcPr>
          <w:p w14:paraId="3D91EB6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102,07</w:t>
            </w:r>
          </w:p>
        </w:tc>
        <w:tc>
          <w:tcPr>
            <w:tcW w:w="850" w:type="dxa"/>
            <w:tcBorders>
              <w:top w:val="nil"/>
              <w:left w:val="nil"/>
              <w:bottom w:val="single" w:sz="4" w:space="0" w:color="auto"/>
              <w:right w:val="single" w:sz="4" w:space="0" w:color="auto"/>
            </w:tcBorders>
            <w:shd w:val="clear" w:color="auto" w:fill="auto"/>
            <w:noWrap/>
            <w:hideMark/>
          </w:tcPr>
          <w:p w14:paraId="21FFF44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1.334.928</w:t>
            </w:r>
          </w:p>
        </w:tc>
        <w:tc>
          <w:tcPr>
            <w:tcW w:w="709" w:type="dxa"/>
            <w:tcBorders>
              <w:top w:val="nil"/>
              <w:left w:val="nil"/>
              <w:bottom w:val="single" w:sz="4" w:space="0" w:color="auto"/>
              <w:right w:val="single" w:sz="8" w:space="0" w:color="auto"/>
            </w:tcBorders>
            <w:shd w:val="clear" w:color="auto" w:fill="auto"/>
            <w:noWrap/>
            <w:hideMark/>
          </w:tcPr>
          <w:p w14:paraId="734B344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148.325</w:t>
            </w:r>
          </w:p>
        </w:tc>
        <w:tc>
          <w:tcPr>
            <w:tcW w:w="851" w:type="dxa"/>
            <w:tcBorders>
              <w:top w:val="nil"/>
              <w:left w:val="single" w:sz="4" w:space="0" w:color="auto"/>
              <w:bottom w:val="single" w:sz="4" w:space="0" w:color="auto"/>
              <w:right w:val="single" w:sz="4" w:space="0" w:color="auto"/>
            </w:tcBorders>
            <w:shd w:val="clear" w:color="auto" w:fill="auto"/>
            <w:noWrap/>
            <w:hideMark/>
          </w:tcPr>
          <w:p w14:paraId="2721D553" w14:textId="5938B15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97.015</w:t>
            </w:r>
          </w:p>
        </w:tc>
      </w:tr>
      <w:tr w:rsidR="005C332D" w:rsidRPr="003F6E51" w14:paraId="2212018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EAE562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64</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112AD6B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SURDULICA</w:t>
            </w:r>
          </w:p>
        </w:tc>
        <w:tc>
          <w:tcPr>
            <w:tcW w:w="850" w:type="dxa"/>
            <w:tcBorders>
              <w:top w:val="nil"/>
              <w:left w:val="nil"/>
              <w:bottom w:val="single" w:sz="4" w:space="0" w:color="auto"/>
              <w:right w:val="single" w:sz="4" w:space="0" w:color="auto"/>
            </w:tcBorders>
            <w:shd w:val="clear" w:color="000000" w:fill="FFFFFF"/>
            <w:noWrap/>
            <w:hideMark/>
          </w:tcPr>
          <w:p w14:paraId="337C73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18311</w:t>
            </w:r>
          </w:p>
        </w:tc>
        <w:tc>
          <w:tcPr>
            <w:tcW w:w="709" w:type="dxa"/>
            <w:tcBorders>
              <w:top w:val="nil"/>
              <w:left w:val="nil"/>
              <w:bottom w:val="single" w:sz="4" w:space="0" w:color="auto"/>
              <w:right w:val="single" w:sz="8" w:space="0" w:color="auto"/>
            </w:tcBorders>
            <w:shd w:val="clear" w:color="000000" w:fill="FFFFFF"/>
            <w:noWrap/>
            <w:hideMark/>
          </w:tcPr>
          <w:p w14:paraId="4876AEE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0,38</w:t>
            </w:r>
          </w:p>
        </w:tc>
        <w:tc>
          <w:tcPr>
            <w:tcW w:w="567" w:type="dxa"/>
            <w:tcBorders>
              <w:top w:val="nil"/>
              <w:left w:val="nil"/>
              <w:bottom w:val="single" w:sz="4" w:space="0" w:color="auto"/>
              <w:right w:val="single" w:sz="4" w:space="0" w:color="auto"/>
            </w:tcBorders>
            <w:shd w:val="clear" w:color="000000" w:fill="FFFFFF"/>
            <w:noWrap/>
            <w:hideMark/>
          </w:tcPr>
          <w:p w14:paraId="0C2062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628</w:t>
            </w:r>
          </w:p>
        </w:tc>
        <w:tc>
          <w:tcPr>
            <w:tcW w:w="709" w:type="dxa"/>
            <w:tcBorders>
              <w:top w:val="nil"/>
              <w:left w:val="nil"/>
              <w:bottom w:val="single" w:sz="4" w:space="0" w:color="auto"/>
              <w:right w:val="single" w:sz="8" w:space="0" w:color="auto"/>
            </w:tcBorders>
            <w:shd w:val="clear" w:color="000000" w:fill="FFFFFF"/>
            <w:noWrap/>
            <w:hideMark/>
          </w:tcPr>
          <w:p w14:paraId="516DDF1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850" w:type="dxa"/>
            <w:tcBorders>
              <w:top w:val="nil"/>
              <w:left w:val="nil"/>
              <w:bottom w:val="single" w:sz="4" w:space="0" w:color="auto"/>
              <w:right w:val="single" w:sz="4" w:space="0" w:color="auto"/>
            </w:tcBorders>
            <w:shd w:val="clear" w:color="000000" w:fill="FFFFFF"/>
            <w:noWrap/>
            <w:hideMark/>
          </w:tcPr>
          <w:p w14:paraId="7F15801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6DF549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70BDBA5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39A1809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03CE8E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107,49</w:t>
            </w:r>
          </w:p>
        </w:tc>
        <w:tc>
          <w:tcPr>
            <w:tcW w:w="851" w:type="dxa"/>
            <w:tcBorders>
              <w:top w:val="nil"/>
              <w:left w:val="nil"/>
              <w:bottom w:val="single" w:sz="4" w:space="0" w:color="auto"/>
              <w:right w:val="single" w:sz="4" w:space="0" w:color="auto"/>
            </w:tcBorders>
            <w:shd w:val="clear" w:color="auto" w:fill="auto"/>
            <w:noWrap/>
            <w:hideMark/>
          </w:tcPr>
          <w:p w14:paraId="26490A9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0,0079</w:t>
            </w:r>
          </w:p>
        </w:tc>
        <w:tc>
          <w:tcPr>
            <w:tcW w:w="1134" w:type="dxa"/>
            <w:tcBorders>
              <w:top w:val="nil"/>
              <w:left w:val="nil"/>
              <w:bottom w:val="single" w:sz="4" w:space="0" w:color="auto"/>
              <w:right w:val="single" w:sz="4" w:space="0" w:color="auto"/>
            </w:tcBorders>
            <w:shd w:val="clear" w:color="000000" w:fill="C6E0B4"/>
            <w:noWrap/>
            <w:hideMark/>
          </w:tcPr>
          <w:p w14:paraId="5B272A1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2.144.225</w:t>
            </w:r>
          </w:p>
        </w:tc>
        <w:tc>
          <w:tcPr>
            <w:tcW w:w="992" w:type="dxa"/>
            <w:tcBorders>
              <w:top w:val="nil"/>
              <w:left w:val="nil"/>
              <w:bottom w:val="single" w:sz="4" w:space="0" w:color="auto"/>
              <w:right w:val="single" w:sz="4" w:space="0" w:color="auto"/>
            </w:tcBorders>
            <w:shd w:val="clear" w:color="auto" w:fill="auto"/>
            <w:noWrap/>
            <w:hideMark/>
          </w:tcPr>
          <w:p w14:paraId="08860D1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1.280.276</w:t>
            </w:r>
          </w:p>
        </w:tc>
        <w:tc>
          <w:tcPr>
            <w:tcW w:w="567" w:type="dxa"/>
            <w:tcBorders>
              <w:top w:val="nil"/>
              <w:left w:val="nil"/>
              <w:bottom w:val="single" w:sz="4" w:space="0" w:color="auto"/>
              <w:right w:val="single" w:sz="4" w:space="0" w:color="auto"/>
            </w:tcBorders>
            <w:shd w:val="clear" w:color="auto" w:fill="auto"/>
            <w:noWrap/>
            <w:hideMark/>
          </w:tcPr>
          <w:p w14:paraId="19B124A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167,48</w:t>
            </w:r>
          </w:p>
        </w:tc>
        <w:tc>
          <w:tcPr>
            <w:tcW w:w="850" w:type="dxa"/>
            <w:tcBorders>
              <w:top w:val="nil"/>
              <w:left w:val="nil"/>
              <w:bottom w:val="single" w:sz="4" w:space="0" w:color="auto"/>
              <w:right w:val="single" w:sz="4" w:space="0" w:color="auto"/>
            </w:tcBorders>
            <w:shd w:val="clear" w:color="auto" w:fill="auto"/>
            <w:noWrap/>
            <w:hideMark/>
          </w:tcPr>
          <w:p w14:paraId="3BD86A8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1.929.802</w:t>
            </w:r>
          </w:p>
        </w:tc>
        <w:tc>
          <w:tcPr>
            <w:tcW w:w="709" w:type="dxa"/>
            <w:tcBorders>
              <w:top w:val="nil"/>
              <w:left w:val="nil"/>
              <w:bottom w:val="single" w:sz="4" w:space="0" w:color="auto"/>
              <w:right w:val="single" w:sz="8" w:space="0" w:color="auto"/>
            </w:tcBorders>
            <w:shd w:val="clear" w:color="auto" w:fill="auto"/>
            <w:noWrap/>
            <w:hideMark/>
          </w:tcPr>
          <w:p w14:paraId="787B453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214.422</w:t>
            </w:r>
          </w:p>
        </w:tc>
        <w:tc>
          <w:tcPr>
            <w:tcW w:w="851" w:type="dxa"/>
            <w:tcBorders>
              <w:top w:val="nil"/>
              <w:left w:val="single" w:sz="4" w:space="0" w:color="auto"/>
              <w:bottom w:val="single" w:sz="4" w:space="0" w:color="auto"/>
              <w:right w:val="single" w:sz="4" w:space="0" w:color="auto"/>
            </w:tcBorders>
            <w:shd w:val="clear" w:color="auto" w:fill="auto"/>
            <w:noWrap/>
            <w:hideMark/>
          </w:tcPr>
          <w:p w14:paraId="2C1AFABD" w14:textId="199C4CE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105.390</w:t>
            </w:r>
          </w:p>
        </w:tc>
      </w:tr>
      <w:tr w:rsidR="005C332D" w:rsidRPr="003F6E51" w14:paraId="0F73083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7D0410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65</w:t>
            </w:r>
          </w:p>
        </w:tc>
        <w:tc>
          <w:tcPr>
            <w:tcW w:w="2213" w:type="dxa"/>
            <w:tcBorders>
              <w:top w:val="nil"/>
              <w:left w:val="single" w:sz="8" w:space="0" w:color="auto"/>
              <w:bottom w:val="single" w:sz="4" w:space="0" w:color="auto"/>
              <w:right w:val="single" w:sz="8" w:space="0" w:color="auto"/>
            </w:tcBorders>
            <w:shd w:val="clear" w:color="auto" w:fill="auto"/>
            <w:noWrap/>
            <w:hideMark/>
          </w:tcPr>
          <w:p w14:paraId="7B5A6AF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SVILAJNAC</w:t>
            </w:r>
          </w:p>
        </w:tc>
        <w:tc>
          <w:tcPr>
            <w:tcW w:w="850" w:type="dxa"/>
            <w:tcBorders>
              <w:top w:val="nil"/>
              <w:left w:val="nil"/>
              <w:bottom w:val="single" w:sz="4" w:space="0" w:color="auto"/>
              <w:right w:val="single" w:sz="4" w:space="0" w:color="auto"/>
            </w:tcBorders>
            <w:shd w:val="clear" w:color="000000" w:fill="FFFFFF"/>
            <w:noWrap/>
            <w:hideMark/>
          </w:tcPr>
          <w:p w14:paraId="56C7BC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20706</w:t>
            </w:r>
          </w:p>
        </w:tc>
        <w:tc>
          <w:tcPr>
            <w:tcW w:w="709" w:type="dxa"/>
            <w:tcBorders>
              <w:top w:val="nil"/>
              <w:left w:val="nil"/>
              <w:bottom w:val="single" w:sz="4" w:space="0" w:color="auto"/>
              <w:right w:val="single" w:sz="8" w:space="0" w:color="auto"/>
            </w:tcBorders>
            <w:shd w:val="clear" w:color="000000" w:fill="FFFFFF"/>
            <w:noWrap/>
            <w:hideMark/>
          </w:tcPr>
          <w:p w14:paraId="478C3BF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0,44</w:t>
            </w:r>
          </w:p>
        </w:tc>
        <w:tc>
          <w:tcPr>
            <w:tcW w:w="567" w:type="dxa"/>
            <w:tcBorders>
              <w:top w:val="nil"/>
              <w:left w:val="nil"/>
              <w:bottom w:val="single" w:sz="4" w:space="0" w:color="auto"/>
              <w:right w:val="single" w:sz="4" w:space="0" w:color="auto"/>
            </w:tcBorders>
            <w:shd w:val="clear" w:color="000000" w:fill="FFFFFF"/>
            <w:noWrap/>
            <w:hideMark/>
          </w:tcPr>
          <w:p w14:paraId="69E505C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326</w:t>
            </w:r>
          </w:p>
        </w:tc>
        <w:tc>
          <w:tcPr>
            <w:tcW w:w="709" w:type="dxa"/>
            <w:tcBorders>
              <w:top w:val="nil"/>
              <w:left w:val="nil"/>
              <w:bottom w:val="single" w:sz="4" w:space="0" w:color="auto"/>
              <w:right w:val="single" w:sz="8" w:space="0" w:color="auto"/>
            </w:tcBorders>
            <w:shd w:val="clear" w:color="000000" w:fill="FFFFFF"/>
            <w:noWrap/>
            <w:hideMark/>
          </w:tcPr>
          <w:p w14:paraId="121AE8E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0,61</w:t>
            </w:r>
          </w:p>
        </w:tc>
        <w:tc>
          <w:tcPr>
            <w:tcW w:w="850" w:type="dxa"/>
            <w:tcBorders>
              <w:top w:val="nil"/>
              <w:left w:val="nil"/>
              <w:bottom w:val="single" w:sz="4" w:space="0" w:color="auto"/>
              <w:right w:val="single" w:sz="4" w:space="0" w:color="auto"/>
            </w:tcBorders>
            <w:shd w:val="clear" w:color="000000" w:fill="FFFFFF"/>
            <w:noWrap/>
            <w:hideMark/>
          </w:tcPr>
          <w:p w14:paraId="2D6692D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531BBAD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9DB8C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269E159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19AED08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72,24</w:t>
            </w:r>
          </w:p>
        </w:tc>
        <w:tc>
          <w:tcPr>
            <w:tcW w:w="851" w:type="dxa"/>
            <w:tcBorders>
              <w:top w:val="nil"/>
              <w:left w:val="nil"/>
              <w:bottom w:val="single" w:sz="4" w:space="0" w:color="auto"/>
              <w:right w:val="single" w:sz="4" w:space="0" w:color="auto"/>
            </w:tcBorders>
            <w:shd w:val="clear" w:color="auto" w:fill="auto"/>
            <w:noWrap/>
            <w:hideMark/>
          </w:tcPr>
          <w:p w14:paraId="62832F0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0,0053</w:t>
            </w:r>
          </w:p>
        </w:tc>
        <w:tc>
          <w:tcPr>
            <w:tcW w:w="1134" w:type="dxa"/>
            <w:tcBorders>
              <w:top w:val="nil"/>
              <w:left w:val="nil"/>
              <w:bottom w:val="single" w:sz="4" w:space="0" w:color="auto"/>
              <w:right w:val="single" w:sz="4" w:space="0" w:color="auto"/>
            </w:tcBorders>
            <w:shd w:val="clear" w:color="000000" w:fill="C6E0B4"/>
            <w:noWrap/>
            <w:hideMark/>
          </w:tcPr>
          <w:p w14:paraId="5DB0D54C"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1.441.013</w:t>
            </w:r>
          </w:p>
        </w:tc>
        <w:tc>
          <w:tcPr>
            <w:tcW w:w="992" w:type="dxa"/>
            <w:tcBorders>
              <w:top w:val="nil"/>
              <w:left w:val="nil"/>
              <w:bottom w:val="single" w:sz="4" w:space="0" w:color="auto"/>
              <w:right w:val="single" w:sz="4" w:space="0" w:color="auto"/>
            </w:tcBorders>
            <w:shd w:val="clear" w:color="auto" w:fill="auto"/>
            <w:noWrap/>
            <w:hideMark/>
          </w:tcPr>
          <w:p w14:paraId="63F39AB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2.005.026</w:t>
            </w:r>
          </w:p>
        </w:tc>
        <w:tc>
          <w:tcPr>
            <w:tcW w:w="567" w:type="dxa"/>
            <w:tcBorders>
              <w:top w:val="nil"/>
              <w:left w:val="nil"/>
              <w:bottom w:val="single" w:sz="4" w:space="0" w:color="auto"/>
              <w:right w:val="single" w:sz="4" w:space="0" w:color="auto"/>
            </w:tcBorders>
            <w:shd w:val="clear" w:color="auto" w:fill="auto"/>
            <w:noWrap/>
            <w:hideMark/>
          </w:tcPr>
          <w:p w14:paraId="1382B9E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71,87</w:t>
            </w:r>
          </w:p>
        </w:tc>
        <w:tc>
          <w:tcPr>
            <w:tcW w:w="850" w:type="dxa"/>
            <w:tcBorders>
              <w:top w:val="nil"/>
              <w:left w:val="nil"/>
              <w:bottom w:val="single" w:sz="4" w:space="0" w:color="auto"/>
              <w:right w:val="single" w:sz="4" w:space="0" w:color="auto"/>
            </w:tcBorders>
            <w:shd w:val="clear" w:color="auto" w:fill="auto"/>
            <w:noWrap/>
            <w:hideMark/>
          </w:tcPr>
          <w:p w14:paraId="19232DA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1.296.912</w:t>
            </w:r>
          </w:p>
        </w:tc>
        <w:tc>
          <w:tcPr>
            <w:tcW w:w="709" w:type="dxa"/>
            <w:tcBorders>
              <w:top w:val="nil"/>
              <w:left w:val="nil"/>
              <w:bottom w:val="single" w:sz="4" w:space="0" w:color="auto"/>
              <w:right w:val="single" w:sz="8" w:space="0" w:color="auto"/>
            </w:tcBorders>
            <w:shd w:val="clear" w:color="auto" w:fill="auto"/>
            <w:noWrap/>
            <w:hideMark/>
          </w:tcPr>
          <w:p w14:paraId="759A81B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144.101</w:t>
            </w:r>
          </w:p>
        </w:tc>
        <w:tc>
          <w:tcPr>
            <w:tcW w:w="851" w:type="dxa"/>
            <w:tcBorders>
              <w:top w:val="nil"/>
              <w:left w:val="single" w:sz="4" w:space="0" w:color="auto"/>
              <w:bottom w:val="single" w:sz="4" w:space="0" w:color="auto"/>
              <w:right w:val="single" w:sz="4" w:space="0" w:color="auto"/>
            </w:tcBorders>
            <w:shd w:val="clear" w:color="auto" w:fill="auto"/>
            <w:noWrap/>
            <w:hideMark/>
          </w:tcPr>
          <w:p w14:paraId="436EDF23" w14:textId="1C4003A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62.635</w:t>
            </w:r>
          </w:p>
        </w:tc>
      </w:tr>
      <w:tr w:rsidR="005C332D" w:rsidRPr="003F6E51" w14:paraId="53AAEEA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B0F49A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66</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24884D9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SVRLJIG</w:t>
            </w:r>
          </w:p>
        </w:tc>
        <w:tc>
          <w:tcPr>
            <w:tcW w:w="850" w:type="dxa"/>
            <w:tcBorders>
              <w:top w:val="nil"/>
              <w:left w:val="nil"/>
              <w:bottom w:val="single" w:sz="4" w:space="0" w:color="auto"/>
              <w:right w:val="single" w:sz="4" w:space="0" w:color="auto"/>
            </w:tcBorders>
            <w:shd w:val="clear" w:color="000000" w:fill="FFFFFF"/>
            <w:noWrap/>
            <w:hideMark/>
          </w:tcPr>
          <w:p w14:paraId="1C14E11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12098</w:t>
            </w:r>
          </w:p>
        </w:tc>
        <w:tc>
          <w:tcPr>
            <w:tcW w:w="709" w:type="dxa"/>
            <w:tcBorders>
              <w:top w:val="nil"/>
              <w:left w:val="nil"/>
              <w:bottom w:val="single" w:sz="4" w:space="0" w:color="auto"/>
              <w:right w:val="single" w:sz="8" w:space="0" w:color="auto"/>
            </w:tcBorders>
            <w:shd w:val="clear" w:color="000000" w:fill="FFFFFF"/>
            <w:noWrap/>
            <w:hideMark/>
          </w:tcPr>
          <w:p w14:paraId="680AE26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0,25</w:t>
            </w:r>
          </w:p>
        </w:tc>
        <w:tc>
          <w:tcPr>
            <w:tcW w:w="567" w:type="dxa"/>
            <w:tcBorders>
              <w:top w:val="nil"/>
              <w:left w:val="nil"/>
              <w:bottom w:val="single" w:sz="4" w:space="0" w:color="auto"/>
              <w:right w:val="single" w:sz="4" w:space="0" w:color="auto"/>
            </w:tcBorders>
            <w:shd w:val="clear" w:color="000000" w:fill="FFFFFF"/>
            <w:noWrap/>
            <w:hideMark/>
          </w:tcPr>
          <w:p w14:paraId="049D519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497</w:t>
            </w:r>
          </w:p>
        </w:tc>
        <w:tc>
          <w:tcPr>
            <w:tcW w:w="709" w:type="dxa"/>
            <w:tcBorders>
              <w:top w:val="nil"/>
              <w:left w:val="nil"/>
              <w:bottom w:val="single" w:sz="4" w:space="0" w:color="auto"/>
              <w:right w:val="single" w:sz="8" w:space="0" w:color="auto"/>
            </w:tcBorders>
            <w:shd w:val="clear" w:color="000000" w:fill="FFFFFF"/>
            <w:noWrap/>
            <w:hideMark/>
          </w:tcPr>
          <w:p w14:paraId="2250714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0,93</w:t>
            </w:r>
          </w:p>
        </w:tc>
        <w:tc>
          <w:tcPr>
            <w:tcW w:w="850" w:type="dxa"/>
            <w:tcBorders>
              <w:top w:val="nil"/>
              <w:left w:val="nil"/>
              <w:bottom w:val="single" w:sz="4" w:space="0" w:color="auto"/>
              <w:right w:val="single" w:sz="4" w:space="0" w:color="auto"/>
            </w:tcBorders>
            <w:shd w:val="clear" w:color="000000" w:fill="FFFFFF"/>
            <w:noWrap/>
            <w:hideMark/>
          </w:tcPr>
          <w:p w14:paraId="0315FBE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D6D50E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65C5065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5291C56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3D4F9D7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97,83</w:t>
            </w:r>
          </w:p>
        </w:tc>
        <w:tc>
          <w:tcPr>
            <w:tcW w:w="851" w:type="dxa"/>
            <w:tcBorders>
              <w:top w:val="nil"/>
              <w:left w:val="nil"/>
              <w:bottom w:val="single" w:sz="4" w:space="0" w:color="auto"/>
              <w:right w:val="single" w:sz="4" w:space="0" w:color="auto"/>
            </w:tcBorders>
            <w:shd w:val="clear" w:color="auto" w:fill="auto"/>
            <w:noWrap/>
            <w:hideMark/>
          </w:tcPr>
          <w:p w14:paraId="3257F6C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0,0072</w:t>
            </w:r>
          </w:p>
        </w:tc>
        <w:tc>
          <w:tcPr>
            <w:tcW w:w="1134" w:type="dxa"/>
            <w:tcBorders>
              <w:top w:val="nil"/>
              <w:left w:val="nil"/>
              <w:bottom w:val="single" w:sz="4" w:space="0" w:color="auto"/>
              <w:right w:val="single" w:sz="4" w:space="0" w:color="auto"/>
            </w:tcBorders>
            <w:shd w:val="clear" w:color="000000" w:fill="C6E0B4"/>
            <w:noWrap/>
            <w:hideMark/>
          </w:tcPr>
          <w:p w14:paraId="73A229D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1.951.613</w:t>
            </w:r>
          </w:p>
        </w:tc>
        <w:tc>
          <w:tcPr>
            <w:tcW w:w="992" w:type="dxa"/>
            <w:tcBorders>
              <w:top w:val="nil"/>
              <w:left w:val="nil"/>
              <w:bottom w:val="single" w:sz="4" w:space="0" w:color="auto"/>
              <w:right w:val="single" w:sz="4" w:space="0" w:color="auto"/>
            </w:tcBorders>
            <w:shd w:val="clear" w:color="auto" w:fill="auto"/>
            <w:noWrap/>
            <w:hideMark/>
          </w:tcPr>
          <w:p w14:paraId="2F2D2F1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372.677</w:t>
            </w:r>
          </w:p>
        </w:tc>
        <w:tc>
          <w:tcPr>
            <w:tcW w:w="567" w:type="dxa"/>
            <w:tcBorders>
              <w:top w:val="nil"/>
              <w:left w:val="nil"/>
              <w:bottom w:val="single" w:sz="4" w:space="0" w:color="auto"/>
              <w:right w:val="single" w:sz="4" w:space="0" w:color="auto"/>
            </w:tcBorders>
            <w:shd w:val="clear" w:color="auto" w:fill="auto"/>
            <w:noWrap/>
            <w:hideMark/>
          </w:tcPr>
          <w:p w14:paraId="737498E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523,67</w:t>
            </w:r>
          </w:p>
        </w:tc>
        <w:tc>
          <w:tcPr>
            <w:tcW w:w="850" w:type="dxa"/>
            <w:tcBorders>
              <w:top w:val="nil"/>
              <w:left w:val="nil"/>
              <w:bottom w:val="single" w:sz="4" w:space="0" w:color="auto"/>
              <w:right w:val="single" w:sz="4" w:space="0" w:color="auto"/>
            </w:tcBorders>
            <w:shd w:val="clear" w:color="auto" w:fill="auto"/>
            <w:noWrap/>
            <w:hideMark/>
          </w:tcPr>
          <w:p w14:paraId="5B1A2F4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1.756.451</w:t>
            </w:r>
          </w:p>
        </w:tc>
        <w:tc>
          <w:tcPr>
            <w:tcW w:w="709" w:type="dxa"/>
            <w:tcBorders>
              <w:top w:val="nil"/>
              <w:left w:val="nil"/>
              <w:bottom w:val="single" w:sz="4" w:space="0" w:color="auto"/>
              <w:right w:val="single" w:sz="8" w:space="0" w:color="auto"/>
            </w:tcBorders>
            <w:shd w:val="clear" w:color="auto" w:fill="auto"/>
            <w:noWrap/>
            <w:hideMark/>
          </w:tcPr>
          <w:p w14:paraId="1693B4F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195.161</w:t>
            </w:r>
          </w:p>
        </w:tc>
        <w:tc>
          <w:tcPr>
            <w:tcW w:w="851" w:type="dxa"/>
            <w:tcBorders>
              <w:top w:val="nil"/>
              <w:left w:val="single" w:sz="4" w:space="0" w:color="auto"/>
              <w:bottom w:val="single" w:sz="4" w:space="0" w:color="auto"/>
              <w:right w:val="single" w:sz="4" w:space="0" w:color="auto"/>
            </w:tcBorders>
            <w:shd w:val="clear" w:color="auto" w:fill="auto"/>
            <w:noWrap/>
            <w:hideMark/>
          </w:tcPr>
          <w:p w14:paraId="3B9163B5" w14:textId="6967C01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145.185</w:t>
            </w:r>
          </w:p>
        </w:tc>
      </w:tr>
      <w:tr w:rsidR="005C332D" w:rsidRPr="003F6E51" w14:paraId="1BE9834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F920C4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67</w:t>
            </w:r>
          </w:p>
        </w:tc>
        <w:tc>
          <w:tcPr>
            <w:tcW w:w="2213" w:type="dxa"/>
            <w:tcBorders>
              <w:top w:val="nil"/>
              <w:left w:val="single" w:sz="8" w:space="0" w:color="auto"/>
              <w:bottom w:val="single" w:sz="4" w:space="0" w:color="auto"/>
              <w:right w:val="single" w:sz="8" w:space="0" w:color="auto"/>
            </w:tcBorders>
            <w:shd w:val="clear" w:color="auto" w:fill="auto"/>
            <w:noWrap/>
            <w:hideMark/>
          </w:tcPr>
          <w:p w14:paraId="00ECEB1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TOPOLA</w:t>
            </w:r>
          </w:p>
        </w:tc>
        <w:tc>
          <w:tcPr>
            <w:tcW w:w="850" w:type="dxa"/>
            <w:tcBorders>
              <w:top w:val="nil"/>
              <w:left w:val="nil"/>
              <w:bottom w:val="single" w:sz="4" w:space="0" w:color="auto"/>
              <w:right w:val="single" w:sz="4" w:space="0" w:color="auto"/>
            </w:tcBorders>
            <w:shd w:val="clear" w:color="000000" w:fill="FFFFFF"/>
            <w:noWrap/>
            <w:hideMark/>
          </w:tcPr>
          <w:p w14:paraId="1C02894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19858</w:t>
            </w:r>
          </w:p>
        </w:tc>
        <w:tc>
          <w:tcPr>
            <w:tcW w:w="709" w:type="dxa"/>
            <w:tcBorders>
              <w:top w:val="nil"/>
              <w:left w:val="nil"/>
              <w:bottom w:val="single" w:sz="4" w:space="0" w:color="auto"/>
              <w:right w:val="single" w:sz="8" w:space="0" w:color="auto"/>
            </w:tcBorders>
            <w:shd w:val="clear" w:color="000000" w:fill="FFFFFF"/>
            <w:noWrap/>
            <w:hideMark/>
          </w:tcPr>
          <w:p w14:paraId="285A033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0,42</w:t>
            </w:r>
          </w:p>
        </w:tc>
        <w:tc>
          <w:tcPr>
            <w:tcW w:w="567" w:type="dxa"/>
            <w:tcBorders>
              <w:top w:val="nil"/>
              <w:left w:val="nil"/>
              <w:bottom w:val="single" w:sz="4" w:space="0" w:color="auto"/>
              <w:right w:val="single" w:sz="4" w:space="0" w:color="auto"/>
            </w:tcBorders>
            <w:shd w:val="clear" w:color="000000" w:fill="FFFFFF"/>
            <w:noWrap/>
            <w:hideMark/>
          </w:tcPr>
          <w:p w14:paraId="203991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357</w:t>
            </w:r>
          </w:p>
        </w:tc>
        <w:tc>
          <w:tcPr>
            <w:tcW w:w="709" w:type="dxa"/>
            <w:tcBorders>
              <w:top w:val="nil"/>
              <w:left w:val="nil"/>
              <w:bottom w:val="single" w:sz="4" w:space="0" w:color="auto"/>
              <w:right w:val="single" w:sz="8" w:space="0" w:color="auto"/>
            </w:tcBorders>
            <w:shd w:val="clear" w:color="000000" w:fill="FFFFFF"/>
            <w:noWrap/>
            <w:hideMark/>
          </w:tcPr>
          <w:p w14:paraId="5B95BF3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0,67</w:t>
            </w:r>
          </w:p>
        </w:tc>
        <w:tc>
          <w:tcPr>
            <w:tcW w:w="850" w:type="dxa"/>
            <w:tcBorders>
              <w:top w:val="nil"/>
              <w:left w:val="nil"/>
              <w:bottom w:val="single" w:sz="4" w:space="0" w:color="auto"/>
              <w:right w:val="single" w:sz="4" w:space="0" w:color="auto"/>
            </w:tcBorders>
            <w:shd w:val="clear" w:color="000000" w:fill="FFFFFF"/>
            <w:noWrap/>
            <w:hideMark/>
          </w:tcPr>
          <w:p w14:paraId="1AD5C01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1537147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7D17DD9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179D8A1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11C7FE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59,37</w:t>
            </w:r>
          </w:p>
        </w:tc>
        <w:tc>
          <w:tcPr>
            <w:tcW w:w="851" w:type="dxa"/>
            <w:tcBorders>
              <w:top w:val="nil"/>
              <w:left w:val="nil"/>
              <w:bottom w:val="single" w:sz="4" w:space="0" w:color="auto"/>
              <w:right w:val="single" w:sz="4" w:space="0" w:color="auto"/>
            </w:tcBorders>
            <w:shd w:val="clear" w:color="auto" w:fill="auto"/>
            <w:noWrap/>
            <w:hideMark/>
          </w:tcPr>
          <w:p w14:paraId="408CCBF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0,0044</w:t>
            </w:r>
          </w:p>
        </w:tc>
        <w:tc>
          <w:tcPr>
            <w:tcW w:w="1134" w:type="dxa"/>
            <w:tcBorders>
              <w:top w:val="nil"/>
              <w:left w:val="nil"/>
              <w:bottom w:val="single" w:sz="4" w:space="0" w:color="auto"/>
              <w:right w:val="single" w:sz="4" w:space="0" w:color="auto"/>
            </w:tcBorders>
            <w:shd w:val="clear" w:color="000000" w:fill="C6E0B4"/>
            <w:noWrap/>
            <w:hideMark/>
          </w:tcPr>
          <w:p w14:paraId="747A20E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1.184.272</w:t>
            </w:r>
          </w:p>
        </w:tc>
        <w:tc>
          <w:tcPr>
            <w:tcW w:w="992" w:type="dxa"/>
            <w:tcBorders>
              <w:top w:val="nil"/>
              <w:left w:val="nil"/>
              <w:bottom w:val="single" w:sz="4" w:space="0" w:color="auto"/>
              <w:right w:val="single" w:sz="4" w:space="0" w:color="auto"/>
            </w:tcBorders>
            <w:shd w:val="clear" w:color="auto" w:fill="auto"/>
            <w:noWrap/>
            <w:hideMark/>
          </w:tcPr>
          <w:p w14:paraId="0C4CBA5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1.011.003</w:t>
            </w:r>
          </w:p>
        </w:tc>
        <w:tc>
          <w:tcPr>
            <w:tcW w:w="567" w:type="dxa"/>
            <w:tcBorders>
              <w:top w:val="nil"/>
              <w:left w:val="nil"/>
              <w:bottom w:val="single" w:sz="4" w:space="0" w:color="auto"/>
              <w:right w:val="single" w:sz="4" w:space="0" w:color="auto"/>
            </w:tcBorders>
            <w:shd w:val="clear" w:color="auto" w:fill="auto"/>
            <w:noWrap/>
            <w:hideMark/>
          </w:tcPr>
          <w:p w14:paraId="7694C06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117,14</w:t>
            </w:r>
          </w:p>
        </w:tc>
        <w:tc>
          <w:tcPr>
            <w:tcW w:w="850" w:type="dxa"/>
            <w:tcBorders>
              <w:top w:val="nil"/>
              <w:left w:val="nil"/>
              <w:bottom w:val="single" w:sz="4" w:space="0" w:color="auto"/>
              <w:right w:val="single" w:sz="4" w:space="0" w:color="auto"/>
            </w:tcBorders>
            <w:shd w:val="clear" w:color="auto" w:fill="auto"/>
            <w:noWrap/>
            <w:hideMark/>
          </w:tcPr>
          <w:p w14:paraId="43A6A08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1.065.845</w:t>
            </w:r>
          </w:p>
        </w:tc>
        <w:tc>
          <w:tcPr>
            <w:tcW w:w="709" w:type="dxa"/>
            <w:tcBorders>
              <w:top w:val="nil"/>
              <w:left w:val="nil"/>
              <w:bottom w:val="single" w:sz="4" w:space="0" w:color="auto"/>
              <w:right w:val="single" w:sz="8" w:space="0" w:color="auto"/>
            </w:tcBorders>
            <w:shd w:val="clear" w:color="auto" w:fill="auto"/>
            <w:noWrap/>
            <w:hideMark/>
          </w:tcPr>
          <w:p w14:paraId="6A69958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118.427</w:t>
            </w:r>
          </w:p>
        </w:tc>
        <w:tc>
          <w:tcPr>
            <w:tcW w:w="851" w:type="dxa"/>
            <w:tcBorders>
              <w:top w:val="nil"/>
              <w:left w:val="single" w:sz="4" w:space="0" w:color="auto"/>
              <w:bottom w:val="single" w:sz="4" w:space="0" w:color="auto"/>
              <w:right w:val="single" w:sz="4" w:space="0" w:color="auto"/>
            </w:tcBorders>
            <w:shd w:val="clear" w:color="auto" w:fill="auto"/>
            <w:noWrap/>
            <w:hideMark/>
          </w:tcPr>
          <w:p w14:paraId="6F9AACF1" w14:textId="4C4157A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53.673</w:t>
            </w:r>
          </w:p>
        </w:tc>
      </w:tr>
      <w:tr w:rsidR="005C332D" w:rsidRPr="003F6E51" w14:paraId="0279CF1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85DF9A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783F8B1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TRGOVIŠTE</w:t>
            </w:r>
          </w:p>
        </w:tc>
        <w:tc>
          <w:tcPr>
            <w:tcW w:w="850" w:type="dxa"/>
            <w:tcBorders>
              <w:top w:val="nil"/>
              <w:left w:val="nil"/>
              <w:bottom w:val="single" w:sz="4" w:space="0" w:color="auto"/>
              <w:right w:val="single" w:sz="4" w:space="0" w:color="auto"/>
            </w:tcBorders>
            <w:shd w:val="clear" w:color="000000" w:fill="FFFFFF"/>
            <w:noWrap/>
            <w:hideMark/>
          </w:tcPr>
          <w:p w14:paraId="38C771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4479</w:t>
            </w:r>
          </w:p>
        </w:tc>
        <w:tc>
          <w:tcPr>
            <w:tcW w:w="709" w:type="dxa"/>
            <w:tcBorders>
              <w:top w:val="nil"/>
              <w:left w:val="nil"/>
              <w:bottom w:val="single" w:sz="4" w:space="0" w:color="auto"/>
              <w:right w:val="single" w:sz="8" w:space="0" w:color="auto"/>
            </w:tcBorders>
            <w:shd w:val="clear" w:color="000000" w:fill="FFFFFF"/>
            <w:noWrap/>
            <w:hideMark/>
          </w:tcPr>
          <w:p w14:paraId="565769D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0,09</w:t>
            </w:r>
          </w:p>
        </w:tc>
        <w:tc>
          <w:tcPr>
            <w:tcW w:w="567" w:type="dxa"/>
            <w:tcBorders>
              <w:top w:val="nil"/>
              <w:left w:val="nil"/>
              <w:bottom w:val="single" w:sz="4" w:space="0" w:color="auto"/>
              <w:right w:val="single" w:sz="4" w:space="0" w:color="auto"/>
            </w:tcBorders>
            <w:shd w:val="clear" w:color="000000" w:fill="FFFFFF"/>
            <w:noWrap/>
            <w:hideMark/>
          </w:tcPr>
          <w:p w14:paraId="728457F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370</w:t>
            </w:r>
          </w:p>
        </w:tc>
        <w:tc>
          <w:tcPr>
            <w:tcW w:w="709" w:type="dxa"/>
            <w:tcBorders>
              <w:top w:val="nil"/>
              <w:left w:val="nil"/>
              <w:bottom w:val="single" w:sz="4" w:space="0" w:color="auto"/>
              <w:right w:val="single" w:sz="8" w:space="0" w:color="auto"/>
            </w:tcBorders>
            <w:shd w:val="clear" w:color="000000" w:fill="FFFFFF"/>
            <w:noWrap/>
            <w:hideMark/>
          </w:tcPr>
          <w:p w14:paraId="5A305A8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0,69</w:t>
            </w:r>
          </w:p>
        </w:tc>
        <w:tc>
          <w:tcPr>
            <w:tcW w:w="850" w:type="dxa"/>
            <w:tcBorders>
              <w:top w:val="nil"/>
              <w:left w:val="nil"/>
              <w:bottom w:val="single" w:sz="4" w:space="0" w:color="auto"/>
              <w:right w:val="single" w:sz="4" w:space="0" w:color="auto"/>
            </w:tcBorders>
            <w:shd w:val="clear" w:color="000000" w:fill="FFFFFF"/>
            <w:noWrap/>
            <w:hideMark/>
          </w:tcPr>
          <w:p w14:paraId="0C0EC4B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2D9E679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30F9F3E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00E1CF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387AE15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85,26</w:t>
            </w:r>
          </w:p>
        </w:tc>
        <w:tc>
          <w:tcPr>
            <w:tcW w:w="851" w:type="dxa"/>
            <w:tcBorders>
              <w:top w:val="nil"/>
              <w:left w:val="nil"/>
              <w:bottom w:val="single" w:sz="4" w:space="0" w:color="auto"/>
              <w:right w:val="single" w:sz="4" w:space="0" w:color="auto"/>
            </w:tcBorders>
            <w:shd w:val="clear" w:color="auto" w:fill="auto"/>
            <w:noWrap/>
            <w:hideMark/>
          </w:tcPr>
          <w:p w14:paraId="5D24834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0,0063</w:t>
            </w:r>
          </w:p>
        </w:tc>
        <w:tc>
          <w:tcPr>
            <w:tcW w:w="1134" w:type="dxa"/>
            <w:tcBorders>
              <w:top w:val="nil"/>
              <w:left w:val="nil"/>
              <w:bottom w:val="single" w:sz="4" w:space="0" w:color="auto"/>
              <w:right w:val="single" w:sz="4" w:space="0" w:color="auto"/>
            </w:tcBorders>
            <w:shd w:val="clear" w:color="000000" w:fill="C6E0B4"/>
            <w:noWrap/>
            <w:hideMark/>
          </w:tcPr>
          <w:p w14:paraId="5CCC2D4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1.700.794</w:t>
            </w:r>
          </w:p>
        </w:tc>
        <w:tc>
          <w:tcPr>
            <w:tcW w:w="992" w:type="dxa"/>
            <w:tcBorders>
              <w:top w:val="nil"/>
              <w:left w:val="nil"/>
              <w:bottom w:val="single" w:sz="4" w:space="0" w:color="auto"/>
              <w:right w:val="single" w:sz="4" w:space="0" w:color="auto"/>
            </w:tcBorders>
            <w:shd w:val="clear" w:color="auto" w:fill="auto"/>
            <w:noWrap/>
            <w:hideMark/>
          </w:tcPr>
          <w:p w14:paraId="1FF0EBE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652.580</w:t>
            </w:r>
          </w:p>
        </w:tc>
        <w:tc>
          <w:tcPr>
            <w:tcW w:w="567" w:type="dxa"/>
            <w:tcBorders>
              <w:top w:val="nil"/>
              <w:left w:val="nil"/>
              <w:bottom w:val="single" w:sz="4" w:space="0" w:color="auto"/>
              <w:right w:val="single" w:sz="4" w:space="0" w:color="auto"/>
            </w:tcBorders>
            <w:shd w:val="clear" w:color="auto" w:fill="auto"/>
            <w:noWrap/>
            <w:hideMark/>
          </w:tcPr>
          <w:p w14:paraId="78960BB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260,63</w:t>
            </w:r>
          </w:p>
        </w:tc>
        <w:tc>
          <w:tcPr>
            <w:tcW w:w="850" w:type="dxa"/>
            <w:tcBorders>
              <w:top w:val="nil"/>
              <w:left w:val="nil"/>
              <w:bottom w:val="single" w:sz="4" w:space="0" w:color="auto"/>
              <w:right w:val="single" w:sz="4" w:space="0" w:color="auto"/>
            </w:tcBorders>
            <w:shd w:val="clear" w:color="auto" w:fill="auto"/>
            <w:noWrap/>
            <w:hideMark/>
          </w:tcPr>
          <w:p w14:paraId="2F4BC09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1.530.715</w:t>
            </w:r>
          </w:p>
        </w:tc>
        <w:tc>
          <w:tcPr>
            <w:tcW w:w="709" w:type="dxa"/>
            <w:tcBorders>
              <w:top w:val="nil"/>
              <w:left w:val="nil"/>
              <w:bottom w:val="single" w:sz="4" w:space="0" w:color="auto"/>
              <w:right w:val="single" w:sz="8" w:space="0" w:color="auto"/>
            </w:tcBorders>
            <w:shd w:val="clear" w:color="auto" w:fill="auto"/>
            <w:noWrap/>
            <w:hideMark/>
          </w:tcPr>
          <w:p w14:paraId="0829718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170.079</w:t>
            </w:r>
          </w:p>
        </w:tc>
        <w:tc>
          <w:tcPr>
            <w:tcW w:w="851" w:type="dxa"/>
            <w:tcBorders>
              <w:top w:val="nil"/>
              <w:left w:val="single" w:sz="4" w:space="0" w:color="auto"/>
              <w:bottom w:val="single" w:sz="4" w:space="0" w:color="auto"/>
              <w:right w:val="single" w:sz="4" w:space="0" w:color="auto"/>
            </w:tcBorders>
            <w:shd w:val="clear" w:color="auto" w:fill="auto"/>
            <w:noWrap/>
            <w:hideMark/>
          </w:tcPr>
          <w:p w14:paraId="38F3F7E5" w14:textId="1530920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341.754</w:t>
            </w:r>
          </w:p>
        </w:tc>
      </w:tr>
      <w:tr w:rsidR="005C332D" w:rsidRPr="003F6E51" w14:paraId="7F7ACAD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60AFA2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69</w:t>
            </w:r>
          </w:p>
        </w:tc>
        <w:tc>
          <w:tcPr>
            <w:tcW w:w="2213" w:type="dxa"/>
            <w:tcBorders>
              <w:top w:val="nil"/>
              <w:left w:val="single" w:sz="8" w:space="0" w:color="auto"/>
              <w:bottom w:val="single" w:sz="4" w:space="0" w:color="auto"/>
              <w:right w:val="single" w:sz="8" w:space="0" w:color="auto"/>
            </w:tcBorders>
            <w:shd w:val="clear" w:color="auto" w:fill="auto"/>
            <w:noWrap/>
            <w:hideMark/>
          </w:tcPr>
          <w:p w14:paraId="3E2B7E9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TRSTENIK</w:t>
            </w:r>
          </w:p>
        </w:tc>
        <w:tc>
          <w:tcPr>
            <w:tcW w:w="850" w:type="dxa"/>
            <w:tcBorders>
              <w:top w:val="nil"/>
              <w:left w:val="nil"/>
              <w:bottom w:val="single" w:sz="4" w:space="0" w:color="auto"/>
              <w:right w:val="single" w:sz="4" w:space="0" w:color="auto"/>
            </w:tcBorders>
            <w:shd w:val="clear" w:color="000000" w:fill="FFFFFF"/>
            <w:noWrap/>
            <w:hideMark/>
          </w:tcPr>
          <w:p w14:paraId="25A532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37862</w:t>
            </w:r>
          </w:p>
        </w:tc>
        <w:tc>
          <w:tcPr>
            <w:tcW w:w="709" w:type="dxa"/>
            <w:tcBorders>
              <w:top w:val="nil"/>
              <w:left w:val="nil"/>
              <w:bottom w:val="single" w:sz="4" w:space="0" w:color="auto"/>
              <w:right w:val="single" w:sz="8" w:space="0" w:color="auto"/>
            </w:tcBorders>
            <w:shd w:val="clear" w:color="000000" w:fill="FFFFFF"/>
            <w:noWrap/>
            <w:hideMark/>
          </w:tcPr>
          <w:p w14:paraId="4D975C9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0,80</w:t>
            </w:r>
          </w:p>
        </w:tc>
        <w:tc>
          <w:tcPr>
            <w:tcW w:w="567" w:type="dxa"/>
            <w:tcBorders>
              <w:top w:val="nil"/>
              <w:left w:val="nil"/>
              <w:bottom w:val="single" w:sz="4" w:space="0" w:color="auto"/>
              <w:right w:val="single" w:sz="4" w:space="0" w:color="auto"/>
            </w:tcBorders>
            <w:shd w:val="clear" w:color="000000" w:fill="FFFFFF"/>
            <w:noWrap/>
            <w:hideMark/>
          </w:tcPr>
          <w:p w14:paraId="42C8CD7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448</w:t>
            </w:r>
          </w:p>
        </w:tc>
        <w:tc>
          <w:tcPr>
            <w:tcW w:w="709" w:type="dxa"/>
            <w:tcBorders>
              <w:top w:val="nil"/>
              <w:left w:val="nil"/>
              <w:bottom w:val="single" w:sz="4" w:space="0" w:color="auto"/>
              <w:right w:val="single" w:sz="8" w:space="0" w:color="auto"/>
            </w:tcBorders>
            <w:shd w:val="clear" w:color="000000" w:fill="FFFFFF"/>
            <w:noWrap/>
            <w:hideMark/>
          </w:tcPr>
          <w:p w14:paraId="2C7F7E0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0,84</w:t>
            </w:r>
          </w:p>
        </w:tc>
        <w:tc>
          <w:tcPr>
            <w:tcW w:w="850" w:type="dxa"/>
            <w:tcBorders>
              <w:top w:val="nil"/>
              <w:left w:val="nil"/>
              <w:bottom w:val="single" w:sz="4" w:space="0" w:color="auto"/>
              <w:right w:val="single" w:sz="4" w:space="0" w:color="auto"/>
            </w:tcBorders>
            <w:shd w:val="clear" w:color="000000" w:fill="FFFFFF"/>
            <w:noWrap/>
            <w:hideMark/>
          </w:tcPr>
          <w:p w14:paraId="321217E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B2ABD9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31B86C8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0B2837B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single" w:sz="4" w:space="0" w:color="auto"/>
              <w:left w:val="single" w:sz="8" w:space="0" w:color="auto"/>
              <w:bottom w:val="nil"/>
              <w:right w:val="single" w:sz="4" w:space="0" w:color="auto"/>
            </w:tcBorders>
            <w:shd w:val="clear" w:color="auto" w:fill="auto"/>
            <w:noWrap/>
            <w:hideMark/>
          </w:tcPr>
          <w:p w14:paraId="20EDEB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90,21</w:t>
            </w:r>
          </w:p>
        </w:tc>
        <w:tc>
          <w:tcPr>
            <w:tcW w:w="851" w:type="dxa"/>
            <w:tcBorders>
              <w:top w:val="nil"/>
              <w:left w:val="nil"/>
              <w:bottom w:val="single" w:sz="4" w:space="0" w:color="auto"/>
              <w:right w:val="single" w:sz="4" w:space="0" w:color="auto"/>
            </w:tcBorders>
            <w:shd w:val="clear" w:color="auto" w:fill="auto"/>
            <w:noWrap/>
            <w:hideMark/>
          </w:tcPr>
          <w:p w14:paraId="6265ED0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0,0066</w:t>
            </w:r>
          </w:p>
        </w:tc>
        <w:tc>
          <w:tcPr>
            <w:tcW w:w="1134" w:type="dxa"/>
            <w:tcBorders>
              <w:top w:val="nil"/>
              <w:left w:val="nil"/>
              <w:bottom w:val="single" w:sz="4" w:space="0" w:color="auto"/>
              <w:right w:val="single" w:sz="4" w:space="0" w:color="auto"/>
            </w:tcBorders>
            <w:shd w:val="clear" w:color="000000" w:fill="C6E0B4"/>
            <w:noWrap/>
            <w:hideMark/>
          </w:tcPr>
          <w:p w14:paraId="7B441BE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1.799.584</w:t>
            </w:r>
          </w:p>
        </w:tc>
        <w:tc>
          <w:tcPr>
            <w:tcW w:w="992" w:type="dxa"/>
            <w:tcBorders>
              <w:top w:val="nil"/>
              <w:left w:val="nil"/>
              <w:bottom w:val="single" w:sz="4" w:space="0" w:color="auto"/>
              <w:right w:val="single" w:sz="4" w:space="0" w:color="auto"/>
            </w:tcBorders>
            <w:shd w:val="clear" w:color="auto" w:fill="auto"/>
            <w:noWrap/>
            <w:hideMark/>
          </w:tcPr>
          <w:p w14:paraId="7EEE993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1.064.380</w:t>
            </w:r>
          </w:p>
        </w:tc>
        <w:tc>
          <w:tcPr>
            <w:tcW w:w="567" w:type="dxa"/>
            <w:tcBorders>
              <w:top w:val="nil"/>
              <w:left w:val="nil"/>
              <w:bottom w:val="single" w:sz="4" w:space="0" w:color="auto"/>
              <w:right w:val="single" w:sz="4" w:space="0" w:color="auto"/>
            </w:tcBorders>
            <w:shd w:val="clear" w:color="auto" w:fill="auto"/>
            <w:noWrap/>
            <w:hideMark/>
          </w:tcPr>
          <w:p w14:paraId="2278FDB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169,07</w:t>
            </w:r>
          </w:p>
        </w:tc>
        <w:tc>
          <w:tcPr>
            <w:tcW w:w="850" w:type="dxa"/>
            <w:tcBorders>
              <w:top w:val="nil"/>
              <w:left w:val="nil"/>
              <w:bottom w:val="single" w:sz="4" w:space="0" w:color="auto"/>
              <w:right w:val="single" w:sz="4" w:space="0" w:color="auto"/>
            </w:tcBorders>
            <w:shd w:val="clear" w:color="auto" w:fill="auto"/>
            <w:noWrap/>
            <w:hideMark/>
          </w:tcPr>
          <w:p w14:paraId="16AB3A5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1.619.625</w:t>
            </w:r>
          </w:p>
        </w:tc>
        <w:tc>
          <w:tcPr>
            <w:tcW w:w="709" w:type="dxa"/>
            <w:tcBorders>
              <w:top w:val="nil"/>
              <w:left w:val="nil"/>
              <w:bottom w:val="single" w:sz="4" w:space="0" w:color="auto"/>
              <w:right w:val="single" w:sz="8" w:space="0" w:color="auto"/>
            </w:tcBorders>
            <w:shd w:val="clear" w:color="auto" w:fill="auto"/>
            <w:noWrap/>
            <w:hideMark/>
          </w:tcPr>
          <w:p w14:paraId="41EAE18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179.958</w:t>
            </w:r>
          </w:p>
        </w:tc>
        <w:tc>
          <w:tcPr>
            <w:tcW w:w="851" w:type="dxa"/>
            <w:tcBorders>
              <w:top w:val="nil"/>
              <w:left w:val="single" w:sz="4" w:space="0" w:color="auto"/>
              <w:bottom w:val="single" w:sz="4" w:space="0" w:color="auto"/>
              <w:right w:val="single" w:sz="4" w:space="0" w:color="auto"/>
            </w:tcBorders>
            <w:shd w:val="clear" w:color="auto" w:fill="auto"/>
            <w:noWrap/>
            <w:hideMark/>
          </w:tcPr>
          <w:p w14:paraId="6ADB7094" w14:textId="035F04C5"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42.777</w:t>
            </w:r>
          </w:p>
        </w:tc>
      </w:tr>
      <w:tr w:rsidR="005C332D" w:rsidRPr="003F6E51" w14:paraId="254EBB58"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4C545B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70</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3F11728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TUTIN</w:t>
            </w:r>
          </w:p>
        </w:tc>
        <w:tc>
          <w:tcPr>
            <w:tcW w:w="850" w:type="dxa"/>
            <w:tcBorders>
              <w:top w:val="nil"/>
              <w:left w:val="nil"/>
              <w:bottom w:val="single" w:sz="4" w:space="0" w:color="auto"/>
              <w:right w:val="single" w:sz="4" w:space="0" w:color="auto"/>
            </w:tcBorders>
            <w:shd w:val="clear" w:color="000000" w:fill="FFFFFF"/>
            <w:noWrap/>
            <w:hideMark/>
          </w:tcPr>
          <w:p w14:paraId="1B644D9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32010</w:t>
            </w:r>
          </w:p>
        </w:tc>
        <w:tc>
          <w:tcPr>
            <w:tcW w:w="709" w:type="dxa"/>
            <w:tcBorders>
              <w:top w:val="nil"/>
              <w:left w:val="nil"/>
              <w:bottom w:val="single" w:sz="4" w:space="0" w:color="auto"/>
              <w:right w:val="single" w:sz="8" w:space="0" w:color="auto"/>
            </w:tcBorders>
            <w:shd w:val="clear" w:color="000000" w:fill="FFFFFF"/>
            <w:noWrap/>
            <w:hideMark/>
          </w:tcPr>
          <w:p w14:paraId="720230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0,67</w:t>
            </w:r>
          </w:p>
        </w:tc>
        <w:tc>
          <w:tcPr>
            <w:tcW w:w="567" w:type="dxa"/>
            <w:tcBorders>
              <w:top w:val="nil"/>
              <w:left w:val="nil"/>
              <w:bottom w:val="single" w:sz="4" w:space="0" w:color="auto"/>
              <w:right w:val="single" w:sz="4" w:space="0" w:color="auto"/>
            </w:tcBorders>
            <w:shd w:val="clear" w:color="000000" w:fill="FFFFFF"/>
            <w:noWrap/>
            <w:hideMark/>
          </w:tcPr>
          <w:p w14:paraId="591D3E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742</w:t>
            </w:r>
          </w:p>
        </w:tc>
        <w:tc>
          <w:tcPr>
            <w:tcW w:w="709" w:type="dxa"/>
            <w:tcBorders>
              <w:top w:val="nil"/>
              <w:left w:val="nil"/>
              <w:bottom w:val="single" w:sz="4" w:space="0" w:color="auto"/>
              <w:right w:val="single" w:sz="8" w:space="0" w:color="auto"/>
            </w:tcBorders>
            <w:shd w:val="clear" w:color="000000" w:fill="FFFFFF"/>
            <w:noWrap/>
            <w:hideMark/>
          </w:tcPr>
          <w:p w14:paraId="51F9A57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1,39</w:t>
            </w:r>
          </w:p>
        </w:tc>
        <w:tc>
          <w:tcPr>
            <w:tcW w:w="850" w:type="dxa"/>
            <w:tcBorders>
              <w:top w:val="nil"/>
              <w:left w:val="nil"/>
              <w:bottom w:val="single" w:sz="4" w:space="0" w:color="auto"/>
              <w:right w:val="single" w:sz="4" w:space="0" w:color="auto"/>
            </w:tcBorders>
            <w:shd w:val="clear" w:color="000000" w:fill="FFFFFF"/>
            <w:noWrap/>
            <w:hideMark/>
          </w:tcPr>
          <w:p w14:paraId="714CEE4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2F5D771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2FAEF68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6634DA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4B546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123,24</w:t>
            </w:r>
          </w:p>
        </w:tc>
        <w:tc>
          <w:tcPr>
            <w:tcW w:w="851" w:type="dxa"/>
            <w:tcBorders>
              <w:top w:val="nil"/>
              <w:left w:val="nil"/>
              <w:bottom w:val="single" w:sz="4" w:space="0" w:color="auto"/>
              <w:right w:val="single" w:sz="4" w:space="0" w:color="auto"/>
            </w:tcBorders>
            <w:shd w:val="clear" w:color="auto" w:fill="auto"/>
            <w:noWrap/>
            <w:hideMark/>
          </w:tcPr>
          <w:p w14:paraId="09647CE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0,0091</w:t>
            </w:r>
          </w:p>
        </w:tc>
        <w:tc>
          <w:tcPr>
            <w:tcW w:w="1134" w:type="dxa"/>
            <w:tcBorders>
              <w:top w:val="nil"/>
              <w:left w:val="nil"/>
              <w:bottom w:val="single" w:sz="4" w:space="0" w:color="auto"/>
              <w:right w:val="single" w:sz="4" w:space="0" w:color="auto"/>
            </w:tcBorders>
            <w:shd w:val="clear" w:color="000000" w:fill="C6E0B4"/>
            <w:noWrap/>
            <w:hideMark/>
          </w:tcPr>
          <w:p w14:paraId="6F17F2D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2.458.378</w:t>
            </w:r>
          </w:p>
        </w:tc>
        <w:tc>
          <w:tcPr>
            <w:tcW w:w="992" w:type="dxa"/>
            <w:tcBorders>
              <w:top w:val="nil"/>
              <w:left w:val="nil"/>
              <w:bottom w:val="single" w:sz="4" w:space="0" w:color="auto"/>
              <w:right w:val="single" w:sz="4" w:space="0" w:color="auto"/>
            </w:tcBorders>
            <w:shd w:val="clear" w:color="auto" w:fill="auto"/>
            <w:noWrap/>
            <w:hideMark/>
          </w:tcPr>
          <w:p w14:paraId="04CC354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2.376.287</w:t>
            </w:r>
          </w:p>
        </w:tc>
        <w:tc>
          <w:tcPr>
            <w:tcW w:w="567" w:type="dxa"/>
            <w:tcBorders>
              <w:top w:val="nil"/>
              <w:left w:val="nil"/>
              <w:bottom w:val="single" w:sz="4" w:space="0" w:color="auto"/>
              <w:right w:val="single" w:sz="4" w:space="0" w:color="auto"/>
            </w:tcBorders>
            <w:shd w:val="clear" w:color="auto" w:fill="auto"/>
            <w:noWrap/>
            <w:hideMark/>
          </w:tcPr>
          <w:p w14:paraId="292441A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103,45</w:t>
            </w:r>
          </w:p>
        </w:tc>
        <w:tc>
          <w:tcPr>
            <w:tcW w:w="850" w:type="dxa"/>
            <w:tcBorders>
              <w:top w:val="nil"/>
              <w:left w:val="nil"/>
              <w:bottom w:val="single" w:sz="4" w:space="0" w:color="auto"/>
              <w:right w:val="single" w:sz="4" w:space="0" w:color="auto"/>
            </w:tcBorders>
            <w:shd w:val="clear" w:color="auto" w:fill="auto"/>
            <w:noWrap/>
            <w:hideMark/>
          </w:tcPr>
          <w:p w14:paraId="6EF7763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2.212.541</w:t>
            </w:r>
          </w:p>
        </w:tc>
        <w:tc>
          <w:tcPr>
            <w:tcW w:w="709" w:type="dxa"/>
            <w:tcBorders>
              <w:top w:val="nil"/>
              <w:left w:val="nil"/>
              <w:bottom w:val="single" w:sz="4" w:space="0" w:color="auto"/>
              <w:right w:val="single" w:sz="8" w:space="0" w:color="auto"/>
            </w:tcBorders>
            <w:shd w:val="clear" w:color="auto" w:fill="auto"/>
            <w:noWrap/>
            <w:hideMark/>
          </w:tcPr>
          <w:p w14:paraId="267FE27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245.838</w:t>
            </w:r>
          </w:p>
        </w:tc>
        <w:tc>
          <w:tcPr>
            <w:tcW w:w="851" w:type="dxa"/>
            <w:tcBorders>
              <w:top w:val="nil"/>
              <w:left w:val="single" w:sz="4" w:space="0" w:color="auto"/>
              <w:bottom w:val="single" w:sz="4" w:space="0" w:color="auto"/>
              <w:right w:val="single" w:sz="4" w:space="0" w:color="auto"/>
            </w:tcBorders>
            <w:shd w:val="clear" w:color="auto" w:fill="auto"/>
            <w:noWrap/>
            <w:hideMark/>
          </w:tcPr>
          <w:p w14:paraId="131EF2A1" w14:textId="6F46A51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69.120</w:t>
            </w:r>
          </w:p>
        </w:tc>
      </w:tr>
      <w:tr w:rsidR="005C332D" w:rsidRPr="003F6E51" w14:paraId="0E44D51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875E2E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71</w:t>
            </w:r>
          </w:p>
        </w:tc>
        <w:tc>
          <w:tcPr>
            <w:tcW w:w="2213" w:type="dxa"/>
            <w:tcBorders>
              <w:top w:val="nil"/>
              <w:left w:val="single" w:sz="8" w:space="0" w:color="auto"/>
              <w:bottom w:val="single" w:sz="4" w:space="0" w:color="auto"/>
              <w:right w:val="single" w:sz="8" w:space="0" w:color="auto"/>
            </w:tcBorders>
            <w:shd w:val="clear" w:color="auto" w:fill="auto"/>
            <w:noWrap/>
            <w:hideMark/>
          </w:tcPr>
          <w:p w14:paraId="3D8F94A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UB</w:t>
            </w:r>
          </w:p>
        </w:tc>
        <w:tc>
          <w:tcPr>
            <w:tcW w:w="850" w:type="dxa"/>
            <w:tcBorders>
              <w:top w:val="nil"/>
              <w:left w:val="nil"/>
              <w:bottom w:val="single" w:sz="4" w:space="0" w:color="auto"/>
              <w:right w:val="single" w:sz="4" w:space="0" w:color="auto"/>
            </w:tcBorders>
            <w:shd w:val="clear" w:color="000000" w:fill="FFFFFF"/>
            <w:noWrap/>
            <w:hideMark/>
          </w:tcPr>
          <w:p w14:paraId="4845F2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26976</w:t>
            </w:r>
          </w:p>
        </w:tc>
        <w:tc>
          <w:tcPr>
            <w:tcW w:w="709" w:type="dxa"/>
            <w:tcBorders>
              <w:top w:val="nil"/>
              <w:left w:val="nil"/>
              <w:bottom w:val="single" w:sz="4" w:space="0" w:color="auto"/>
              <w:right w:val="single" w:sz="8" w:space="0" w:color="auto"/>
            </w:tcBorders>
            <w:shd w:val="clear" w:color="000000" w:fill="FFFFFF"/>
            <w:noWrap/>
            <w:hideMark/>
          </w:tcPr>
          <w:p w14:paraId="3E6E547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567" w:type="dxa"/>
            <w:tcBorders>
              <w:top w:val="nil"/>
              <w:left w:val="nil"/>
              <w:bottom w:val="single" w:sz="4" w:space="0" w:color="auto"/>
              <w:right w:val="single" w:sz="4" w:space="0" w:color="auto"/>
            </w:tcBorders>
            <w:shd w:val="clear" w:color="000000" w:fill="FFFFFF"/>
            <w:noWrap/>
            <w:hideMark/>
          </w:tcPr>
          <w:p w14:paraId="29AA10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456</w:t>
            </w:r>
          </w:p>
        </w:tc>
        <w:tc>
          <w:tcPr>
            <w:tcW w:w="709" w:type="dxa"/>
            <w:tcBorders>
              <w:top w:val="nil"/>
              <w:left w:val="nil"/>
              <w:bottom w:val="single" w:sz="4" w:space="0" w:color="auto"/>
              <w:right w:val="single" w:sz="8" w:space="0" w:color="auto"/>
            </w:tcBorders>
            <w:shd w:val="clear" w:color="000000" w:fill="FFFFFF"/>
            <w:noWrap/>
            <w:hideMark/>
          </w:tcPr>
          <w:p w14:paraId="7C58FFF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0,85</w:t>
            </w:r>
          </w:p>
        </w:tc>
        <w:tc>
          <w:tcPr>
            <w:tcW w:w="850" w:type="dxa"/>
            <w:tcBorders>
              <w:top w:val="nil"/>
              <w:left w:val="nil"/>
              <w:bottom w:val="single" w:sz="4" w:space="0" w:color="auto"/>
              <w:right w:val="single" w:sz="4" w:space="0" w:color="auto"/>
            </w:tcBorders>
            <w:shd w:val="clear" w:color="000000" w:fill="FFFFFF"/>
            <w:noWrap/>
            <w:hideMark/>
          </w:tcPr>
          <w:p w14:paraId="7D60575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40439E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12EA99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562CC8C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0F1EE8E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81,54</w:t>
            </w:r>
          </w:p>
        </w:tc>
        <w:tc>
          <w:tcPr>
            <w:tcW w:w="851" w:type="dxa"/>
            <w:tcBorders>
              <w:top w:val="nil"/>
              <w:left w:val="nil"/>
              <w:bottom w:val="single" w:sz="4" w:space="0" w:color="auto"/>
              <w:right w:val="single" w:sz="4" w:space="0" w:color="auto"/>
            </w:tcBorders>
            <w:shd w:val="clear" w:color="auto" w:fill="auto"/>
            <w:noWrap/>
            <w:hideMark/>
          </w:tcPr>
          <w:p w14:paraId="2FDA071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0,0060</w:t>
            </w:r>
          </w:p>
        </w:tc>
        <w:tc>
          <w:tcPr>
            <w:tcW w:w="1134" w:type="dxa"/>
            <w:tcBorders>
              <w:top w:val="nil"/>
              <w:left w:val="nil"/>
              <w:bottom w:val="single" w:sz="4" w:space="0" w:color="auto"/>
              <w:right w:val="single" w:sz="4" w:space="0" w:color="auto"/>
            </w:tcBorders>
            <w:shd w:val="clear" w:color="000000" w:fill="C6E0B4"/>
            <w:noWrap/>
            <w:hideMark/>
          </w:tcPr>
          <w:p w14:paraId="5A4ECC0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1.626.646</w:t>
            </w:r>
          </w:p>
        </w:tc>
        <w:tc>
          <w:tcPr>
            <w:tcW w:w="992" w:type="dxa"/>
            <w:tcBorders>
              <w:top w:val="nil"/>
              <w:left w:val="nil"/>
              <w:bottom w:val="single" w:sz="4" w:space="0" w:color="auto"/>
              <w:right w:val="single" w:sz="4" w:space="0" w:color="auto"/>
            </w:tcBorders>
            <w:shd w:val="clear" w:color="auto" w:fill="auto"/>
            <w:noWrap/>
            <w:hideMark/>
          </w:tcPr>
          <w:p w14:paraId="1BF61E1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4.373.108</w:t>
            </w:r>
          </w:p>
        </w:tc>
        <w:tc>
          <w:tcPr>
            <w:tcW w:w="567" w:type="dxa"/>
            <w:tcBorders>
              <w:top w:val="nil"/>
              <w:left w:val="nil"/>
              <w:bottom w:val="single" w:sz="4" w:space="0" w:color="auto"/>
              <w:right w:val="single" w:sz="4" w:space="0" w:color="auto"/>
            </w:tcBorders>
            <w:shd w:val="clear" w:color="auto" w:fill="auto"/>
            <w:noWrap/>
            <w:hideMark/>
          </w:tcPr>
          <w:p w14:paraId="4BEDCB6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37,20</w:t>
            </w:r>
          </w:p>
        </w:tc>
        <w:tc>
          <w:tcPr>
            <w:tcW w:w="850" w:type="dxa"/>
            <w:tcBorders>
              <w:top w:val="nil"/>
              <w:left w:val="nil"/>
              <w:bottom w:val="single" w:sz="4" w:space="0" w:color="auto"/>
              <w:right w:val="single" w:sz="4" w:space="0" w:color="auto"/>
            </w:tcBorders>
            <w:shd w:val="clear" w:color="auto" w:fill="auto"/>
            <w:noWrap/>
            <w:hideMark/>
          </w:tcPr>
          <w:p w14:paraId="7CA1D15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1.463.981</w:t>
            </w:r>
          </w:p>
        </w:tc>
        <w:tc>
          <w:tcPr>
            <w:tcW w:w="709" w:type="dxa"/>
            <w:tcBorders>
              <w:top w:val="nil"/>
              <w:left w:val="nil"/>
              <w:bottom w:val="single" w:sz="4" w:space="0" w:color="auto"/>
              <w:right w:val="single" w:sz="8" w:space="0" w:color="auto"/>
            </w:tcBorders>
            <w:shd w:val="clear" w:color="auto" w:fill="auto"/>
            <w:noWrap/>
            <w:hideMark/>
          </w:tcPr>
          <w:p w14:paraId="66E9C28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162.665</w:t>
            </w:r>
          </w:p>
        </w:tc>
        <w:tc>
          <w:tcPr>
            <w:tcW w:w="851" w:type="dxa"/>
            <w:tcBorders>
              <w:top w:val="nil"/>
              <w:left w:val="single" w:sz="4" w:space="0" w:color="auto"/>
              <w:bottom w:val="single" w:sz="4" w:space="0" w:color="auto"/>
              <w:right w:val="single" w:sz="4" w:space="0" w:color="auto"/>
            </w:tcBorders>
            <w:shd w:val="clear" w:color="auto" w:fill="auto"/>
            <w:noWrap/>
            <w:hideMark/>
          </w:tcPr>
          <w:p w14:paraId="30D8F53C" w14:textId="04389E61"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54.270</w:t>
            </w:r>
          </w:p>
        </w:tc>
      </w:tr>
      <w:tr w:rsidR="005C332D" w:rsidRPr="003F6E51" w14:paraId="4E477BF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1B09CF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w:t>
            </w:r>
          </w:p>
        </w:tc>
        <w:tc>
          <w:tcPr>
            <w:tcW w:w="2213" w:type="dxa"/>
            <w:tcBorders>
              <w:top w:val="nil"/>
              <w:left w:val="single" w:sz="8" w:space="0" w:color="auto"/>
              <w:bottom w:val="single" w:sz="4" w:space="0" w:color="auto"/>
              <w:right w:val="single" w:sz="8" w:space="0" w:color="auto"/>
            </w:tcBorders>
            <w:shd w:val="clear" w:color="auto" w:fill="auto"/>
            <w:noWrap/>
            <w:hideMark/>
          </w:tcPr>
          <w:p w14:paraId="6F828AF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VARVARIN</w:t>
            </w:r>
          </w:p>
        </w:tc>
        <w:tc>
          <w:tcPr>
            <w:tcW w:w="850" w:type="dxa"/>
            <w:tcBorders>
              <w:top w:val="nil"/>
              <w:left w:val="nil"/>
              <w:bottom w:val="single" w:sz="4" w:space="0" w:color="auto"/>
              <w:right w:val="single" w:sz="4" w:space="0" w:color="auto"/>
            </w:tcBorders>
            <w:shd w:val="clear" w:color="000000" w:fill="FFFFFF"/>
            <w:noWrap/>
            <w:hideMark/>
          </w:tcPr>
          <w:p w14:paraId="7E1B154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15820</w:t>
            </w:r>
          </w:p>
        </w:tc>
        <w:tc>
          <w:tcPr>
            <w:tcW w:w="709" w:type="dxa"/>
            <w:tcBorders>
              <w:top w:val="nil"/>
              <w:left w:val="nil"/>
              <w:bottom w:val="single" w:sz="4" w:space="0" w:color="auto"/>
              <w:right w:val="single" w:sz="8" w:space="0" w:color="auto"/>
            </w:tcBorders>
            <w:shd w:val="clear" w:color="000000" w:fill="FFFFFF"/>
            <w:noWrap/>
            <w:hideMark/>
          </w:tcPr>
          <w:p w14:paraId="700B4D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0,33</w:t>
            </w:r>
          </w:p>
        </w:tc>
        <w:tc>
          <w:tcPr>
            <w:tcW w:w="567" w:type="dxa"/>
            <w:tcBorders>
              <w:top w:val="nil"/>
              <w:left w:val="nil"/>
              <w:bottom w:val="single" w:sz="4" w:space="0" w:color="auto"/>
              <w:right w:val="single" w:sz="4" w:space="0" w:color="auto"/>
            </w:tcBorders>
            <w:shd w:val="clear" w:color="000000" w:fill="FFFFFF"/>
            <w:noWrap/>
            <w:hideMark/>
          </w:tcPr>
          <w:p w14:paraId="7CA667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249</w:t>
            </w:r>
          </w:p>
        </w:tc>
        <w:tc>
          <w:tcPr>
            <w:tcW w:w="709" w:type="dxa"/>
            <w:tcBorders>
              <w:top w:val="nil"/>
              <w:left w:val="nil"/>
              <w:bottom w:val="single" w:sz="4" w:space="0" w:color="auto"/>
              <w:right w:val="single" w:sz="8" w:space="0" w:color="auto"/>
            </w:tcBorders>
            <w:shd w:val="clear" w:color="000000" w:fill="FFFFFF"/>
            <w:noWrap/>
            <w:hideMark/>
          </w:tcPr>
          <w:p w14:paraId="16E4354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0,47</w:t>
            </w:r>
          </w:p>
        </w:tc>
        <w:tc>
          <w:tcPr>
            <w:tcW w:w="850" w:type="dxa"/>
            <w:tcBorders>
              <w:top w:val="nil"/>
              <w:left w:val="nil"/>
              <w:bottom w:val="single" w:sz="4" w:space="0" w:color="auto"/>
              <w:right w:val="single" w:sz="4" w:space="0" w:color="auto"/>
            </w:tcBorders>
            <w:shd w:val="clear" w:color="000000" w:fill="FFFFFF"/>
            <w:noWrap/>
            <w:hideMark/>
          </w:tcPr>
          <w:p w14:paraId="4BDCF87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77353AA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501927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7013615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single" w:sz="4" w:space="0" w:color="auto"/>
              <w:left w:val="single" w:sz="8" w:space="0" w:color="auto"/>
              <w:bottom w:val="nil"/>
              <w:right w:val="single" w:sz="4" w:space="0" w:color="auto"/>
            </w:tcBorders>
            <w:shd w:val="clear" w:color="auto" w:fill="auto"/>
            <w:noWrap/>
            <w:hideMark/>
          </w:tcPr>
          <w:p w14:paraId="328B77B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76,67</w:t>
            </w:r>
          </w:p>
        </w:tc>
        <w:tc>
          <w:tcPr>
            <w:tcW w:w="851" w:type="dxa"/>
            <w:tcBorders>
              <w:top w:val="nil"/>
              <w:left w:val="nil"/>
              <w:bottom w:val="single" w:sz="4" w:space="0" w:color="auto"/>
              <w:right w:val="single" w:sz="4" w:space="0" w:color="auto"/>
            </w:tcBorders>
            <w:shd w:val="clear" w:color="auto" w:fill="auto"/>
            <w:noWrap/>
            <w:hideMark/>
          </w:tcPr>
          <w:p w14:paraId="2B7B96A5"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0,0056</w:t>
            </w:r>
          </w:p>
        </w:tc>
        <w:tc>
          <w:tcPr>
            <w:tcW w:w="1134" w:type="dxa"/>
            <w:tcBorders>
              <w:top w:val="nil"/>
              <w:left w:val="nil"/>
              <w:bottom w:val="single" w:sz="4" w:space="0" w:color="auto"/>
              <w:right w:val="single" w:sz="4" w:space="0" w:color="auto"/>
            </w:tcBorders>
            <w:shd w:val="clear" w:color="000000" w:fill="C6E0B4"/>
            <w:noWrap/>
            <w:hideMark/>
          </w:tcPr>
          <w:p w14:paraId="3F4F0D8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1.529.438</w:t>
            </w:r>
          </w:p>
        </w:tc>
        <w:tc>
          <w:tcPr>
            <w:tcW w:w="992" w:type="dxa"/>
            <w:tcBorders>
              <w:top w:val="nil"/>
              <w:left w:val="nil"/>
              <w:bottom w:val="single" w:sz="4" w:space="0" w:color="auto"/>
              <w:right w:val="single" w:sz="4" w:space="0" w:color="auto"/>
            </w:tcBorders>
            <w:shd w:val="clear" w:color="auto" w:fill="auto"/>
            <w:noWrap/>
            <w:hideMark/>
          </w:tcPr>
          <w:p w14:paraId="56C61EB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713.118</w:t>
            </w:r>
          </w:p>
        </w:tc>
        <w:tc>
          <w:tcPr>
            <w:tcW w:w="567" w:type="dxa"/>
            <w:tcBorders>
              <w:top w:val="nil"/>
              <w:left w:val="nil"/>
              <w:bottom w:val="single" w:sz="4" w:space="0" w:color="auto"/>
              <w:right w:val="single" w:sz="4" w:space="0" w:color="auto"/>
            </w:tcBorders>
            <w:shd w:val="clear" w:color="auto" w:fill="auto"/>
            <w:noWrap/>
            <w:hideMark/>
          </w:tcPr>
          <w:p w14:paraId="0994972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214,47</w:t>
            </w:r>
          </w:p>
        </w:tc>
        <w:tc>
          <w:tcPr>
            <w:tcW w:w="850" w:type="dxa"/>
            <w:tcBorders>
              <w:top w:val="nil"/>
              <w:left w:val="nil"/>
              <w:bottom w:val="single" w:sz="4" w:space="0" w:color="auto"/>
              <w:right w:val="single" w:sz="4" w:space="0" w:color="auto"/>
            </w:tcBorders>
            <w:shd w:val="clear" w:color="auto" w:fill="auto"/>
            <w:noWrap/>
            <w:hideMark/>
          </w:tcPr>
          <w:p w14:paraId="2476F8F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1.376.494</w:t>
            </w:r>
          </w:p>
        </w:tc>
        <w:tc>
          <w:tcPr>
            <w:tcW w:w="709" w:type="dxa"/>
            <w:tcBorders>
              <w:top w:val="nil"/>
              <w:left w:val="nil"/>
              <w:bottom w:val="single" w:sz="4" w:space="0" w:color="auto"/>
              <w:right w:val="single" w:sz="8" w:space="0" w:color="auto"/>
            </w:tcBorders>
            <w:shd w:val="clear" w:color="auto" w:fill="auto"/>
            <w:noWrap/>
            <w:hideMark/>
          </w:tcPr>
          <w:p w14:paraId="033956F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152.944</w:t>
            </w:r>
          </w:p>
        </w:tc>
        <w:tc>
          <w:tcPr>
            <w:tcW w:w="851" w:type="dxa"/>
            <w:tcBorders>
              <w:top w:val="nil"/>
              <w:left w:val="single" w:sz="4" w:space="0" w:color="auto"/>
              <w:bottom w:val="single" w:sz="4" w:space="0" w:color="auto"/>
              <w:right w:val="single" w:sz="4" w:space="0" w:color="auto"/>
            </w:tcBorders>
            <w:shd w:val="clear" w:color="auto" w:fill="auto"/>
            <w:noWrap/>
            <w:hideMark/>
          </w:tcPr>
          <w:p w14:paraId="49C9657E" w14:textId="0B20B11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87.010</w:t>
            </w:r>
          </w:p>
        </w:tc>
      </w:tr>
      <w:tr w:rsidR="005C332D" w:rsidRPr="003F6E51" w14:paraId="4DD647E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76BF13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73</w:t>
            </w:r>
          </w:p>
        </w:tc>
        <w:tc>
          <w:tcPr>
            <w:tcW w:w="2213" w:type="dxa"/>
            <w:tcBorders>
              <w:top w:val="nil"/>
              <w:left w:val="single" w:sz="8" w:space="0" w:color="auto"/>
              <w:bottom w:val="single" w:sz="4" w:space="0" w:color="auto"/>
              <w:right w:val="single" w:sz="8" w:space="0" w:color="auto"/>
            </w:tcBorders>
            <w:shd w:val="clear" w:color="auto" w:fill="auto"/>
            <w:noWrap/>
            <w:hideMark/>
          </w:tcPr>
          <w:p w14:paraId="7311010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VELIKA PLANA</w:t>
            </w:r>
          </w:p>
        </w:tc>
        <w:tc>
          <w:tcPr>
            <w:tcW w:w="850" w:type="dxa"/>
            <w:tcBorders>
              <w:top w:val="nil"/>
              <w:left w:val="nil"/>
              <w:bottom w:val="single" w:sz="4" w:space="0" w:color="auto"/>
              <w:right w:val="single" w:sz="4" w:space="0" w:color="auto"/>
            </w:tcBorders>
            <w:shd w:val="clear" w:color="000000" w:fill="FFFFFF"/>
            <w:noWrap/>
            <w:hideMark/>
          </w:tcPr>
          <w:p w14:paraId="6E6138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37222</w:t>
            </w:r>
          </w:p>
        </w:tc>
        <w:tc>
          <w:tcPr>
            <w:tcW w:w="709" w:type="dxa"/>
            <w:tcBorders>
              <w:top w:val="nil"/>
              <w:left w:val="nil"/>
              <w:bottom w:val="single" w:sz="4" w:space="0" w:color="auto"/>
              <w:right w:val="single" w:sz="8" w:space="0" w:color="auto"/>
            </w:tcBorders>
            <w:shd w:val="clear" w:color="000000" w:fill="FFFFFF"/>
            <w:noWrap/>
            <w:hideMark/>
          </w:tcPr>
          <w:p w14:paraId="22C7CAC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0,78</w:t>
            </w:r>
          </w:p>
        </w:tc>
        <w:tc>
          <w:tcPr>
            <w:tcW w:w="567" w:type="dxa"/>
            <w:tcBorders>
              <w:top w:val="nil"/>
              <w:left w:val="nil"/>
              <w:bottom w:val="single" w:sz="4" w:space="0" w:color="auto"/>
              <w:right w:val="single" w:sz="4" w:space="0" w:color="auto"/>
            </w:tcBorders>
            <w:shd w:val="clear" w:color="000000" w:fill="FFFFFF"/>
            <w:noWrap/>
            <w:hideMark/>
          </w:tcPr>
          <w:p w14:paraId="65BAA88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345</w:t>
            </w:r>
          </w:p>
        </w:tc>
        <w:tc>
          <w:tcPr>
            <w:tcW w:w="709" w:type="dxa"/>
            <w:tcBorders>
              <w:top w:val="nil"/>
              <w:left w:val="nil"/>
              <w:bottom w:val="single" w:sz="4" w:space="0" w:color="auto"/>
              <w:right w:val="single" w:sz="8" w:space="0" w:color="auto"/>
            </w:tcBorders>
            <w:shd w:val="clear" w:color="000000" w:fill="FFFFFF"/>
            <w:noWrap/>
            <w:hideMark/>
          </w:tcPr>
          <w:p w14:paraId="44E02F6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0,64</w:t>
            </w:r>
          </w:p>
        </w:tc>
        <w:tc>
          <w:tcPr>
            <w:tcW w:w="850" w:type="dxa"/>
            <w:tcBorders>
              <w:top w:val="nil"/>
              <w:left w:val="nil"/>
              <w:bottom w:val="single" w:sz="4" w:space="0" w:color="auto"/>
              <w:right w:val="single" w:sz="4" w:space="0" w:color="auto"/>
            </w:tcBorders>
            <w:shd w:val="clear" w:color="000000" w:fill="FFFFFF"/>
            <w:noWrap/>
            <w:hideMark/>
          </w:tcPr>
          <w:p w14:paraId="6786DBD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BAC3F5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A05BE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95A9D5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453382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84,24</w:t>
            </w:r>
          </w:p>
        </w:tc>
        <w:tc>
          <w:tcPr>
            <w:tcW w:w="851" w:type="dxa"/>
            <w:tcBorders>
              <w:top w:val="nil"/>
              <w:left w:val="nil"/>
              <w:bottom w:val="single" w:sz="4" w:space="0" w:color="auto"/>
              <w:right w:val="single" w:sz="4" w:space="0" w:color="auto"/>
            </w:tcBorders>
            <w:shd w:val="clear" w:color="auto" w:fill="auto"/>
            <w:noWrap/>
            <w:hideMark/>
          </w:tcPr>
          <w:p w14:paraId="579CE07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0,0062</w:t>
            </w:r>
          </w:p>
        </w:tc>
        <w:tc>
          <w:tcPr>
            <w:tcW w:w="1134" w:type="dxa"/>
            <w:tcBorders>
              <w:top w:val="nil"/>
              <w:left w:val="nil"/>
              <w:bottom w:val="single" w:sz="4" w:space="0" w:color="auto"/>
              <w:right w:val="single" w:sz="4" w:space="0" w:color="auto"/>
            </w:tcBorders>
            <w:shd w:val="clear" w:color="000000" w:fill="C6E0B4"/>
            <w:noWrap/>
            <w:hideMark/>
          </w:tcPr>
          <w:p w14:paraId="385C21F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1.680.428</w:t>
            </w:r>
          </w:p>
        </w:tc>
        <w:tc>
          <w:tcPr>
            <w:tcW w:w="992" w:type="dxa"/>
            <w:tcBorders>
              <w:top w:val="nil"/>
              <w:left w:val="nil"/>
              <w:bottom w:val="single" w:sz="4" w:space="0" w:color="auto"/>
              <w:right w:val="single" w:sz="4" w:space="0" w:color="auto"/>
            </w:tcBorders>
            <w:shd w:val="clear" w:color="auto" w:fill="auto"/>
            <w:noWrap/>
            <w:hideMark/>
          </w:tcPr>
          <w:p w14:paraId="418F569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1.311.840</w:t>
            </w:r>
          </w:p>
        </w:tc>
        <w:tc>
          <w:tcPr>
            <w:tcW w:w="567" w:type="dxa"/>
            <w:tcBorders>
              <w:top w:val="nil"/>
              <w:left w:val="nil"/>
              <w:bottom w:val="single" w:sz="4" w:space="0" w:color="auto"/>
              <w:right w:val="single" w:sz="4" w:space="0" w:color="auto"/>
            </w:tcBorders>
            <w:shd w:val="clear" w:color="auto" w:fill="auto"/>
            <w:noWrap/>
            <w:hideMark/>
          </w:tcPr>
          <w:p w14:paraId="32FAE87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128,10</w:t>
            </w:r>
          </w:p>
        </w:tc>
        <w:tc>
          <w:tcPr>
            <w:tcW w:w="850" w:type="dxa"/>
            <w:tcBorders>
              <w:top w:val="nil"/>
              <w:left w:val="nil"/>
              <w:bottom w:val="single" w:sz="4" w:space="0" w:color="auto"/>
              <w:right w:val="single" w:sz="4" w:space="0" w:color="auto"/>
            </w:tcBorders>
            <w:shd w:val="clear" w:color="auto" w:fill="auto"/>
            <w:noWrap/>
            <w:hideMark/>
          </w:tcPr>
          <w:p w14:paraId="5EB48A0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1.512.385</w:t>
            </w:r>
          </w:p>
        </w:tc>
        <w:tc>
          <w:tcPr>
            <w:tcW w:w="709" w:type="dxa"/>
            <w:tcBorders>
              <w:top w:val="nil"/>
              <w:left w:val="nil"/>
              <w:bottom w:val="single" w:sz="4" w:space="0" w:color="auto"/>
              <w:right w:val="single" w:sz="8" w:space="0" w:color="auto"/>
            </w:tcBorders>
            <w:shd w:val="clear" w:color="auto" w:fill="auto"/>
            <w:noWrap/>
            <w:hideMark/>
          </w:tcPr>
          <w:p w14:paraId="4F20DB6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168.043</w:t>
            </w:r>
          </w:p>
        </w:tc>
        <w:tc>
          <w:tcPr>
            <w:tcW w:w="851" w:type="dxa"/>
            <w:tcBorders>
              <w:top w:val="nil"/>
              <w:left w:val="single" w:sz="4" w:space="0" w:color="auto"/>
              <w:bottom w:val="single" w:sz="4" w:space="0" w:color="auto"/>
              <w:right w:val="single" w:sz="4" w:space="0" w:color="auto"/>
            </w:tcBorders>
            <w:shd w:val="clear" w:color="auto" w:fill="auto"/>
            <w:noWrap/>
            <w:hideMark/>
          </w:tcPr>
          <w:p w14:paraId="3A8CFD18" w14:textId="0036FF5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40.631</w:t>
            </w:r>
          </w:p>
        </w:tc>
      </w:tr>
      <w:tr w:rsidR="005C332D" w:rsidRPr="003F6E51" w14:paraId="4584B66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092308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74</w:t>
            </w:r>
          </w:p>
        </w:tc>
        <w:tc>
          <w:tcPr>
            <w:tcW w:w="2213" w:type="dxa"/>
            <w:tcBorders>
              <w:top w:val="nil"/>
              <w:left w:val="single" w:sz="8" w:space="0" w:color="auto"/>
              <w:bottom w:val="single" w:sz="4" w:space="0" w:color="auto"/>
              <w:right w:val="single" w:sz="8" w:space="0" w:color="auto"/>
            </w:tcBorders>
            <w:shd w:val="clear" w:color="auto" w:fill="auto"/>
            <w:noWrap/>
            <w:hideMark/>
          </w:tcPr>
          <w:p w14:paraId="735BA3C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VELIKO GRADIŠTE</w:t>
            </w:r>
          </w:p>
        </w:tc>
        <w:tc>
          <w:tcPr>
            <w:tcW w:w="850" w:type="dxa"/>
            <w:tcBorders>
              <w:top w:val="nil"/>
              <w:left w:val="nil"/>
              <w:bottom w:val="single" w:sz="4" w:space="0" w:color="auto"/>
              <w:right w:val="single" w:sz="4" w:space="0" w:color="auto"/>
            </w:tcBorders>
            <w:shd w:val="clear" w:color="000000" w:fill="FFFFFF"/>
            <w:noWrap/>
            <w:hideMark/>
          </w:tcPr>
          <w:p w14:paraId="1DA7A84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15451</w:t>
            </w:r>
          </w:p>
        </w:tc>
        <w:tc>
          <w:tcPr>
            <w:tcW w:w="709" w:type="dxa"/>
            <w:tcBorders>
              <w:top w:val="nil"/>
              <w:left w:val="nil"/>
              <w:bottom w:val="single" w:sz="4" w:space="0" w:color="auto"/>
              <w:right w:val="single" w:sz="8" w:space="0" w:color="auto"/>
            </w:tcBorders>
            <w:shd w:val="clear" w:color="000000" w:fill="FFFFFF"/>
            <w:noWrap/>
            <w:hideMark/>
          </w:tcPr>
          <w:p w14:paraId="43EF2CC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0,32</w:t>
            </w:r>
          </w:p>
        </w:tc>
        <w:tc>
          <w:tcPr>
            <w:tcW w:w="567" w:type="dxa"/>
            <w:tcBorders>
              <w:top w:val="nil"/>
              <w:left w:val="nil"/>
              <w:bottom w:val="single" w:sz="4" w:space="0" w:color="auto"/>
              <w:right w:val="single" w:sz="4" w:space="0" w:color="auto"/>
            </w:tcBorders>
            <w:shd w:val="clear" w:color="000000" w:fill="FFFFFF"/>
            <w:noWrap/>
            <w:hideMark/>
          </w:tcPr>
          <w:p w14:paraId="499542E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344</w:t>
            </w:r>
          </w:p>
        </w:tc>
        <w:tc>
          <w:tcPr>
            <w:tcW w:w="709" w:type="dxa"/>
            <w:tcBorders>
              <w:top w:val="nil"/>
              <w:left w:val="nil"/>
              <w:bottom w:val="single" w:sz="4" w:space="0" w:color="auto"/>
              <w:right w:val="single" w:sz="8" w:space="0" w:color="auto"/>
            </w:tcBorders>
            <w:shd w:val="clear" w:color="000000" w:fill="FFFFFF"/>
            <w:noWrap/>
            <w:hideMark/>
          </w:tcPr>
          <w:p w14:paraId="7E3480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0,64</w:t>
            </w:r>
          </w:p>
        </w:tc>
        <w:tc>
          <w:tcPr>
            <w:tcW w:w="850" w:type="dxa"/>
            <w:tcBorders>
              <w:top w:val="nil"/>
              <w:left w:val="nil"/>
              <w:bottom w:val="single" w:sz="4" w:space="0" w:color="auto"/>
              <w:right w:val="single" w:sz="4" w:space="0" w:color="auto"/>
            </w:tcBorders>
            <w:shd w:val="clear" w:color="000000" w:fill="FFFFFF"/>
            <w:noWrap/>
            <w:hideMark/>
          </w:tcPr>
          <w:p w14:paraId="3F3BD74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5BED25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3497ACF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9D27DE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B3402E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68,52</w:t>
            </w:r>
          </w:p>
        </w:tc>
        <w:tc>
          <w:tcPr>
            <w:tcW w:w="851" w:type="dxa"/>
            <w:tcBorders>
              <w:top w:val="nil"/>
              <w:left w:val="nil"/>
              <w:bottom w:val="single" w:sz="4" w:space="0" w:color="auto"/>
              <w:right w:val="single" w:sz="4" w:space="0" w:color="auto"/>
            </w:tcBorders>
            <w:shd w:val="clear" w:color="auto" w:fill="auto"/>
            <w:noWrap/>
            <w:hideMark/>
          </w:tcPr>
          <w:p w14:paraId="755FE31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0,0050</w:t>
            </w:r>
          </w:p>
        </w:tc>
        <w:tc>
          <w:tcPr>
            <w:tcW w:w="1134" w:type="dxa"/>
            <w:tcBorders>
              <w:top w:val="nil"/>
              <w:left w:val="nil"/>
              <w:bottom w:val="single" w:sz="4" w:space="0" w:color="auto"/>
              <w:right w:val="single" w:sz="4" w:space="0" w:color="auto"/>
            </w:tcBorders>
            <w:shd w:val="clear" w:color="000000" w:fill="C6E0B4"/>
            <w:noWrap/>
            <w:hideMark/>
          </w:tcPr>
          <w:p w14:paraId="7A9778F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1.366.909</w:t>
            </w:r>
          </w:p>
        </w:tc>
        <w:tc>
          <w:tcPr>
            <w:tcW w:w="992" w:type="dxa"/>
            <w:tcBorders>
              <w:top w:val="nil"/>
              <w:left w:val="nil"/>
              <w:bottom w:val="single" w:sz="4" w:space="0" w:color="auto"/>
              <w:right w:val="single" w:sz="4" w:space="0" w:color="auto"/>
            </w:tcBorders>
            <w:shd w:val="clear" w:color="auto" w:fill="auto"/>
            <w:noWrap/>
            <w:hideMark/>
          </w:tcPr>
          <w:p w14:paraId="2007870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1.191.178</w:t>
            </w:r>
          </w:p>
        </w:tc>
        <w:tc>
          <w:tcPr>
            <w:tcW w:w="567" w:type="dxa"/>
            <w:tcBorders>
              <w:top w:val="nil"/>
              <w:left w:val="nil"/>
              <w:bottom w:val="single" w:sz="4" w:space="0" w:color="auto"/>
              <w:right w:val="single" w:sz="4" w:space="0" w:color="auto"/>
            </w:tcBorders>
            <w:shd w:val="clear" w:color="auto" w:fill="auto"/>
            <w:noWrap/>
            <w:hideMark/>
          </w:tcPr>
          <w:p w14:paraId="5BD2CF8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114,75</w:t>
            </w:r>
          </w:p>
        </w:tc>
        <w:tc>
          <w:tcPr>
            <w:tcW w:w="850" w:type="dxa"/>
            <w:tcBorders>
              <w:top w:val="nil"/>
              <w:left w:val="nil"/>
              <w:bottom w:val="single" w:sz="4" w:space="0" w:color="auto"/>
              <w:right w:val="single" w:sz="4" w:space="0" w:color="auto"/>
            </w:tcBorders>
            <w:shd w:val="clear" w:color="auto" w:fill="auto"/>
            <w:noWrap/>
            <w:hideMark/>
          </w:tcPr>
          <w:p w14:paraId="4171828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1.230.218</w:t>
            </w:r>
          </w:p>
        </w:tc>
        <w:tc>
          <w:tcPr>
            <w:tcW w:w="709" w:type="dxa"/>
            <w:tcBorders>
              <w:top w:val="nil"/>
              <w:left w:val="nil"/>
              <w:bottom w:val="single" w:sz="4" w:space="0" w:color="auto"/>
              <w:right w:val="single" w:sz="8" w:space="0" w:color="auto"/>
            </w:tcBorders>
            <w:shd w:val="clear" w:color="auto" w:fill="auto"/>
            <w:noWrap/>
            <w:hideMark/>
          </w:tcPr>
          <w:p w14:paraId="3AA87BB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136.691</w:t>
            </w:r>
          </w:p>
        </w:tc>
        <w:tc>
          <w:tcPr>
            <w:tcW w:w="851" w:type="dxa"/>
            <w:tcBorders>
              <w:top w:val="nil"/>
              <w:left w:val="single" w:sz="4" w:space="0" w:color="auto"/>
              <w:bottom w:val="single" w:sz="4" w:space="0" w:color="auto"/>
              <w:right w:val="single" w:sz="4" w:space="0" w:color="auto"/>
            </w:tcBorders>
            <w:shd w:val="clear" w:color="auto" w:fill="auto"/>
            <w:noWrap/>
            <w:hideMark/>
          </w:tcPr>
          <w:p w14:paraId="6C9FB236" w14:textId="58EDD49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79.621</w:t>
            </w:r>
          </w:p>
        </w:tc>
      </w:tr>
      <w:tr w:rsidR="005C332D" w:rsidRPr="003F6E51" w14:paraId="73E8E9F1"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F577AB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75</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2A0AC540"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VLADIČIN HAN</w:t>
            </w:r>
          </w:p>
        </w:tc>
        <w:tc>
          <w:tcPr>
            <w:tcW w:w="850" w:type="dxa"/>
            <w:tcBorders>
              <w:top w:val="nil"/>
              <w:left w:val="nil"/>
              <w:bottom w:val="single" w:sz="4" w:space="0" w:color="auto"/>
              <w:right w:val="single" w:sz="4" w:space="0" w:color="auto"/>
            </w:tcBorders>
            <w:shd w:val="clear" w:color="000000" w:fill="FFFFFF"/>
            <w:noWrap/>
            <w:hideMark/>
          </w:tcPr>
          <w:p w14:paraId="7A3DDFC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18472</w:t>
            </w:r>
          </w:p>
        </w:tc>
        <w:tc>
          <w:tcPr>
            <w:tcW w:w="709" w:type="dxa"/>
            <w:tcBorders>
              <w:top w:val="nil"/>
              <w:left w:val="nil"/>
              <w:bottom w:val="single" w:sz="4" w:space="0" w:color="auto"/>
              <w:right w:val="single" w:sz="8" w:space="0" w:color="auto"/>
            </w:tcBorders>
            <w:shd w:val="clear" w:color="000000" w:fill="FFFFFF"/>
            <w:noWrap/>
            <w:hideMark/>
          </w:tcPr>
          <w:p w14:paraId="32BE794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0,39</w:t>
            </w:r>
          </w:p>
        </w:tc>
        <w:tc>
          <w:tcPr>
            <w:tcW w:w="567" w:type="dxa"/>
            <w:tcBorders>
              <w:top w:val="nil"/>
              <w:left w:val="nil"/>
              <w:bottom w:val="single" w:sz="4" w:space="0" w:color="auto"/>
              <w:right w:val="single" w:sz="4" w:space="0" w:color="auto"/>
            </w:tcBorders>
            <w:shd w:val="clear" w:color="000000" w:fill="FFFFFF"/>
            <w:noWrap/>
            <w:hideMark/>
          </w:tcPr>
          <w:p w14:paraId="503EBA0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366</w:t>
            </w:r>
          </w:p>
        </w:tc>
        <w:tc>
          <w:tcPr>
            <w:tcW w:w="709" w:type="dxa"/>
            <w:tcBorders>
              <w:top w:val="nil"/>
              <w:left w:val="nil"/>
              <w:bottom w:val="single" w:sz="4" w:space="0" w:color="auto"/>
              <w:right w:val="single" w:sz="8" w:space="0" w:color="auto"/>
            </w:tcBorders>
            <w:shd w:val="clear" w:color="000000" w:fill="FFFFFF"/>
            <w:noWrap/>
            <w:hideMark/>
          </w:tcPr>
          <w:p w14:paraId="1172C12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850" w:type="dxa"/>
            <w:tcBorders>
              <w:top w:val="nil"/>
              <w:left w:val="nil"/>
              <w:bottom w:val="single" w:sz="4" w:space="0" w:color="auto"/>
              <w:right w:val="single" w:sz="4" w:space="0" w:color="auto"/>
            </w:tcBorders>
            <w:shd w:val="clear" w:color="000000" w:fill="FFFFFF"/>
            <w:noWrap/>
            <w:hideMark/>
          </w:tcPr>
          <w:p w14:paraId="7A69F57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4DFB152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346725C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7420138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0D995D7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95,37</w:t>
            </w:r>
          </w:p>
        </w:tc>
        <w:tc>
          <w:tcPr>
            <w:tcW w:w="851" w:type="dxa"/>
            <w:tcBorders>
              <w:top w:val="nil"/>
              <w:left w:val="nil"/>
              <w:bottom w:val="single" w:sz="4" w:space="0" w:color="auto"/>
              <w:right w:val="single" w:sz="4" w:space="0" w:color="auto"/>
            </w:tcBorders>
            <w:shd w:val="clear" w:color="auto" w:fill="auto"/>
            <w:noWrap/>
            <w:hideMark/>
          </w:tcPr>
          <w:p w14:paraId="4FA4303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0,0070</w:t>
            </w:r>
          </w:p>
        </w:tc>
        <w:tc>
          <w:tcPr>
            <w:tcW w:w="1134" w:type="dxa"/>
            <w:tcBorders>
              <w:top w:val="nil"/>
              <w:left w:val="nil"/>
              <w:bottom w:val="single" w:sz="4" w:space="0" w:color="auto"/>
              <w:right w:val="single" w:sz="4" w:space="0" w:color="auto"/>
            </w:tcBorders>
            <w:shd w:val="clear" w:color="000000" w:fill="C6E0B4"/>
            <w:noWrap/>
            <w:hideMark/>
          </w:tcPr>
          <w:p w14:paraId="68DB9E5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1.902.402</w:t>
            </w:r>
          </w:p>
        </w:tc>
        <w:tc>
          <w:tcPr>
            <w:tcW w:w="992" w:type="dxa"/>
            <w:tcBorders>
              <w:top w:val="nil"/>
              <w:left w:val="nil"/>
              <w:bottom w:val="single" w:sz="4" w:space="0" w:color="auto"/>
              <w:right w:val="single" w:sz="4" w:space="0" w:color="auto"/>
            </w:tcBorders>
            <w:shd w:val="clear" w:color="auto" w:fill="auto"/>
            <w:noWrap/>
            <w:hideMark/>
          </w:tcPr>
          <w:p w14:paraId="4C55D44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953.341</w:t>
            </w:r>
          </w:p>
        </w:tc>
        <w:tc>
          <w:tcPr>
            <w:tcW w:w="567" w:type="dxa"/>
            <w:tcBorders>
              <w:top w:val="nil"/>
              <w:left w:val="nil"/>
              <w:bottom w:val="single" w:sz="4" w:space="0" w:color="auto"/>
              <w:right w:val="single" w:sz="4" w:space="0" w:color="auto"/>
            </w:tcBorders>
            <w:shd w:val="clear" w:color="auto" w:fill="auto"/>
            <w:noWrap/>
            <w:hideMark/>
          </w:tcPr>
          <w:p w14:paraId="13BCB65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199,55</w:t>
            </w:r>
          </w:p>
        </w:tc>
        <w:tc>
          <w:tcPr>
            <w:tcW w:w="850" w:type="dxa"/>
            <w:tcBorders>
              <w:top w:val="nil"/>
              <w:left w:val="nil"/>
              <w:bottom w:val="single" w:sz="4" w:space="0" w:color="auto"/>
              <w:right w:val="single" w:sz="4" w:space="0" w:color="auto"/>
            </w:tcBorders>
            <w:shd w:val="clear" w:color="auto" w:fill="auto"/>
            <w:noWrap/>
            <w:hideMark/>
          </w:tcPr>
          <w:p w14:paraId="49AC746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1.712.161</w:t>
            </w:r>
          </w:p>
        </w:tc>
        <w:tc>
          <w:tcPr>
            <w:tcW w:w="709" w:type="dxa"/>
            <w:tcBorders>
              <w:top w:val="nil"/>
              <w:left w:val="nil"/>
              <w:bottom w:val="single" w:sz="4" w:space="0" w:color="auto"/>
              <w:right w:val="single" w:sz="8" w:space="0" w:color="auto"/>
            </w:tcBorders>
            <w:shd w:val="clear" w:color="auto" w:fill="auto"/>
            <w:noWrap/>
            <w:hideMark/>
          </w:tcPr>
          <w:p w14:paraId="77F9BDB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190.240</w:t>
            </w:r>
          </w:p>
        </w:tc>
        <w:tc>
          <w:tcPr>
            <w:tcW w:w="851" w:type="dxa"/>
            <w:tcBorders>
              <w:top w:val="nil"/>
              <w:left w:val="single" w:sz="4" w:space="0" w:color="auto"/>
              <w:bottom w:val="single" w:sz="4" w:space="0" w:color="auto"/>
              <w:right w:val="single" w:sz="4" w:space="0" w:color="auto"/>
            </w:tcBorders>
            <w:shd w:val="clear" w:color="auto" w:fill="auto"/>
            <w:noWrap/>
            <w:hideMark/>
          </w:tcPr>
          <w:p w14:paraId="42EF5DA9" w14:textId="3700881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92.690</w:t>
            </w:r>
          </w:p>
        </w:tc>
      </w:tr>
      <w:tr w:rsidR="005C332D" w:rsidRPr="003F6E51" w14:paraId="48E61B7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963C2A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w:t>
            </w:r>
          </w:p>
        </w:tc>
        <w:tc>
          <w:tcPr>
            <w:tcW w:w="2213" w:type="dxa"/>
            <w:tcBorders>
              <w:top w:val="nil"/>
              <w:left w:val="single" w:sz="8" w:space="0" w:color="auto"/>
              <w:bottom w:val="single" w:sz="4" w:space="0" w:color="auto"/>
              <w:right w:val="single" w:sz="8" w:space="0" w:color="auto"/>
            </w:tcBorders>
            <w:shd w:val="clear" w:color="auto" w:fill="auto"/>
            <w:noWrap/>
            <w:hideMark/>
          </w:tcPr>
          <w:p w14:paraId="133057E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VLADIMIRCI</w:t>
            </w:r>
          </w:p>
        </w:tc>
        <w:tc>
          <w:tcPr>
            <w:tcW w:w="850" w:type="dxa"/>
            <w:tcBorders>
              <w:top w:val="nil"/>
              <w:left w:val="nil"/>
              <w:bottom w:val="single" w:sz="4" w:space="0" w:color="auto"/>
              <w:right w:val="single" w:sz="4" w:space="0" w:color="auto"/>
            </w:tcBorders>
            <w:shd w:val="clear" w:color="000000" w:fill="FFFFFF"/>
            <w:noWrap/>
            <w:hideMark/>
          </w:tcPr>
          <w:p w14:paraId="40A9898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15307</w:t>
            </w:r>
          </w:p>
        </w:tc>
        <w:tc>
          <w:tcPr>
            <w:tcW w:w="709" w:type="dxa"/>
            <w:tcBorders>
              <w:top w:val="nil"/>
              <w:left w:val="nil"/>
              <w:bottom w:val="single" w:sz="4" w:space="0" w:color="auto"/>
              <w:right w:val="single" w:sz="8" w:space="0" w:color="auto"/>
            </w:tcBorders>
            <w:shd w:val="clear" w:color="000000" w:fill="FFFFFF"/>
            <w:noWrap/>
            <w:hideMark/>
          </w:tcPr>
          <w:p w14:paraId="430D812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0,32</w:t>
            </w:r>
          </w:p>
        </w:tc>
        <w:tc>
          <w:tcPr>
            <w:tcW w:w="567" w:type="dxa"/>
            <w:tcBorders>
              <w:top w:val="nil"/>
              <w:left w:val="nil"/>
              <w:bottom w:val="single" w:sz="4" w:space="0" w:color="auto"/>
              <w:right w:val="single" w:sz="4" w:space="0" w:color="auto"/>
            </w:tcBorders>
            <w:shd w:val="clear" w:color="000000" w:fill="FFFFFF"/>
            <w:noWrap/>
            <w:hideMark/>
          </w:tcPr>
          <w:p w14:paraId="78211D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338</w:t>
            </w:r>
          </w:p>
        </w:tc>
        <w:tc>
          <w:tcPr>
            <w:tcW w:w="709" w:type="dxa"/>
            <w:tcBorders>
              <w:top w:val="nil"/>
              <w:left w:val="nil"/>
              <w:bottom w:val="single" w:sz="4" w:space="0" w:color="auto"/>
              <w:right w:val="single" w:sz="8" w:space="0" w:color="auto"/>
            </w:tcBorders>
            <w:shd w:val="clear" w:color="000000" w:fill="FFFFFF"/>
            <w:noWrap/>
            <w:hideMark/>
          </w:tcPr>
          <w:p w14:paraId="2984BAC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0,63</w:t>
            </w:r>
          </w:p>
        </w:tc>
        <w:tc>
          <w:tcPr>
            <w:tcW w:w="850" w:type="dxa"/>
            <w:tcBorders>
              <w:top w:val="nil"/>
              <w:left w:val="nil"/>
              <w:bottom w:val="single" w:sz="4" w:space="0" w:color="auto"/>
              <w:right w:val="single" w:sz="4" w:space="0" w:color="auto"/>
            </w:tcBorders>
            <w:shd w:val="clear" w:color="000000" w:fill="FFFFFF"/>
            <w:noWrap/>
            <w:hideMark/>
          </w:tcPr>
          <w:p w14:paraId="63FE1D0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26ABE93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2C1D9BE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6F288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2170DD5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67,79</w:t>
            </w:r>
          </w:p>
        </w:tc>
        <w:tc>
          <w:tcPr>
            <w:tcW w:w="851" w:type="dxa"/>
            <w:tcBorders>
              <w:top w:val="nil"/>
              <w:left w:val="nil"/>
              <w:bottom w:val="single" w:sz="4" w:space="0" w:color="auto"/>
              <w:right w:val="single" w:sz="4" w:space="0" w:color="auto"/>
            </w:tcBorders>
            <w:shd w:val="clear" w:color="auto" w:fill="auto"/>
            <w:noWrap/>
            <w:hideMark/>
          </w:tcPr>
          <w:p w14:paraId="01E8EDD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0,0050</w:t>
            </w:r>
          </w:p>
        </w:tc>
        <w:tc>
          <w:tcPr>
            <w:tcW w:w="1134" w:type="dxa"/>
            <w:tcBorders>
              <w:top w:val="nil"/>
              <w:left w:val="nil"/>
              <w:bottom w:val="single" w:sz="4" w:space="0" w:color="auto"/>
              <w:right w:val="single" w:sz="4" w:space="0" w:color="auto"/>
            </w:tcBorders>
            <w:shd w:val="clear" w:color="000000" w:fill="C6E0B4"/>
            <w:noWrap/>
            <w:hideMark/>
          </w:tcPr>
          <w:p w14:paraId="5FF8F54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1.352.320</w:t>
            </w:r>
          </w:p>
        </w:tc>
        <w:tc>
          <w:tcPr>
            <w:tcW w:w="992" w:type="dxa"/>
            <w:tcBorders>
              <w:top w:val="nil"/>
              <w:left w:val="nil"/>
              <w:bottom w:val="single" w:sz="4" w:space="0" w:color="auto"/>
              <w:right w:val="single" w:sz="4" w:space="0" w:color="auto"/>
            </w:tcBorders>
            <w:shd w:val="clear" w:color="auto" w:fill="auto"/>
            <w:noWrap/>
            <w:hideMark/>
          </w:tcPr>
          <w:p w14:paraId="6CE7342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385.211</w:t>
            </w:r>
          </w:p>
        </w:tc>
        <w:tc>
          <w:tcPr>
            <w:tcW w:w="567" w:type="dxa"/>
            <w:tcBorders>
              <w:top w:val="nil"/>
              <w:left w:val="nil"/>
              <w:bottom w:val="single" w:sz="4" w:space="0" w:color="auto"/>
              <w:right w:val="single" w:sz="4" w:space="0" w:color="auto"/>
            </w:tcBorders>
            <w:shd w:val="clear" w:color="auto" w:fill="auto"/>
            <w:noWrap/>
            <w:hideMark/>
          </w:tcPr>
          <w:p w14:paraId="7CC9DC2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351,06</w:t>
            </w:r>
          </w:p>
        </w:tc>
        <w:tc>
          <w:tcPr>
            <w:tcW w:w="850" w:type="dxa"/>
            <w:tcBorders>
              <w:top w:val="nil"/>
              <w:left w:val="nil"/>
              <w:bottom w:val="single" w:sz="4" w:space="0" w:color="auto"/>
              <w:right w:val="single" w:sz="4" w:space="0" w:color="auto"/>
            </w:tcBorders>
            <w:shd w:val="clear" w:color="auto" w:fill="auto"/>
            <w:noWrap/>
            <w:hideMark/>
          </w:tcPr>
          <w:p w14:paraId="6710497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1.217.088</w:t>
            </w:r>
          </w:p>
        </w:tc>
        <w:tc>
          <w:tcPr>
            <w:tcW w:w="709" w:type="dxa"/>
            <w:tcBorders>
              <w:top w:val="nil"/>
              <w:left w:val="nil"/>
              <w:bottom w:val="single" w:sz="4" w:space="0" w:color="auto"/>
              <w:right w:val="single" w:sz="8" w:space="0" w:color="auto"/>
            </w:tcBorders>
            <w:shd w:val="clear" w:color="auto" w:fill="auto"/>
            <w:noWrap/>
            <w:hideMark/>
          </w:tcPr>
          <w:p w14:paraId="76DE5C9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135.232</w:t>
            </w:r>
          </w:p>
        </w:tc>
        <w:tc>
          <w:tcPr>
            <w:tcW w:w="851" w:type="dxa"/>
            <w:tcBorders>
              <w:top w:val="nil"/>
              <w:left w:val="single" w:sz="4" w:space="0" w:color="auto"/>
              <w:bottom w:val="single" w:sz="4" w:space="0" w:color="auto"/>
              <w:right w:val="single" w:sz="4" w:space="0" w:color="auto"/>
            </w:tcBorders>
            <w:shd w:val="clear" w:color="auto" w:fill="auto"/>
            <w:noWrap/>
            <w:hideMark/>
          </w:tcPr>
          <w:p w14:paraId="4B925C27" w14:textId="2A725C5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79.512</w:t>
            </w:r>
          </w:p>
        </w:tc>
      </w:tr>
      <w:tr w:rsidR="005C332D" w:rsidRPr="003F6E51" w14:paraId="3E3156B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EB848C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w:t>
            </w:r>
          </w:p>
        </w:tc>
        <w:tc>
          <w:tcPr>
            <w:tcW w:w="2213" w:type="dxa"/>
            <w:tcBorders>
              <w:top w:val="nil"/>
              <w:left w:val="single" w:sz="8" w:space="0" w:color="auto"/>
              <w:bottom w:val="single" w:sz="4" w:space="0" w:color="auto"/>
              <w:right w:val="single" w:sz="8" w:space="0" w:color="auto"/>
            </w:tcBorders>
            <w:shd w:val="clear" w:color="auto" w:fill="auto"/>
            <w:noWrap/>
            <w:hideMark/>
          </w:tcPr>
          <w:p w14:paraId="3ECD862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VLASOTINCE</w:t>
            </w:r>
          </w:p>
        </w:tc>
        <w:tc>
          <w:tcPr>
            <w:tcW w:w="850" w:type="dxa"/>
            <w:tcBorders>
              <w:top w:val="nil"/>
              <w:left w:val="nil"/>
              <w:bottom w:val="single" w:sz="4" w:space="0" w:color="auto"/>
              <w:right w:val="single" w:sz="4" w:space="0" w:color="auto"/>
            </w:tcBorders>
            <w:shd w:val="clear" w:color="000000" w:fill="FFFFFF"/>
            <w:noWrap/>
            <w:hideMark/>
          </w:tcPr>
          <w:p w14:paraId="6DA0BA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27101</w:t>
            </w:r>
          </w:p>
        </w:tc>
        <w:tc>
          <w:tcPr>
            <w:tcW w:w="709" w:type="dxa"/>
            <w:tcBorders>
              <w:top w:val="nil"/>
              <w:left w:val="nil"/>
              <w:bottom w:val="single" w:sz="4" w:space="0" w:color="auto"/>
              <w:right w:val="single" w:sz="8" w:space="0" w:color="auto"/>
            </w:tcBorders>
            <w:shd w:val="clear" w:color="000000" w:fill="FFFFFF"/>
            <w:noWrap/>
            <w:hideMark/>
          </w:tcPr>
          <w:p w14:paraId="4A2901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567" w:type="dxa"/>
            <w:tcBorders>
              <w:top w:val="nil"/>
              <w:left w:val="nil"/>
              <w:bottom w:val="single" w:sz="4" w:space="0" w:color="auto"/>
              <w:right w:val="single" w:sz="4" w:space="0" w:color="auto"/>
            </w:tcBorders>
            <w:shd w:val="clear" w:color="000000" w:fill="FFFFFF"/>
            <w:noWrap/>
            <w:hideMark/>
          </w:tcPr>
          <w:p w14:paraId="2236521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308</w:t>
            </w:r>
          </w:p>
        </w:tc>
        <w:tc>
          <w:tcPr>
            <w:tcW w:w="709" w:type="dxa"/>
            <w:tcBorders>
              <w:top w:val="nil"/>
              <w:left w:val="nil"/>
              <w:bottom w:val="single" w:sz="4" w:space="0" w:color="auto"/>
              <w:right w:val="single" w:sz="8" w:space="0" w:color="auto"/>
            </w:tcBorders>
            <w:shd w:val="clear" w:color="000000" w:fill="FFFFFF"/>
            <w:noWrap/>
            <w:hideMark/>
          </w:tcPr>
          <w:p w14:paraId="18F8F11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0,58</w:t>
            </w:r>
          </w:p>
        </w:tc>
        <w:tc>
          <w:tcPr>
            <w:tcW w:w="850" w:type="dxa"/>
            <w:tcBorders>
              <w:top w:val="nil"/>
              <w:left w:val="nil"/>
              <w:bottom w:val="single" w:sz="4" w:space="0" w:color="auto"/>
              <w:right w:val="single" w:sz="4" w:space="0" w:color="auto"/>
            </w:tcBorders>
            <w:shd w:val="clear" w:color="000000" w:fill="FFFFFF"/>
            <w:noWrap/>
            <w:hideMark/>
          </w:tcPr>
          <w:p w14:paraId="2144B41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63BD1EC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6951DAD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445F05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A22A30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87,38</w:t>
            </w:r>
          </w:p>
        </w:tc>
        <w:tc>
          <w:tcPr>
            <w:tcW w:w="851" w:type="dxa"/>
            <w:tcBorders>
              <w:top w:val="nil"/>
              <w:left w:val="nil"/>
              <w:bottom w:val="single" w:sz="4" w:space="0" w:color="auto"/>
              <w:right w:val="single" w:sz="4" w:space="0" w:color="auto"/>
            </w:tcBorders>
            <w:shd w:val="clear" w:color="auto" w:fill="auto"/>
            <w:noWrap/>
            <w:hideMark/>
          </w:tcPr>
          <w:p w14:paraId="6DD4564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0,0064</w:t>
            </w:r>
          </w:p>
        </w:tc>
        <w:tc>
          <w:tcPr>
            <w:tcW w:w="1134" w:type="dxa"/>
            <w:tcBorders>
              <w:top w:val="nil"/>
              <w:left w:val="nil"/>
              <w:bottom w:val="single" w:sz="4" w:space="0" w:color="auto"/>
              <w:right w:val="single" w:sz="4" w:space="0" w:color="auto"/>
            </w:tcBorders>
            <w:shd w:val="clear" w:color="000000" w:fill="C6E0B4"/>
            <w:noWrap/>
            <w:hideMark/>
          </w:tcPr>
          <w:p w14:paraId="05FF81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1.743.081</w:t>
            </w:r>
          </w:p>
        </w:tc>
        <w:tc>
          <w:tcPr>
            <w:tcW w:w="992" w:type="dxa"/>
            <w:tcBorders>
              <w:top w:val="nil"/>
              <w:left w:val="nil"/>
              <w:bottom w:val="single" w:sz="4" w:space="0" w:color="auto"/>
              <w:right w:val="single" w:sz="4" w:space="0" w:color="auto"/>
            </w:tcBorders>
            <w:shd w:val="clear" w:color="auto" w:fill="auto"/>
            <w:noWrap/>
            <w:hideMark/>
          </w:tcPr>
          <w:p w14:paraId="3626F16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1.779.698</w:t>
            </w:r>
          </w:p>
        </w:tc>
        <w:tc>
          <w:tcPr>
            <w:tcW w:w="567" w:type="dxa"/>
            <w:tcBorders>
              <w:top w:val="nil"/>
              <w:left w:val="nil"/>
              <w:bottom w:val="single" w:sz="4" w:space="0" w:color="auto"/>
              <w:right w:val="single" w:sz="4" w:space="0" w:color="auto"/>
            </w:tcBorders>
            <w:shd w:val="clear" w:color="auto" w:fill="auto"/>
            <w:noWrap/>
            <w:hideMark/>
          </w:tcPr>
          <w:p w14:paraId="0F07D3A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97,94</w:t>
            </w:r>
          </w:p>
        </w:tc>
        <w:tc>
          <w:tcPr>
            <w:tcW w:w="850" w:type="dxa"/>
            <w:tcBorders>
              <w:top w:val="nil"/>
              <w:left w:val="nil"/>
              <w:bottom w:val="single" w:sz="4" w:space="0" w:color="auto"/>
              <w:right w:val="single" w:sz="4" w:space="0" w:color="auto"/>
            </w:tcBorders>
            <w:shd w:val="clear" w:color="auto" w:fill="auto"/>
            <w:noWrap/>
            <w:hideMark/>
          </w:tcPr>
          <w:p w14:paraId="3A4ED82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1.568.773</w:t>
            </w:r>
          </w:p>
        </w:tc>
        <w:tc>
          <w:tcPr>
            <w:tcW w:w="709" w:type="dxa"/>
            <w:tcBorders>
              <w:top w:val="nil"/>
              <w:left w:val="nil"/>
              <w:bottom w:val="single" w:sz="4" w:space="0" w:color="auto"/>
              <w:right w:val="single" w:sz="8" w:space="0" w:color="auto"/>
            </w:tcBorders>
            <w:shd w:val="clear" w:color="auto" w:fill="auto"/>
            <w:noWrap/>
            <w:hideMark/>
          </w:tcPr>
          <w:p w14:paraId="7DC8068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174.308</w:t>
            </w:r>
          </w:p>
        </w:tc>
        <w:tc>
          <w:tcPr>
            <w:tcW w:w="851" w:type="dxa"/>
            <w:tcBorders>
              <w:top w:val="nil"/>
              <w:left w:val="single" w:sz="4" w:space="0" w:color="auto"/>
              <w:bottom w:val="single" w:sz="4" w:space="0" w:color="auto"/>
              <w:right w:val="single" w:sz="4" w:space="0" w:color="auto"/>
            </w:tcBorders>
            <w:shd w:val="clear" w:color="auto" w:fill="auto"/>
            <w:noWrap/>
            <w:hideMark/>
          </w:tcPr>
          <w:p w14:paraId="7DAF03CA" w14:textId="004D11A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57.886</w:t>
            </w:r>
          </w:p>
        </w:tc>
      </w:tr>
      <w:tr w:rsidR="005C332D" w:rsidRPr="003F6E51" w14:paraId="4017EE6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5D9825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78</w:t>
            </w:r>
          </w:p>
        </w:tc>
        <w:tc>
          <w:tcPr>
            <w:tcW w:w="2213" w:type="dxa"/>
            <w:tcBorders>
              <w:top w:val="nil"/>
              <w:left w:val="single" w:sz="8" w:space="0" w:color="auto"/>
              <w:bottom w:val="single" w:sz="4" w:space="0" w:color="auto"/>
              <w:right w:val="single" w:sz="8" w:space="0" w:color="auto"/>
            </w:tcBorders>
            <w:shd w:val="clear" w:color="auto" w:fill="auto"/>
            <w:noWrap/>
            <w:hideMark/>
          </w:tcPr>
          <w:p w14:paraId="0469990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VRNJAČKA BANJA</w:t>
            </w:r>
          </w:p>
        </w:tc>
        <w:tc>
          <w:tcPr>
            <w:tcW w:w="850" w:type="dxa"/>
            <w:tcBorders>
              <w:top w:val="nil"/>
              <w:left w:val="nil"/>
              <w:bottom w:val="single" w:sz="4" w:space="0" w:color="auto"/>
              <w:right w:val="single" w:sz="4" w:space="0" w:color="auto"/>
            </w:tcBorders>
            <w:shd w:val="clear" w:color="000000" w:fill="FFFFFF"/>
            <w:noWrap/>
            <w:hideMark/>
          </w:tcPr>
          <w:p w14:paraId="6221349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25722</w:t>
            </w:r>
          </w:p>
        </w:tc>
        <w:tc>
          <w:tcPr>
            <w:tcW w:w="709" w:type="dxa"/>
            <w:tcBorders>
              <w:top w:val="nil"/>
              <w:left w:val="nil"/>
              <w:bottom w:val="single" w:sz="4" w:space="0" w:color="auto"/>
              <w:right w:val="single" w:sz="8" w:space="0" w:color="auto"/>
            </w:tcBorders>
            <w:shd w:val="clear" w:color="000000" w:fill="FFFFFF"/>
            <w:noWrap/>
            <w:hideMark/>
          </w:tcPr>
          <w:p w14:paraId="2EEBF09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0,54</w:t>
            </w:r>
          </w:p>
        </w:tc>
        <w:tc>
          <w:tcPr>
            <w:tcW w:w="567" w:type="dxa"/>
            <w:tcBorders>
              <w:top w:val="nil"/>
              <w:left w:val="nil"/>
              <w:bottom w:val="single" w:sz="4" w:space="0" w:color="auto"/>
              <w:right w:val="single" w:sz="4" w:space="0" w:color="auto"/>
            </w:tcBorders>
            <w:shd w:val="clear" w:color="000000" w:fill="FFFFFF"/>
            <w:noWrap/>
            <w:hideMark/>
          </w:tcPr>
          <w:p w14:paraId="2C79488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239</w:t>
            </w:r>
          </w:p>
        </w:tc>
        <w:tc>
          <w:tcPr>
            <w:tcW w:w="709" w:type="dxa"/>
            <w:tcBorders>
              <w:top w:val="nil"/>
              <w:left w:val="nil"/>
              <w:bottom w:val="single" w:sz="4" w:space="0" w:color="auto"/>
              <w:right w:val="single" w:sz="8" w:space="0" w:color="auto"/>
            </w:tcBorders>
            <w:shd w:val="clear" w:color="000000" w:fill="FFFFFF"/>
            <w:noWrap/>
            <w:hideMark/>
          </w:tcPr>
          <w:p w14:paraId="43E0A9C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0,45</w:t>
            </w:r>
          </w:p>
        </w:tc>
        <w:tc>
          <w:tcPr>
            <w:tcW w:w="850" w:type="dxa"/>
            <w:tcBorders>
              <w:top w:val="nil"/>
              <w:left w:val="nil"/>
              <w:bottom w:val="single" w:sz="4" w:space="0" w:color="auto"/>
              <w:right w:val="single" w:sz="4" w:space="0" w:color="auto"/>
            </w:tcBorders>
            <w:shd w:val="clear" w:color="000000" w:fill="FFFFFF"/>
            <w:noWrap/>
            <w:hideMark/>
          </w:tcPr>
          <w:p w14:paraId="1CDD1FD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6A1C377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578832A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F0B545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0B0094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59,20</w:t>
            </w:r>
          </w:p>
        </w:tc>
        <w:tc>
          <w:tcPr>
            <w:tcW w:w="851" w:type="dxa"/>
            <w:tcBorders>
              <w:top w:val="nil"/>
              <w:left w:val="nil"/>
              <w:bottom w:val="single" w:sz="4" w:space="0" w:color="auto"/>
              <w:right w:val="single" w:sz="4" w:space="0" w:color="auto"/>
            </w:tcBorders>
            <w:shd w:val="clear" w:color="auto" w:fill="auto"/>
            <w:noWrap/>
            <w:hideMark/>
          </w:tcPr>
          <w:p w14:paraId="4C613AB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0,0044</w:t>
            </w:r>
          </w:p>
        </w:tc>
        <w:tc>
          <w:tcPr>
            <w:tcW w:w="1134" w:type="dxa"/>
            <w:tcBorders>
              <w:top w:val="nil"/>
              <w:left w:val="nil"/>
              <w:bottom w:val="single" w:sz="4" w:space="0" w:color="auto"/>
              <w:right w:val="single" w:sz="4" w:space="0" w:color="auto"/>
            </w:tcBorders>
            <w:shd w:val="clear" w:color="000000" w:fill="C6E0B4"/>
            <w:noWrap/>
            <w:hideMark/>
          </w:tcPr>
          <w:p w14:paraId="4917633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1.180.996</w:t>
            </w:r>
          </w:p>
        </w:tc>
        <w:tc>
          <w:tcPr>
            <w:tcW w:w="992" w:type="dxa"/>
            <w:tcBorders>
              <w:top w:val="nil"/>
              <w:left w:val="nil"/>
              <w:bottom w:val="single" w:sz="4" w:space="0" w:color="auto"/>
              <w:right w:val="single" w:sz="4" w:space="0" w:color="auto"/>
            </w:tcBorders>
            <w:shd w:val="clear" w:color="auto" w:fill="auto"/>
            <w:noWrap/>
            <w:hideMark/>
          </w:tcPr>
          <w:p w14:paraId="214606C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1.665.297</w:t>
            </w:r>
          </w:p>
        </w:tc>
        <w:tc>
          <w:tcPr>
            <w:tcW w:w="567" w:type="dxa"/>
            <w:tcBorders>
              <w:top w:val="nil"/>
              <w:left w:val="nil"/>
              <w:bottom w:val="single" w:sz="4" w:space="0" w:color="auto"/>
              <w:right w:val="single" w:sz="4" w:space="0" w:color="auto"/>
            </w:tcBorders>
            <w:shd w:val="clear" w:color="auto" w:fill="auto"/>
            <w:noWrap/>
            <w:hideMark/>
          </w:tcPr>
          <w:p w14:paraId="167FCDC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70,92</w:t>
            </w:r>
          </w:p>
        </w:tc>
        <w:tc>
          <w:tcPr>
            <w:tcW w:w="850" w:type="dxa"/>
            <w:tcBorders>
              <w:top w:val="nil"/>
              <w:left w:val="nil"/>
              <w:bottom w:val="single" w:sz="4" w:space="0" w:color="auto"/>
              <w:right w:val="single" w:sz="4" w:space="0" w:color="auto"/>
            </w:tcBorders>
            <w:shd w:val="clear" w:color="auto" w:fill="auto"/>
            <w:noWrap/>
            <w:hideMark/>
          </w:tcPr>
          <w:p w14:paraId="4006F77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1.062.896</w:t>
            </w:r>
          </w:p>
        </w:tc>
        <w:tc>
          <w:tcPr>
            <w:tcW w:w="709" w:type="dxa"/>
            <w:tcBorders>
              <w:top w:val="nil"/>
              <w:left w:val="nil"/>
              <w:bottom w:val="single" w:sz="4" w:space="0" w:color="auto"/>
              <w:right w:val="single" w:sz="8" w:space="0" w:color="auto"/>
            </w:tcBorders>
            <w:shd w:val="clear" w:color="auto" w:fill="auto"/>
            <w:noWrap/>
            <w:hideMark/>
          </w:tcPr>
          <w:p w14:paraId="6650100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118.100</w:t>
            </w:r>
          </w:p>
        </w:tc>
        <w:tc>
          <w:tcPr>
            <w:tcW w:w="851" w:type="dxa"/>
            <w:tcBorders>
              <w:top w:val="nil"/>
              <w:left w:val="single" w:sz="4" w:space="0" w:color="auto"/>
              <w:bottom w:val="single" w:sz="4" w:space="0" w:color="auto"/>
              <w:right w:val="single" w:sz="4" w:space="0" w:color="auto"/>
            </w:tcBorders>
            <w:shd w:val="clear" w:color="auto" w:fill="auto"/>
            <w:noWrap/>
            <w:hideMark/>
          </w:tcPr>
          <w:p w14:paraId="2882E1AA" w14:textId="27AA24C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41.322</w:t>
            </w:r>
          </w:p>
        </w:tc>
      </w:tr>
      <w:tr w:rsidR="005C332D" w:rsidRPr="003F6E51" w14:paraId="16AB628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122CA3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w:t>
            </w:r>
          </w:p>
        </w:tc>
        <w:tc>
          <w:tcPr>
            <w:tcW w:w="2213" w:type="dxa"/>
            <w:tcBorders>
              <w:top w:val="nil"/>
              <w:left w:val="single" w:sz="8" w:space="0" w:color="auto"/>
              <w:bottom w:val="single" w:sz="4" w:space="0" w:color="auto"/>
              <w:right w:val="single" w:sz="8" w:space="0" w:color="auto"/>
            </w:tcBorders>
            <w:shd w:val="clear" w:color="auto" w:fill="auto"/>
            <w:noWrap/>
            <w:hideMark/>
          </w:tcPr>
          <w:p w14:paraId="5EB4EBD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ŽABARI</w:t>
            </w:r>
          </w:p>
        </w:tc>
        <w:tc>
          <w:tcPr>
            <w:tcW w:w="850" w:type="dxa"/>
            <w:tcBorders>
              <w:top w:val="nil"/>
              <w:left w:val="nil"/>
              <w:bottom w:val="single" w:sz="4" w:space="0" w:color="auto"/>
              <w:right w:val="single" w:sz="4" w:space="0" w:color="auto"/>
            </w:tcBorders>
            <w:shd w:val="clear" w:color="000000" w:fill="FFFFFF"/>
            <w:noWrap/>
            <w:hideMark/>
          </w:tcPr>
          <w:p w14:paraId="5DC93A3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9143</w:t>
            </w:r>
          </w:p>
        </w:tc>
        <w:tc>
          <w:tcPr>
            <w:tcW w:w="709" w:type="dxa"/>
            <w:tcBorders>
              <w:top w:val="nil"/>
              <w:left w:val="nil"/>
              <w:bottom w:val="single" w:sz="4" w:space="0" w:color="auto"/>
              <w:right w:val="single" w:sz="8" w:space="0" w:color="auto"/>
            </w:tcBorders>
            <w:shd w:val="clear" w:color="000000" w:fill="FFFFFF"/>
            <w:noWrap/>
            <w:hideMark/>
          </w:tcPr>
          <w:p w14:paraId="0BCAAA3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0,19</w:t>
            </w:r>
          </w:p>
        </w:tc>
        <w:tc>
          <w:tcPr>
            <w:tcW w:w="567" w:type="dxa"/>
            <w:tcBorders>
              <w:top w:val="nil"/>
              <w:left w:val="nil"/>
              <w:bottom w:val="single" w:sz="4" w:space="0" w:color="auto"/>
              <w:right w:val="single" w:sz="4" w:space="0" w:color="auto"/>
            </w:tcBorders>
            <w:shd w:val="clear" w:color="000000" w:fill="FFFFFF"/>
            <w:noWrap/>
            <w:hideMark/>
          </w:tcPr>
          <w:p w14:paraId="78F0EB3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264</w:t>
            </w:r>
          </w:p>
        </w:tc>
        <w:tc>
          <w:tcPr>
            <w:tcW w:w="709" w:type="dxa"/>
            <w:tcBorders>
              <w:top w:val="nil"/>
              <w:left w:val="nil"/>
              <w:bottom w:val="single" w:sz="4" w:space="0" w:color="auto"/>
              <w:right w:val="single" w:sz="8" w:space="0" w:color="auto"/>
            </w:tcBorders>
            <w:shd w:val="clear" w:color="000000" w:fill="FFFFFF"/>
            <w:noWrap/>
            <w:hideMark/>
          </w:tcPr>
          <w:p w14:paraId="4D7C00F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850" w:type="dxa"/>
            <w:tcBorders>
              <w:top w:val="nil"/>
              <w:left w:val="nil"/>
              <w:bottom w:val="single" w:sz="4" w:space="0" w:color="auto"/>
              <w:right w:val="single" w:sz="4" w:space="0" w:color="auto"/>
            </w:tcBorders>
            <w:shd w:val="clear" w:color="000000" w:fill="FFFFFF"/>
            <w:noWrap/>
            <w:hideMark/>
          </w:tcPr>
          <w:p w14:paraId="293D936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3A4C3B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199CCEC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FB476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393B119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72,11</w:t>
            </w:r>
          </w:p>
        </w:tc>
        <w:tc>
          <w:tcPr>
            <w:tcW w:w="851" w:type="dxa"/>
            <w:tcBorders>
              <w:top w:val="nil"/>
              <w:left w:val="nil"/>
              <w:bottom w:val="single" w:sz="4" w:space="0" w:color="auto"/>
              <w:right w:val="single" w:sz="4" w:space="0" w:color="auto"/>
            </w:tcBorders>
            <w:shd w:val="clear" w:color="auto" w:fill="auto"/>
            <w:noWrap/>
            <w:hideMark/>
          </w:tcPr>
          <w:p w14:paraId="2A1E8FC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0,0053</w:t>
            </w:r>
          </w:p>
        </w:tc>
        <w:tc>
          <w:tcPr>
            <w:tcW w:w="1134" w:type="dxa"/>
            <w:tcBorders>
              <w:top w:val="nil"/>
              <w:left w:val="nil"/>
              <w:bottom w:val="single" w:sz="4" w:space="0" w:color="auto"/>
              <w:right w:val="single" w:sz="4" w:space="0" w:color="auto"/>
            </w:tcBorders>
            <w:shd w:val="clear" w:color="000000" w:fill="C6E0B4"/>
            <w:noWrap/>
            <w:hideMark/>
          </w:tcPr>
          <w:p w14:paraId="717F329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1.438.555</w:t>
            </w:r>
          </w:p>
        </w:tc>
        <w:tc>
          <w:tcPr>
            <w:tcW w:w="992" w:type="dxa"/>
            <w:tcBorders>
              <w:top w:val="nil"/>
              <w:left w:val="nil"/>
              <w:bottom w:val="single" w:sz="4" w:space="0" w:color="auto"/>
              <w:right w:val="single" w:sz="4" w:space="0" w:color="auto"/>
            </w:tcBorders>
            <w:shd w:val="clear" w:color="auto" w:fill="auto"/>
            <w:noWrap/>
            <w:hideMark/>
          </w:tcPr>
          <w:p w14:paraId="37C4AE8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425.822</w:t>
            </w:r>
          </w:p>
        </w:tc>
        <w:tc>
          <w:tcPr>
            <w:tcW w:w="567" w:type="dxa"/>
            <w:tcBorders>
              <w:top w:val="nil"/>
              <w:left w:val="nil"/>
              <w:bottom w:val="single" w:sz="4" w:space="0" w:color="auto"/>
              <w:right w:val="single" w:sz="4" w:space="0" w:color="auto"/>
            </w:tcBorders>
            <w:shd w:val="clear" w:color="auto" w:fill="auto"/>
            <w:noWrap/>
            <w:hideMark/>
          </w:tcPr>
          <w:p w14:paraId="0F67A16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337,83</w:t>
            </w:r>
          </w:p>
        </w:tc>
        <w:tc>
          <w:tcPr>
            <w:tcW w:w="850" w:type="dxa"/>
            <w:tcBorders>
              <w:top w:val="nil"/>
              <w:left w:val="nil"/>
              <w:bottom w:val="single" w:sz="4" w:space="0" w:color="auto"/>
              <w:right w:val="single" w:sz="4" w:space="0" w:color="auto"/>
            </w:tcBorders>
            <w:shd w:val="clear" w:color="auto" w:fill="auto"/>
            <w:noWrap/>
            <w:hideMark/>
          </w:tcPr>
          <w:p w14:paraId="15A7765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1.294.699</w:t>
            </w:r>
          </w:p>
        </w:tc>
        <w:tc>
          <w:tcPr>
            <w:tcW w:w="709" w:type="dxa"/>
            <w:tcBorders>
              <w:top w:val="nil"/>
              <w:left w:val="nil"/>
              <w:bottom w:val="single" w:sz="4" w:space="0" w:color="auto"/>
              <w:right w:val="single" w:sz="8" w:space="0" w:color="auto"/>
            </w:tcBorders>
            <w:shd w:val="clear" w:color="auto" w:fill="auto"/>
            <w:noWrap/>
            <w:hideMark/>
          </w:tcPr>
          <w:p w14:paraId="54728DA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143.855</w:t>
            </w:r>
          </w:p>
        </w:tc>
        <w:tc>
          <w:tcPr>
            <w:tcW w:w="851" w:type="dxa"/>
            <w:tcBorders>
              <w:top w:val="nil"/>
              <w:left w:val="single" w:sz="4" w:space="0" w:color="auto"/>
              <w:bottom w:val="single" w:sz="4" w:space="0" w:color="auto"/>
              <w:right w:val="single" w:sz="4" w:space="0" w:color="auto"/>
            </w:tcBorders>
            <w:shd w:val="clear" w:color="auto" w:fill="auto"/>
            <w:noWrap/>
            <w:hideMark/>
          </w:tcPr>
          <w:p w14:paraId="49B0975B" w14:textId="6FC86FE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141.606</w:t>
            </w:r>
          </w:p>
        </w:tc>
      </w:tr>
      <w:tr w:rsidR="005C332D" w:rsidRPr="003F6E51" w14:paraId="1E50954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7F011D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80</w:t>
            </w:r>
          </w:p>
        </w:tc>
        <w:tc>
          <w:tcPr>
            <w:tcW w:w="2213" w:type="dxa"/>
            <w:tcBorders>
              <w:top w:val="nil"/>
              <w:left w:val="single" w:sz="8" w:space="0" w:color="auto"/>
              <w:bottom w:val="single" w:sz="4" w:space="0" w:color="auto"/>
              <w:right w:val="single" w:sz="8" w:space="0" w:color="auto"/>
            </w:tcBorders>
            <w:shd w:val="clear" w:color="auto" w:fill="auto"/>
            <w:noWrap/>
            <w:hideMark/>
          </w:tcPr>
          <w:p w14:paraId="5FEA1AE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ŽAGUBICA</w:t>
            </w:r>
          </w:p>
        </w:tc>
        <w:tc>
          <w:tcPr>
            <w:tcW w:w="850" w:type="dxa"/>
            <w:tcBorders>
              <w:top w:val="nil"/>
              <w:left w:val="nil"/>
              <w:bottom w:val="single" w:sz="4" w:space="0" w:color="auto"/>
              <w:right w:val="single" w:sz="4" w:space="0" w:color="auto"/>
            </w:tcBorders>
            <w:shd w:val="clear" w:color="000000" w:fill="FFFFFF"/>
            <w:noWrap/>
            <w:hideMark/>
          </w:tcPr>
          <w:p w14:paraId="33181FE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10920</w:t>
            </w:r>
          </w:p>
        </w:tc>
        <w:tc>
          <w:tcPr>
            <w:tcW w:w="709" w:type="dxa"/>
            <w:tcBorders>
              <w:top w:val="nil"/>
              <w:left w:val="nil"/>
              <w:bottom w:val="single" w:sz="4" w:space="0" w:color="auto"/>
              <w:right w:val="single" w:sz="8" w:space="0" w:color="auto"/>
            </w:tcBorders>
            <w:shd w:val="clear" w:color="000000" w:fill="FFFFFF"/>
            <w:noWrap/>
            <w:hideMark/>
          </w:tcPr>
          <w:p w14:paraId="3F8C11D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7B9659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760</w:t>
            </w:r>
          </w:p>
        </w:tc>
        <w:tc>
          <w:tcPr>
            <w:tcW w:w="709" w:type="dxa"/>
            <w:tcBorders>
              <w:top w:val="nil"/>
              <w:left w:val="nil"/>
              <w:bottom w:val="single" w:sz="4" w:space="0" w:color="auto"/>
              <w:right w:val="single" w:sz="8" w:space="0" w:color="auto"/>
            </w:tcBorders>
            <w:shd w:val="clear" w:color="000000" w:fill="FFFFFF"/>
            <w:noWrap/>
            <w:hideMark/>
          </w:tcPr>
          <w:p w14:paraId="51FA13A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1,42</w:t>
            </w:r>
          </w:p>
        </w:tc>
        <w:tc>
          <w:tcPr>
            <w:tcW w:w="850" w:type="dxa"/>
            <w:tcBorders>
              <w:top w:val="nil"/>
              <w:left w:val="nil"/>
              <w:bottom w:val="single" w:sz="4" w:space="0" w:color="auto"/>
              <w:right w:val="single" w:sz="4" w:space="0" w:color="auto"/>
            </w:tcBorders>
            <w:shd w:val="clear" w:color="000000" w:fill="FFFFFF"/>
            <w:noWrap/>
            <w:hideMark/>
          </w:tcPr>
          <w:p w14:paraId="01D0486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E77733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378CA5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9B1704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72C245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96,59</w:t>
            </w:r>
          </w:p>
        </w:tc>
        <w:tc>
          <w:tcPr>
            <w:tcW w:w="851" w:type="dxa"/>
            <w:tcBorders>
              <w:top w:val="nil"/>
              <w:left w:val="nil"/>
              <w:bottom w:val="single" w:sz="4" w:space="0" w:color="auto"/>
              <w:right w:val="single" w:sz="4" w:space="0" w:color="auto"/>
            </w:tcBorders>
            <w:shd w:val="clear" w:color="auto" w:fill="auto"/>
            <w:noWrap/>
            <w:hideMark/>
          </w:tcPr>
          <w:p w14:paraId="1379DB7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0,0071</w:t>
            </w:r>
          </w:p>
        </w:tc>
        <w:tc>
          <w:tcPr>
            <w:tcW w:w="1134" w:type="dxa"/>
            <w:tcBorders>
              <w:top w:val="nil"/>
              <w:left w:val="nil"/>
              <w:bottom w:val="single" w:sz="4" w:space="0" w:color="auto"/>
              <w:right w:val="single" w:sz="4" w:space="0" w:color="auto"/>
            </w:tcBorders>
            <w:shd w:val="clear" w:color="000000" w:fill="C6E0B4"/>
            <w:noWrap/>
            <w:hideMark/>
          </w:tcPr>
          <w:p w14:paraId="44E54C3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1.926.906</w:t>
            </w:r>
          </w:p>
        </w:tc>
        <w:tc>
          <w:tcPr>
            <w:tcW w:w="992" w:type="dxa"/>
            <w:tcBorders>
              <w:top w:val="nil"/>
              <w:left w:val="nil"/>
              <w:bottom w:val="single" w:sz="4" w:space="0" w:color="auto"/>
              <w:right w:val="single" w:sz="4" w:space="0" w:color="auto"/>
            </w:tcBorders>
            <w:shd w:val="clear" w:color="auto" w:fill="auto"/>
            <w:noWrap/>
            <w:hideMark/>
          </w:tcPr>
          <w:p w14:paraId="2BAA51C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540.203</w:t>
            </w:r>
          </w:p>
        </w:tc>
        <w:tc>
          <w:tcPr>
            <w:tcW w:w="567" w:type="dxa"/>
            <w:tcBorders>
              <w:top w:val="nil"/>
              <w:left w:val="nil"/>
              <w:bottom w:val="single" w:sz="4" w:space="0" w:color="auto"/>
              <w:right w:val="single" w:sz="4" w:space="0" w:color="auto"/>
            </w:tcBorders>
            <w:shd w:val="clear" w:color="auto" w:fill="auto"/>
            <w:noWrap/>
            <w:hideMark/>
          </w:tcPr>
          <w:p w14:paraId="400FC05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356,70</w:t>
            </w:r>
          </w:p>
        </w:tc>
        <w:tc>
          <w:tcPr>
            <w:tcW w:w="850" w:type="dxa"/>
            <w:tcBorders>
              <w:top w:val="nil"/>
              <w:left w:val="nil"/>
              <w:bottom w:val="single" w:sz="4" w:space="0" w:color="auto"/>
              <w:right w:val="single" w:sz="4" w:space="0" w:color="auto"/>
            </w:tcBorders>
            <w:shd w:val="clear" w:color="auto" w:fill="auto"/>
            <w:noWrap/>
            <w:hideMark/>
          </w:tcPr>
          <w:p w14:paraId="3752B84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1.734.215</w:t>
            </w:r>
          </w:p>
        </w:tc>
        <w:tc>
          <w:tcPr>
            <w:tcW w:w="709" w:type="dxa"/>
            <w:tcBorders>
              <w:top w:val="nil"/>
              <w:left w:val="nil"/>
              <w:bottom w:val="single" w:sz="4" w:space="0" w:color="auto"/>
              <w:right w:val="single" w:sz="8" w:space="0" w:color="auto"/>
            </w:tcBorders>
            <w:shd w:val="clear" w:color="auto" w:fill="auto"/>
            <w:noWrap/>
            <w:hideMark/>
          </w:tcPr>
          <w:p w14:paraId="7B743A2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192.691</w:t>
            </w:r>
          </w:p>
        </w:tc>
        <w:tc>
          <w:tcPr>
            <w:tcW w:w="851" w:type="dxa"/>
            <w:tcBorders>
              <w:top w:val="nil"/>
              <w:left w:val="single" w:sz="4" w:space="0" w:color="auto"/>
              <w:bottom w:val="single" w:sz="4" w:space="0" w:color="auto"/>
              <w:right w:val="single" w:sz="4" w:space="0" w:color="auto"/>
            </w:tcBorders>
            <w:shd w:val="clear" w:color="auto" w:fill="auto"/>
            <w:noWrap/>
            <w:hideMark/>
          </w:tcPr>
          <w:p w14:paraId="34E708FD" w14:textId="400406B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158.811</w:t>
            </w:r>
          </w:p>
        </w:tc>
      </w:tr>
      <w:tr w:rsidR="005C332D" w:rsidRPr="003F6E51" w14:paraId="6F3964D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47B5D3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81</w:t>
            </w:r>
          </w:p>
        </w:tc>
        <w:tc>
          <w:tcPr>
            <w:tcW w:w="2213" w:type="dxa"/>
            <w:tcBorders>
              <w:top w:val="nil"/>
              <w:left w:val="single" w:sz="8" w:space="0" w:color="auto"/>
              <w:bottom w:val="single" w:sz="4" w:space="0" w:color="auto"/>
              <w:right w:val="single" w:sz="8" w:space="0" w:color="auto"/>
            </w:tcBorders>
            <w:shd w:val="clear" w:color="000000" w:fill="B4C6E7"/>
            <w:noWrap/>
            <w:hideMark/>
          </w:tcPr>
          <w:p w14:paraId="5BB40F6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ŽITORAĐA</w:t>
            </w:r>
          </w:p>
        </w:tc>
        <w:tc>
          <w:tcPr>
            <w:tcW w:w="850" w:type="dxa"/>
            <w:tcBorders>
              <w:top w:val="nil"/>
              <w:left w:val="nil"/>
              <w:bottom w:val="single" w:sz="4" w:space="0" w:color="auto"/>
              <w:right w:val="single" w:sz="4" w:space="0" w:color="auto"/>
            </w:tcBorders>
            <w:shd w:val="clear" w:color="000000" w:fill="FFFFFF"/>
            <w:noWrap/>
            <w:hideMark/>
          </w:tcPr>
          <w:p w14:paraId="25C0998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14655</w:t>
            </w:r>
          </w:p>
        </w:tc>
        <w:tc>
          <w:tcPr>
            <w:tcW w:w="709" w:type="dxa"/>
            <w:tcBorders>
              <w:top w:val="nil"/>
              <w:left w:val="nil"/>
              <w:bottom w:val="single" w:sz="4" w:space="0" w:color="auto"/>
              <w:right w:val="single" w:sz="8" w:space="0" w:color="auto"/>
            </w:tcBorders>
            <w:shd w:val="clear" w:color="000000" w:fill="FFFFFF"/>
            <w:noWrap/>
            <w:hideMark/>
          </w:tcPr>
          <w:p w14:paraId="68CE63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0,31</w:t>
            </w:r>
          </w:p>
        </w:tc>
        <w:tc>
          <w:tcPr>
            <w:tcW w:w="567" w:type="dxa"/>
            <w:tcBorders>
              <w:top w:val="nil"/>
              <w:left w:val="nil"/>
              <w:bottom w:val="single" w:sz="4" w:space="0" w:color="auto"/>
              <w:right w:val="single" w:sz="4" w:space="0" w:color="auto"/>
            </w:tcBorders>
            <w:shd w:val="clear" w:color="000000" w:fill="FFFFFF"/>
            <w:noWrap/>
            <w:hideMark/>
          </w:tcPr>
          <w:p w14:paraId="50D58DD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214</w:t>
            </w:r>
          </w:p>
        </w:tc>
        <w:tc>
          <w:tcPr>
            <w:tcW w:w="709" w:type="dxa"/>
            <w:tcBorders>
              <w:top w:val="nil"/>
              <w:left w:val="nil"/>
              <w:bottom w:val="single" w:sz="4" w:space="0" w:color="auto"/>
              <w:right w:val="single" w:sz="8" w:space="0" w:color="auto"/>
            </w:tcBorders>
            <w:shd w:val="clear" w:color="000000" w:fill="FFFFFF"/>
            <w:noWrap/>
            <w:hideMark/>
          </w:tcPr>
          <w:p w14:paraId="2BAE9F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0,40</w:t>
            </w:r>
          </w:p>
        </w:tc>
        <w:tc>
          <w:tcPr>
            <w:tcW w:w="850" w:type="dxa"/>
            <w:tcBorders>
              <w:top w:val="nil"/>
              <w:left w:val="nil"/>
              <w:bottom w:val="single" w:sz="4" w:space="0" w:color="auto"/>
              <w:right w:val="single" w:sz="4" w:space="0" w:color="auto"/>
            </w:tcBorders>
            <w:shd w:val="clear" w:color="000000" w:fill="FFFFFF"/>
            <w:noWrap/>
            <w:hideMark/>
          </w:tcPr>
          <w:p w14:paraId="652FDF3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w:t>
            </w:r>
          </w:p>
        </w:tc>
        <w:tc>
          <w:tcPr>
            <w:tcW w:w="709" w:type="dxa"/>
            <w:tcBorders>
              <w:top w:val="nil"/>
              <w:left w:val="nil"/>
              <w:bottom w:val="single" w:sz="4" w:space="0" w:color="auto"/>
              <w:right w:val="nil"/>
            </w:tcBorders>
            <w:shd w:val="clear" w:color="auto" w:fill="auto"/>
            <w:noWrap/>
            <w:hideMark/>
          </w:tcPr>
          <w:p w14:paraId="78937CD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1,71</w:t>
            </w:r>
          </w:p>
        </w:tc>
        <w:tc>
          <w:tcPr>
            <w:tcW w:w="709" w:type="dxa"/>
            <w:tcBorders>
              <w:top w:val="nil"/>
              <w:left w:val="single" w:sz="8" w:space="0" w:color="auto"/>
              <w:bottom w:val="single" w:sz="4" w:space="0" w:color="auto"/>
              <w:right w:val="single" w:sz="4" w:space="0" w:color="auto"/>
            </w:tcBorders>
            <w:shd w:val="clear" w:color="auto" w:fill="auto"/>
            <w:noWrap/>
            <w:hideMark/>
          </w:tcPr>
          <w:p w14:paraId="4D2892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894AE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6B009AE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85,46</w:t>
            </w:r>
          </w:p>
        </w:tc>
        <w:tc>
          <w:tcPr>
            <w:tcW w:w="851" w:type="dxa"/>
            <w:tcBorders>
              <w:top w:val="nil"/>
              <w:left w:val="nil"/>
              <w:bottom w:val="single" w:sz="4" w:space="0" w:color="auto"/>
              <w:right w:val="single" w:sz="4" w:space="0" w:color="auto"/>
            </w:tcBorders>
            <w:shd w:val="clear" w:color="auto" w:fill="auto"/>
            <w:noWrap/>
            <w:hideMark/>
          </w:tcPr>
          <w:p w14:paraId="114418C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0,0063</w:t>
            </w:r>
          </w:p>
        </w:tc>
        <w:tc>
          <w:tcPr>
            <w:tcW w:w="1134" w:type="dxa"/>
            <w:tcBorders>
              <w:top w:val="nil"/>
              <w:left w:val="nil"/>
              <w:bottom w:val="single" w:sz="4" w:space="0" w:color="auto"/>
              <w:right w:val="single" w:sz="4" w:space="0" w:color="auto"/>
            </w:tcBorders>
            <w:shd w:val="clear" w:color="000000" w:fill="C6E0B4"/>
            <w:noWrap/>
            <w:hideMark/>
          </w:tcPr>
          <w:p w14:paraId="7C77DB1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1.704.725</w:t>
            </w:r>
          </w:p>
        </w:tc>
        <w:tc>
          <w:tcPr>
            <w:tcW w:w="992" w:type="dxa"/>
            <w:tcBorders>
              <w:top w:val="nil"/>
              <w:left w:val="nil"/>
              <w:bottom w:val="single" w:sz="4" w:space="0" w:color="auto"/>
              <w:right w:val="single" w:sz="4" w:space="0" w:color="auto"/>
            </w:tcBorders>
            <w:shd w:val="clear" w:color="auto" w:fill="auto"/>
            <w:noWrap/>
            <w:hideMark/>
          </w:tcPr>
          <w:p w14:paraId="1D1DF0A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823.101</w:t>
            </w:r>
          </w:p>
        </w:tc>
        <w:tc>
          <w:tcPr>
            <w:tcW w:w="567" w:type="dxa"/>
            <w:tcBorders>
              <w:top w:val="nil"/>
              <w:left w:val="nil"/>
              <w:bottom w:val="single" w:sz="4" w:space="0" w:color="auto"/>
              <w:right w:val="single" w:sz="4" w:space="0" w:color="auto"/>
            </w:tcBorders>
            <w:shd w:val="clear" w:color="auto" w:fill="auto"/>
            <w:noWrap/>
            <w:hideMark/>
          </w:tcPr>
          <w:p w14:paraId="20A61FF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207,11</w:t>
            </w:r>
          </w:p>
        </w:tc>
        <w:tc>
          <w:tcPr>
            <w:tcW w:w="850" w:type="dxa"/>
            <w:tcBorders>
              <w:top w:val="nil"/>
              <w:left w:val="nil"/>
              <w:bottom w:val="single" w:sz="4" w:space="0" w:color="auto"/>
              <w:right w:val="single" w:sz="4" w:space="0" w:color="auto"/>
            </w:tcBorders>
            <w:shd w:val="clear" w:color="auto" w:fill="auto"/>
            <w:noWrap/>
            <w:hideMark/>
          </w:tcPr>
          <w:p w14:paraId="2024424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1.534.253</w:t>
            </w:r>
          </w:p>
        </w:tc>
        <w:tc>
          <w:tcPr>
            <w:tcW w:w="709" w:type="dxa"/>
            <w:tcBorders>
              <w:top w:val="nil"/>
              <w:left w:val="nil"/>
              <w:bottom w:val="single" w:sz="4" w:space="0" w:color="auto"/>
              <w:right w:val="single" w:sz="8" w:space="0" w:color="auto"/>
            </w:tcBorders>
            <w:shd w:val="clear" w:color="auto" w:fill="auto"/>
            <w:noWrap/>
            <w:hideMark/>
          </w:tcPr>
          <w:p w14:paraId="2A0EB26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170.473</w:t>
            </w:r>
          </w:p>
        </w:tc>
        <w:tc>
          <w:tcPr>
            <w:tcW w:w="851" w:type="dxa"/>
            <w:tcBorders>
              <w:top w:val="nil"/>
              <w:left w:val="single" w:sz="4" w:space="0" w:color="auto"/>
              <w:bottom w:val="single" w:sz="4" w:space="0" w:color="auto"/>
              <w:right w:val="single" w:sz="4" w:space="0" w:color="auto"/>
            </w:tcBorders>
            <w:shd w:val="clear" w:color="auto" w:fill="auto"/>
            <w:noWrap/>
            <w:hideMark/>
          </w:tcPr>
          <w:p w14:paraId="10DFA7EA" w14:textId="49EC00E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104.691</w:t>
            </w:r>
          </w:p>
        </w:tc>
      </w:tr>
      <w:tr w:rsidR="005C332D" w:rsidRPr="003F6E51" w14:paraId="3974FD8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7DE8C1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82</w:t>
            </w:r>
          </w:p>
        </w:tc>
        <w:tc>
          <w:tcPr>
            <w:tcW w:w="2213" w:type="dxa"/>
            <w:tcBorders>
              <w:top w:val="nil"/>
              <w:left w:val="single" w:sz="8" w:space="0" w:color="auto"/>
              <w:bottom w:val="single" w:sz="4" w:space="0" w:color="auto"/>
              <w:right w:val="single" w:sz="8" w:space="0" w:color="auto"/>
            </w:tcBorders>
            <w:shd w:val="clear" w:color="auto" w:fill="auto"/>
            <w:noWrap/>
            <w:hideMark/>
          </w:tcPr>
          <w:p w14:paraId="7FB0E4C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LAPOVO</w:t>
            </w:r>
          </w:p>
        </w:tc>
        <w:tc>
          <w:tcPr>
            <w:tcW w:w="850" w:type="dxa"/>
            <w:tcBorders>
              <w:top w:val="nil"/>
              <w:left w:val="nil"/>
              <w:bottom w:val="single" w:sz="4" w:space="0" w:color="auto"/>
              <w:right w:val="single" w:sz="4" w:space="0" w:color="auto"/>
            </w:tcBorders>
            <w:shd w:val="clear" w:color="000000" w:fill="FFFFFF"/>
            <w:noWrap/>
            <w:hideMark/>
          </w:tcPr>
          <w:p w14:paraId="4044CC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7009</w:t>
            </w:r>
          </w:p>
        </w:tc>
        <w:tc>
          <w:tcPr>
            <w:tcW w:w="709" w:type="dxa"/>
            <w:tcBorders>
              <w:top w:val="nil"/>
              <w:left w:val="nil"/>
              <w:bottom w:val="single" w:sz="4" w:space="0" w:color="auto"/>
              <w:right w:val="single" w:sz="8" w:space="0" w:color="auto"/>
            </w:tcBorders>
            <w:shd w:val="clear" w:color="000000" w:fill="FFFFFF"/>
            <w:noWrap/>
            <w:hideMark/>
          </w:tcPr>
          <w:p w14:paraId="2A5BC08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0,15</w:t>
            </w:r>
          </w:p>
        </w:tc>
        <w:tc>
          <w:tcPr>
            <w:tcW w:w="567" w:type="dxa"/>
            <w:tcBorders>
              <w:top w:val="nil"/>
              <w:left w:val="nil"/>
              <w:bottom w:val="single" w:sz="4" w:space="0" w:color="auto"/>
              <w:right w:val="single" w:sz="4" w:space="0" w:color="auto"/>
            </w:tcBorders>
            <w:shd w:val="clear" w:color="000000" w:fill="FFFFFF"/>
            <w:noWrap/>
            <w:hideMark/>
          </w:tcPr>
          <w:p w14:paraId="1CF61E1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55</w:t>
            </w:r>
          </w:p>
        </w:tc>
        <w:tc>
          <w:tcPr>
            <w:tcW w:w="709" w:type="dxa"/>
            <w:tcBorders>
              <w:top w:val="nil"/>
              <w:left w:val="nil"/>
              <w:bottom w:val="single" w:sz="4" w:space="0" w:color="auto"/>
              <w:right w:val="single" w:sz="8" w:space="0" w:color="auto"/>
            </w:tcBorders>
            <w:shd w:val="clear" w:color="000000" w:fill="FFFFFF"/>
            <w:noWrap/>
            <w:hideMark/>
          </w:tcPr>
          <w:p w14:paraId="28ED156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0,10</w:t>
            </w:r>
          </w:p>
        </w:tc>
        <w:tc>
          <w:tcPr>
            <w:tcW w:w="850" w:type="dxa"/>
            <w:tcBorders>
              <w:top w:val="nil"/>
              <w:left w:val="nil"/>
              <w:bottom w:val="single" w:sz="4" w:space="0" w:color="auto"/>
              <w:right w:val="single" w:sz="4" w:space="0" w:color="auto"/>
            </w:tcBorders>
            <w:shd w:val="clear" w:color="000000" w:fill="FFFFFF"/>
            <w:noWrap/>
            <w:hideMark/>
          </w:tcPr>
          <w:p w14:paraId="2A5BAB8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19CF0A1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36C3F8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172959D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2867C93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35,81</w:t>
            </w:r>
          </w:p>
        </w:tc>
        <w:tc>
          <w:tcPr>
            <w:tcW w:w="851" w:type="dxa"/>
            <w:tcBorders>
              <w:top w:val="nil"/>
              <w:left w:val="nil"/>
              <w:bottom w:val="single" w:sz="4" w:space="0" w:color="auto"/>
              <w:right w:val="single" w:sz="4" w:space="0" w:color="auto"/>
            </w:tcBorders>
            <w:shd w:val="clear" w:color="auto" w:fill="auto"/>
            <w:noWrap/>
            <w:hideMark/>
          </w:tcPr>
          <w:p w14:paraId="309F53D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0,0026</w:t>
            </w:r>
          </w:p>
        </w:tc>
        <w:tc>
          <w:tcPr>
            <w:tcW w:w="1134" w:type="dxa"/>
            <w:tcBorders>
              <w:top w:val="nil"/>
              <w:left w:val="nil"/>
              <w:bottom w:val="single" w:sz="4" w:space="0" w:color="auto"/>
              <w:right w:val="single" w:sz="4" w:space="0" w:color="auto"/>
            </w:tcBorders>
            <w:shd w:val="clear" w:color="000000" w:fill="C6E0B4"/>
            <w:noWrap/>
            <w:hideMark/>
          </w:tcPr>
          <w:p w14:paraId="6B5F5709"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714.258</w:t>
            </w:r>
          </w:p>
        </w:tc>
        <w:tc>
          <w:tcPr>
            <w:tcW w:w="992" w:type="dxa"/>
            <w:tcBorders>
              <w:top w:val="nil"/>
              <w:left w:val="nil"/>
              <w:bottom w:val="single" w:sz="4" w:space="0" w:color="auto"/>
              <w:right w:val="single" w:sz="4" w:space="0" w:color="auto"/>
            </w:tcBorders>
            <w:shd w:val="clear" w:color="auto" w:fill="auto"/>
            <w:noWrap/>
            <w:hideMark/>
          </w:tcPr>
          <w:p w14:paraId="439AD38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276.575</w:t>
            </w:r>
          </w:p>
        </w:tc>
        <w:tc>
          <w:tcPr>
            <w:tcW w:w="567" w:type="dxa"/>
            <w:tcBorders>
              <w:top w:val="nil"/>
              <w:left w:val="nil"/>
              <w:bottom w:val="single" w:sz="4" w:space="0" w:color="auto"/>
              <w:right w:val="single" w:sz="4" w:space="0" w:color="auto"/>
            </w:tcBorders>
            <w:shd w:val="clear" w:color="auto" w:fill="auto"/>
            <w:noWrap/>
            <w:hideMark/>
          </w:tcPr>
          <w:p w14:paraId="25B0D09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258,25</w:t>
            </w:r>
          </w:p>
        </w:tc>
        <w:tc>
          <w:tcPr>
            <w:tcW w:w="850" w:type="dxa"/>
            <w:tcBorders>
              <w:top w:val="nil"/>
              <w:left w:val="nil"/>
              <w:bottom w:val="single" w:sz="4" w:space="0" w:color="auto"/>
              <w:right w:val="single" w:sz="4" w:space="0" w:color="auto"/>
            </w:tcBorders>
            <w:shd w:val="clear" w:color="auto" w:fill="auto"/>
            <w:noWrap/>
            <w:hideMark/>
          </w:tcPr>
          <w:p w14:paraId="0B3FB4D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642.832</w:t>
            </w:r>
          </w:p>
        </w:tc>
        <w:tc>
          <w:tcPr>
            <w:tcW w:w="709" w:type="dxa"/>
            <w:tcBorders>
              <w:top w:val="nil"/>
              <w:left w:val="nil"/>
              <w:bottom w:val="single" w:sz="4" w:space="0" w:color="auto"/>
              <w:right w:val="single" w:sz="8" w:space="0" w:color="auto"/>
            </w:tcBorders>
            <w:shd w:val="clear" w:color="auto" w:fill="auto"/>
            <w:noWrap/>
            <w:hideMark/>
          </w:tcPr>
          <w:p w14:paraId="260A1AA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71.426</w:t>
            </w:r>
          </w:p>
        </w:tc>
        <w:tc>
          <w:tcPr>
            <w:tcW w:w="851" w:type="dxa"/>
            <w:tcBorders>
              <w:top w:val="nil"/>
              <w:left w:val="single" w:sz="4" w:space="0" w:color="auto"/>
              <w:bottom w:val="single" w:sz="4" w:space="0" w:color="auto"/>
              <w:right w:val="single" w:sz="4" w:space="0" w:color="auto"/>
            </w:tcBorders>
            <w:shd w:val="clear" w:color="auto" w:fill="auto"/>
            <w:noWrap/>
            <w:hideMark/>
          </w:tcPr>
          <w:p w14:paraId="6CACBA53" w14:textId="7DEBF3D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91.715</w:t>
            </w:r>
          </w:p>
        </w:tc>
      </w:tr>
      <w:tr w:rsidR="005C332D" w:rsidRPr="003F6E51" w14:paraId="63DE76C8"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830371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83</w:t>
            </w:r>
          </w:p>
        </w:tc>
        <w:tc>
          <w:tcPr>
            <w:tcW w:w="2213" w:type="dxa"/>
            <w:tcBorders>
              <w:top w:val="nil"/>
              <w:left w:val="single" w:sz="8" w:space="0" w:color="auto"/>
              <w:bottom w:val="single" w:sz="4" w:space="0" w:color="auto"/>
              <w:right w:val="single" w:sz="8" w:space="0" w:color="auto"/>
            </w:tcBorders>
            <w:shd w:val="clear" w:color="auto" w:fill="auto"/>
            <w:noWrap/>
            <w:hideMark/>
          </w:tcPr>
          <w:p w14:paraId="4CBDFC3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ADA</w:t>
            </w:r>
          </w:p>
        </w:tc>
        <w:tc>
          <w:tcPr>
            <w:tcW w:w="850" w:type="dxa"/>
            <w:tcBorders>
              <w:top w:val="nil"/>
              <w:left w:val="nil"/>
              <w:bottom w:val="single" w:sz="4" w:space="0" w:color="auto"/>
              <w:right w:val="single" w:sz="4" w:space="0" w:color="auto"/>
            </w:tcBorders>
            <w:shd w:val="clear" w:color="000000" w:fill="FFFFFF"/>
            <w:noWrap/>
            <w:hideMark/>
          </w:tcPr>
          <w:p w14:paraId="2F80BC4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15617</w:t>
            </w:r>
          </w:p>
        </w:tc>
        <w:tc>
          <w:tcPr>
            <w:tcW w:w="709" w:type="dxa"/>
            <w:tcBorders>
              <w:top w:val="nil"/>
              <w:left w:val="nil"/>
              <w:bottom w:val="single" w:sz="4" w:space="0" w:color="auto"/>
              <w:right w:val="single" w:sz="8" w:space="0" w:color="auto"/>
            </w:tcBorders>
            <w:shd w:val="clear" w:color="000000" w:fill="FFFFFF"/>
            <w:noWrap/>
            <w:hideMark/>
          </w:tcPr>
          <w:p w14:paraId="78C450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0,33</w:t>
            </w:r>
          </w:p>
        </w:tc>
        <w:tc>
          <w:tcPr>
            <w:tcW w:w="567" w:type="dxa"/>
            <w:tcBorders>
              <w:top w:val="nil"/>
              <w:left w:val="nil"/>
              <w:bottom w:val="single" w:sz="4" w:space="0" w:color="auto"/>
              <w:right w:val="single" w:sz="4" w:space="0" w:color="auto"/>
            </w:tcBorders>
            <w:shd w:val="clear" w:color="000000" w:fill="FFFFFF"/>
            <w:noWrap/>
            <w:hideMark/>
          </w:tcPr>
          <w:p w14:paraId="1E54149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227</w:t>
            </w:r>
          </w:p>
        </w:tc>
        <w:tc>
          <w:tcPr>
            <w:tcW w:w="709" w:type="dxa"/>
            <w:tcBorders>
              <w:top w:val="nil"/>
              <w:left w:val="nil"/>
              <w:bottom w:val="single" w:sz="4" w:space="0" w:color="auto"/>
              <w:right w:val="single" w:sz="8" w:space="0" w:color="auto"/>
            </w:tcBorders>
            <w:shd w:val="clear" w:color="000000" w:fill="FFFFFF"/>
            <w:noWrap/>
            <w:hideMark/>
          </w:tcPr>
          <w:p w14:paraId="1AA76C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0,42</w:t>
            </w:r>
          </w:p>
        </w:tc>
        <w:tc>
          <w:tcPr>
            <w:tcW w:w="850" w:type="dxa"/>
            <w:tcBorders>
              <w:top w:val="nil"/>
              <w:left w:val="nil"/>
              <w:bottom w:val="single" w:sz="4" w:space="0" w:color="auto"/>
              <w:right w:val="single" w:sz="4" w:space="0" w:color="auto"/>
            </w:tcBorders>
            <w:shd w:val="clear" w:color="000000" w:fill="FFFFFF"/>
            <w:noWrap/>
            <w:hideMark/>
          </w:tcPr>
          <w:p w14:paraId="23EFD8D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35DAB6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7B859AA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F8C069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9E6832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51,21</w:t>
            </w:r>
          </w:p>
        </w:tc>
        <w:tc>
          <w:tcPr>
            <w:tcW w:w="851" w:type="dxa"/>
            <w:tcBorders>
              <w:top w:val="nil"/>
              <w:left w:val="nil"/>
              <w:bottom w:val="single" w:sz="4" w:space="0" w:color="auto"/>
              <w:right w:val="single" w:sz="4" w:space="0" w:color="auto"/>
            </w:tcBorders>
            <w:shd w:val="clear" w:color="auto" w:fill="auto"/>
            <w:noWrap/>
            <w:hideMark/>
          </w:tcPr>
          <w:p w14:paraId="2B438D3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0,0038</w:t>
            </w:r>
          </w:p>
        </w:tc>
        <w:tc>
          <w:tcPr>
            <w:tcW w:w="1134" w:type="dxa"/>
            <w:tcBorders>
              <w:top w:val="nil"/>
              <w:left w:val="nil"/>
              <w:bottom w:val="single" w:sz="4" w:space="0" w:color="auto"/>
              <w:right w:val="single" w:sz="4" w:space="0" w:color="auto"/>
            </w:tcBorders>
            <w:shd w:val="clear" w:color="000000" w:fill="C6E0B4"/>
            <w:noWrap/>
            <w:hideMark/>
          </w:tcPr>
          <w:p w14:paraId="598D93C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1.021.529</w:t>
            </w:r>
          </w:p>
        </w:tc>
        <w:tc>
          <w:tcPr>
            <w:tcW w:w="992" w:type="dxa"/>
            <w:tcBorders>
              <w:top w:val="nil"/>
              <w:left w:val="nil"/>
              <w:bottom w:val="single" w:sz="4" w:space="0" w:color="auto"/>
              <w:right w:val="single" w:sz="4" w:space="0" w:color="auto"/>
            </w:tcBorders>
            <w:shd w:val="clear" w:color="auto" w:fill="auto"/>
            <w:noWrap/>
            <w:hideMark/>
          </w:tcPr>
          <w:p w14:paraId="276C265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962.748</w:t>
            </w:r>
          </w:p>
        </w:tc>
        <w:tc>
          <w:tcPr>
            <w:tcW w:w="567" w:type="dxa"/>
            <w:tcBorders>
              <w:top w:val="nil"/>
              <w:left w:val="nil"/>
              <w:bottom w:val="single" w:sz="4" w:space="0" w:color="auto"/>
              <w:right w:val="single" w:sz="4" w:space="0" w:color="auto"/>
            </w:tcBorders>
            <w:shd w:val="clear" w:color="auto" w:fill="auto"/>
            <w:noWrap/>
            <w:hideMark/>
          </w:tcPr>
          <w:p w14:paraId="7B07D60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106,11</w:t>
            </w:r>
          </w:p>
        </w:tc>
        <w:tc>
          <w:tcPr>
            <w:tcW w:w="850" w:type="dxa"/>
            <w:tcBorders>
              <w:top w:val="nil"/>
              <w:left w:val="nil"/>
              <w:bottom w:val="single" w:sz="4" w:space="0" w:color="auto"/>
              <w:right w:val="single" w:sz="4" w:space="0" w:color="auto"/>
            </w:tcBorders>
            <w:shd w:val="clear" w:color="auto" w:fill="auto"/>
            <w:noWrap/>
            <w:hideMark/>
          </w:tcPr>
          <w:p w14:paraId="76A9F4F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919.376</w:t>
            </w:r>
          </w:p>
        </w:tc>
        <w:tc>
          <w:tcPr>
            <w:tcW w:w="709" w:type="dxa"/>
            <w:tcBorders>
              <w:top w:val="nil"/>
              <w:left w:val="nil"/>
              <w:bottom w:val="single" w:sz="4" w:space="0" w:color="auto"/>
              <w:right w:val="single" w:sz="8" w:space="0" w:color="auto"/>
            </w:tcBorders>
            <w:shd w:val="clear" w:color="auto" w:fill="auto"/>
            <w:noWrap/>
            <w:hideMark/>
          </w:tcPr>
          <w:p w14:paraId="7127E40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102.153</w:t>
            </w:r>
          </w:p>
        </w:tc>
        <w:tc>
          <w:tcPr>
            <w:tcW w:w="851" w:type="dxa"/>
            <w:tcBorders>
              <w:top w:val="nil"/>
              <w:left w:val="single" w:sz="4" w:space="0" w:color="auto"/>
              <w:bottom w:val="single" w:sz="4" w:space="0" w:color="auto"/>
              <w:right w:val="single" w:sz="4" w:space="0" w:color="auto"/>
            </w:tcBorders>
            <w:shd w:val="clear" w:color="auto" w:fill="auto"/>
            <w:noWrap/>
            <w:hideMark/>
          </w:tcPr>
          <w:p w14:paraId="2263A5DB" w14:textId="5FF648F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58.870</w:t>
            </w:r>
          </w:p>
        </w:tc>
      </w:tr>
      <w:tr w:rsidR="005C332D" w:rsidRPr="003F6E51" w14:paraId="1AA0880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87FC7A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w:t>
            </w:r>
          </w:p>
        </w:tc>
        <w:tc>
          <w:tcPr>
            <w:tcW w:w="2213" w:type="dxa"/>
            <w:tcBorders>
              <w:top w:val="nil"/>
              <w:left w:val="single" w:sz="8" w:space="0" w:color="auto"/>
              <w:bottom w:val="single" w:sz="4" w:space="0" w:color="auto"/>
              <w:right w:val="single" w:sz="8" w:space="0" w:color="auto"/>
            </w:tcBorders>
            <w:shd w:val="clear" w:color="auto" w:fill="auto"/>
            <w:noWrap/>
            <w:hideMark/>
          </w:tcPr>
          <w:p w14:paraId="091B01D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ALIBUNAR</w:t>
            </w:r>
          </w:p>
        </w:tc>
        <w:tc>
          <w:tcPr>
            <w:tcW w:w="850" w:type="dxa"/>
            <w:tcBorders>
              <w:top w:val="nil"/>
              <w:left w:val="nil"/>
              <w:bottom w:val="single" w:sz="4" w:space="0" w:color="auto"/>
              <w:right w:val="single" w:sz="4" w:space="0" w:color="auto"/>
            </w:tcBorders>
            <w:shd w:val="clear" w:color="000000" w:fill="FFFFFF"/>
            <w:noWrap/>
            <w:hideMark/>
          </w:tcPr>
          <w:p w14:paraId="6C22B3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18068</w:t>
            </w:r>
          </w:p>
        </w:tc>
        <w:tc>
          <w:tcPr>
            <w:tcW w:w="709" w:type="dxa"/>
            <w:tcBorders>
              <w:top w:val="nil"/>
              <w:left w:val="nil"/>
              <w:bottom w:val="single" w:sz="4" w:space="0" w:color="auto"/>
              <w:right w:val="single" w:sz="8" w:space="0" w:color="auto"/>
            </w:tcBorders>
            <w:shd w:val="clear" w:color="000000" w:fill="FFFFFF"/>
            <w:noWrap/>
            <w:hideMark/>
          </w:tcPr>
          <w:p w14:paraId="0A58B4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0,38</w:t>
            </w:r>
          </w:p>
        </w:tc>
        <w:tc>
          <w:tcPr>
            <w:tcW w:w="567" w:type="dxa"/>
            <w:tcBorders>
              <w:top w:val="nil"/>
              <w:left w:val="nil"/>
              <w:bottom w:val="single" w:sz="4" w:space="0" w:color="auto"/>
              <w:right w:val="single" w:sz="4" w:space="0" w:color="auto"/>
            </w:tcBorders>
            <w:shd w:val="clear" w:color="000000" w:fill="FFFFFF"/>
            <w:noWrap/>
            <w:hideMark/>
          </w:tcPr>
          <w:p w14:paraId="081A747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602</w:t>
            </w:r>
          </w:p>
        </w:tc>
        <w:tc>
          <w:tcPr>
            <w:tcW w:w="709" w:type="dxa"/>
            <w:tcBorders>
              <w:top w:val="nil"/>
              <w:left w:val="nil"/>
              <w:bottom w:val="single" w:sz="4" w:space="0" w:color="auto"/>
              <w:right w:val="single" w:sz="8" w:space="0" w:color="auto"/>
            </w:tcBorders>
            <w:shd w:val="clear" w:color="000000" w:fill="FFFFFF"/>
            <w:noWrap/>
            <w:hideMark/>
          </w:tcPr>
          <w:p w14:paraId="79F3408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1,13</w:t>
            </w:r>
          </w:p>
        </w:tc>
        <w:tc>
          <w:tcPr>
            <w:tcW w:w="850" w:type="dxa"/>
            <w:tcBorders>
              <w:top w:val="nil"/>
              <w:left w:val="nil"/>
              <w:bottom w:val="single" w:sz="4" w:space="0" w:color="auto"/>
              <w:right w:val="single" w:sz="4" w:space="0" w:color="auto"/>
            </w:tcBorders>
            <w:shd w:val="clear" w:color="000000" w:fill="FFFFFF"/>
            <w:noWrap/>
            <w:hideMark/>
          </w:tcPr>
          <w:p w14:paraId="03FFCE4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798E25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F30031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FF266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14EBB2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82,50</w:t>
            </w:r>
          </w:p>
        </w:tc>
        <w:tc>
          <w:tcPr>
            <w:tcW w:w="851" w:type="dxa"/>
            <w:tcBorders>
              <w:top w:val="nil"/>
              <w:left w:val="nil"/>
              <w:bottom w:val="single" w:sz="4" w:space="0" w:color="auto"/>
              <w:right w:val="single" w:sz="4" w:space="0" w:color="auto"/>
            </w:tcBorders>
            <w:shd w:val="clear" w:color="auto" w:fill="auto"/>
            <w:noWrap/>
            <w:hideMark/>
          </w:tcPr>
          <w:p w14:paraId="546FBE0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0,0061</w:t>
            </w:r>
          </w:p>
        </w:tc>
        <w:tc>
          <w:tcPr>
            <w:tcW w:w="1134" w:type="dxa"/>
            <w:tcBorders>
              <w:top w:val="nil"/>
              <w:left w:val="nil"/>
              <w:bottom w:val="single" w:sz="4" w:space="0" w:color="auto"/>
              <w:right w:val="single" w:sz="4" w:space="0" w:color="auto"/>
            </w:tcBorders>
            <w:shd w:val="clear" w:color="000000" w:fill="C6E0B4"/>
            <w:noWrap/>
            <w:hideMark/>
          </w:tcPr>
          <w:p w14:paraId="5DDA2F7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1.645.769</w:t>
            </w:r>
          </w:p>
        </w:tc>
        <w:tc>
          <w:tcPr>
            <w:tcW w:w="992" w:type="dxa"/>
            <w:tcBorders>
              <w:top w:val="nil"/>
              <w:left w:val="nil"/>
              <w:bottom w:val="single" w:sz="4" w:space="0" w:color="auto"/>
              <w:right w:val="single" w:sz="4" w:space="0" w:color="auto"/>
            </w:tcBorders>
            <w:shd w:val="clear" w:color="auto" w:fill="auto"/>
            <w:noWrap/>
            <w:hideMark/>
          </w:tcPr>
          <w:p w14:paraId="165AE98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822.792</w:t>
            </w:r>
          </w:p>
        </w:tc>
        <w:tc>
          <w:tcPr>
            <w:tcW w:w="567" w:type="dxa"/>
            <w:tcBorders>
              <w:top w:val="nil"/>
              <w:left w:val="nil"/>
              <w:bottom w:val="single" w:sz="4" w:space="0" w:color="auto"/>
              <w:right w:val="single" w:sz="4" w:space="0" w:color="auto"/>
            </w:tcBorders>
            <w:shd w:val="clear" w:color="auto" w:fill="auto"/>
            <w:noWrap/>
            <w:hideMark/>
          </w:tcPr>
          <w:p w14:paraId="38BDB3F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200,02</w:t>
            </w:r>
          </w:p>
        </w:tc>
        <w:tc>
          <w:tcPr>
            <w:tcW w:w="850" w:type="dxa"/>
            <w:tcBorders>
              <w:top w:val="nil"/>
              <w:left w:val="nil"/>
              <w:bottom w:val="single" w:sz="4" w:space="0" w:color="auto"/>
              <w:right w:val="single" w:sz="4" w:space="0" w:color="auto"/>
            </w:tcBorders>
            <w:shd w:val="clear" w:color="auto" w:fill="auto"/>
            <w:noWrap/>
            <w:hideMark/>
          </w:tcPr>
          <w:p w14:paraId="60ADCE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1.481.192</w:t>
            </w:r>
          </w:p>
        </w:tc>
        <w:tc>
          <w:tcPr>
            <w:tcW w:w="709" w:type="dxa"/>
            <w:tcBorders>
              <w:top w:val="nil"/>
              <w:left w:val="nil"/>
              <w:bottom w:val="single" w:sz="4" w:space="0" w:color="auto"/>
              <w:right w:val="single" w:sz="8" w:space="0" w:color="auto"/>
            </w:tcBorders>
            <w:shd w:val="clear" w:color="auto" w:fill="auto"/>
            <w:noWrap/>
            <w:hideMark/>
          </w:tcPr>
          <w:p w14:paraId="06EAABF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164.577</w:t>
            </w:r>
          </w:p>
        </w:tc>
        <w:tc>
          <w:tcPr>
            <w:tcW w:w="851" w:type="dxa"/>
            <w:tcBorders>
              <w:top w:val="nil"/>
              <w:left w:val="single" w:sz="4" w:space="0" w:color="auto"/>
              <w:bottom w:val="single" w:sz="4" w:space="0" w:color="auto"/>
              <w:right w:val="single" w:sz="4" w:space="0" w:color="auto"/>
            </w:tcBorders>
            <w:shd w:val="clear" w:color="auto" w:fill="auto"/>
            <w:noWrap/>
            <w:hideMark/>
          </w:tcPr>
          <w:p w14:paraId="73D3ACFE" w14:textId="065AC92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81.979</w:t>
            </w:r>
          </w:p>
        </w:tc>
      </w:tr>
      <w:tr w:rsidR="005C332D" w:rsidRPr="003F6E51" w14:paraId="5D48D793"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B905DA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w:t>
            </w:r>
          </w:p>
        </w:tc>
        <w:tc>
          <w:tcPr>
            <w:tcW w:w="2213" w:type="dxa"/>
            <w:tcBorders>
              <w:top w:val="nil"/>
              <w:left w:val="single" w:sz="8" w:space="0" w:color="auto"/>
              <w:bottom w:val="single" w:sz="4" w:space="0" w:color="auto"/>
              <w:right w:val="single" w:sz="8" w:space="0" w:color="auto"/>
            </w:tcBorders>
            <w:shd w:val="clear" w:color="auto" w:fill="auto"/>
            <w:noWrap/>
            <w:hideMark/>
          </w:tcPr>
          <w:p w14:paraId="0C64831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APATIN</w:t>
            </w:r>
          </w:p>
        </w:tc>
        <w:tc>
          <w:tcPr>
            <w:tcW w:w="850" w:type="dxa"/>
            <w:tcBorders>
              <w:top w:val="nil"/>
              <w:left w:val="nil"/>
              <w:bottom w:val="single" w:sz="4" w:space="0" w:color="auto"/>
              <w:right w:val="single" w:sz="4" w:space="0" w:color="auto"/>
            </w:tcBorders>
            <w:shd w:val="clear" w:color="000000" w:fill="FFFFFF"/>
            <w:noWrap/>
            <w:hideMark/>
          </w:tcPr>
          <w:p w14:paraId="0706CE0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26041</w:t>
            </w:r>
          </w:p>
        </w:tc>
        <w:tc>
          <w:tcPr>
            <w:tcW w:w="709" w:type="dxa"/>
            <w:tcBorders>
              <w:top w:val="nil"/>
              <w:left w:val="nil"/>
              <w:bottom w:val="single" w:sz="4" w:space="0" w:color="auto"/>
              <w:right w:val="single" w:sz="8" w:space="0" w:color="auto"/>
            </w:tcBorders>
            <w:shd w:val="clear" w:color="000000" w:fill="FFFFFF"/>
            <w:noWrap/>
            <w:hideMark/>
          </w:tcPr>
          <w:p w14:paraId="2B1A718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0,55</w:t>
            </w:r>
          </w:p>
        </w:tc>
        <w:tc>
          <w:tcPr>
            <w:tcW w:w="567" w:type="dxa"/>
            <w:tcBorders>
              <w:top w:val="nil"/>
              <w:left w:val="nil"/>
              <w:bottom w:val="single" w:sz="4" w:space="0" w:color="auto"/>
              <w:right w:val="single" w:sz="4" w:space="0" w:color="auto"/>
            </w:tcBorders>
            <w:shd w:val="clear" w:color="000000" w:fill="FFFFFF"/>
            <w:noWrap/>
            <w:hideMark/>
          </w:tcPr>
          <w:p w14:paraId="30822E7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380</w:t>
            </w:r>
          </w:p>
        </w:tc>
        <w:tc>
          <w:tcPr>
            <w:tcW w:w="709" w:type="dxa"/>
            <w:tcBorders>
              <w:top w:val="nil"/>
              <w:left w:val="nil"/>
              <w:bottom w:val="single" w:sz="4" w:space="0" w:color="auto"/>
              <w:right w:val="single" w:sz="8" w:space="0" w:color="auto"/>
            </w:tcBorders>
            <w:shd w:val="clear" w:color="000000" w:fill="FFFFFF"/>
            <w:noWrap/>
            <w:hideMark/>
          </w:tcPr>
          <w:p w14:paraId="0D3D970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0,71</w:t>
            </w:r>
          </w:p>
        </w:tc>
        <w:tc>
          <w:tcPr>
            <w:tcW w:w="850" w:type="dxa"/>
            <w:tcBorders>
              <w:top w:val="nil"/>
              <w:left w:val="nil"/>
              <w:bottom w:val="single" w:sz="4" w:space="0" w:color="auto"/>
              <w:right w:val="single" w:sz="4" w:space="0" w:color="auto"/>
            </w:tcBorders>
            <w:shd w:val="clear" w:color="000000" w:fill="FFFFFF"/>
            <w:noWrap/>
            <w:hideMark/>
          </w:tcPr>
          <w:p w14:paraId="0ED87EF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228B171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D013C3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436F338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C18114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65,68</w:t>
            </w:r>
          </w:p>
        </w:tc>
        <w:tc>
          <w:tcPr>
            <w:tcW w:w="851" w:type="dxa"/>
            <w:tcBorders>
              <w:top w:val="nil"/>
              <w:left w:val="nil"/>
              <w:bottom w:val="single" w:sz="4" w:space="0" w:color="auto"/>
              <w:right w:val="single" w:sz="4" w:space="0" w:color="auto"/>
            </w:tcBorders>
            <w:shd w:val="clear" w:color="auto" w:fill="auto"/>
            <w:noWrap/>
            <w:hideMark/>
          </w:tcPr>
          <w:p w14:paraId="625B2E0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0,0048</w:t>
            </w:r>
          </w:p>
        </w:tc>
        <w:tc>
          <w:tcPr>
            <w:tcW w:w="1134" w:type="dxa"/>
            <w:tcBorders>
              <w:top w:val="nil"/>
              <w:left w:val="nil"/>
              <w:bottom w:val="single" w:sz="4" w:space="0" w:color="auto"/>
              <w:right w:val="single" w:sz="4" w:space="0" w:color="auto"/>
            </w:tcBorders>
            <w:shd w:val="clear" w:color="000000" w:fill="C6E0B4"/>
            <w:noWrap/>
            <w:hideMark/>
          </w:tcPr>
          <w:p w14:paraId="5F01919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1.310.206</w:t>
            </w:r>
          </w:p>
        </w:tc>
        <w:tc>
          <w:tcPr>
            <w:tcW w:w="992" w:type="dxa"/>
            <w:tcBorders>
              <w:top w:val="nil"/>
              <w:left w:val="nil"/>
              <w:bottom w:val="single" w:sz="4" w:space="0" w:color="auto"/>
              <w:right w:val="single" w:sz="4" w:space="0" w:color="auto"/>
            </w:tcBorders>
            <w:shd w:val="clear" w:color="auto" w:fill="auto"/>
            <w:noWrap/>
            <w:hideMark/>
          </w:tcPr>
          <w:p w14:paraId="5A3B3F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1.569.187</w:t>
            </w:r>
          </w:p>
        </w:tc>
        <w:tc>
          <w:tcPr>
            <w:tcW w:w="567" w:type="dxa"/>
            <w:tcBorders>
              <w:top w:val="nil"/>
              <w:left w:val="nil"/>
              <w:bottom w:val="single" w:sz="4" w:space="0" w:color="auto"/>
              <w:right w:val="single" w:sz="4" w:space="0" w:color="auto"/>
            </w:tcBorders>
            <w:shd w:val="clear" w:color="auto" w:fill="auto"/>
            <w:noWrap/>
            <w:hideMark/>
          </w:tcPr>
          <w:p w14:paraId="2E0F1F9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83,50</w:t>
            </w:r>
          </w:p>
        </w:tc>
        <w:tc>
          <w:tcPr>
            <w:tcW w:w="850" w:type="dxa"/>
            <w:tcBorders>
              <w:top w:val="nil"/>
              <w:left w:val="nil"/>
              <w:bottom w:val="single" w:sz="4" w:space="0" w:color="auto"/>
              <w:right w:val="single" w:sz="4" w:space="0" w:color="auto"/>
            </w:tcBorders>
            <w:shd w:val="clear" w:color="auto" w:fill="auto"/>
            <w:noWrap/>
            <w:hideMark/>
          </w:tcPr>
          <w:p w14:paraId="153ABC5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1.179.185</w:t>
            </w:r>
          </w:p>
        </w:tc>
        <w:tc>
          <w:tcPr>
            <w:tcW w:w="709" w:type="dxa"/>
            <w:tcBorders>
              <w:top w:val="nil"/>
              <w:left w:val="nil"/>
              <w:bottom w:val="single" w:sz="4" w:space="0" w:color="auto"/>
              <w:right w:val="single" w:sz="8" w:space="0" w:color="auto"/>
            </w:tcBorders>
            <w:shd w:val="clear" w:color="auto" w:fill="auto"/>
            <w:noWrap/>
            <w:hideMark/>
          </w:tcPr>
          <w:p w14:paraId="0957439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131.021</w:t>
            </w:r>
          </w:p>
        </w:tc>
        <w:tc>
          <w:tcPr>
            <w:tcW w:w="851" w:type="dxa"/>
            <w:tcBorders>
              <w:top w:val="nil"/>
              <w:left w:val="single" w:sz="4" w:space="0" w:color="auto"/>
              <w:bottom w:val="single" w:sz="4" w:space="0" w:color="auto"/>
              <w:right w:val="single" w:sz="4" w:space="0" w:color="auto"/>
            </w:tcBorders>
            <w:shd w:val="clear" w:color="auto" w:fill="auto"/>
            <w:noWrap/>
            <w:hideMark/>
          </w:tcPr>
          <w:p w14:paraId="73C81133" w14:textId="63E2F22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45.282</w:t>
            </w:r>
          </w:p>
        </w:tc>
      </w:tr>
      <w:tr w:rsidR="005C332D" w:rsidRPr="003F6E51" w14:paraId="548FE5A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E82FA9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86</w:t>
            </w:r>
          </w:p>
        </w:tc>
        <w:tc>
          <w:tcPr>
            <w:tcW w:w="2213" w:type="dxa"/>
            <w:tcBorders>
              <w:top w:val="nil"/>
              <w:left w:val="single" w:sz="8" w:space="0" w:color="auto"/>
              <w:bottom w:val="single" w:sz="4" w:space="0" w:color="auto"/>
              <w:right w:val="single" w:sz="8" w:space="0" w:color="auto"/>
            </w:tcBorders>
            <w:shd w:val="clear" w:color="auto" w:fill="auto"/>
            <w:noWrap/>
            <w:hideMark/>
          </w:tcPr>
          <w:p w14:paraId="11D46B0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BAČ</w:t>
            </w:r>
          </w:p>
        </w:tc>
        <w:tc>
          <w:tcPr>
            <w:tcW w:w="850" w:type="dxa"/>
            <w:tcBorders>
              <w:top w:val="nil"/>
              <w:left w:val="nil"/>
              <w:bottom w:val="single" w:sz="4" w:space="0" w:color="auto"/>
              <w:right w:val="single" w:sz="4" w:space="0" w:color="auto"/>
            </w:tcBorders>
            <w:shd w:val="clear" w:color="000000" w:fill="FFFFFF"/>
            <w:noWrap/>
            <w:hideMark/>
          </w:tcPr>
          <w:p w14:paraId="1D1B45F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12901</w:t>
            </w:r>
          </w:p>
        </w:tc>
        <w:tc>
          <w:tcPr>
            <w:tcW w:w="709" w:type="dxa"/>
            <w:tcBorders>
              <w:top w:val="nil"/>
              <w:left w:val="nil"/>
              <w:bottom w:val="single" w:sz="4" w:space="0" w:color="auto"/>
              <w:right w:val="single" w:sz="8" w:space="0" w:color="auto"/>
            </w:tcBorders>
            <w:shd w:val="clear" w:color="000000" w:fill="FFFFFF"/>
            <w:noWrap/>
            <w:hideMark/>
          </w:tcPr>
          <w:p w14:paraId="3A57B45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0,27</w:t>
            </w:r>
          </w:p>
        </w:tc>
        <w:tc>
          <w:tcPr>
            <w:tcW w:w="567" w:type="dxa"/>
            <w:tcBorders>
              <w:top w:val="nil"/>
              <w:left w:val="nil"/>
              <w:bottom w:val="single" w:sz="4" w:space="0" w:color="auto"/>
              <w:right w:val="single" w:sz="4" w:space="0" w:color="auto"/>
            </w:tcBorders>
            <w:shd w:val="clear" w:color="000000" w:fill="FFFFFF"/>
            <w:noWrap/>
            <w:hideMark/>
          </w:tcPr>
          <w:p w14:paraId="51AEAD3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367</w:t>
            </w:r>
          </w:p>
        </w:tc>
        <w:tc>
          <w:tcPr>
            <w:tcW w:w="709" w:type="dxa"/>
            <w:tcBorders>
              <w:top w:val="nil"/>
              <w:left w:val="nil"/>
              <w:bottom w:val="single" w:sz="4" w:space="0" w:color="auto"/>
              <w:right w:val="single" w:sz="8" w:space="0" w:color="auto"/>
            </w:tcBorders>
            <w:shd w:val="clear" w:color="000000" w:fill="FFFFFF"/>
            <w:noWrap/>
            <w:hideMark/>
          </w:tcPr>
          <w:p w14:paraId="3537427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0,69</w:t>
            </w:r>
          </w:p>
        </w:tc>
        <w:tc>
          <w:tcPr>
            <w:tcW w:w="850" w:type="dxa"/>
            <w:tcBorders>
              <w:top w:val="nil"/>
              <w:left w:val="nil"/>
              <w:bottom w:val="single" w:sz="4" w:space="0" w:color="auto"/>
              <w:right w:val="single" w:sz="4" w:space="0" w:color="auto"/>
            </w:tcBorders>
            <w:shd w:val="clear" w:color="000000" w:fill="FFFFFF"/>
            <w:noWrap/>
            <w:hideMark/>
          </w:tcPr>
          <w:p w14:paraId="23FD86E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502D242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ED1F7D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81EBC7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E31F42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67,72</w:t>
            </w:r>
          </w:p>
        </w:tc>
        <w:tc>
          <w:tcPr>
            <w:tcW w:w="851" w:type="dxa"/>
            <w:tcBorders>
              <w:top w:val="nil"/>
              <w:left w:val="nil"/>
              <w:bottom w:val="single" w:sz="4" w:space="0" w:color="auto"/>
              <w:right w:val="single" w:sz="4" w:space="0" w:color="auto"/>
            </w:tcBorders>
            <w:shd w:val="clear" w:color="auto" w:fill="auto"/>
            <w:noWrap/>
            <w:hideMark/>
          </w:tcPr>
          <w:p w14:paraId="7D6F855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0,0050</w:t>
            </w:r>
          </w:p>
        </w:tc>
        <w:tc>
          <w:tcPr>
            <w:tcW w:w="1134" w:type="dxa"/>
            <w:tcBorders>
              <w:top w:val="nil"/>
              <w:left w:val="nil"/>
              <w:bottom w:val="single" w:sz="4" w:space="0" w:color="auto"/>
              <w:right w:val="single" w:sz="4" w:space="0" w:color="auto"/>
            </w:tcBorders>
            <w:shd w:val="clear" w:color="000000" w:fill="C6E0B4"/>
            <w:noWrap/>
            <w:hideMark/>
          </w:tcPr>
          <w:p w14:paraId="3A5AE49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1.350.926</w:t>
            </w:r>
          </w:p>
        </w:tc>
        <w:tc>
          <w:tcPr>
            <w:tcW w:w="992" w:type="dxa"/>
            <w:tcBorders>
              <w:top w:val="nil"/>
              <w:left w:val="nil"/>
              <w:bottom w:val="single" w:sz="4" w:space="0" w:color="auto"/>
              <w:right w:val="single" w:sz="4" w:space="0" w:color="auto"/>
            </w:tcBorders>
            <w:shd w:val="clear" w:color="auto" w:fill="auto"/>
            <w:noWrap/>
            <w:hideMark/>
          </w:tcPr>
          <w:p w14:paraId="4BFF950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1.861.751</w:t>
            </w:r>
          </w:p>
        </w:tc>
        <w:tc>
          <w:tcPr>
            <w:tcW w:w="567" w:type="dxa"/>
            <w:tcBorders>
              <w:top w:val="nil"/>
              <w:left w:val="nil"/>
              <w:bottom w:val="single" w:sz="4" w:space="0" w:color="auto"/>
              <w:right w:val="single" w:sz="4" w:space="0" w:color="auto"/>
            </w:tcBorders>
            <w:shd w:val="clear" w:color="auto" w:fill="auto"/>
            <w:noWrap/>
            <w:hideMark/>
          </w:tcPr>
          <w:p w14:paraId="2704D4C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72,56</w:t>
            </w:r>
          </w:p>
        </w:tc>
        <w:tc>
          <w:tcPr>
            <w:tcW w:w="850" w:type="dxa"/>
            <w:tcBorders>
              <w:top w:val="nil"/>
              <w:left w:val="nil"/>
              <w:bottom w:val="single" w:sz="4" w:space="0" w:color="auto"/>
              <w:right w:val="single" w:sz="4" w:space="0" w:color="auto"/>
            </w:tcBorders>
            <w:shd w:val="clear" w:color="auto" w:fill="auto"/>
            <w:noWrap/>
            <w:hideMark/>
          </w:tcPr>
          <w:p w14:paraId="7F64C39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1.215.833</w:t>
            </w:r>
          </w:p>
        </w:tc>
        <w:tc>
          <w:tcPr>
            <w:tcW w:w="709" w:type="dxa"/>
            <w:tcBorders>
              <w:top w:val="nil"/>
              <w:left w:val="nil"/>
              <w:bottom w:val="single" w:sz="4" w:space="0" w:color="auto"/>
              <w:right w:val="single" w:sz="8" w:space="0" w:color="auto"/>
            </w:tcBorders>
            <w:shd w:val="clear" w:color="auto" w:fill="auto"/>
            <w:noWrap/>
            <w:hideMark/>
          </w:tcPr>
          <w:p w14:paraId="57AF7E9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135.093</w:t>
            </w:r>
          </w:p>
        </w:tc>
        <w:tc>
          <w:tcPr>
            <w:tcW w:w="851" w:type="dxa"/>
            <w:tcBorders>
              <w:top w:val="nil"/>
              <w:left w:val="single" w:sz="4" w:space="0" w:color="auto"/>
              <w:bottom w:val="single" w:sz="4" w:space="0" w:color="auto"/>
              <w:right w:val="single" w:sz="4" w:space="0" w:color="auto"/>
            </w:tcBorders>
            <w:shd w:val="clear" w:color="auto" w:fill="auto"/>
            <w:noWrap/>
            <w:hideMark/>
          </w:tcPr>
          <w:p w14:paraId="029977A7" w14:textId="14714D2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94.243</w:t>
            </w:r>
          </w:p>
        </w:tc>
      </w:tr>
      <w:tr w:rsidR="005C332D" w:rsidRPr="003F6E51" w14:paraId="58F64D9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F6958E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87</w:t>
            </w:r>
          </w:p>
        </w:tc>
        <w:tc>
          <w:tcPr>
            <w:tcW w:w="2213" w:type="dxa"/>
            <w:tcBorders>
              <w:top w:val="nil"/>
              <w:left w:val="single" w:sz="8" w:space="0" w:color="auto"/>
              <w:bottom w:val="single" w:sz="4" w:space="0" w:color="auto"/>
              <w:right w:val="single" w:sz="8" w:space="0" w:color="auto"/>
            </w:tcBorders>
            <w:shd w:val="clear" w:color="auto" w:fill="auto"/>
            <w:noWrap/>
            <w:hideMark/>
          </w:tcPr>
          <w:p w14:paraId="7783CF8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BAČKA PALANKA</w:t>
            </w:r>
          </w:p>
        </w:tc>
        <w:tc>
          <w:tcPr>
            <w:tcW w:w="850" w:type="dxa"/>
            <w:tcBorders>
              <w:top w:val="nil"/>
              <w:left w:val="nil"/>
              <w:bottom w:val="single" w:sz="4" w:space="0" w:color="auto"/>
              <w:right w:val="single" w:sz="4" w:space="0" w:color="auto"/>
            </w:tcBorders>
            <w:shd w:val="clear" w:color="000000" w:fill="FFFFFF"/>
            <w:noWrap/>
            <w:hideMark/>
          </w:tcPr>
          <w:p w14:paraId="16BE8BA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51264</w:t>
            </w:r>
          </w:p>
        </w:tc>
        <w:tc>
          <w:tcPr>
            <w:tcW w:w="709" w:type="dxa"/>
            <w:tcBorders>
              <w:top w:val="nil"/>
              <w:left w:val="nil"/>
              <w:bottom w:val="single" w:sz="4" w:space="0" w:color="auto"/>
              <w:right w:val="single" w:sz="8" w:space="0" w:color="auto"/>
            </w:tcBorders>
            <w:shd w:val="clear" w:color="000000" w:fill="FFFFFF"/>
            <w:noWrap/>
            <w:hideMark/>
          </w:tcPr>
          <w:p w14:paraId="27002BF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1,08</w:t>
            </w:r>
          </w:p>
        </w:tc>
        <w:tc>
          <w:tcPr>
            <w:tcW w:w="567" w:type="dxa"/>
            <w:tcBorders>
              <w:top w:val="nil"/>
              <w:left w:val="nil"/>
              <w:bottom w:val="single" w:sz="4" w:space="0" w:color="auto"/>
              <w:right w:val="single" w:sz="4" w:space="0" w:color="auto"/>
            </w:tcBorders>
            <w:shd w:val="clear" w:color="000000" w:fill="FFFFFF"/>
            <w:noWrap/>
            <w:hideMark/>
          </w:tcPr>
          <w:p w14:paraId="4CA328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590</w:t>
            </w:r>
          </w:p>
        </w:tc>
        <w:tc>
          <w:tcPr>
            <w:tcW w:w="709" w:type="dxa"/>
            <w:tcBorders>
              <w:top w:val="nil"/>
              <w:left w:val="nil"/>
              <w:bottom w:val="single" w:sz="4" w:space="0" w:color="auto"/>
              <w:right w:val="single" w:sz="8" w:space="0" w:color="auto"/>
            </w:tcBorders>
            <w:shd w:val="clear" w:color="000000" w:fill="FFFFFF"/>
            <w:noWrap/>
            <w:hideMark/>
          </w:tcPr>
          <w:p w14:paraId="2A63EF2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850" w:type="dxa"/>
            <w:tcBorders>
              <w:top w:val="nil"/>
              <w:left w:val="nil"/>
              <w:bottom w:val="single" w:sz="4" w:space="0" w:color="auto"/>
              <w:right w:val="single" w:sz="4" w:space="0" w:color="auto"/>
            </w:tcBorders>
            <w:shd w:val="clear" w:color="000000" w:fill="FFFFFF"/>
            <w:noWrap/>
            <w:hideMark/>
          </w:tcPr>
          <w:p w14:paraId="56DB1DA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2F0CC7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186008B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73B91A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35065F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82,42</w:t>
            </w:r>
          </w:p>
        </w:tc>
        <w:tc>
          <w:tcPr>
            <w:tcW w:w="851" w:type="dxa"/>
            <w:tcBorders>
              <w:top w:val="nil"/>
              <w:left w:val="nil"/>
              <w:bottom w:val="single" w:sz="4" w:space="0" w:color="auto"/>
              <w:right w:val="single" w:sz="4" w:space="0" w:color="auto"/>
            </w:tcBorders>
            <w:shd w:val="clear" w:color="auto" w:fill="auto"/>
            <w:noWrap/>
            <w:hideMark/>
          </w:tcPr>
          <w:p w14:paraId="3E64F04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0,0061</w:t>
            </w:r>
          </w:p>
        </w:tc>
        <w:tc>
          <w:tcPr>
            <w:tcW w:w="1134" w:type="dxa"/>
            <w:tcBorders>
              <w:top w:val="nil"/>
              <w:left w:val="nil"/>
              <w:bottom w:val="single" w:sz="4" w:space="0" w:color="auto"/>
              <w:right w:val="single" w:sz="4" w:space="0" w:color="auto"/>
            </w:tcBorders>
            <w:shd w:val="clear" w:color="000000" w:fill="C6E0B4"/>
            <w:noWrap/>
            <w:hideMark/>
          </w:tcPr>
          <w:p w14:paraId="4162A01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1.644.166</w:t>
            </w:r>
          </w:p>
        </w:tc>
        <w:tc>
          <w:tcPr>
            <w:tcW w:w="992" w:type="dxa"/>
            <w:tcBorders>
              <w:top w:val="nil"/>
              <w:left w:val="nil"/>
              <w:bottom w:val="single" w:sz="4" w:space="0" w:color="auto"/>
              <w:right w:val="single" w:sz="4" w:space="0" w:color="auto"/>
            </w:tcBorders>
            <w:shd w:val="clear" w:color="auto" w:fill="auto"/>
            <w:noWrap/>
            <w:hideMark/>
          </w:tcPr>
          <w:p w14:paraId="7FA3BFE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3.018.923</w:t>
            </w:r>
          </w:p>
        </w:tc>
        <w:tc>
          <w:tcPr>
            <w:tcW w:w="567" w:type="dxa"/>
            <w:tcBorders>
              <w:top w:val="nil"/>
              <w:left w:val="nil"/>
              <w:bottom w:val="single" w:sz="4" w:space="0" w:color="auto"/>
              <w:right w:val="single" w:sz="4" w:space="0" w:color="auto"/>
            </w:tcBorders>
            <w:shd w:val="clear" w:color="auto" w:fill="auto"/>
            <w:noWrap/>
            <w:hideMark/>
          </w:tcPr>
          <w:p w14:paraId="4807152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54,46</w:t>
            </w:r>
          </w:p>
        </w:tc>
        <w:tc>
          <w:tcPr>
            <w:tcW w:w="850" w:type="dxa"/>
            <w:tcBorders>
              <w:top w:val="nil"/>
              <w:left w:val="nil"/>
              <w:bottom w:val="single" w:sz="4" w:space="0" w:color="auto"/>
              <w:right w:val="single" w:sz="4" w:space="0" w:color="auto"/>
            </w:tcBorders>
            <w:shd w:val="clear" w:color="auto" w:fill="auto"/>
            <w:noWrap/>
            <w:hideMark/>
          </w:tcPr>
          <w:p w14:paraId="52C3779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1.479.750</w:t>
            </w:r>
          </w:p>
        </w:tc>
        <w:tc>
          <w:tcPr>
            <w:tcW w:w="709" w:type="dxa"/>
            <w:tcBorders>
              <w:top w:val="nil"/>
              <w:left w:val="nil"/>
              <w:bottom w:val="single" w:sz="4" w:space="0" w:color="auto"/>
              <w:right w:val="single" w:sz="8" w:space="0" w:color="auto"/>
            </w:tcBorders>
            <w:shd w:val="clear" w:color="auto" w:fill="auto"/>
            <w:noWrap/>
            <w:hideMark/>
          </w:tcPr>
          <w:p w14:paraId="2FCF064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164.417</w:t>
            </w:r>
          </w:p>
        </w:tc>
        <w:tc>
          <w:tcPr>
            <w:tcW w:w="851" w:type="dxa"/>
            <w:tcBorders>
              <w:top w:val="nil"/>
              <w:left w:val="single" w:sz="4" w:space="0" w:color="auto"/>
              <w:bottom w:val="single" w:sz="4" w:space="0" w:color="auto"/>
              <w:right w:val="single" w:sz="4" w:space="0" w:color="auto"/>
            </w:tcBorders>
            <w:shd w:val="clear" w:color="auto" w:fill="auto"/>
            <w:noWrap/>
            <w:hideMark/>
          </w:tcPr>
          <w:p w14:paraId="34310E17" w14:textId="59A918A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28.865</w:t>
            </w:r>
          </w:p>
        </w:tc>
      </w:tr>
      <w:tr w:rsidR="005C332D" w:rsidRPr="003F6E51" w14:paraId="4529EEA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C0B6D6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88</w:t>
            </w:r>
          </w:p>
        </w:tc>
        <w:tc>
          <w:tcPr>
            <w:tcW w:w="2213" w:type="dxa"/>
            <w:tcBorders>
              <w:top w:val="nil"/>
              <w:left w:val="single" w:sz="8" w:space="0" w:color="auto"/>
              <w:bottom w:val="single" w:sz="4" w:space="0" w:color="auto"/>
              <w:right w:val="single" w:sz="8" w:space="0" w:color="auto"/>
            </w:tcBorders>
            <w:shd w:val="clear" w:color="auto" w:fill="auto"/>
            <w:noWrap/>
            <w:hideMark/>
          </w:tcPr>
          <w:p w14:paraId="5D70D03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BAČKA TOPOLA</w:t>
            </w:r>
          </w:p>
        </w:tc>
        <w:tc>
          <w:tcPr>
            <w:tcW w:w="850" w:type="dxa"/>
            <w:tcBorders>
              <w:top w:val="nil"/>
              <w:left w:val="nil"/>
              <w:bottom w:val="single" w:sz="4" w:space="0" w:color="auto"/>
              <w:right w:val="single" w:sz="4" w:space="0" w:color="auto"/>
            </w:tcBorders>
            <w:shd w:val="clear" w:color="000000" w:fill="FFFFFF"/>
            <w:noWrap/>
            <w:hideMark/>
          </w:tcPr>
          <w:p w14:paraId="4BF00E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30279</w:t>
            </w:r>
          </w:p>
        </w:tc>
        <w:tc>
          <w:tcPr>
            <w:tcW w:w="709" w:type="dxa"/>
            <w:tcBorders>
              <w:top w:val="nil"/>
              <w:left w:val="nil"/>
              <w:bottom w:val="single" w:sz="4" w:space="0" w:color="auto"/>
              <w:right w:val="single" w:sz="8" w:space="0" w:color="auto"/>
            </w:tcBorders>
            <w:shd w:val="clear" w:color="000000" w:fill="FFFFFF"/>
            <w:noWrap/>
            <w:hideMark/>
          </w:tcPr>
          <w:p w14:paraId="53753D0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0,64</w:t>
            </w:r>
          </w:p>
        </w:tc>
        <w:tc>
          <w:tcPr>
            <w:tcW w:w="567" w:type="dxa"/>
            <w:tcBorders>
              <w:top w:val="nil"/>
              <w:left w:val="nil"/>
              <w:bottom w:val="single" w:sz="4" w:space="0" w:color="auto"/>
              <w:right w:val="single" w:sz="4" w:space="0" w:color="auto"/>
            </w:tcBorders>
            <w:shd w:val="clear" w:color="000000" w:fill="FFFFFF"/>
            <w:noWrap/>
            <w:hideMark/>
          </w:tcPr>
          <w:p w14:paraId="53B3B60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596</w:t>
            </w:r>
          </w:p>
        </w:tc>
        <w:tc>
          <w:tcPr>
            <w:tcW w:w="709" w:type="dxa"/>
            <w:tcBorders>
              <w:top w:val="nil"/>
              <w:left w:val="nil"/>
              <w:bottom w:val="single" w:sz="4" w:space="0" w:color="auto"/>
              <w:right w:val="single" w:sz="8" w:space="0" w:color="auto"/>
            </w:tcBorders>
            <w:shd w:val="clear" w:color="000000" w:fill="FFFFFF"/>
            <w:noWrap/>
            <w:hideMark/>
          </w:tcPr>
          <w:p w14:paraId="305AD4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1,11</w:t>
            </w:r>
          </w:p>
        </w:tc>
        <w:tc>
          <w:tcPr>
            <w:tcW w:w="850" w:type="dxa"/>
            <w:tcBorders>
              <w:top w:val="nil"/>
              <w:left w:val="nil"/>
              <w:bottom w:val="single" w:sz="4" w:space="0" w:color="auto"/>
              <w:right w:val="single" w:sz="4" w:space="0" w:color="auto"/>
            </w:tcBorders>
            <w:shd w:val="clear" w:color="000000" w:fill="FFFFFF"/>
            <w:noWrap/>
            <w:hideMark/>
          </w:tcPr>
          <w:p w14:paraId="279CE7A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96FDB7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6343505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286E6AA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2EFE80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78,89</w:t>
            </w:r>
          </w:p>
        </w:tc>
        <w:tc>
          <w:tcPr>
            <w:tcW w:w="851" w:type="dxa"/>
            <w:tcBorders>
              <w:top w:val="nil"/>
              <w:left w:val="nil"/>
              <w:bottom w:val="single" w:sz="4" w:space="0" w:color="auto"/>
              <w:right w:val="single" w:sz="4" w:space="0" w:color="auto"/>
            </w:tcBorders>
            <w:shd w:val="clear" w:color="auto" w:fill="auto"/>
            <w:noWrap/>
            <w:hideMark/>
          </w:tcPr>
          <w:p w14:paraId="748DF36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0,0058</w:t>
            </w:r>
          </w:p>
        </w:tc>
        <w:tc>
          <w:tcPr>
            <w:tcW w:w="1134" w:type="dxa"/>
            <w:tcBorders>
              <w:top w:val="nil"/>
              <w:left w:val="nil"/>
              <w:bottom w:val="single" w:sz="4" w:space="0" w:color="auto"/>
              <w:right w:val="single" w:sz="4" w:space="0" w:color="auto"/>
            </w:tcBorders>
            <w:shd w:val="clear" w:color="000000" w:fill="C6E0B4"/>
            <w:noWrap/>
            <w:hideMark/>
          </w:tcPr>
          <w:p w14:paraId="04C07F6F"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1.573.708</w:t>
            </w:r>
          </w:p>
        </w:tc>
        <w:tc>
          <w:tcPr>
            <w:tcW w:w="992" w:type="dxa"/>
            <w:tcBorders>
              <w:top w:val="nil"/>
              <w:left w:val="nil"/>
              <w:bottom w:val="single" w:sz="4" w:space="0" w:color="auto"/>
              <w:right w:val="single" w:sz="4" w:space="0" w:color="auto"/>
            </w:tcBorders>
            <w:shd w:val="clear" w:color="auto" w:fill="auto"/>
            <w:noWrap/>
            <w:hideMark/>
          </w:tcPr>
          <w:p w14:paraId="67E568E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4.147.536</w:t>
            </w:r>
          </w:p>
        </w:tc>
        <w:tc>
          <w:tcPr>
            <w:tcW w:w="567" w:type="dxa"/>
            <w:tcBorders>
              <w:top w:val="nil"/>
              <w:left w:val="nil"/>
              <w:bottom w:val="single" w:sz="4" w:space="0" w:color="auto"/>
              <w:right w:val="single" w:sz="4" w:space="0" w:color="auto"/>
            </w:tcBorders>
            <w:shd w:val="clear" w:color="auto" w:fill="auto"/>
            <w:noWrap/>
            <w:hideMark/>
          </w:tcPr>
          <w:p w14:paraId="66F6BD8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37,94</w:t>
            </w:r>
          </w:p>
        </w:tc>
        <w:tc>
          <w:tcPr>
            <w:tcW w:w="850" w:type="dxa"/>
            <w:tcBorders>
              <w:top w:val="nil"/>
              <w:left w:val="nil"/>
              <w:bottom w:val="single" w:sz="4" w:space="0" w:color="auto"/>
              <w:right w:val="single" w:sz="4" w:space="0" w:color="auto"/>
            </w:tcBorders>
            <w:shd w:val="clear" w:color="auto" w:fill="auto"/>
            <w:noWrap/>
            <w:hideMark/>
          </w:tcPr>
          <w:p w14:paraId="22D30E0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1.416.337</w:t>
            </w:r>
          </w:p>
        </w:tc>
        <w:tc>
          <w:tcPr>
            <w:tcW w:w="709" w:type="dxa"/>
            <w:tcBorders>
              <w:top w:val="nil"/>
              <w:left w:val="nil"/>
              <w:bottom w:val="single" w:sz="4" w:space="0" w:color="auto"/>
              <w:right w:val="single" w:sz="8" w:space="0" w:color="auto"/>
            </w:tcBorders>
            <w:shd w:val="clear" w:color="auto" w:fill="auto"/>
            <w:noWrap/>
            <w:hideMark/>
          </w:tcPr>
          <w:p w14:paraId="15CD549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157.371</w:t>
            </w:r>
          </w:p>
        </w:tc>
        <w:tc>
          <w:tcPr>
            <w:tcW w:w="851" w:type="dxa"/>
            <w:tcBorders>
              <w:top w:val="nil"/>
              <w:left w:val="single" w:sz="4" w:space="0" w:color="auto"/>
              <w:bottom w:val="single" w:sz="4" w:space="0" w:color="auto"/>
              <w:right w:val="single" w:sz="4" w:space="0" w:color="auto"/>
            </w:tcBorders>
            <w:shd w:val="clear" w:color="auto" w:fill="auto"/>
            <w:noWrap/>
            <w:hideMark/>
          </w:tcPr>
          <w:p w14:paraId="01340ED7" w14:textId="472459F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46.776</w:t>
            </w:r>
          </w:p>
        </w:tc>
      </w:tr>
      <w:tr w:rsidR="005C332D" w:rsidRPr="003F6E51" w14:paraId="44455FE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4B4438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89</w:t>
            </w:r>
          </w:p>
        </w:tc>
        <w:tc>
          <w:tcPr>
            <w:tcW w:w="2213" w:type="dxa"/>
            <w:tcBorders>
              <w:top w:val="nil"/>
              <w:left w:val="single" w:sz="8" w:space="0" w:color="auto"/>
              <w:bottom w:val="single" w:sz="4" w:space="0" w:color="auto"/>
              <w:right w:val="single" w:sz="8" w:space="0" w:color="auto"/>
            </w:tcBorders>
            <w:shd w:val="clear" w:color="auto" w:fill="auto"/>
            <w:noWrap/>
            <w:hideMark/>
          </w:tcPr>
          <w:p w14:paraId="428F30FD"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BAČKI PETROVAC</w:t>
            </w:r>
          </w:p>
        </w:tc>
        <w:tc>
          <w:tcPr>
            <w:tcW w:w="850" w:type="dxa"/>
            <w:tcBorders>
              <w:top w:val="nil"/>
              <w:left w:val="nil"/>
              <w:bottom w:val="single" w:sz="4" w:space="0" w:color="auto"/>
              <w:right w:val="single" w:sz="4" w:space="0" w:color="auto"/>
            </w:tcBorders>
            <w:shd w:val="clear" w:color="000000" w:fill="FFFFFF"/>
            <w:noWrap/>
            <w:hideMark/>
          </w:tcPr>
          <w:p w14:paraId="0A57348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12605</w:t>
            </w:r>
          </w:p>
        </w:tc>
        <w:tc>
          <w:tcPr>
            <w:tcW w:w="709" w:type="dxa"/>
            <w:tcBorders>
              <w:top w:val="nil"/>
              <w:left w:val="nil"/>
              <w:bottom w:val="single" w:sz="4" w:space="0" w:color="auto"/>
              <w:right w:val="single" w:sz="8" w:space="0" w:color="auto"/>
            </w:tcBorders>
            <w:shd w:val="clear" w:color="000000" w:fill="FFFFFF"/>
            <w:noWrap/>
            <w:hideMark/>
          </w:tcPr>
          <w:p w14:paraId="4E85DD2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0,26</w:t>
            </w:r>
          </w:p>
        </w:tc>
        <w:tc>
          <w:tcPr>
            <w:tcW w:w="567" w:type="dxa"/>
            <w:tcBorders>
              <w:top w:val="nil"/>
              <w:left w:val="nil"/>
              <w:bottom w:val="single" w:sz="4" w:space="0" w:color="auto"/>
              <w:right w:val="single" w:sz="4" w:space="0" w:color="auto"/>
            </w:tcBorders>
            <w:shd w:val="clear" w:color="000000" w:fill="FFFFFF"/>
            <w:noWrap/>
            <w:hideMark/>
          </w:tcPr>
          <w:p w14:paraId="0081118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158</w:t>
            </w:r>
          </w:p>
        </w:tc>
        <w:tc>
          <w:tcPr>
            <w:tcW w:w="709" w:type="dxa"/>
            <w:tcBorders>
              <w:top w:val="nil"/>
              <w:left w:val="nil"/>
              <w:bottom w:val="single" w:sz="4" w:space="0" w:color="auto"/>
              <w:right w:val="single" w:sz="8" w:space="0" w:color="auto"/>
            </w:tcBorders>
            <w:shd w:val="clear" w:color="000000" w:fill="FFFFFF"/>
            <w:noWrap/>
            <w:hideMark/>
          </w:tcPr>
          <w:p w14:paraId="728A606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0,30</w:t>
            </w:r>
          </w:p>
        </w:tc>
        <w:tc>
          <w:tcPr>
            <w:tcW w:w="850" w:type="dxa"/>
            <w:tcBorders>
              <w:top w:val="nil"/>
              <w:left w:val="nil"/>
              <w:bottom w:val="single" w:sz="4" w:space="0" w:color="auto"/>
              <w:right w:val="single" w:sz="4" w:space="0" w:color="auto"/>
            </w:tcBorders>
            <w:shd w:val="clear" w:color="000000" w:fill="FFFFFF"/>
            <w:noWrap/>
            <w:hideMark/>
          </w:tcPr>
          <w:p w14:paraId="41A0382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3A96864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3BAA63C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2C1B6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2C89392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45,77</w:t>
            </w:r>
          </w:p>
        </w:tc>
        <w:tc>
          <w:tcPr>
            <w:tcW w:w="851" w:type="dxa"/>
            <w:tcBorders>
              <w:top w:val="nil"/>
              <w:left w:val="nil"/>
              <w:bottom w:val="single" w:sz="4" w:space="0" w:color="auto"/>
              <w:right w:val="single" w:sz="4" w:space="0" w:color="auto"/>
            </w:tcBorders>
            <w:shd w:val="clear" w:color="auto" w:fill="auto"/>
            <w:noWrap/>
            <w:hideMark/>
          </w:tcPr>
          <w:p w14:paraId="27634DA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0,0034</w:t>
            </w:r>
          </w:p>
        </w:tc>
        <w:tc>
          <w:tcPr>
            <w:tcW w:w="1134" w:type="dxa"/>
            <w:tcBorders>
              <w:top w:val="nil"/>
              <w:left w:val="nil"/>
              <w:bottom w:val="single" w:sz="4" w:space="0" w:color="auto"/>
              <w:right w:val="single" w:sz="4" w:space="0" w:color="auto"/>
            </w:tcBorders>
            <w:shd w:val="clear" w:color="000000" w:fill="C6E0B4"/>
            <w:noWrap/>
            <w:hideMark/>
          </w:tcPr>
          <w:p w14:paraId="27A63B5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913.022</w:t>
            </w:r>
          </w:p>
        </w:tc>
        <w:tc>
          <w:tcPr>
            <w:tcW w:w="992" w:type="dxa"/>
            <w:tcBorders>
              <w:top w:val="nil"/>
              <w:left w:val="nil"/>
              <w:bottom w:val="single" w:sz="4" w:space="0" w:color="auto"/>
              <w:right w:val="single" w:sz="4" w:space="0" w:color="auto"/>
            </w:tcBorders>
            <w:shd w:val="clear" w:color="auto" w:fill="auto"/>
            <w:noWrap/>
            <w:hideMark/>
          </w:tcPr>
          <w:p w14:paraId="2F3F12E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903.061</w:t>
            </w:r>
          </w:p>
        </w:tc>
        <w:tc>
          <w:tcPr>
            <w:tcW w:w="567" w:type="dxa"/>
            <w:tcBorders>
              <w:top w:val="nil"/>
              <w:left w:val="nil"/>
              <w:bottom w:val="single" w:sz="4" w:space="0" w:color="auto"/>
              <w:right w:val="single" w:sz="4" w:space="0" w:color="auto"/>
            </w:tcBorders>
            <w:shd w:val="clear" w:color="auto" w:fill="auto"/>
            <w:noWrap/>
            <w:hideMark/>
          </w:tcPr>
          <w:p w14:paraId="21C51EC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101,10</w:t>
            </w:r>
          </w:p>
        </w:tc>
        <w:tc>
          <w:tcPr>
            <w:tcW w:w="850" w:type="dxa"/>
            <w:tcBorders>
              <w:top w:val="nil"/>
              <w:left w:val="nil"/>
              <w:bottom w:val="single" w:sz="4" w:space="0" w:color="auto"/>
              <w:right w:val="single" w:sz="4" w:space="0" w:color="auto"/>
            </w:tcBorders>
            <w:shd w:val="clear" w:color="auto" w:fill="auto"/>
            <w:noWrap/>
            <w:hideMark/>
          </w:tcPr>
          <w:p w14:paraId="2239AF1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821.720</w:t>
            </w:r>
          </w:p>
        </w:tc>
        <w:tc>
          <w:tcPr>
            <w:tcW w:w="709" w:type="dxa"/>
            <w:tcBorders>
              <w:top w:val="nil"/>
              <w:left w:val="nil"/>
              <w:bottom w:val="single" w:sz="4" w:space="0" w:color="auto"/>
              <w:right w:val="single" w:sz="8" w:space="0" w:color="auto"/>
            </w:tcBorders>
            <w:shd w:val="clear" w:color="auto" w:fill="auto"/>
            <w:noWrap/>
            <w:hideMark/>
          </w:tcPr>
          <w:p w14:paraId="19FF3BE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91.302</w:t>
            </w:r>
          </w:p>
        </w:tc>
        <w:tc>
          <w:tcPr>
            <w:tcW w:w="851" w:type="dxa"/>
            <w:tcBorders>
              <w:top w:val="nil"/>
              <w:left w:val="single" w:sz="4" w:space="0" w:color="auto"/>
              <w:bottom w:val="single" w:sz="4" w:space="0" w:color="auto"/>
              <w:right w:val="single" w:sz="4" w:space="0" w:color="auto"/>
            </w:tcBorders>
            <w:shd w:val="clear" w:color="auto" w:fill="auto"/>
            <w:noWrap/>
            <w:hideMark/>
          </w:tcPr>
          <w:p w14:paraId="6FA912DB" w14:textId="589C76F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65.190</w:t>
            </w:r>
          </w:p>
        </w:tc>
      </w:tr>
      <w:tr w:rsidR="005C332D" w:rsidRPr="003F6E51" w14:paraId="7F5C5167"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47C326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90</w:t>
            </w:r>
          </w:p>
        </w:tc>
        <w:tc>
          <w:tcPr>
            <w:tcW w:w="2213" w:type="dxa"/>
            <w:tcBorders>
              <w:top w:val="nil"/>
              <w:left w:val="single" w:sz="8" w:space="0" w:color="auto"/>
              <w:bottom w:val="single" w:sz="4" w:space="0" w:color="auto"/>
              <w:right w:val="single" w:sz="8" w:space="0" w:color="auto"/>
            </w:tcBorders>
            <w:shd w:val="clear" w:color="auto" w:fill="auto"/>
            <w:noWrap/>
            <w:hideMark/>
          </w:tcPr>
          <w:p w14:paraId="1BA64FF8"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BEČEJ</w:t>
            </w:r>
          </w:p>
        </w:tc>
        <w:tc>
          <w:tcPr>
            <w:tcW w:w="850" w:type="dxa"/>
            <w:tcBorders>
              <w:top w:val="nil"/>
              <w:left w:val="nil"/>
              <w:bottom w:val="single" w:sz="4" w:space="0" w:color="auto"/>
              <w:right w:val="single" w:sz="4" w:space="0" w:color="auto"/>
            </w:tcBorders>
            <w:shd w:val="clear" w:color="000000" w:fill="FFFFFF"/>
            <w:noWrap/>
            <w:hideMark/>
          </w:tcPr>
          <w:p w14:paraId="565699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34675</w:t>
            </w:r>
          </w:p>
        </w:tc>
        <w:tc>
          <w:tcPr>
            <w:tcW w:w="709" w:type="dxa"/>
            <w:tcBorders>
              <w:top w:val="nil"/>
              <w:left w:val="nil"/>
              <w:bottom w:val="single" w:sz="4" w:space="0" w:color="auto"/>
              <w:right w:val="single" w:sz="8" w:space="0" w:color="auto"/>
            </w:tcBorders>
            <w:shd w:val="clear" w:color="000000" w:fill="FFFFFF"/>
            <w:noWrap/>
            <w:hideMark/>
          </w:tcPr>
          <w:p w14:paraId="534DF3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0,73</w:t>
            </w:r>
          </w:p>
        </w:tc>
        <w:tc>
          <w:tcPr>
            <w:tcW w:w="567" w:type="dxa"/>
            <w:tcBorders>
              <w:top w:val="nil"/>
              <w:left w:val="nil"/>
              <w:bottom w:val="single" w:sz="4" w:space="0" w:color="auto"/>
              <w:right w:val="single" w:sz="4" w:space="0" w:color="auto"/>
            </w:tcBorders>
            <w:shd w:val="clear" w:color="000000" w:fill="FFFFFF"/>
            <w:noWrap/>
            <w:hideMark/>
          </w:tcPr>
          <w:p w14:paraId="70777C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486</w:t>
            </w:r>
          </w:p>
        </w:tc>
        <w:tc>
          <w:tcPr>
            <w:tcW w:w="709" w:type="dxa"/>
            <w:tcBorders>
              <w:top w:val="nil"/>
              <w:left w:val="nil"/>
              <w:bottom w:val="single" w:sz="4" w:space="0" w:color="auto"/>
              <w:right w:val="single" w:sz="8" w:space="0" w:color="auto"/>
            </w:tcBorders>
            <w:shd w:val="clear" w:color="000000" w:fill="FFFFFF"/>
            <w:noWrap/>
            <w:hideMark/>
          </w:tcPr>
          <w:p w14:paraId="32EBB6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0,91</w:t>
            </w:r>
          </w:p>
        </w:tc>
        <w:tc>
          <w:tcPr>
            <w:tcW w:w="850" w:type="dxa"/>
            <w:tcBorders>
              <w:top w:val="nil"/>
              <w:left w:val="nil"/>
              <w:bottom w:val="single" w:sz="4" w:space="0" w:color="auto"/>
              <w:right w:val="single" w:sz="4" w:space="0" w:color="auto"/>
            </w:tcBorders>
            <w:shd w:val="clear" w:color="000000" w:fill="FFFFFF"/>
            <w:noWrap/>
            <w:hideMark/>
          </w:tcPr>
          <w:p w14:paraId="17D0082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22D660F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1551D90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000262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20C497F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77,33</w:t>
            </w:r>
          </w:p>
        </w:tc>
        <w:tc>
          <w:tcPr>
            <w:tcW w:w="851" w:type="dxa"/>
            <w:tcBorders>
              <w:top w:val="nil"/>
              <w:left w:val="nil"/>
              <w:bottom w:val="single" w:sz="4" w:space="0" w:color="auto"/>
              <w:right w:val="single" w:sz="4" w:space="0" w:color="auto"/>
            </w:tcBorders>
            <w:shd w:val="clear" w:color="auto" w:fill="auto"/>
            <w:noWrap/>
            <w:hideMark/>
          </w:tcPr>
          <w:p w14:paraId="3107750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0620F33F"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1.542.579</w:t>
            </w:r>
          </w:p>
        </w:tc>
        <w:tc>
          <w:tcPr>
            <w:tcW w:w="992" w:type="dxa"/>
            <w:tcBorders>
              <w:top w:val="nil"/>
              <w:left w:val="nil"/>
              <w:bottom w:val="single" w:sz="4" w:space="0" w:color="auto"/>
              <w:right w:val="single" w:sz="4" w:space="0" w:color="auto"/>
            </w:tcBorders>
            <w:shd w:val="clear" w:color="auto" w:fill="auto"/>
            <w:noWrap/>
            <w:hideMark/>
          </w:tcPr>
          <w:p w14:paraId="392074B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1.369.611</w:t>
            </w:r>
          </w:p>
        </w:tc>
        <w:tc>
          <w:tcPr>
            <w:tcW w:w="567" w:type="dxa"/>
            <w:tcBorders>
              <w:top w:val="nil"/>
              <w:left w:val="nil"/>
              <w:bottom w:val="single" w:sz="4" w:space="0" w:color="auto"/>
              <w:right w:val="single" w:sz="4" w:space="0" w:color="auto"/>
            </w:tcBorders>
            <w:shd w:val="clear" w:color="auto" w:fill="auto"/>
            <w:noWrap/>
            <w:hideMark/>
          </w:tcPr>
          <w:p w14:paraId="2D2AF04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112,63</w:t>
            </w:r>
          </w:p>
        </w:tc>
        <w:tc>
          <w:tcPr>
            <w:tcW w:w="850" w:type="dxa"/>
            <w:tcBorders>
              <w:top w:val="nil"/>
              <w:left w:val="nil"/>
              <w:bottom w:val="single" w:sz="4" w:space="0" w:color="auto"/>
              <w:right w:val="single" w:sz="4" w:space="0" w:color="auto"/>
            </w:tcBorders>
            <w:shd w:val="clear" w:color="auto" w:fill="auto"/>
            <w:noWrap/>
            <w:hideMark/>
          </w:tcPr>
          <w:p w14:paraId="6351363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1.388.321</w:t>
            </w:r>
          </w:p>
        </w:tc>
        <w:tc>
          <w:tcPr>
            <w:tcW w:w="709" w:type="dxa"/>
            <w:tcBorders>
              <w:top w:val="nil"/>
              <w:left w:val="nil"/>
              <w:bottom w:val="single" w:sz="4" w:space="0" w:color="auto"/>
              <w:right w:val="single" w:sz="8" w:space="0" w:color="auto"/>
            </w:tcBorders>
            <w:shd w:val="clear" w:color="auto" w:fill="auto"/>
            <w:noWrap/>
            <w:hideMark/>
          </w:tcPr>
          <w:p w14:paraId="3D9A25C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154.258</w:t>
            </w:r>
          </w:p>
        </w:tc>
        <w:tc>
          <w:tcPr>
            <w:tcW w:w="851" w:type="dxa"/>
            <w:tcBorders>
              <w:top w:val="nil"/>
              <w:left w:val="single" w:sz="4" w:space="0" w:color="auto"/>
              <w:bottom w:val="single" w:sz="4" w:space="0" w:color="auto"/>
              <w:right w:val="single" w:sz="4" w:space="0" w:color="auto"/>
            </w:tcBorders>
            <w:shd w:val="clear" w:color="auto" w:fill="auto"/>
            <w:noWrap/>
            <w:hideMark/>
          </w:tcPr>
          <w:p w14:paraId="5DA789BF" w14:textId="058D46A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40.038</w:t>
            </w:r>
          </w:p>
        </w:tc>
      </w:tr>
      <w:tr w:rsidR="005C332D" w:rsidRPr="003F6E51" w14:paraId="59CE189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3ABE7A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91</w:t>
            </w:r>
          </w:p>
        </w:tc>
        <w:tc>
          <w:tcPr>
            <w:tcW w:w="2213" w:type="dxa"/>
            <w:tcBorders>
              <w:top w:val="nil"/>
              <w:left w:val="single" w:sz="8" w:space="0" w:color="auto"/>
              <w:bottom w:val="single" w:sz="4" w:space="0" w:color="auto"/>
              <w:right w:val="single" w:sz="8" w:space="0" w:color="auto"/>
            </w:tcBorders>
            <w:shd w:val="clear" w:color="auto" w:fill="auto"/>
            <w:noWrap/>
            <w:hideMark/>
          </w:tcPr>
          <w:p w14:paraId="44E21E6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BELA CRKVA</w:t>
            </w:r>
          </w:p>
        </w:tc>
        <w:tc>
          <w:tcPr>
            <w:tcW w:w="850" w:type="dxa"/>
            <w:tcBorders>
              <w:top w:val="nil"/>
              <w:left w:val="nil"/>
              <w:bottom w:val="single" w:sz="4" w:space="0" w:color="auto"/>
              <w:right w:val="single" w:sz="4" w:space="0" w:color="auto"/>
            </w:tcBorders>
            <w:shd w:val="clear" w:color="000000" w:fill="FFFFFF"/>
            <w:noWrap/>
            <w:hideMark/>
          </w:tcPr>
          <w:p w14:paraId="31B5F6A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15790</w:t>
            </w:r>
          </w:p>
        </w:tc>
        <w:tc>
          <w:tcPr>
            <w:tcW w:w="709" w:type="dxa"/>
            <w:tcBorders>
              <w:top w:val="nil"/>
              <w:left w:val="nil"/>
              <w:bottom w:val="single" w:sz="4" w:space="0" w:color="auto"/>
              <w:right w:val="single" w:sz="8" w:space="0" w:color="auto"/>
            </w:tcBorders>
            <w:shd w:val="clear" w:color="000000" w:fill="FFFFFF"/>
            <w:noWrap/>
            <w:hideMark/>
          </w:tcPr>
          <w:p w14:paraId="2CC3D08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0,33</w:t>
            </w:r>
          </w:p>
        </w:tc>
        <w:tc>
          <w:tcPr>
            <w:tcW w:w="567" w:type="dxa"/>
            <w:tcBorders>
              <w:top w:val="nil"/>
              <w:left w:val="nil"/>
              <w:bottom w:val="single" w:sz="4" w:space="0" w:color="auto"/>
              <w:right w:val="single" w:sz="4" w:space="0" w:color="auto"/>
            </w:tcBorders>
            <w:shd w:val="clear" w:color="000000" w:fill="FFFFFF"/>
            <w:noWrap/>
            <w:hideMark/>
          </w:tcPr>
          <w:p w14:paraId="6F2310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353</w:t>
            </w:r>
          </w:p>
        </w:tc>
        <w:tc>
          <w:tcPr>
            <w:tcW w:w="709" w:type="dxa"/>
            <w:tcBorders>
              <w:top w:val="nil"/>
              <w:left w:val="nil"/>
              <w:bottom w:val="single" w:sz="4" w:space="0" w:color="auto"/>
              <w:right w:val="single" w:sz="8" w:space="0" w:color="auto"/>
            </w:tcBorders>
            <w:shd w:val="clear" w:color="000000" w:fill="FFFFFF"/>
            <w:noWrap/>
            <w:hideMark/>
          </w:tcPr>
          <w:p w14:paraId="2F46637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0,66</w:t>
            </w:r>
          </w:p>
        </w:tc>
        <w:tc>
          <w:tcPr>
            <w:tcW w:w="850" w:type="dxa"/>
            <w:tcBorders>
              <w:top w:val="nil"/>
              <w:left w:val="nil"/>
              <w:bottom w:val="single" w:sz="4" w:space="0" w:color="auto"/>
              <w:right w:val="single" w:sz="4" w:space="0" w:color="auto"/>
            </w:tcBorders>
            <w:shd w:val="clear" w:color="000000" w:fill="FFFFFF"/>
            <w:noWrap/>
            <w:hideMark/>
          </w:tcPr>
          <w:p w14:paraId="3A621A8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60A1830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2F2C0A9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79F306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110A85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69,19</w:t>
            </w:r>
          </w:p>
        </w:tc>
        <w:tc>
          <w:tcPr>
            <w:tcW w:w="851" w:type="dxa"/>
            <w:tcBorders>
              <w:top w:val="nil"/>
              <w:left w:val="nil"/>
              <w:bottom w:val="single" w:sz="4" w:space="0" w:color="auto"/>
              <w:right w:val="single" w:sz="4" w:space="0" w:color="auto"/>
            </w:tcBorders>
            <w:shd w:val="clear" w:color="auto" w:fill="auto"/>
            <w:noWrap/>
            <w:hideMark/>
          </w:tcPr>
          <w:p w14:paraId="371647E0"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0,0051</w:t>
            </w:r>
          </w:p>
        </w:tc>
        <w:tc>
          <w:tcPr>
            <w:tcW w:w="1134" w:type="dxa"/>
            <w:tcBorders>
              <w:top w:val="nil"/>
              <w:left w:val="nil"/>
              <w:bottom w:val="single" w:sz="4" w:space="0" w:color="auto"/>
              <w:right w:val="single" w:sz="4" w:space="0" w:color="auto"/>
            </w:tcBorders>
            <w:shd w:val="clear" w:color="000000" w:fill="C6E0B4"/>
            <w:noWrap/>
            <w:hideMark/>
          </w:tcPr>
          <w:p w14:paraId="6CD0406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1.380.271</w:t>
            </w:r>
          </w:p>
        </w:tc>
        <w:tc>
          <w:tcPr>
            <w:tcW w:w="992" w:type="dxa"/>
            <w:tcBorders>
              <w:top w:val="nil"/>
              <w:left w:val="nil"/>
              <w:bottom w:val="single" w:sz="4" w:space="0" w:color="auto"/>
              <w:right w:val="single" w:sz="4" w:space="0" w:color="auto"/>
            </w:tcBorders>
            <w:shd w:val="clear" w:color="auto" w:fill="auto"/>
            <w:noWrap/>
            <w:hideMark/>
          </w:tcPr>
          <w:p w14:paraId="0C439C1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1.517.137</w:t>
            </w:r>
          </w:p>
        </w:tc>
        <w:tc>
          <w:tcPr>
            <w:tcW w:w="567" w:type="dxa"/>
            <w:tcBorders>
              <w:top w:val="nil"/>
              <w:left w:val="nil"/>
              <w:bottom w:val="single" w:sz="4" w:space="0" w:color="auto"/>
              <w:right w:val="single" w:sz="4" w:space="0" w:color="auto"/>
            </w:tcBorders>
            <w:shd w:val="clear" w:color="auto" w:fill="auto"/>
            <w:noWrap/>
            <w:hideMark/>
          </w:tcPr>
          <w:p w14:paraId="18C6FA3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90,98</w:t>
            </w:r>
          </w:p>
        </w:tc>
        <w:tc>
          <w:tcPr>
            <w:tcW w:w="850" w:type="dxa"/>
            <w:tcBorders>
              <w:top w:val="nil"/>
              <w:left w:val="nil"/>
              <w:bottom w:val="single" w:sz="4" w:space="0" w:color="auto"/>
              <w:right w:val="single" w:sz="4" w:space="0" w:color="auto"/>
            </w:tcBorders>
            <w:shd w:val="clear" w:color="auto" w:fill="auto"/>
            <w:noWrap/>
            <w:hideMark/>
          </w:tcPr>
          <w:p w14:paraId="2478DE4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1.242.244</w:t>
            </w:r>
          </w:p>
        </w:tc>
        <w:tc>
          <w:tcPr>
            <w:tcW w:w="709" w:type="dxa"/>
            <w:tcBorders>
              <w:top w:val="nil"/>
              <w:left w:val="nil"/>
              <w:bottom w:val="single" w:sz="4" w:space="0" w:color="auto"/>
              <w:right w:val="single" w:sz="8" w:space="0" w:color="auto"/>
            </w:tcBorders>
            <w:shd w:val="clear" w:color="auto" w:fill="auto"/>
            <w:noWrap/>
            <w:hideMark/>
          </w:tcPr>
          <w:p w14:paraId="4BF31CC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138.027</w:t>
            </w:r>
          </w:p>
        </w:tc>
        <w:tc>
          <w:tcPr>
            <w:tcW w:w="851" w:type="dxa"/>
            <w:tcBorders>
              <w:top w:val="nil"/>
              <w:left w:val="single" w:sz="4" w:space="0" w:color="auto"/>
              <w:bottom w:val="single" w:sz="4" w:space="0" w:color="auto"/>
              <w:right w:val="single" w:sz="4" w:space="0" w:color="auto"/>
            </w:tcBorders>
            <w:shd w:val="clear" w:color="auto" w:fill="auto"/>
            <w:noWrap/>
            <w:hideMark/>
          </w:tcPr>
          <w:p w14:paraId="48A41533" w14:textId="17DBB1A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78.673</w:t>
            </w:r>
          </w:p>
        </w:tc>
      </w:tr>
      <w:tr w:rsidR="005C332D" w:rsidRPr="003F6E51" w14:paraId="53AB3B7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293767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92</w:t>
            </w:r>
          </w:p>
        </w:tc>
        <w:tc>
          <w:tcPr>
            <w:tcW w:w="2213" w:type="dxa"/>
            <w:tcBorders>
              <w:top w:val="nil"/>
              <w:left w:val="single" w:sz="8" w:space="0" w:color="auto"/>
              <w:bottom w:val="single" w:sz="4" w:space="0" w:color="auto"/>
              <w:right w:val="single" w:sz="8" w:space="0" w:color="auto"/>
            </w:tcBorders>
            <w:shd w:val="clear" w:color="auto" w:fill="auto"/>
            <w:noWrap/>
            <w:hideMark/>
          </w:tcPr>
          <w:p w14:paraId="7E34598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BEOČIN</w:t>
            </w:r>
          </w:p>
        </w:tc>
        <w:tc>
          <w:tcPr>
            <w:tcW w:w="850" w:type="dxa"/>
            <w:tcBorders>
              <w:top w:val="nil"/>
              <w:left w:val="nil"/>
              <w:bottom w:val="single" w:sz="4" w:space="0" w:color="auto"/>
              <w:right w:val="single" w:sz="4" w:space="0" w:color="auto"/>
            </w:tcBorders>
            <w:shd w:val="clear" w:color="000000" w:fill="FFFFFF"/>
            <w:noWrap/>
            <w:hideMark/>
          </w:tcPr>
          <w:p w14:paraId="395B163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14905</w:t>
            </w:r>
          </w:p>
        </w:tc>
        <w:tc>
          <w:tcPr>
            <w:tcW w:w="709" w:type="dxa"/>
            <w:tcBorders>
              <w:top w:val="nil"/>
              <w:left w:val="nil"/>
              <w:bottom w:val="single" w:sz="4" w:space="0" w:color="auto"/>
              <w:right w:val="single" w:sz="8" w:space="0" w:color="auto"/>
            </w:tcBorders>
            <w:shd w:val="clear" w:color="000000" w:fill="FFFFFF"/>
            <w:noWrap/>
            <w:hideMark/>
          </w:tcPr>
          <w:p w14:paraId="766F053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0,31</w:t>
            </w:r>
          </w:p>
        </w:tc>
        <w:tc>
          <w:tcPr>
            <w:tcW w:w="567" w:type="dxa"/>
            <w:tcBorders>
              <w:top w:val="nil"/>
              <w:left w:val="nil"/>
              <w:bottom w:val="single" w:sz="4" w:space="0" w:color="auto"/>
              <w:right w:val="single" w:sz="4" w:space="0" w:color="auto"/>
            </w:tcBorders>
            <w:shd w:val="clear" w:color="000000" w:fill="FFFFFF"/>
            <w:noWrap/>
            <w:hideMark/>
          </w:tcPr>
          <w:p w14:paraId="1C28817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184</w:t>
            </w:r>
          </w:p>
        </w:tc>
        <w:tc>
          <w:tcPr>
            <w:tcW w:w="709" w:type="dxa"/>
            <w:tcBorders>
              <w:top w:val="nil"/>
              <w:left w:val="nil"/>
              <w:bottom w:val="single" w:sz="4" w:space="0" w:color="auto"/>
              <w:right w:val="single" w:sz="8" w:space="0" w:color="auto"/>
            </w:tcBorders>
            <w:shd w:val="clear" w:color="000000" w:fill="FFFFFF"/>
            <w:noWrap/>
            <w:hideMark/>
          </w:tcPr>
          <w:p w14:paraId="58FAEA8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850" w:type="dxa"/>
            <w:tcBorders>
              <w:top w:val="nil"/>
              <w:left w:val="nil"/>
              <w:bottom w:val="single" w:sz="4" w:space="0" w:color="auto"/>
              <w:right w:val="single" w:sz="4" w:space="0" w:color="auto"/>
            </w:tcBorders>
            <w:shd w:val="clear" w:color="000000" w:fill="FFFFFF"/>
            <w:noWrap/>
            <w:hideMark/>
          </w:tcPr>
          <w:p w14:paraId="2D03F70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0C2904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1CA792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63B717D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21A5F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36,71</w:t>
            </w:r>
          </w:p>
        </w:tc>
        <w:tc>
          <w:tcPr>
            <w:tcW w:w="851" w:type="dxa"/>
            <w:tcBorders>
              <w:top w:val="nil"/>
              <w:left w:val="nil"/>
              <w:bottom w:val="single" w:sz="4" w:space="0" w:color="auto"/>
              <w:right w:val="single" w:sz="4" w:space="0" w:color="auto"/>
            </w:tcBorders>
            <w:shd w:val="clear" w:color="auto" w:fill="auto"/>
            <w:noWrap/>
            <w:hideMark/>
          </w:tcPr>
          <w:p w14:paraId="48CA08F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0,0027</w:t>
            </w:r>
          </w:p>
        </w:tc>
        <w:tc>
          <w:tcPr>
            <w:tcW w:w="1134" w:type="dxa"/>
            <w:tcBorders>
              <w:top w:val="nil"/>
              <w:left w:val="nil"/>
              <w:bottom w:val="single" w:sz="4" w:space="0" w:color="auto"/>
              <w:right w:val="single" w:sz="4" w:space="0" w:color="auto"/>
            </w:tcBorders>
            <w:shd w:val="clear" w:color="000000" w:fill="C6E0B4"/>
            <w:noWrap/>
            <w:hideMark/>
          </w:tcPr>
          <w:p w14:paraId="09C7E2A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732.234</w:t>
            </w:r>
          </w:p>
        </w:tc>
        <w:tc>
          <w:tcPr>
            <w:tcW w:w="992" w:type="dxa"/>
            <w:tcBorders>
              <w:top w:val="nil"/>
              <w:left w:val="nil"/>
              <w:bottom w:val="single" w:sz="4" w:space="0" w:color="auto"/>
              <w:right w:val="single" w:sz="4" w:space="0" w:color="auto"/>
            </w:tcBorders>
            <w:shd w:val="clear" w:color="auto" w:fill="auto"/>
            <w:noWrap/>
            <w:hideMark/>
          </w:tcPr>
          <w:p w14:paraId="544FCEA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716.731</w:t>
            </w:r>
          </w:p>
        </w:tc>
        <w:tc>
          <w:tcPr>
            <w:tcW w:w="567" w:type="dxa"/>
            <w:tcBorders>
              <w:top w:val="nil"/>
              <w:left w:val="nil"/>
              <w:bottom w:val="single" w:sz="4" w:space="0" w:color="auto"/>
              <w:right w:val="single" w:sz="4" w:space="0" w:color="auto"/>
            </w:tcBorders>
            <w:shd w:val="clear" w:color="auto" w:fill="auto"/>
            <w:noWrap/>
            <w:hideMark/>
          </w:tcPr>
          <w:p w14:paraId="14B6D0C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102,16</w:t>
            </w:r>
          </w:p>
        </w:tc>
        <w:tc>
          <w:tcPr>
            <w:tcW w:w="850" w:type="dxa"/>
            <w:tcBorders>
              <w:top w:val="nil"/>
              <w:left w:val="nil"/>
              <w:bottom w:val="single" w:sz="4" w:space="0" w:color="auto"/>
              <w:right w:val="single" w:sz="4" w:space="0" w:color="auto"/>
            </w:tcBorders>
            <w:shd w:val="clear" w:color="auto" w:fill="auto"/>
            <w:noWrap/>
            <w:hideMark/>
          </w:tcPr>
          <w:p w14:paraId="4474376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659.011</w:t>
            </w:r>
          </w:p>
        </w:tc>
        <w:tc>
          <w:tcPr>
            <w:tcW w:w="709" w:type="dxa"/>
            <w:tcBorders>
              <w:top w:val="nil"/>
              <w:left w:val="nil"/>
              <w:bottom w:val="single" w:sz="4" w:space="0" w:color="auto"/>
              <w:right w:val="single" w:sz="8" w:space="0" w:color="auto"/>
            </w:tcBorders>
            <w:shd w:val="clear" w:color="auto" w:fill="auto"/>
            <w:noWrap/>
            <w:hideMark/>
          </w:tcPr>
          <w:p w14:paraId="397E9E2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73.223</w:t>
            </w:r>
          </w:p>
        </w:tc>
        <w:tc>
          <w:tcPr>
            <w:tcW w:w="851" w:type="dxa"/>
            <w:tcBorders>
              <w:top w:val="nil"/>
              <w:left w:val="single" w:sz="4" w:space="0" w:color="auto"/>
              <w:bottom w:val="single" w:sz="4" w:space="0" w:color="auto"/>
              <w:right w:val="single" w:sz="4" w:space="0" w:color="auto"/>
            </w:tcBorders>
            <w:shd w:val="clear" w:color="auto" w:fill="auto"/>
            <w:noWrap/>
            <w:hideMark/>
          </w:tcPr>
          <w:p w14:paraId="4986CE75" w14:textId="623C519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44.214</w:t>
            </w:r>
          </w:p>
        </w:tc>
      </w:tr>
      <w:tr w:rsidR="005C332D" w:rsidRPr="003F6E51" w14:paraId="30F7547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B16143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93</w:t>
            </w:r>
          </w:p>
        </w:tc>
        <w:tc>
          <w:tcPr>
            <w:tcW w:w="2213" w:type="dxa"/>
            <w:tcBorders>
              <w:top w:val="nil"/>
              <w:left w:val="single" w:sz="8" w:space="0" w:color="auto"/>
              <w:bottom w:val="single" w:sz="4" w:space="0" w:color="auto"/>
              <w:right w:val="single" w:sz="8" w:space="0" w:color="auto"/>
            </w:tcBorders>
            <w:shd w:val="clear" w:color="auto" w:fill="auto"/>
            <w:noWrap/>
            <w:hideMark/>
          </w:tcPr>
          <w:p w14:paraId="49122160"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ČOKA</w:t>
            </w:r>
          </w:p>
        </w:tc>
        <w:tc>
          <w:tcPr>
            <w:tcW w:w="850" w:type="dxa"/>
            <w:tcBorders>
              <w:top w:val="nil"/>
              <w:left w:val="nil"/>
              <w:bottom w:val="single" w:sz="4" w:space="0" w:color="auto"/>
              <w:right w:val="single" w:sz="4" w:space="0" w:color="auto"/>
            </w:tcBorders>
            <w:shd w:val="clear" w:color="000000" w:fill="FFFFFF"/>
            <w:noWrap/>
            <w:hideMark/>
          </w:tcPr>
          <w:p w14:paraId="57973DE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10030</w:t>
            </w:r>
          </w:p>
        </w:tc>
        <w:tc>
          <w:tcPr>
            <w:tcW w:w="709" w:type="dxa"/>
            <w:tcBorders>
              <w:top w:val="nil"/>
              <w:left w:val="nil"/>
              <w:bottom w:val="single" w:sz="4" w:space="0" w:color="auto"/>
              <w:right w:val="single" w:sz="8" w:space="0" w:color="auto"/>
            </w:tcBorders>
            <w:shd w:val="clear" w:color="000000" w:fill="FFFFFF"/>
            <w:noWrap/>
            <w:hideMark/>
          </w:tcPr>
          <w:p w14:paraId="602EEBE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031D227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321</w:t>
            </w:r>
          </w:p>
        </w:tc>
        <w:tc>
          <w:tcPr>
            <w:tcW w:w="709" w:type="dxa"/>
            <w:tcBorders>
              <w:top w:val="nil"/>
              <w:left w:val="nil"/>
              <w:bottom w:val="single" w:sz="4" w:space="0" w:color="auto"/>
              <w:right w:val="single" w:sz="8" w:space="0" w:color="auto"/>
            </w:tcBorders>
            <w:shd w:val="clear" w:color="000000" w:fill="FFFFFF"/>
            <w:noWrap/>
            <w:hideMark/>
          </w:tcPr>
          <w:p w14:paraId="0FBEDF8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0,60</w:t>
            </w:r>
          </w:p>
        </w:tc>
        <w:tc>
          <w:tcPr>
            <w:tcW w:w="850" w:type="dxa"/>
            <w:tcBorders>
              <w:top w:val="nil"/>
              <w:left w:val="nil"/>
              <w:bottom w:val="single" w:sz="4" w:space="0" w:color="auto"/>
              <w:right w:val="single" w:sz="4" w:space="0" w:color="auto"/>
            </w:tcBorders>
            <w:shd w:val="clear" w:color="000000" w:fill="FFFFFF"/>
            <w:noWrap/>
            <w:hideMark/>
          </w:tcPr>
          <w:p w14:paraId="28922AC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A7F81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88BDC1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886328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F4DEB7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63,46</w:t>
            </w:r>
          </w:p>
        </w:tc>
        <w:tc>
          <w:tcPr>
            <w:tcW w:w="851" w:type="dxa"/>
            <w:tcBorders>
              <w:top w:val="nil"/>
              <w:left w:val="nil"/>
              <w:bottom w:val="single" w:sz="4" w:space="0" w:color="auto"/>
              <w:right w:val="single" w:sz="4" w:space="0" w:color="auto"/>
            </w:tcBorders>
            <w:shd w:val="clear" w:color="auto" w:fill="auto"/>
            <w:noWrap/>
            <w:hideMark/>
          </w:tcPr>
          <w:p w14:paraId="0B4E2BF1"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0,0047</w:t>
            </w:r>
          </w:p>
        </w:tc>
        <w:tc>
          <w:tcPr>
            <w:tcW w:w="1134" w:type="dxa"/>
            <w:tcBorders>
              <w:top w:val="nil"/>
              <w:left w:val="nil"/>
              <w:bottom w:val="single" w:sz="4" w:space="0" w:color="auto"/>
              <w:right w:val="single" w:sz="4" w:space="0" w:color="auto"/>
            </w:tcBorders>
            <w:shd w:val="clear" w:color="000000" w:fill="C6E0B4"/>
            <w:noWrap/>
            <w:hideMark/>
          </w:tcPr>
          <w:p w14:paraId="50F8608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1.265.924</w:t>
            </w:r>
          </w:p>
        </w:tc>
        <w:tc>
          <w:tcPr>
            <w:tcW w:w="992" w:type="dxa"/>
            <w:tcBorders>
              <w:top w:val="nil"/>
              <w:left w:val="nil"/>
              <w:bottom w:val="single" w:sz="4" w:space="0" w:color="auto"/>
              <w:right w:val="single" w:sz="4" w:space="0" w:color="auto"/>
            </w:tcBorders>
            <w:shd w:val="clear" w:color="auto" w:fill="auto"/>
            <w:noWrap/>
            <w:hideMark/>
          </w:tcPr>
          <w:p w14:paraId="639B88F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535.103</w:t>
            </w:r>
          </w:p>
        </w:tc>
        <w:tc>
          <w:tcPr>
            <w:tcW w:w="567" w:type="dxa"/>
            <w:tcBorders>
              <w:top w:val="nil"/>
              <w:left w:val="nil"/>
              <w:bottom w:val="single" w:sz="4" w:space="0" w:color="auto"/>
              <w:right w:val="single" w:sz="4" w:space="0" w:color="auto"/>
            </w:tcBorders>
            <w:shd w:val="clear" w:color="auto" w:fill="auto"/>
            <w:noWrap/>
            <w:hideMark/>
          </w:tcPr>
          <w:p w14:paraId="60E30E0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236,58</w:t>
            </w:r>
          </w:p>
        </w:tc>
        <w:tc>
          <w:tcPr>
            <w:tcW w:w="850" w:type="dxa"/>
            <w:tcBorders>
              <w:top w:val="nil"/>
              <w:left w:val="nil"/>
              <w:bottom w:val="single" w:sz="4" w:space="0" w:color="auto"/>
              <w:right w:val="single" w:sz="4" w:space="0" w:color="auto"/>
            </w:tcBorders>
            <w:shd w:val="clear" w:color="auto" w:fill="auto"/>
            <w:noWrap/>
            <w:hideMark/>
          </w:tcPr>
          <w:p w14:paraId="019D09C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1.139.332</w:t>
            </w:r>
          </w:p>
        </w:tc>
        <w:tc>
          <w:tcPr>
            <w:tcW w:w="709" w:type="dxa"/>
            <w:tcBorders>
              <w:top w:val="nil"/>
              <w:left w:val="nil"/>
              <w:bottom w:val="single" w:sz="4" w:space="0" w:color="auto"/>
              <w:right w:val="single" w:sz="8" w:space="0" w:color="auto"/>
            </w:tcBorders>
            <w:shd w:val="clear" w:color="auto" w:fill="auto"/>
            <w:noWrap/>
            <w:hideMark/>
          </w:tcPr>
          <w:p w14:paraId="008C700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126.592</w:t>
            </w:r>
          </w:p>
        </w:tc>
        <w:tc>
          <w:tcPr>
            <w:tcW w:w="851" w:type="dxa"/>
            <w:tcBorders>
              <w:top w:val="nil"/>
              <w:left w:val="single" w:sz="4" w:space="0" w:color="auto"/>
              <w:bottom w:val="single" w:sz="4" w:space="0" w:color="auto"/>
              <w:right w:val="single" w:sz="4" w:space="0" w:color="auto"/>
            </w:tcBorders>
            <w:shd w:val="clear" w:color="auto" w:fill="auto"/>
            <w:noWrap/>
            <w:hideMark/>
          </w:tcPr>
          <w:p w14:paraId="26B2B5DB" w14:textId="410A9BC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113.592</w:t>
            </w:r>
          </w:p>
        </w:tc>
      </w:tr>
      <w:tr w:rsidR="005C332D" w:rsidRPr="003F6E51" w14:paraId="458C4A0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B6FD90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94</w:t>
            </w:r>
          </w:p>
        </w:tc>
        <w:tc>
          <w:tcPr>
            <w:tcW w:w="2213" w:type="dxa"/>
            <w:tcBorders>
              <w:top w:val="nil"/>
              <w:left w:val="single" w:sz="8" w:space="0" w:color="auto"/>
              <w:bottom w:val="single" w:sz="4" w:space="0" w:color="auto"/>
              <w:right w:val="single" w:sz="8" w:space="0" w:color="auto"/>
            </w:tcBorders>
            <w:shd w:val="clear" w:color="auto" w:fill="auto"/>
            <w:noWrap/>
            <w:hideMark/>
          </w:tcPr>
          <w:p w14:paraId="2CE6569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INĐIJA</w:t>
            </w:r>
          </w:p>
        </w:tc>
        <w:tc>
          <w:tcPr>
            <w:tcW w:w="850" w:type="dxa"/>
            <w:tcBorders>
              <w:top w:val="nil"/>
              <w:left w:val="nil"/>
              <w:bottom w:val="single" w:sz="4" w:space="0" w:color="auto"/>
              <w:right w:val="single" w:sz="4" w:space="0" w:color="auto"/>
            </w:tcBorders>
            <w:shd w:val="clear" w:color="000000" w:fill="FFFFFF"/>
            <w:noWrap/>
            <w:hideMark/>
          </w:tcPr>
          <w:p w14:paraId="1B94F46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45336</w:t>
            </w:r>
          </w:p>
        </w:tc>
        <w:tc>
          <w:tcPr>
            <w:tcW w:w="709" w:type="dxa"/>
            <w:tcBorders>
              <w:top w:val="nil"/>
              <w:left w:val="nil"/>
              <w:bottom w:val="single" w:sz="4" w:space="0" w:color="auto"/>
              <w:right w:val="single" w:sz="8" w:space="0" w:color="auto"/>
            </w:tcBorders>
            <w:shd w:val="clear" w:color="000000" w:fill="FFFFFF"/>
            <w:noWrap/>
            <w:hideMark/>
          </w:tcPr>
          <w:p w14:paraId="3C6FDF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0,95</w:t>
            </w:r>
          </w:p>
        </w:tc>
        <w:tc>
          <w:tcPr>
            <w:tcW w:w="567" w:type="dxa"/>
            <w:tcBorders>
              <w:top w:val="nil"/>
              <w:left w:val="nil"/>
              <w:bottom w:val="single" w:sz="4" w:space="0" w:color="auto"/>
              <w:right w:val="single" w:sz="4" w:space="0" w:color="auto"/>
            </w:tcBorders>
            <w:shd w:val="clear" w:color="000000" w:fill="FFFFFF"/>
            <w:noWrap/>
            <w:hideMark/>
          </w:tcPr>
          <w:p w14:paraId="2AD7708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385</w:t>
            </w:r>
          </w:p>
        </w:tc>
        <w:tc>
          <w:tcPr>
            <w:tcW w:w="709" w:type="dxa"/>
            <w:tcBorders>
              <w:top w:val="nil"/>
              <w:left w:val="nil"/>
              <w:bottom w:val="single" w:sz="4" w:space="0" w:color="auto"/>
              <w:right w:val="single" w:sz="8" w:space="0" w:color="auto"/>
            </w:tcBorders>
            <w:shd w:val="clear" w:color="000000" w:fill="FFFFFF"/>
            <w:noWrap/>
            <w:hideMark/>
          </w:tcPr>
          <w:p w14:paraId="2605709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0,72</w:t>
            </w:r>
          </w:p>
        </w:tc>
        <w:tc>
          <w:tcPr>
            <w:tcW w:w="850" w:type="dxa"/>
            <w:tcBorders>
              <w:top w:val="nil"/>
              <w:left w:val="nil"/>
              <w:bottom w:val="single" w:sz="4" w:space="0" w:color="auto"/>
              <w:right w:val="single" w:sz="4" w:space="0" w:color="auto"/>
            </w:tcBorders>
            <w:shd w:val="clear" w:color="000000" w:fill="FFFFFF"/>
            <w:noWrap/>
            <w:hideMark/>
          </w:tcPr>
          <w:p w14:paraId="39BE3B5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51F809B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3399B4C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2AB832F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778737C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79,76</w:t>
            </w:r>
          </w:p>
        </w:tc>
        <w:tc>
          <w:tcPr>
            <w:tcW w:w="851" w:type="dxa"/>
            <w:tcBorders>
              <w:top w:val="nil"/>
              <w:left w:val="nil"/>
              <w:bottom w:val="single" w:sz="4" w:space="0" w:color="auto"/>
              <w:right w:val="single" w:sz="4" w:space="0" w:color="auto"/>
            </w:tcBorders>
            <w:shd w:val="clear" w:color="auto" w:fill="auto"/>
            <w:noWrap/>
            <w:hideMark/>
          </w:tcPr>
          <w:p w14:paraId="1974445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0,0059</w:t>
            </w:r>
          </w:p>
        </w:tc>
        <w:tc>
          <w:tcPr>
            <w:tcW w:w="1134" w:type="dxa"/>
            <w:tcBorders>
              <w:top w:val="nil"/>
              <w:left w:val="nil"/>
              <w:bottom w:val="single" w:sz="4" w:space="0" w:color="auto"/>
              <w:right w:val="single" w:sz="4" w:space="0" w:color="auto"/>
            </w:tcBorders>
            <w:shd w:val="clear" w:color="000000" w:fill="C6E0B4"/>
            <w:noWrap/>
            <w:hideMark/>
          </w:tcPr>
          <w:p w14:paraId="1C6E45C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1.591.120</w:t>
            </w:r>
          </w:p>
        </w:tc>
        <w:tc>
          <w:tcPr>
            <w:tcW w:w="992" w:type="dxa"/>
            <w:tcBorders>
              <w:top w:val="nil"/>
              <w:left w:val="nil"/>
              <w:bottom w:val="single" w:sz="4" w:space="0" w:color="auto"/>
              <w:right w:val="single" w:sz="4" w:space="0" w:color="auto"/>
            </w:tcBorders>
            <w:shd w:val="clear" w:color="auto" w:fill="auto"/>
            <w:noWrap/>
            <w:hideMark/>
          </w:tcPr>
          <w:p w14:paraId="4D778F0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5.557.110</w:t>
            </w:r>
          </w:p>
        </w:tc>
        <w:tc>
          <w:tcPr>
            <w:tcW w:w="567" w:type="dxa"/>
            <w:tcBorders>
              <w:top w:val="nil"/>
              <w:left w:val="nil"/>
              <w:bottom w:val="single" w:sz="4" w:space="0" w:color="auto"/>
              <w:right w:val="single" w:sz="4" w:space="0" w:color="auto"/>
            </w:tcBorders>
            <w:shd w:val="clear" w:color="auto" w:fill="auto"/>
            <w:noWrap/>
            <w:hideMark/>
          </w:tcPr>
          <w:p w14:paraId="7EB7C28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28,63</w:t>
            </w:r>
          </w:p>
        </w:tc>
        <w:tc>
          <w:tcPr>
            <w:tcW w:w="850" w:type="dxa"/>
            <w:tcBorders>
              <w:top w:val="nil"/>
              <w:left w:val="nil"/>
              <w:bottom w:val="single" w:sz="4" w:space="0" w:color="auto"/>
              <w:right w:val="single" w:sz="4" w:space="0" w:color="auto"/>
            </w:tcBorders>
            <w:shd w:val="clear" w:color="auto" w:fill="auto"/>
            <w:noWrap/>
            <w:hideMark/>
          </w:tcPr>
          <w:p w14:paraId="6AAFC3C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1.432.008</w:t>
            </w:r>
          </w:p>
        </w:tc>
        <w:tc>
          <w:tcPr>
            <w:tcW w:w="709" w:type="dxa"/>
            <w:tcBorders>
              <w:top w:val="nil"/>
              <w:left w:val="nil"/>
              <w:bottom w:val="single" w:sz="4" w:space="0" w:color="auto"/>
              <w:right w:val="single" w:sz="8" w:space="0" w:color="auto"/>
            </w:tcBorders>
            <w:shd w:val="clear" w:color="auto" w:fill="auto"/>
            <w:noWrap/>
            <w:hideMark/>
          </w:tcPr>
          <w:p w14:paraId="73F7D08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159.112</w:t>
            </w:r>
          </w:p>
        </w:tc>
        <w:tc>
          <w:tcPr>
            <w:tcW w:w="851" w:type="dxa"/>
            <w:tcBorders>
              <w:top w:val="nil"/>
              <w:left w:val="single" w:sz="4" w:space="0" w:color="auto"/>
              <w:bottom w:val="single" w:sz="4" w:space="0" w:color="auto"/>
              <w:right w:val="single" w:sz="4" w:space="0" w:color="auto"/>
            </w:tcBorders>
            <w:shd w:val="clear" w:color="auto" w:fill="auto"/>
            <w:noWrap/>
            <w:hideMark/>
          </w:tcPr>
          <w:p w14:paraId="05090187" w14:textId="4F05E58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31.587</w:t>
            </w:r>
          </w:p>
        </w:tc>
      </w:tr>
      <w:tr w:rsidR="005C332D" w:rsidRPr="003F6E51" w14:paraId="735BAC6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200819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95</w:t>
            </w:r>
          </w:p>
        </w:tc>
        <w:tc>
          <w:tcPr>
            <w:tcW w:w="2213" w:type="dxa"/>
            <w:tcBorders>
              <w:top w:val="nil"/>
              <w:left w:val="single" w:sz="8" w:space="0" w:color="auto"/>
              <w:bottom w:val="single" w:sz="4" w:space="0" w:color="auto"/>
              <w:right w:val="single" w:sz="8" w:space="0" w:color="auto"/>
            </w:tcBorders>
            <w:shd w:val="clear" w:color="auto" w:fill="auto"/>
            <w:noWrap/>
            <w:hideMark/>
          </w:tcPr>
          <w:p w14:paraId="5877C37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IRIG</w:t>
            </w:r>
          </w:p>
        </w:tc>
        <w:tc>
          <w:tcPr>
            <w:tcW w:w="850" w:type="dxa"/>
            <w:tcBorders>
              <w:top w:val="nil"/>
              <w:left w:val="nil"/>
              <w:bottom w:val="single" w:sz="4" w:space="0" w:color="auto"/>
              <w:right w:val="single" w:sz="4" w:space="0" w:color="auto"/>
            </w:tcBorders>
            <w:shd w:val="clear" w:color="000000" w:fill="FFFFFF"/>
            <w:noWrap/>
            <w:hideMark/>
          </w:tcPr>
          <w:p w14:paraId="0593592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9806</w:t>
            </w:r>
          </w:p>
        </w:tc>
        <w:tc>
          <w:tcPr>
            <w:tcW w:w="709" w:type="dxa"/>
            <w:tcBorders>
              <w:top w:val="nil"/>
              <w:left w:val="nil"/>
              <w:bottom w:val="single" w:sz="4" w:space="0" w:color="auto"/>
              <w:right w:val="single" w:sz="8" w:space="0" w:color="auto"/>
            </w:tcBorders>
            <w:shd w:val="clear" w:color="000000" w:fill="FFFFFF"/>
            <w:noWrap/>
            <w:hideMark/>
          </w:tcPr>
          <w:p w14:paraId="00CFA5E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391C510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230</w:t>
            </w:r>
          </w:p>
        </w:tc>
        <w:tc>
          <w:tcPr>
            <w:tcW w:w="709" w:type="dxa"/>
            <w:tcBorders>
              <w:top w:val="nil"/>
              <w:left w:val="nil"/>
              <w:bottom w:val="single" w:sz="4" w:space="0" w:color="auto"/>
              <w:right w:val="single" w:sz="8" w:space="0" w:color="auto"/>
            </w:tcBorders>
            <w:shd w:val="clear" w:color="000000" w:fill="FFFFFF"/>
            <w:noWrap/>
            <w:hideMark/>
          </w:tcPr>
          <w:p w14:paraId="0E5C752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0,43</w:t>
            </w:r>
          </w:p>
        </w:tc>
        <w:tc>
          <w:tcPr>
            <w:tcW w:w="850" w:type="dxa"/>
            <w:tcBorders>
              <w:top w:val="nil"/>
              <w:left w:val="nil"/>
              <w:bottom w:val="single" w:sz="4" w:space="0" w:color="auto"/>
              <w:right w:val="single" w:sz="4" w:space="0" w:color="auto"/>
            </w:tcBorders>
            <w:shd w:val="clear" w:color="000000" w:fill="FFFFFF"/>
            <w:noWrap/>
            <w:hideMark/>
          </w:tcPr>
          <w:p w14:paraId="0C06F35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1B153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AD67C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616E7E4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6EFC0A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58,35</w:t>
            </w:r>
          </w:p>
        </w:tc>
        <w:tc>
          <w:tcPr>
            <w:tcW w:w="851" w:type="dxa"/>
            <w:tcBorders>
              <w:top w:val="nil"/>
              <w:left w:val="nil"/>
              <w:bottom w:val="single" w:sz="4" w:space="0" w:color="auto"/>
              <w:right w:val="single" w:sz="4" w:space="0" w:color="auto"/>
            </w:tcBorders>
            <w:shd w:val="clear" w:color="auto" w:fill="auto"/>
            <w:noWrap/>
            <w:hideMark/>
          </w:tcPr>
          <w:p w14:paraId="16BF9BA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0,0043</w:t>
            </w:r>
          </w:p>
        </w:tc>
        <w:tc>
          <w:tcPr>
            <w:tcW w:w="1134" w:type="dxa"/>
            <w:tcBorders>
              <w:top w:val="nil"/>
              <w:left w:val="nil"/>
              <w:bottom w:val="single" w:sz="4" w:space="0" w:color="auto"/>
              <w:right w:val="single" w:sz="4" w:space="0" w:color="auto"/>
            </w:tcBorders>
            <w:shd w:val="clear" w:color="000000" w:fill="C6E0B4"/>
            <w:noWrap/>
            <w:hideMark/>
          </w:tcPr>
          <w:p w14:paraId="4FC3BB6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1.164.057</w:t>
            </w:r>
          </w:p>
        </w:tc>
        <w:tc>
          <w:tcPr>
            <w:tcW w:w="992" w:type="dxa"/>
            <w:tcBorders>
              <w:top w:val="nil"/>
              <w:left w:val="nil"/>
              <w:bottom w:val="single" w:sz="4" w:space="0" w:color="auto"/>
              <w:right w:val="single" w:sz="4" w:space="0" w:color="auto"/>
            </w:tcBorders>
            <w:shd w:val="clear" w:color="auto" w:fill="auto"/>
            <w:noWrap/>
            <w:hideMark/>
          </w:tcPr>
          <w:p w14:paraId="22F90E7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1.570.588</w:t>
            </w:r>
          </w:p>
        </w:tc>
        <w:tc>
          <w:tcPr>
            <w:tcW w:w="567" w:type="dxa"/>
            <w:tcBorders>
              <w:top w:val="nil"/>
              <w:left w:val="nil"/>
              <w:bottom w:val="single" w:sz="4" w:space="0" w:color="auto"/>
              <w:right w:val="single" w:sz="4" w:space="0" w:color="auto"/>
            </w:tcBorders>
            <w:shd w:val="clear" w:color="auto" w:fill="auto"/>
            <w:noWrap/>
            <w:hideMark/>
          </w:tcPr>
          <w:p w14:paraId="47AC15D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74,12</w:t>
            </w:r>
          </w:p>
        </w:tc>
        <w:tc>
          <w:tcPr>
            <w:tcW w:w="850" w:type="dxa"/>
            <w:tcBorders>
              <w:top w:val="nil"/>
              <w:left w:val="nil"/>
              <w:bottom w:val="single" w:sz="4" w:space="0" w:color="auto"/>
              <w:right w:val="single" w:sz="4" w:space="0" w:color="auto"/>
            </w:tcBorders>
            <w:shd w:val="clear" w:color="auto" w:fill="auto"/>
            <w:noWrap/>
            <w:hideMark/>
          </w:tcPr>
          <w:p w14:paraId="2FCDA3B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1.047.651</w:t>
            </w:r>
          </w:p>
        </w:tc>
        <w:tc>
          <w:tcPr>
            <w:tcW w:w="709" w:type="dxa"/>
            <w:tcBorders>
              <w:top w:val="nil"/>
              <w:left w:val="nil"/>
              <w:bottom w:val="single" w:sz="4" w:space="0" w:color="auto"/>
              <w:right w:val="single" w:sz="8" w:space="0" w:color="auto"/>
            </w:tcBorders>
            <w:shd w:val="clear" w:color="auto" w:fill="auto"/>
            <w:noWrap/>
            <w:hideMark/>
          </w:tcPr>
          <w:p w14:paraId="7F0E13B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116.406</w:t>
            </w:r>
          </w:p>
        </w:tc>
        <w:tc>
          <w:tcPr>
            <w:tcW w:w="851" w:type="dxa"/>
            <w:tcBorders>
              <w:top w:val="nil"/>
              <w:left w:val="single" w:sz="4" w:space="0" w:color="auto"/>
              <w:bottom w:val="single" w:sz="4" w:space="0" w:color="auto"/>
              <w:right w:val="single" w:sz="4" w:space="0" w:color="auto"/>
            </w:tcBorders>
            <w:shd w:val="clear" w:color="auto" w:fill="auto"/>
            <w:noWrap/>
            <w:hideMark/>
          </w:tcPr>
          <w:p w14:paraId="5A185AAE" w14:textId="19034FA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106.838</w:t>
            </w:r>
          </w:p>
        </w:tc>
      </w:tr>
      <w:tr w:rsidR="005C332D" w:rsidRPr="003F6E51" w14:paraId="4DEAE4B3"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EF1306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96</w:t>
            </w:r>
          </w:p>
        </w:tc>
        <w:tc>
          <w:tcPr>
            <w:tcW w:w="2213" w:type="dxa"/>
            <w:tcBorders>
              <w:top w:val="nil"/>
              <w:left w:val="single" w:sz="8" w:space="0" w:color="auto"/>
              <w:bottom w:val="single" w:sz="4" w:space="0" w:color="auto"/>
              <w:right w:val="single" w:sz="8" w:space="0" w:color="auto"/>
            </w:tcBorders>
            <w:shd w:val="clear" w:color="auto" w:fill="auto"/>
            <w:noWrap/>
            <w:hideMark/>
          </w:tcPr>
          <w:p w14:paraId="25D9A79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KANJIŽA</w:t>
            </w:r>
          </w:p>
        </w:tc>
        <w:tc>
          <w:tcPr>
            <w:tcW w:w="850" w:type="dxa"/>
            <w:tcBorders>
              <w:top w:val="nil"/>
              <w:left w:val="nil"/>
              <w:bottom w:val="single" w:sz="4" w:space="0" w:color="auto"/>
              <w:right w:val="single" w:sz="4" w:space="0" w:color="auto"/>
            </w:tcBorders>
            <w:shd w:val="clear" w:color="000000" w:fill="FFFFFF"/>
            <w:noWrap/>
            <w:hideMark/>
          </w:tcPr>
          <w:p w14:paraId="2A0042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23369</w:t>
            </w:r>
          </w:p>
        </w:tc>
        <w:tc>
          <w:tcPr>
            <w:tcW w:w="709" w:type="dxa"/>
            <w:tcBorders>
              <w:top w:val="nil"/>
              <w:left w:val="nil"/>
              <w:bottom w:val="single" w:sz="4" w:space="0" w:color="auto"/>
              <w:right w:val="single" w:sz="8" w:space="0" w:color="auto"/>
            </w:tcBorders>
            <w:shd w:val="clear" w:color="000000" w:fill="FFFFFF"/>
            <w:noWrap/>
            <w:hideMark/>
          </w:tcPr>
          <w:p w14:paraId="671522F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567" w:type="dxa"/>
            <w:tcBorders>
              <w:top w:val="nil"/>
              <w:left w:val="nil"/>
              <w:bottom w:val="single" w:sz="4" w:space="0" w:color="auto"/>
              <w:right w:val="single" w:sz="4" w:space="0" w:color="auto"/>
            </w:tcBorders>
            <w:shd w:val="clear" w:color="000000" w:fill="FFFFFF"/>
            <w:noWrap/>
            <w:hideMark/>
          </w:tcPr>
          <w:p w14:paraId="30EC45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399</w:t>
            </w:r>
          </w:p>
        </w:tc>
        <w:tc>
          <w:tcPr>
            <w:tcW w:w="709" w:type="dxa"/>
            <w:tcBorders>
              <w:top w:val="nil"/>
              <w:left w:val="nil"/>
              <w:bottom w:val="single" w:sz="4" w:space="0" w:color="auto"/>
              <w:right w:val="single" w:sz="8" w:space="0" w:color="auto"/>
            </w:tcBorders>
            <w:shd w:val="clear" w:color="000000" w:fill="FFFFFF"/>
            <w:noWrap/>
            <w:hideMark/>
          </w:tcPr>
          <w:p w14:paraId="732EBC0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0,75</w:t>
            </w:r>
          </w:p>
        </w:tc>
        <w:tc>
          <w:tcPr>
            <w:tcW w:w="850" w:type="dxa"/>
            <w:tcBorders>
              <w:top w:val="nil"/>
              <w:left w:val="nil"/>
              <w:bottom w:val="single" w:sz="4" w:space="0" w:color="auto"/>
              <w:right w:val="single" w:sz="4" w:space="0" w:color="auto"/>
            </w:tcBorders>
            <w:shd w:val="clear" w:color="000000" w:fill="FFFFFF"/>
            <w:noWrap/>
            <w:hideMark/>
          </w:tcPr>
          <w:p w14:paraId="62EF78C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17F98B9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5B6DE2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19CC14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5AF01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52,98</w:t>
            </w:r>
          </w:p>
        </w:tc>
        <w:tc>
          <w:tcPr>
            <w:tcW w:w="851" w:type="dxa"/>
            <w:tcBorders>
              <w:top w:val="nil"/>
              <w:left w:val="nil"/>
              <w:bottom w:val="single" w:sz="4" w:space="0" w:color="auto"/>
              <w:right w:val="single" w:sz="4" w:space="0" w:color="auto"/>
            </w:tcBorders>
            <w:shd w:val="clear" w:color="auto" w:fill="auto"/>
            <w:noWrap/>
            <w:hideMark/>
          </w:tcPr>
          <w:p w14:paraId="75E1327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0,0039</w:t>
            </w:r>
          </w:p>
        </w:tc>
        <w:tc>
          <w:tcPr>
            <w:tcW w:w="1134" w:type="dxa"/>
            <w:tcBorders>
              <w:top w:val="nil"/>
              <w:left w:val="nil"/>
              <w:bottom w:val="single" w:sz="4" w:space="0" w:color="auto"/>
              <w:right w:val="single" w:sz="4" w:space="0" w:color="auto"/>
            </w:tcBorders>
            <w:shd w:val="clear" w:color="000000" w:fill="C6E0B4"/>
            <w:noWrap/>
            <w:hideMark/>
          </w:tcPr>
          <w:p w14:paraId="5B5A5539"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1.056.817</w:t>
            </w:r>
          </w:p>
        </w:tc>
        <w:tc>
          <w:tcPr>
            <w:tcW w:w="992" w:type="dxa"/>
            <w:tcBorders>
              <w:top w:val="nil"/>
              <w:left w:val="nil"/>
              <w:bottom w:val="single" w:sz="4" w:space="0" w:color="auto"/>
              <w:right w:val="single" w:sz="4" w:space="0" w:color="auto"/>
            </w:tcBorders>
            <w:shd w:val="clear" w:color="auto" w:fill="auto"/>
            <w:noWrap/>
            <w:hideMark/>
          </w:tcPr>
          <w:p w14:paraId="338462E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1.271.438</w:t>
            </w:r>
          </w:p>
        </w:tc>
        <w:tc>
          <w:tcPr>
            <w:tcW w:w="567" w:type="dxa"/>
            <w:tcBorders>
              <w:top w:val="nil"/>
              <w:left w:val="nil"/>
              <w:bottom w:val="single" w:sz="4" w:space="0" w:color="auto"/>
              <w:right w:val="single" w:sz="4" w:space="0" w:color="auto"/>
            </w:tcBorders>
            <w:shd w:val="clear" w:color="auto" w:fill="auto"/>
            <w:noWrap/>
            <w:hideMark/>
          </w:tcPr>
          <w:p w14:paraId="78D3AAD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83,12</w:t>
            </w:r>
          </w:p>
        </w:tc>
        <w:tc>
          <w:tcPr>
            <w:tcW w:w="850" w:type="dxa"/>
            <w:tcBorders>
              <w:top w:val="nil"/>
              <w:left w:val="nil"/>
              <w:bottom w:val="single" w:sz="4" w:space="0" w:color="auto"/>
              <w:right w:val="single" w:sz="4" w:space="0" w:color="auto"/>
            </w:tcBorders>
            <w:shd w:val="clear" w:color="auto" w:fill="auto"/>
            <w:noWrap/>
            <w:hideMark/>
          </w:tcPr>
          <w:p w14:paraId="6B4DA8E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951.136</w:t>
            </w:r>
          </w:p>
        </w:tc>
        <w:tc>
          <w:tcPr>
            <w:tcW w:w="709" w:type="dxa"/>
            <w:tcBorders>
              <w:top w:val="nil"/>
              <w:left w:val="nil"/>
              <w:bottom w:val="single" w:sz="4" w:space="0" w:color="auto"/>
              <w:right w:val="single" w:sz="8" w:space="0" w:color="auto"/>
            </w:tcBorders>
            <w:shd w:val="clear" w:color="auto" w:fill="auto"/>
            <w:noWrap/>
            <w:hideMark/>
          </w:tcPr>
          <w:p w14:paraId="1D56C6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105.682</w:t>
            </w:r>
          </w:p>
        </w:tc>
        <w:tc>
          <w:tcPr>
            <w:tcW w:w="851" w:type="dxa"/>
            <w:tcBorders>
              <w:top w:val="nil"/>
              <w:left w:val="single" w:sz="4" w:space="0" w:color="auto"/>
              <w:bottom w:val="single" w:sz="4" w:space="0" w:color="auto"/>
              <w:right w:val="single" w:sz="4" w:space="0" w:color="auto"/>
            </w:tcBorders>
            <w:shd w:val="clear" w:color="auto" w:fill="auto"/>
            <w:noWrap/>
            <w:hideMark/>
          </w:tcPr>
          <w:p w14:paraId="25191297" w14:textId="2F13F40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40.701</w:t>
            </w:r>
          </w:p>
        </w:tc>
      </w:tr>
      <w:tr w:rsidR="005C332D" w:rsidRPr="003F6E51" w14:paraId="397514E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754898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97</w:t>
            </w:r>
          </w:p>
        </w:tc>
        <w:tc>
          <w:tcPr>
            <w:tcW w:w="2213" w:type="dxa"/>
            <w:tcBorders>
              <w:top w:val="nil"/>
              <w:left w:val="single" w:sz="8" w:space="0" w:color="auto"/>
              <w:bottom w:val="single" w:sz="4" w:space="0" w:color="auto"/>
              <w:right w:val="single" w:sz="8" w:space="0" w:color="auto"/>
            </w:tcBorders>
            <w:shd w:val="clear" w:color="auto" w:fill="auto"/>
            <w:noWrap/>
            <w:hideMark/>
          </w:tcPr>
          <w:p w14:paraId="112E075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KOVAČICA</w:t>
            </w:r>
          </w:p>
        </w:tc>
        <w:tc>
          <w:tcPr>
            <w:tcW w:w="850" w:type="dxa"/>
            <w:tcBorders>
              <w:top w:val="nil"/>
              <w:left w:val="nil"/>
              <w:bottom w:val="single" w:sz="4" w:space="0" w:color="auto"/>
              <w:right w:val="single" w:sz="4" w:space="0" w:color="auto"/>
            </w:tcBorders>
            <w:shd w:val="clear" w:color="000000" w:fill="FFFFFF"/>
            <w:noWrap/>
            <w:hideMark/>
          </w:tcPr>
          <w:p w14:paraId="2DDB9C7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23489</w:t>
            </w:r>
          </w:p>
        </w:tc>
        <w:tc>
          <w:tcPr>
            <w:tcW w:w="709" w:type="dxa"/>
            <w:tcBorders>
              <w:top w:val="nil"/>
              <w:left w:val="nil"/>
              <w:bottom w:val="single" w:sz="4" w:space="0" w:color="auto"/>
              <w:right w:val="single" w:sz="8" w:space="0" w:color="auto"/>
            </w:tcBorders>
            <w:shd w:val="clear" w:color="000000" w:fill="FFFFFF"/>
            <w:noWrap/>
            <w:hideMark/>
          </w:tcPr>
          <w:p w14:paraId="5D0F87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567" w:type="dxa"/>
            <w:tcBorders>
              <w:top w:val="nil"/>
              <w:left w:val="nil"/>
              <w:bottom w:val="single" w:sz="4" w:space="0" w:color="auto"/>
              <w:right w:val="single" w:sz="4" w:space="0" w:color="auto"/>
            </w:tcBorders>
            <w:shd w:val="clear" w:color="000000" w:fill="FFFFFF"/>
            <w:noWrap/>
            <w:hideMark/>
          </w:tcPr>
          <w:p w14:paraId="37CC6C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419</w:t>
            </w:r>
          </w:p>
        </w:tc>
        <w:tc>
          <w:tcPr>
            <w:tcW w:w="709" w:type="dxa"/>
            <w:tcBorders>
              <w:top w:val="nil"/>
              <w:left w:val="nil"/>
              <w:bottom w:val="single" w:sz="4" w:space="0" w:color="auto"/>
              <w:right w:val="single" w:sz="8" w:space="0" w:color="auto"/>
            </w:tcBorders>
            <w:shd w:val="clear" w:color="000000" w:fill="FFFFFF"/>
            <w:noWrap/>
            <w:hideMark/>
          </w:tcPr>
          <w:p w14:paraId="38749BA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0,78</w:t>
            </w:r>
          </w:p>
        </w:tc>
        <w:tc>
          <w:tcPr>
            <w:tcW w:w="850" w:type="dxa"/>
            <w:tcBorders>
              <w:top w:val="nil"/>
              <w:left w:val="nil"/>
              <w:bottom w:val="single" w:sz="4" w:space="0" w:color="auto"/>
              <w:right w:val="single" w:sz="4" w:space="0" w:color="auto"/>
            </w:tcBorders>
            <w:shd w:val="clear" w:color="000000" w:fill="FFFFFF"/>
            <w:noWrap/>
            <w:hideMark/>
          </w:tcPr>
          <w:p w14:paraId="6C850FD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47BD9CB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031409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C87B83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DB3349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77,94</w:t>
            </w:r>
          </w:p>
        </w:tc>
        <w:tc>
          <w:tcPr>
            <w:tcW w:w="851" w:type="dxa"/>
            <w:tcBorders>
              <w:top w:val="nil"/>
              <w:left w:val="nil"/>
              <w:bottom w:val="single" w:sz="4" w:space="0" w:color="auto"/>
              <w:right w:val="single" w:sz="4" w:space="0" w:color="auto"/>
            </w:tcBorders>
            <w:shd w:val="clear" w:color="auto" w:fill="auto"/>
            <w:noWrap/>
            <w:hideMark/>
          </w:tcPr>
          <w:p w14:paraId="6EF5E63D"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6A8E9A6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1.554.760</w:t>
            </w:r>
          </w:p>
        </w:tc>
        <w:tc>
          <w:tcPr>
            <w:tcW w:w="992" w:type="dxa"/>
            <w:tcBorders>
              <w:top w:val="nil"/>
              <w:left w:val="nil"/>
              <w:bottom w:val="single" w:sz="4" w:space="0" w:color="auto"/>
              <w:right w:val="single" w:sz="4" w:space="0" w:color="auto"/>
            </w:tcBorders>
            <w:shd w:val="clear" w:color="auto" w:fill="auto"/>
            <w:noWrap/>
            <w:hideMark/>
          </w:tcPr>
          <w:p w14:paraId="7BC594E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1.359.459</w:t>
            </w:r>
          </w:p>
        </w:tc>
        <w:tc>
          <w:tcPr>
            <w:tcW w:w="567" w:type="dxa"/>
            <w:tcBorders>
              <w:top w:val="nil"/>
              <w:left w:val="nil"/>
              <w:bottom w:val="single" w:sz="4" w:space="0" w:color="auto"/>
              <w:right w:val="single" w:sz="4" w:space="0" w:color="auto"/>
            </w:tcBorders>
            <w:shd w:val="clear" w:color="auto" w:fill="auto"/>
            <w:noWrap/>
            <w:hideMark/>
          </w:tcPr>
          <w:p w14:paraId="65EEC3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114,37</w:t>
            </w:r>
          </w:p>
        </w:tc>
        <w:tc>
          <w:tcPr>
            <w:tcW w:w="850" w:type="dxa"/>
            <w:tcBorders>
              <w:top w:val="nil"/>
              <w:left w:val="nil"/>
              <w:bottom w:val="single" w:sz="4" w:space="0" w:color="auto"/>
              <w:right w:val="single" w:sz="4" w:space="0" w:color="auto"/>
            </w:tcBorders>
            <w:shd w:val="clear" w:color="auto" w:fill="auto"/>
            <w:noWrap/>
            <w:hideMark/>
          </w:tcPr>
          <w:p w14:paraId="13D8886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1.399.284</w:t>
            </w:r>
          </w:p>
        </w:tc>
        <w:tc>
          <w:tcPr>
            <w:tcW w:w="709" w:type="dxa"/>
            <w:tcBorders>
              <w:top w:val="nil"/>
              <w:left w:val="nil"/>
              <w:bottom w:val="single" w:sz="4" w:space="0" w:color="auto"/>
              <w:right w:val="single" w:sz="8" w:space="0" w:color="auto"/>
            </w:tcBorders>
            <w:shd w:val="clear" w:color="auto" w:fill="auto"/>
            <w:noWrap/>
            <w:hideMark/>
          </w:tcPr>
          <w:p w14:paraId="74F671B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155.476</w:t>
            </w:r>
          </w:p>
        </w:tc>
        <w:tc>
          <w:tcPr>
            <w:tcW w:w="851" w:type="dxa"/>
            <w:tcBorders>
              <w:top w:val="nil"/>
              <w:left w:val="single" w:sz="4" w:space="0" w:color="auto"/>
              <w:bottom w:val="single" w:sz="4" w:space="0" w:color="auto"/>
              <w:right w:val="single" w:sz="4" w:space="0" w:color="auto"/>
            </w:tcBorders>
            <w:shd w:val="clear" w:color="auto" w:fill="auto"/>
            <w:noWrap/>
            <w:hideMark/>
          </w:tcPr>
          <w:p w14:paraId="2D769669" w14:textId="2B850D5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59.572</w:t>
            </w:r>
          </w:p>
        </w:tc>
      </w:tr>
      <w:tr w:rsidR="005C332D" w:rsidRPr="003F6E51" w14:paraId="6067E8E1"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BAEFAA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98</w:t>
            </w:r>
          </w:p>
        </w:tc>
        <w:tc>
          <w:tcPr>
            <w:tcW w:w="2213" w:type="dxa"/>
            <w:tcBorders>
              <w:top w:val="nil"/>
              <w:left w:val="single" w:sz="8" w:space="0" w:color="auto"/>
              <w:bottom w:val="single" w:sz="4" w:space="0" w:color="auto"/>
              <w:right w:val="single" w:sz="8" w:space="0" w:color="auto"/>
            </w:tcBorders>
            <w:shd w:val="clear" w:color="auto" w:fill="auto"/>
            <w:noWrap/>
            <w:hideMark/>
          </w:tcPr>
          <w:p w14:paraId="62D3406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KOVIN</w:t>
            </w:r>
          </w:p>
        </w:tc>
        <w:tc>
          <w:tcPr>
            <w:tcW w:w="850" w:type="dxa"/>
            <w:tcBorders>
              <w:top w:val="nil"/>
              <w:left w:val="nil"/>
              <w:bottom w:val="single" w:sz="4" w:space="0" w:color="auto"/>
              <w:right w:val="single" w:sz="4" w:space="0" w:color="auto"/>
            </w:tcBorders>
            <w:shd w:val="clear" w:color="000000" w:fill="FFFFFF"/>
            <w:noWrap/>
            <w:hideMark/>
          </w:tcPr>
          <w:p w14:paraId="5D5B41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30852</w:t>
            </w:r>
          </w:p>
        </w:tc>
        <w:tc>
          <w:tcPr>
            <w:tcW w:w="709" w:type="dxa"/>
            <w:tcBorders>
              <w:top w:val="nil"/>
              <w:left w:val="nil"/>
              <w:bottom w:val="single" w:sz="4" w:space="0" w:color="auto"/>
              <w:right w:val="single" w:sz="8" w:space="0" w:color="auto"/>
            </w:tcBorders>
            <w:shd w:val="clear" w:color="000000" w:fill="FFFFFF"/>
            <w:noWrap/>
            <w:hideMark/>
          </w:tcPr>
          <w:p w14:paraId="10FE1BD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0,65</w:t>
            </w:r>
          </w:p>
        </w:tc>
        <w:tc>
          <w:tcPr>
            <w:tcW w:w="567" w:type="dxa"/>
            <w:tcBorders>
              <w:top w:val="nil"/>
              <w:left w:val="nil"/>
              <w:bottom w:val="single" w:sz="4" w:space="0" w:color="auto"/>
              <w:right w:val="single" w:sz="4" w:space="0" w:color="auto"/>
            </w:tcBorders>
            <w:shd w:val="clear" w:color="000000" w:fill="FFFFFF"/>
            <w:noWrap/>
            <w:hideMark/>
          </w:tcPr>
          <w:p w14:paraId="7F7FA82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730</w:t>
            </w:r>
          </w:p>
        </w:tc>
        <w:tc>
          <w:tcPr>
            <w:tcW w:w="709" w:type="dxa"/>
            <w:tcBorders>
              <w:top w:val="nil"/>
              <w:left w:val="nil"/>
              <w:bottom w:val="single" w:sz="4" w:space="0" w:color="auto"/>
              <w:right w:val="single" w:sz="8" w:space="0" w:color="auto"/>
            </w:tcBorders>
            <w:shd w:val="clear" w:color="000000" w:fill="FFFFFF"/>
            <w:noWrap/>
            <w:hideMark/>
          </w:tcPr>
          <w:p w14:paraId="5F63BD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1,36</w:t>
            </w:r>
          </w:p>
        </w:tc>
        <w:tc>
          <w:tcPr>
            <w:tcW w:w="850" w:type="dxa"/>
            <w:tcBorders>
              <w:top w:val="nil"/>
              <w:left w:val="nil"/>
              <w:bottom w:val="single" w:sz="4" w:space="0" w:color="auto"/>
              <w:right w:val="single" w:sz="4" w:space="0" w:color="auto"/>
            </w:tcBorders>
            <w:shd w:val="clear" w:color="000000" w:fill="FFFFFF"/>
            <w:noWrap/>
            <w:hideMark/>
          </w:tcPr>
          <w:p w14:paraId="1071B03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4829B5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18EB65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6AF52D8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AE131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97,88</w:t>
            </w:r>
          </w:p>
        </w:tc>
        <w:tc>
          <w:tcPr>
            <w:tcW w:w="851" w:type="dxa"/>
            <w:tcBorders>
              <w:top w:val="nil"/>
              <w:left w:val="nil"/>
              <w:bottom w:val="single" w:sz="4" w:space="0" w:color="auto"/>
              <w:right w:val="single" w:sz="4" w:space="0" w:color="auto"/>
            </w:tcBorders>
            <w:shd w:val="clear" w:color="auto" w:fill="auto"/>
            <w:noWrap/>
            <w:hideMark/>
          </w:tcPr>
          <w:p w14:paraId="0C41169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0,0072</w:t>
            </w:r>
          </w:p>
        </w:tc>
        <w:tc>
          <w:tcPr>
            <w:tcW w:w="1134" w:type="dxa"/>
            <w:tcBorders>
              <w:top w:val="nil"/>
              <w:left w:val="nil"/>
              <w:bottom w:val="single" w:sz="4" w:space="0" w:color="auto"/>
              <w:right w:val="single" w:sz="4" w:space="0" w:color="auto"/>
            </w:tcBorders>
            <w:shd w:val="clear" w:color="000000" w:fill="C6E0B4"/>
            <w:noWrap/>
            <w:hideMark/>
          </w:tcPr>
          <w:p w14:paraId="380C556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1.952.660</w:t>
            </w:r>
          </w:p>
        </w:tc>
        <w:tc>
          <w:tcPr>
            <w:tcW w:w="992" w:type="dxa"/>
            <w:tcBorders>
              <w:top w:val="nil"/>
              <w:left w:val="nil"/>
              <w:bottom w:val="single" w:sz="4" w:space="0" w:color="auto"/>
              <w:right w:val="single" w:sz="4" w:space="0" w:color="auto"/>
            </w:tcBorders>
            <w:shd w:val="clear" w:color="auto" w:fill="auto"/>
            <w:noWrap/>
            <w:hideMark/>
          </w:tcPr>
          <w:p w14:paraId="4C35333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1.910.308</w:t>
            </w:r>
          </w:p>
        </w:tc>
        <w:tc>
          <w:tcPr>
            <w:tcW w:w="567" w:type="dxa"/>
            <w:tcBorders>
              <w:top w:val="nil"/>
              <w:left w:val="nil"/>
              <w:bottom w:val="single" w:sz="4" w:space="0" w:color="auto"/>
              <w:right w:val="single" w:sz="4" w:space="0" w:color="auto"/>
            </w:tcBorders>
            <w:shd w:val="clear" w:color="auto" w:fill="auto"/>
            <w:noWrap/>
            <w:hideMark/>
          </w:tcPr>
          <w:p w14:paraId="2FFBE82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102,22</w:t>
            </w:r>
          </w:p>
        </w:tc>
        <w:tc>
          <w:tcPr>
            <w:tcW w:w="850" w:type="dxa"/>
            <w:tcBorders>
              <w:top w:val="nil"/>
              <w:left w:val="nil"/>
              <w:bottom w:val="single" w:sz="4" w:space="0" w:color="auto"/>
              <w:right w:val="single" w:sz="4" w:space="0" w:color="auto"/>
            </w:tcBorders>
            <w:shd w:val="clear" w:color="auto" w:fill="auto"/>
            <w:noWrap/>
            <w:hideMark/>
          </w:tcPr>
          <w:p w14:paraId="6E05179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1.757.394</w:t>
            </w:r>
          </w:p>
        </w:tc>
        <w:tc>
          <w:tcPr>
            <w:tcW w:w="709" w:type="dxa"/>
            <w:tcBorders>
              <w:top w:val="nil"/>
              <w:left w:val="nil"/>
              <w:bottom w:val="single" w:sz="4" w:space="0" w:color="auto"/>
              <w:right w:val="single" w:sz="8" w:space="0" w:color="auto"/>
            </w:tcBorders>
            <w:shd w:val="clear" w:color="auto" w:fill="auto"/>
            <w:noWrap/>
            <w:hideMark/>
          </w:tcPr>
          <w:p w14:paraId="5466373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195.266</w:t>
            </w:r>
          </w:p>
        </w:tc>
        <w:tc>
          <w:tcPr>
            <w:tcW w:w="851" w:type="dxa"/>
            <w:tcBorders>
              <w:top w:val="nil"/>
              <w:left w:val="single" w:sz="4" w:space="0" w:color="auto"/>
              <w:bottom w:val="single" w:sz="4" w:space="0" w:color="auto"/>
              <w:right w:val="single" w:sz="4" w:space="0" w:color="auto"/>
            </w:tcBorders>
            <w:shd w:val="clear" w:color="auto" w:fill="auto"/>
            <w:noWrap/>
            <w:hideMark/>
          </w:tcPr>
          <w:p w14:paraId="706150DC" w14:textId="2A5D1B1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56.962</w:t>
            </w:r>
          </w:p>
        </w:tc>
      </w:tr>
      <w:tr w:rsidR="005C332D" w:rsidRPr="003F6E51" w14:paraId="33EB6B6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D5DDB3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99</w:t>
            </w:r>
          </w:p>
        </w:tc>
        <w:tc>
          <w:tcPr>
            <w:tcW w:w="2213" w:type="dxa"/>
            <w:tcBorders>
              <w:top w:val="nil"/>
              <w:left w:val="single" w:sz="8" w:space="0" w:color="auto"/>
              <w:bottom w:val="single" w:sz="4" w:space="0" w:color="auto"/>
              <w:right w:val="single" w:sz="8" w:space="0" w:color="auto"/>
            </w:tcBorders>
            <w:shd w:val="clear" w:color="auto" w:fill="auto"/>
            <w:noWrap/>
            <w:hideMark/>
          </w:tcPr>
          <w:p w14:paraId="64B0119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KULA</w:t>
            </w:r>
          </w:p>
        </w:tc>
        <w:tc>
          <w:tcPr>
            <w:tcW w:w="850" w:type="dxa"/>
            <w:tcBorders>
              <w:top w:val="nil"/>
              <w:left w:val="nil"/>
              <w:bottom w:val="single" w:sz="4" w:space="0" w:color="auto"/>
              <w:right w:val="single" w:sz="4" w:space="0" w:color="auto"/>
            </w:tcBorders>
            <w:shd w:val="clear" w:color="000000" w:fill="FFFFFF"/>
            <w:noWrap/>
            <w:hideMark/>
          </w:tcPr>
          <w:p w14:paraId="519FBF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38630</w:t>
            </w:r>
          </w:p>
        </w:tc>
        <w:tc>
          <w:tcPr>
            <w:tcW w:w="709" w:type="dxa"/>
            <w:tcBorders>
              <w:top w:val="nil"/>
              <w:left w:val="nil"/>
              <w:bottom w:val="single" w:sz="4" w:space="0" w:color="auto"/>
              <w:right w:val="single" w:sz="8" w:space="0" w:color="auto"/>
            </w:tcBorders>
            <w:shd w:val="clear" w:color="000000" w:fill="FFFFFF"/>
            <w:noWrap/>
            <w:hideMark/>
          </w:tcPr>
          <w:p w14:paraId="7888FF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0,81</w:t>
            </w:r>
          </w:p>
        </w:tc>
        <w:tc>
          <w:tcPr>
            <w:tcW w:w="567" w:type="dxa"/>
            <w:tcBorders>
              <w:top w:val="nil"/>
              <w:left w:val="nil"/>
              <w:bottom w:val="single" w:sz="4" w:space="0" w:color="auto"/>
              <w:right w:val="single" w:sz="4" w:space="0" w:color="auto"/>
            </w:tcBorders>
            <w:shd w:val="clear" w:color="000000" w:fill="FFFFFF"/>
            <w:noWrap/>
            <w:hideMark/>
          </w:tcPr>
          <w:p w14:paraId="3ACFFE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481</w:t>
            </w:r>
          </w:p>
        </w:tc>
        <w:tc>
          <w:tcPr>
            <w:tcW w:w="709" w:type="dxa"/>
            <w:tcBorders>
              <w:top w:val="nil"/>
              <w:left w:val="nil"/>
              <w:bottom w:val="single" w:sz="4" w:space="0" w:color="auto"/>
              <w:right w:val="single" w:sz="8" w:space="0" w:color="auto"/>
            </w:tcBorders>
            <w:shd w:val="clear" w:color="000000" w:fill="FFFFFF"/>
            <w:noWrap/>
            <w:hideMark/>
          </w:tcPr>
          <w:p w14:paraId="5868D30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850" w:type="dxa"/>
            <w:tcBorders>
              <w:top w:val="nil"/>
              <w:left w:val="nil"/>
              <w:bottom w:val="single" w:sz="4" w:space="0" w:color="auto"/>
              <w:right w:val="single" w:sz="4" w:space="0" w:color="auto"/>
            </w:tcBorders>
            <w:shd w:val="clear" w:color="000000" w:fill="FFFFFF"/>
            <w:noWrap/>
            <w:hideMark/>
          </w:tcPr>
          <w:p w14:paraId="4874EAF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866F8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31618A4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601DB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058ED9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79,66</w:t>
            </w:r>
          </w:p>
        </w:tc>
        <w:tc>
          <w:tcPr>
            <w:tcW w:w="851" w:type="dxa"/>
            <w:tcBorders>
              <w:top w:val="nil"/>
              <w:left w:val="nil"/>
              <w:bottom w:val="single" w:sz="4" w:space="0" w:color="auto"/>
              <w:right w:val="single" w:sz="4" w:space="0" w:color="auto"/>
            </w:tcBorders>
            <w:shd w:val="clear" w:color="auto" w:fill="auto"/>
            <w:noWrap/>
            <w:hideMark/>
          </w:tcPr>
          <w:p w14:paraId="3E9F3EE0"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0,0059</w:t>
            </w:r>
          </w:p>
        </w:tc>
        <w:tc>
          <w:tcPr>
            <w:tcW w:w="1134" w:type="dxa"/>
            <w:tcBorders>
              <w:top w:val="nil"/>
              <w:left w:val="nil"/>
              <w:bottom w:val="single" w:sz="4" w:space="0" w:color="auto"/>
              <w:right w:val="single" w:sz="4" w:space="0" w:color="auto"/>
            </w:tcBorders>
            <w:shd w:val="clear" w:color="000000" w:fill="C6E0B4"/>
            <w:noWrap/>
            <w:hideMark/>
          </w:tcPr>
          <w:p w14:paraId="7E3BF7B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1.589.071</w:t>
            </w:r>
          </w:p>
        </w:tc>
        <w:tc>
          <w:tcPr>
            <w:tcW w:w="992" w:type="dxa"/>
            <w:tcBorders>
              <w:top w:val="nil"/>
              <w:left w:val="nil"/>
              <w:bottom w:val="single" w:sz="4" w:space="0" w:color="auto"/>
              <w:right w:val="single" w:sz="4" w:space="0" w:color="auto"/>
            </w:tcBorders>
            <w:shd w:val="clear" w:color="auto" w:fill="auto"/>
            <w:noWrap/>
            <w:hideMark/>
          </w:tcPr>
          <w:p w14:paraId="5D9BB16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3.043.953</w:t>
            </w:r>
          </w:p>
        </w:tc>
        <w:tc>
          <w:tcPr>
            <w:tcW w:w="567" w:type="dxa"/>
            <w:tcBorders>
              <w:top w:val="nil"/>
              <w:left w:val="nil"/>
              <w:bottom w:val="single" w:sz="4" w:space="0" w:color="auto"/>
              <w:right w:val="single" w:sz="4" w:space="0" w:color="auto"/>
            </w:tcBorders>
            <w:shd w:val="clear" w:color="auto" w:fill="auto"/>
            <w:noWrap/>
            <w:hideMark/>
          </w:tcPr>
          <w:p w14:paraId="38F1889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52,20</w:t>
            </w:r>
          </w:p>
        </w:tc>
        <w:tc>
          <w:tcPr>
            <w:tcW w:w="850" w:type="dxa"/>
            <w:tcBorders>
              <w:top w:val="nil"/>
              <w:left w:val="nil"/>
              <w:bottom w:val="single" w:sz="4" w:space="0" w:color="auto"/>
              <w:right w:val="single" w:sz="4" w:space="0" w:color="auto"/>
            </w:tcBorders>
            <w:shd w:val="clear" w:color="auto" w:fill="auto"/>
            <w:noWrap/>
            <w:hideMark/>
          </w:tcPr>
          <w:p w14:paraId="25130B3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1.430.164</w:t>
            </w:r>
          </w:p>
        </w:tc>
        <w:tc>
          <w:tcPr>
            <w:tcW w:w="709" w:type="dxa"/>
            <w:tcBorders>
              <w:top w:val="nil"/>
              <w:left w:val="nil"/>
              <w:bottom w:val="single" w:sz="4" w:space="0" w:color="auto"/>
              <w:right w:val="single" w:sz="8" w:space="0" w:color="auto"/>
            </w:tcBorders>
            <w:shd w:val="clear" w:color="auto" w:fill="auto"/>
            <w:noWrap/>
            <w:hideMark/>
          </w:tcPr>
          <w:p w14:paraId="66A0F89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158.907</w:t>
            </w:r>
          </w:p>
        </w:tc>
        <w:tc>
          <w:tcPr>
            <w:tcW w:w="851" w:type="dxa"/>
            <w:tcBorders>
              <w:top w:val="nil"/>
              <w:left w:val="single" w:sz="4" w:space="0" w:color="auto"/>
              <w:bottom w:val="single" w:sz="4" w:space="0" w:color="auto"/>
              <w:right w:val="single" w:sz="4" w:space="0" w:color="auto"/>
            </w:tcBorders>
            <w:shd w:val="clear" w:color="auto" w:fill="auto"/>
            <w:noWrap/>
            <w:hideMark/>
          </w:tcPr>
          <w:p w14:paraId="486DB5FC" w14:textId="50E6324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37.022</w:t>
            </w:r>
          </w:p>
        </w:tc>
      </w:tr>
      <w:tr w:rsidR="005C332D" w:rsidRPr="003F6E51" w14:paraId="5A4BC88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6984F72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w:t>
            </w:r>
          </w:p>
        </w:tc>
        <w:tc>
          <w:tcPr>
            <w:tcW w:w="2213" w:type="dxa"/>
            <w:tcBorders>
              <w:top w:val="nil"/>
              <w:left w:val="single" w:sz="8" w:space="0" w:color="auto"/>
              <w:bottom w:val="single" w:sz="4" w:space="0" w:color="auto"/>
              <w:right w:val="single" w:sz="8" w:space="0" w:color="auto"/>
            </w:tcBorders>
            <w:shd w:val="clear" w:color="auto" w:fill="auto"/>
            <w:noWrap/>
            <w:hideMark/>
          </w:tcPr>
          <w:p w14:paraId="2D09B895"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MALI IĐOŠ</w:t>
            </w:r>
          </w:p>
        </w:tc>
        <w:tc>
          <w:tcPr>
            <w:tcW w:w="850" w:type="dxa"/>
            <w:tcBorders>
              <w:top w:val="nil"/>
              <w:left w:val="nil"/>
              <w:bottom w:val="single" w:sz="4" w:space="0" w:color="auto"/>
              <w:right w:val="single" w:sz="4" w:space="0" w:color="auto"/>
            </w:tcBorders>
            <w:shd w:val="clear" w:color="000000" w:fill="FFFFFF"/>
            <w:noWrap/>
            <w:hideMark/>
          </w:tcPr>
          <w:p w14:paraId="68FAEED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11087</w:t>
            </w:r>
          </w:p>
        </w:tc>
        <w:tc>
          <w:tcPr>
            <w:tcW w:w="709" w:type="dxa"/>
            <w:tcBorders>
              <w:top w:val="nil"/>
              <w:left w:val="nil"/>
              <w:bottom w:val="single" w:sz="4" w:space="0" w:color="auto"/>
              <w:right w:val="single" w:sz="8" w:space="0" w:color="auto"/>
            </w:tcBorders>
            <w:shd w:val="clear" w:color="000000" w:fill="FFFFFF"/>
            <w:noWrap/>
            <w:hideMark/>
          </w:tcPr>
          <w:p w14:paraId="7DA894B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0,23</w:t>
            </w:r>
          </w:p>
        </w:tc>
        <w:tc>
          <w:tcPr>
            <w:tcW w:w="567" w:type="dxa"/>
            <w:tcBorders>
              <w:top w:val="nil"/>
              <w:left w:val="nil"/>
              <w:bottom w:val="single" w:sz="4" w:space="0" w:color="auto"/>
              <w:right w:val="single" w:sz="4" w:space="0" w:color="auto"/>
            </w:tcBorders>
            <w:shd w:val="clear" w:color="000000" w:fill="FFFFFF"/>
            <w:noWrap/>
            <w:hideMark/>
          </w:tcPr>
          <w:p w14:paraId="475E846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181</w:t>
            </w:r>
          </w:p>
        </w:tc>
        <w:tc>
          <w:tcPr>
            <w:tcW w:w="709" w:type="dxa"/>
            <w:tcBorders>
              <w:top w:val="nil"/>
              <w:left w:val="nil"/>
              <w:bottom w:val="single" w:sz="4" w:space="0" w:color="auto"/>
              <w:right w:val="single" w:sz="8" w:space="0" w:color="auto"/>
            </w:tcBorders>
            <w:shd w:val="clear" w:color="000000" w:fill="FFFFFF"/>
            <w:noWrap/>
            <w:hideMark/>
          </w:tcPr>
          <w:p w14:paraId="10094AC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850" w:type="dxa"/>
            <w:tcBorders>
              <w:top w:val="nil"/>
              <w:left w:val="nil"/>
              <w:bottom w:val="single" w:sz="4" w:space="0" w:color="auto"/>
              <w:right w:val="single" w:sz="4" w:space="0" w:color="auto"/>
            </w:tcBorders>
            <w:shd w:val="clear" w:color="000000" w:fill="FFFFFF"/>
            <w:noWrap/>
            <w:hideMark/>
          </w:tcPr>
          <w:p w14:paraId="4F87012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943D98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AFC2D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773798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740965D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57,35</w:t>
            </w:r>
          </w:p>
        </w:tc>
        <w:tc>
          <w:tcPr>
            <w:tcW w:w="851" w:type="dxa"/>
            <w:tcBorders>
              <w:top w:val="nil"/>
              <w:left w:val="nil"/>
              <w:bottom w:val="single" w:sz="4" w:space="0" w:color="auto"/>
              <w:right w:val="single" w:sz="4" w:space="0" w:color="auto"/>
            </w:tcBorders>
            <w:shd w:val="clear" w:color="auto" w:fill="auto"/>
            <w:noWrap/>
            <w:hideMark/>
          </w:tcPr>
          <w:p w14:paraId="2795AFDF"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0,0042</w:t>
            </w:r>
          </w:p>
        </w:tc>
        <w:tc>
          <w:tcPr>
            <w:tcW w:w="1134" w:type="dxa"/>
            <w:tcBorders>
              <w:top w:val="nil"/>
              <w:left w:val="nil"/>
              <w:bottom w:val="single" w:sz="4" w:space="0" w:color="auto"/>
              <w:right w:val="single" w:sz="4" w:space="0" w:color="auto"/>
            </w:tcBorders>
            <w:shd w:val="clear" w:color="000000" w:fill="C6E0B4"/>
            <w:noWrap/>
            <w:hideMark/>
          </w:tcPr>
          <w:p w14:paraId="3488B6BC"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1.144.070</w:t>
            </w:r>
          </w:p>
        </w:tc>
        <w:tc>
          <w:tcPr>
            <w:tcW w:w="992" w:type="dxa"/>
            <w:tcBorders>
              <w:top w:val="nil"/>
              <w:left w:val="nil"/>
              <w:bottom w:val="single" w:sz="4" w:space="0" w:color="auto"/>
              <w:right w:val="single" w:sz="4" w:space="0" w:color="auto"/>
            </w:tcBorders>
            <w:shd w:val="clear" w:color="auto" w:fill="auto"/>
            <w:noWrap/>
            <w:hideMark/>
          </w:tcPr>
          <w:p w14:paraId="7BD7110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1.053.460</w:t>
            </w:r>
          </w:p>
        </w:tc>
        <w:tc>
          <w:tcPr>
            <w:tcW w:w="567" w:type="dxa"/>
            <w:tcBorders>
              <w:top w:val="nil"/>
              <w:left w:val="nil"/>
              <w:bottom w:val="single" w:sz="4" w:space="0" w:color="auto"/>
              <w:right w:val="single" w:sz="4" w:space="0" w:color="auto"/>
            </w:tcBorders>
            <w:shd w:val="clear" w:color="auto" w:fill="auto"/>
            <w:noWrap/>
            <w:hideMark/>
          </w:tcPr>
          <w:p w14:paraId="04B5255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108,60</w:t>
            </w:r>
          </w:p>
        </w:tc>
        <w:tc>
          <w:tcPr>
            <w:tcW w:w="850" w:type="dxa"/>
            <w:tcBorders>
              <w:top w:val="nil"/>
              <w:left w:val="nil"/>
              <w:bottom w:val="single" w:sz="4" w:space="0" w:color="auto"/>
              <w:right w:val="single" w:sz="4" w:space="0" w:color="auto"/>
            </w:tcBorders>
            <w:shd w:val="clear" w:color="auto" w:fill="auto"/>
            <w:noWrap/>
            <w:hideMark/>
          </w:tcPr>
          <w:p w14:paraId="3467495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1.029.663</w:t>
            </w:r>
          </w:p>
        </w:tc>
        <w:tc>
          <w:tcPr>
            <w:tcW w:w="709" w:type="dxa"/>
            <w:tcBorders>
              <w:top w:val="nil"/>
              <w:left w:val="nil"/>
              <w:bottom w:val="single" w:sz="4" w:space="0" w:color="auto"/>
              <w:right w:val="single" w:sz="8" w:space="0" w:color="auto"/>
            </w:tcBorders>
            <w:shd w:val="clear" w:color="auto" w:fill="auto"/>
            <w:noWrap/>
            <w:hideMark/>
          </w:tcPr>
          <w:p w14:paraId="7974447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114.407</w:t>
            </w:r>
          </w:p>
        </w:tc>
        <w:tc>
          <w:tcPr>
            <w:tcW w:w="851" w:type="dxa"/>
            <w:tcBorders>
              <w:top w:val="nil"/>
              <w:left w:val="single" w:sz="4" w:space="0" w:color="auto"/>
              <w:bottom w:val="single" w:sz="4" w:space="0" w:color="auto"/>
              <w:right w:val="single" w:sz="4" w:space="0" w:color="auto"/>
            </w:tcBorders>
            <w:shd w:val="clear" w:color="auto" w:fill="auto"/>
            <w:noWrap/>
            <w:hideMark/>
          </w:tcPr>
          <w:p w14:paraId="7C72C711" w14:textId="2A249D19"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92.871</w:t>
            </w:r>
          </w:p>
        </w:tc>
      </w:tr>
      <w:tr w:rsidR="005C332D" w:rsidRPr="003F6E51" w14:paraId="24483D7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8594F9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101</w:t>
            </w:r>
          </w:p>
        </w:tc>
        <w:tc>
          <w:tcPr>
            <w:tcW w:w="2213" w:type="dxa"/>
            <w:tcBorders>
              <w:top w:val="nil"/>
              <w:left w:val="single" w:sz="8" w:space="0" w:color="auto"/>
              <w:bottom w:val="single" w:sz="4" w:space="0" w:color="auto"/>
              <w:right w:val="single" w:sz="8" w:space="0" w:color="auto"/>
            </w:tcBorders>
            <w:shd w:val="clear" w:color="auto" w:fill="auto"/>
            <w:noWrap/>
            <w:hideMark/>
          </w:tcPr>
          <w:p w14:paraId="054F3E8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NOVA CRNJA</w:t>
            </w:r>
          </w:p>
        </w:tc>
        <w:tc>
          <w:tcPr>
            <w:tcW w:w="850" w:type="dxa"/>
            <w:tcBorders>
              <w:top w:val="nil"/>
              <w:left w:val="nil"/>
              <w:bottom w:val="single" w:sz="4" w:space="0" w:color="auto"/>
              <w:right w:val="single" w:sz="4" w:space="0" w:color="auto"/>
            </w:tcBorders>
            <w:shd w:val="clear" w:color="000000" w:fill="FFFFFF"/>
            <w:noWrap/>
            <w:hideMark/>
          </w:tcPr>
          <w:p w14:paraId="4C1F9A3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9033</w:t>
            </w:r>
          </w:p>
        </w:tc>
        <w:tc>
          <w:tcPr>
            <w:tcW w:w="709" w:type="dxa"/>
            <w:tcBorders>
              <w:top w:val="nil"/>
              <w:left w:val="nil"/>
              <w:bottom w:val="single" w:sz="4" w:space="0" w:color="auto"/>
              <w:right w:val="single" w:sz="8" w:space="0" w:color="auto"/>
            </w:tcBorders>
            <w:shd w:val="clear" w:color="000000" w:fill="FFFFFF"/>
            <w:noWrap/>
            <w:hideMark/>
          </w:tcPr>
          <w:p w14:paraId="736CE90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0,19</w:t>
            </w:r>
          </w:p>
        </w:tc>
        <w:tc>
          <w:tcPr>
            <w:tcW w:w="567" w:type="dxa"/>
            <w:tcBorders>
              <w:top w:val="nil"/>
              <w:left w:val="nil"/>
              <w:bottom w:val="single" w:sz="4" w:space="0" w:color="auto"/>
              <w:right w:val="single" w:sz="4" w:space="0" w:color="auto"/>
            </w:tcBorders>
            <w:shd w:val="clear" w:color="000000" w:fill="FFFFFF"/>
            <w:noWrap/>
            <w:hideMark/>
          </w:tcPr>
          <w:p w14:paraId="3434AD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273</w:t>
            </w:r>
          </w:p>
        </w:tc>
        <w:tc>
          <w:tcPr>
            <w:tcW w:w="709" w:type="dxa"/>
            <w:tcBorders>
              <w:top w:val="nil"/>
              <w:left w:val="nil"/>
              <w:bottom w:val="single" w:sz="4" w:space="0" w:color="auto"/>
              <w:right w:val="single" w:sz="8" w:space="0" w:color="auto"/>
            </w:tcBorders>
            <w:shd w:val="clear" w:color="000000" w:fill="FFFFFF"/>
            <w:noWrap/>
            <w:hideMark/>
          </w:tcPr>
          <w:p w14:paraId="63F8851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0,51</w:t>
            </w:r>
          </w:p>
        </w:tc>
        <w:tc>
          <w:tcPr>
            <w:tcW w:w="850" w:type="dxa"/>
            <w:tcBorders>
              <w:top w:val="nil"/>
              <w:left w:val="nil"/>
              <w:bottom w:val="single" w:sz="4" w:space="0" w:color="auto"/>
              <w:right w:val="single" w:sz="4" w:space="0" w:color="auto"/>
            </w:tcBorders>
            <w:shd w:val="clear" w:color="000000" w:fill="FFFFFF"/>
            <w:noWrap/>
            <w:hideMark/>
          </w:tcPr>
          <w:p w14:paraId="5017A89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6AC6B4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F9C26E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748D813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73A44E7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60,48</w:t>
            </w:r>
          </w:p>
        </w:tc>
        <w:tc>
          <w:tcPr>
            <w:tcW w:w="851" w:type="dxa"/>
            <w:tcBorders>
              <w:top w:val="nil"/>
              <w:left w:val="nil"/>
              <w:bottom w:val="single" w:sz="4" w:space="0" w:color="auto"/>
              <w:right w:val="single" w:sz="4" w:space="0" w:color="auto"/>
            </w:tcBorders>
            <w:shd w:val="clear" w:color="auto" w:fill="auto"/>
            <w:noWrap/>
            <w:hideMark/>
          </w:tcPr>
          <w:p w14:paraId="0162F96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0,0045</w:t>
            </w:r>
          </w:p>
        </w:tc>
        <w:tc>
          <w:tcPr>
            <w:tcW w:w="1134" w:type="dxa"/>
            <w:tcBorders>
              <w:top w:val="nil"/>
              <w:left w:val="nil"/>
              <w:bottom w:val="single" w:sz="4" w:space="0" w:color="auto"/>
              <w:right w:val="single" w:sz="4" w:space="0" w:color="auto"/>
            </w:tcBorders>
            <w:shd w:val="clear" w:color="000000" w:fill="C6E0B4"/>
            <w:noWrap/>
            <w:hideMark/>
          </w:tcPr>
          <w:p w14:paraId="4D05E97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1.206.558</w:t>
            </w:r>
          </w:p>
        </w:tc>
        <w:tc>
          <w:tcPr>
            <w:tcW w:w="992" w:type="dxa"/>
            <w:tcBorders>
              <w:top w:val="nil"/>
              <w:left w:val="nil"/>
              <w:bottom w:val="single" w:sz="4" w:space="0" w:color="auto"/>
              <w:right w:val="single" w:sz="4" w:space="0" w:color="auto"/>
            </w:tcBorders>
            <w:shd w:val="clear" w:color="auto" w:fill="auto"/>
            <w:noWrap/>
            <w:hideMark/>
          </w:tcPr>
          <w:p w14:paraId="76DA2AE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865.129</w:t>
            </w:r>
          </w:p>
        </w:tc>
        <w:tc>
          <w:tcPr>
            <w:tcW w:w="567" w:type="dxa"/>
            <w:tcBorders>
              <w:top w:val="nil"/>
              <w:left w:val="nil"/>
              <w:bottom w:val="single" w:sz="4" w:space="0" w:color="auto"/>
              <w:right w:val="single" w:sz="4" w:space="0" w:color="auto"/>
            </w:tcBorders>
            <w:shd w:val="clear" w:color="auto" w:fill="auto"/>
            <w:noWrap/>
            <w:hideMark/>
          </w:tcPr>
          <w:p w14:paraId="2AADFAA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139,47</w:t>
            </w:r>
          </w:p>
        </w:tc>
        <w:tc>
          <w:tcPr>
            <w:tcW w:w="850" w:type="dxa"/>
            <w:tcBorders>
              <w:top w:val="nil"/>
              <w:left w:val="nil"/>
              <w:bottom w:val="single" w:sz="4" w:space="0" w:color="auto"/>
              <w:right w:val="single" w:sz="4" w:space="0" w:color="auto"/>
            </w:tcBorders>
            <w:shd w:val="clear" w:color="auto" w:fill="auto"/>
            <w:noWrap/>
            <w:hideMark/>
          </w:tcPr>
          <w:p w14:paraId="6F768F3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1.085.902</w:t>
            </w:r>
          </w:p>
        </w:tc>
        <w:tc>
          <w:tcPr>
            <w:tcW w:w="709" w:type="dxa"/>
            <w:tcBorders>
              <w:top w:val="nil"/>
              <w:left w:val="nil"/>
              <w:bottom w:val="single" w:sz="4" w:space="0" w:color="auto"/>
              <w:right w:val="single" w:sz="8" w:space="0" w:color="auto"/>
            </w:tcBorders>
            <w:shd w:val="clear" w:color="auto" w:fill="auto"/>
            <w:noWrap/>
            <w:hideMark/>
          </w:tcPr>
          <w:p w14:paraId="326239E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120.656</w:t>
            </w:r>
          </w:p>
        </w:tc>
        <w:tc>
          <w:tcPr>
            <w:tcW w:w="851" w:type="dxa"/>
            <w:tcBorders>
              <w:top w:val="nil"/>
              <w:left w:val="single" w:sz="4" w:space="0" w:color="auto"/>
              <w:bottom w:val="single" w:sz="4" w:space="0" w:color="auto"/>
              <w:right w:val="single" w:sz="4" w:space="0" w:color="auto"/>
            </w:tcBorders>
            <w:shd w:val="clear" w:color="auto" w:fill="auto"/>
            <w:noWrap/>
            <w:hideMark/>
          </w:tcPr>
          <w:p w14:paraId="7D5440D6" w14:textId="2786D6E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120.215</w:t>
            </w:r>
          </w:p>
        </w:tc>
      </w:tr>
      <w:tr w:rsidR="005C332D" w:rsidRPr="003F6E51" w14:paraId="4375AAB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26BC5E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102</w:t>
            </w:r>
          </w:p>
        </w:tc>
        <w:tc>
          <w:tcPr>
            <w:tcW w:w="2213" w:type="dxa"/>
            <w:tcBorders>
              <w:top w:val="nil"/>
              <w:left w:val="single" w:sz="8" w:space="0" w:color="auto"/>
              <w:bottom w:val="single" w:sz="4" w:space="0" w:color="auto"/>
              <w:right w:val="single" w:sz="8" w:space="0" w:color="auto"/>
            </w:tcBorders>
            <w:shd w:val="clear" w:color="auto" w:fill="auto"/>
            <w:noWrap/>
            <w:hideMark/>
          </w:tcPr>
          <w:p w14:paraId="7B93A1B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NOVI BEČEJ</w:t>
            </w:r>
          </w:p>
        </w:tc>
        <w:tc>
          <w:tcPr>
            <w:tcW w:w="850" w:type="dxa"/>
            <w:tcBorders>
              <w:top w:val="nil"/>
              <w:left w:val="nil"/>
              <w:bottom w:val="single" w:sz="4" w:space="0" w:color="auto"/>
              <w:right w:val="single" w:sz="4" w:space="0" w:color="auto"/>
            </w:tcBorders>
            <w:shd w:val="clear" w:color="000000" w:fill="FFFFFF"/>
            <w:noWrap/>
            <w:hideMark/>
          </w:tcPr>
          <w:p w14:paraId="69B05DF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22139</w:t>
            </w:r>
          </w:p>
        </w:tc>
        <w:tc>
          <w:tcPr>
            <w:tcW w:w="709" w:type="dxa"/>
            <w:tcBorders>
              <w:top w:val="nil"/>
              <w:left w:val="nil"/>
              <w:bottom w:val="single" w:sz="4" w:space="0" w:color="auto"/>
              <w:right w:val="single" w:sz="8" w:space="0" w:color="auto"/>
            </w:tcBorders>
            <w:shd w:val="clear" w:color="000000" w:fill="FFFFFF"/>
            <w:noWrap/>
            <w:hideMark/>
          </w:tcPr>
          <w:p w14:paraId="2E11FE8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0,47</w:t>
            </w:r>
          </w:p>
        </w:tc>
        <w:tc>
          <w:tcPr>
            <w:tcW w:w="567" w:type="dxa"/>
            <w:tcBorders>
              <w:top w:val="nil"/>
              <w:left w:val="nil"/>
              <w:bottom w:val="single" w:sz="4" w:space="0" w:color="auto"/>
              <w:right w:val="single" w:sz="4" w:space="0" w:color="auto"/>
            </w:tcBorders>
            <w:shd w:val="clear" w:color="000000" w:fill="FFFFFF"/>
            <w:noWrap/>
            <w:hideMark/>
          </w:tcPr>
          <w:p w14:paraId="035EA8E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609</w:t>
            </w:r>
          </w:p>
        </w:tc>
        <w:tc>
          <w:tcPr>
            <w:tcW w:w="709" w:type="dxa"/>
            <w:tcBorders>
              <w:top w:val="nil"/>
              <w:left w:val="nil"/>
              <w:bottom w:val="single" w:sz="4" w:space="0" w:color="auto"/>
              <w:right w:val="single" w:sz="8" w:space="0" w:color="auto"/>
            </w:tcBorders>
            <w:shd w:val="clear" w:color="000000" w:fill="FFFFFF"/>
            <w:noWrap/>
            <w:hideMark/>
          </w:tcPr>
          <w:p w14:paraId="6181BB2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1,14</w:t>
            </w:r>
          </w:p>
        </w:tc>
        <w:tc>
          <w:tcPr>
            <w:tcW w:w="850" w:type="dxa"/>
            <w:tcBorders>
              <w:top w:val="nil"/>
              <w:left w:val="nil"/>
              <w:bottom w:val="single" w:sz="4" w:space="0" w:color="auto"/>
              <w:right w:val="single" w:sz="4" w:space="0" w:color="auto"/>
            </w:tcBorders>
            <w:shd w:val="clear" w:color="000000" w:fill="FFFFFF"/>
            <w:noWrap/>
            <w:hideMark/>
          </w:tcPr>
          <w:p w14:paraId="48F55A8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79DB5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483936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55E621D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78ACE91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85,82</w:t>
            </w:r>
          </w:p>
        </w:tc>
        <w:tc>
          <w:tcPr>
            <w:tcW w:w="851" w:type="dxa"/>
            <w:tcBorders>
              <w:top w:val="nil"/>
              <w:left w:val="nil"/>
              <w:bottom w:val="single" w:sz="4" w:space="0" w:color="auto"/>
              <w:right w:val="single" w:sz="4" w:space="0" w:color="auto"/>
            </w:tcBorders>
            <w:shd w:val="clear" w:color="auto" w:fill="auto"/>
            <w:noWrap/>
            <w:hideMark/>
          </w:tcPr>
          <w:p w14:paraId="1C778CE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0,0063</w:t>
            </w:r>
          </w:p>
        </w:tc>
        <w:tc>
          <w:tcPr>
            <w:tcW w:w="1134" w:type="dxa"/>
            <w:tcBorders>
              <w:top w:val="nil"/>
              <w:left w:val="nil"/>
              <w:bottom w:val="single" w:sz="4" w:space="0" w:color="auto"/>
              <w:right w:val="single" w:sz="4" w:space="0" w:color="auto"/>
            </w:tcBorders>
            <w:shd w:val="clear" w:color="000000" w:fill="C6E0B4"/>
            <w:noWrap/>
            <w:hideMark/>
          </w:tcPr>
          <w:p w14:paraId="3165102C"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1.712.031</w:t>
            </w:r>
          </w:p>
        </w:tc>
        <w:tc>
          <w:tcPr>
            <w:tcW w:w="992" w:type="dxa"/>
            <w:tcBorders>
              <w:top w:val="nil"/>
              <w:left w:val="nil"/>
              <w:bottom w:val="single" w:sz="4" w:space="0" w:color="auto"/>
              <w:right w:val="single" w:sz="4" w:space="0" w:color="auto"/>
            </w:tcBorders>
            <w:shd w:val="clear" w:color="auto" w:fill="auto"/>
            <w:noWrap/>
            <w:hideMark/>
          </w:tcPr>
          <w:p w14:paraId="0D2A3FC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1.644.616</w:t>
            </w:r>
          </w:p>
        </w:tc>
        <w:tc>
          <w:tcPr>
            <w:tcW w:w="567" w:type="dxa"/>
            <w:tcBorders>
              <w:top w:val="nil"/>
              <w:left w:val="nil"/>
              <w:bottom w:val="single" w:sz="4" w:space="0" w:color="auto"/>
              <w:right w:val="single" w:sz="4" w:space="0" w:color="auto"/>
            </w:tcBorders>
            <w:shd w:val="clear" w:color="auto" w:fill="auto"/>
            <w:noWrap/>
            <w:hideMark/>
          </w:tcPr>
          <w:p w14:paraId="28DE70D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104,10</w:t>
            </w:r>
          </w:p>
        </w:tc>
        <w:tc>
          <w:tcPr>
            <w:tcW w:w="850" w:type="dxa"/>
            <w:tcBorders>
              <w:top w:val="nil"/>
              <w:left w:val="nil"/>
              <w:bottom w:val="single" w:sz="4" w:space="0" w:color="auto"/>
              <w:right w:val="single" w:sz="4" w:space="0" w:color="auto"/>
            </w:tcBorders>
            <w:shd w:val="clear" w:color="auto" w:fill="auto"/>
            <w:noWrap/>
            <w:hideMark/>
          </w:tcPr>
          <w:p w14:paraId="789AD77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1.540.828</w:t>
            </w:r>
          </w:p>
        </w:tc>
        <w:tc>
          <w:tcPr>
            <w:tcW w:w="709" w:type="dxa"/>
            <w:tcBorders>
              <w:top w:val="nil"/>
              <w:left w:val="nil"/>
              <w:bottom w:val="single" w:sz="4" w:space="0" w:color="auto"/>
              <w:right w:val="single" w:sz="8" w:space="0" w:color="auto"/>
            </w:tcBorders>
            <w:shd w:val="clear" w:color="auto" w:fill="auto"/>
            <w:noWrap/>
            <w:hideMark/>
          </w:tcPr>
          <w:p w14:paraId="6749E73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171.203</w:t>
            </w:r>
          </w:p>
        </w:tc>
        <w:tc>
          <w:tcPr>
            <w:tcW w:w="851" w:type="dxa"/>
            <w:tcBorders>
              <w:top w:val="nil"/>
              <w:left w:val="single" w:sz="4" w:space="0" w:color="auto"/>
              <w:bottom w:val="single" w:sz="4" w:space="0" w:color="auto"/>
              <w:right w:val="single" w:sz="4" w:space="0" w:color="auto"/>
            </w:tcBorders>
            <w:shd w:val="clear" w:color="auto" w:fill="auto"/>
            <w:noWrap/>
            <w:hideMark/>
          </w:tcPr>
          <w:p w14:paraId="19393A13" w14:textId="7AEE6A0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69.598</w:t>
            </w:r>
          </w:p>
        </w:tc>
      </w:tr>
      <w:tr w:rsidR="005C332D" w:rsidRPr="003F6E51" w14:paraId="056C014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4240B9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2213" w:type="dxa"/>
            <w:tcBorders>
              <w:top w:val="nil"/>
              <w:left w:val="single" w:sz="8" w:space="0" w:color="auto"/>
              <w:bottom w:val="single" w:sz="4" w:space="0" w:color="auto"/>
              <w:right w:val="single" w:sz="8" w:space="0" w:color="auto"/>
            </w:tcBorders>
            <w:shd w:val="clear" w:color="auto" w:fill="auto"/>
            <w:noWrap/>
            <w:hideMark/>
          </w:tcPr>
          <w:p w14:paraId="45DCC3F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NOVI KNEŽEVAC</w:t>
            </w:r>
          </w:p>
        </w:tc>
        <w:tc>
          <w:tcPr>
            <w:tcW w:w="850" w:type="dxa"/>
            <w:tcBorders>
              <w:top w:val="nil"/>
              <w:left w:val="nil"/>
              <w:bottom w:val="single" w:sz="4" w:space="0" w:color="auto"/>
              <w:right w:val="single" w:sz="4" w:space="0" w:color="auto"/>
            </w:tcBorders>
            <w:shd w:val="clear" w:color="000000" w:fill="FFFFFF"/>
            <w:noWrap/>
            <w:hideMark/>
          </w:tcPr>
          <w:p w14:paraId="4157CCF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10089</w:t>
            </w:r>
          </w:p>
        </w:tc>
        <w:tc>
          <w:tcPr>
            <w:tcW w:w="709" w:type="dxa"/>
            <w:tcBorders>
              <w:top w:val="nil"/>
              <w:left w:val="nil"/>
              <w:bottom w:val="single" w:sz="4" w:space="0" w:color="auto"/>
              <w:right w:val="single" w:sz="8" w:space="0" w:color="auto"/>
            </w:tcBorders>
            <w:shd w:val="clear" w:color="000000" w:fill="FFFFFF"/>
            <w:noWrap/>
            <w:hideMark/>
          </w:tcPr>
          <w:p w14:paraId="605E72C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2265F05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305</w:t>
            </w:r>
          </w:p>
        </w:tc>
        <w:tc>
          <w:tcPr>
            <w:tcW w:w="709" w:type="dxa"/>
            <w:tcBorders>
              <w:top w:val="nil"/>
              <w:left w:val="nil"/>
              <w:bottom w:val="single" w:sz="4" w:space="0" w:color="auto"/>
              <w:right w:val="single" w:sz="8" w:space="0" w:color="auto"/>
            </w:tcBorders>
            <w:shd w:val="clear" w:color="000000" w:fill="FFFFFF"/>
            <w:noWrap/>
            <w:hideMark/>
          </w:tcPr>
          <w:p w14:paraId="3BC3293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0,57</w:t>
            </w:r>
          </w:p>
        </w:tc>
        <w:tc>
          <w:tcPr>
            <w:tcW w:w="850" w:type="dxa"/>
            <w:tcBorders>
              <w:top w:val="nil"/>
              <w:left w:val="nil"/>
              <w:bottom w:val="single" w:sz="4" w:space="0" w:color="auto"/>
              <w:right w:val="single" w:sz="4" w:space="0" w:color="auto"/>
            </w:tcBorders>
            <w:shd w:val="clear" w:color="000000" w:fill="FFFFFF"/>
            <w:noWrap/>
            <w:hideMark/>
          </w:tcPr>
          <w:p w14:paraId="49108EA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1B3E54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12C0C7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51E7B1A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09683B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50,79</w:t>
            </w:r>
          </w:p>
        </w:tc>
        <w:tc>
          <w:tcPr>
            <w:tcW w:w="851" w:type="dxa"/>
            <w:tcBorders>
              <w:top w:val="nil"/>
              <w:left w:val="nil"/>
              <w:bottom w:val="single" w:sz="4" w:space="0" w:color="auto"/>
              <w:right w:val="single" w:sz="4" w:space="0" w:color="auto"/>
            </w:tcBorders>
            <w:shd w:val="clear" w:color="auto" w:fill="auto"/>
            <w:noWrap/>
            <w:hideMark/>
          </w:tcPr>
          <w:p w14:paraId="69480AF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0,0037</w:t>
            </w:r>
          </w:p>
        </w:tc>
        <w:tc>
          <w:tcPr>
            <w:tcW w:w="1134" w:type="dxa"/>
            <w:tcBorders>
              <w:top w:val="nil"/>
              <w:left w:val="nil"/>
              <w:bottom w:val="single" w:sz="4" w:space="0" w:color="auto"/>
              <w:right w:val="single" w:sz="4" w:space="0" w:color="auto"/>
            </w:tcBorders>
            <w:shd w:val="clear" w:color="000000" w:fill="C6E0B4"/>
            <w:noWrap/>
            <w:hideMark/>
          </w:tcPr>
          <w:p w14:paraId="0BD8F5B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1.013.107</w:t>
            </w:r>
          </w:p>
        </w:tc>
        <w:tc>
          <w:tcPr>
            <w:tcW w:w="992" w:type="dxa"/>
            <w:tcBorders>
              <w:top w:val="nil"/>
              <w:left w:val="nil"/>
              <w:bottom w:val="single" w:sz="4" w:space="0" w:color="auto"/>
              <w:right w:val="single" w:sz="4" w:space="0" w:color="auto"/>
            </w:tcBorders>
            <w:shd w:val="clear" w:color="auto" w:fill="auto"/>
            <w:noWrap/>
            <w:hideMark/>
          </w:tcPr>
          <w:p w14:paraId="1D56C3A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977.906</w:t>
            </w:r>
          </w:p>
        </w:tc>
        <w:tc>
          <w:tcPr>
            <w:tcW w:w="567" w:type="dxa"/>
            <w:tcBorders>
              <w:top w:val="nil"/>
              <w:left w:val="nil"/>
              <w:bottom w:val="single" w:sz="4" w:space="0" w:color="auto"/>
              <w:right w:val="single" w:sz="4" w:space="0" w:color="auto"/>
            </w:tcBorders>
            <w:shd w:val="clear" w:color="auto" w:fill="auto"/>
            <w:noWrap/>
            <w:hideMark/>
          </w:tcPr>
          <w:p w14:paraId="249D69B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103,60</w:t>
            </w:r>
          </w:p>
        </w:tc>
        <w:tc>
          <w:tcPr>
            <w:tcW w:w="850" w:type="dxa"/>
            <w:tcBorders>
              <w:top w:val="nil"/>
              <w:left w:val="nil"/>
              <w:bottom w:val="single" w:sz="4" w:space="0" w:color="auto"/>
              <w:right w:val="single" w:sz="4" w:space="0" w:color="auto"/>
            </w:tcBorders>
            <w:shd w:val="clear" w:color="auto" w:fill="auto"/>
            <w:noWrap/>
            <w:hideMark/>
          </w:tcPr>
          <w:p w14:paraId="45EC545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911.796</w:t>
            </w:r>
          </w:p>
        </w:tc>
        <w:tc>
          <w:tcPr>
            <w:tcW w:w="709" w:type="dxa"/>
            <w:tcBorders>
              <w:top w:val="nil"/>
              <w:left w:val="nil"/>
              <w:bottom w:val="single" w:sz="4" w:space="0" w:color="auto"/>
              <w:right w:val="single" w:sz="8" w:space="0" w:color="auto"/>
            </w:tcBorders>
            <w:shd w:val="clear" w:color="auto" w:fill="auto"/>
            <w:noWrap/>
            <w:hideMark/>
          </w:tcPr>
          <w:p w14:paraId="166D3BF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101.311</w:t>
            </w:r>
          </w:p>
        </w:tc>
        <w:tc>
          <w:tcPr>
            <w:tcW w:w="851" w:type="dxa"/>
            <w:tcBorders>
              <w:top w:val="nil"/>
              <w:left w:val="single" w:sz="4" w:space="0" w:color="auto"/>
              <w:bottom w:val="single" w:sz="4" w:space="0" w:color="auto"/>
              <w:right w:val="single" w:sz="4" w:space="0" w:color="auto"/>
            </w:tcBorders>
            <w:shd w:val="clear" w:color="auto" w:fill="auto"/>
            <w:noWrap/>
            <w:hideMark/>
          </w:tcPr>
          <w:p w14:paraId="77A16351" w14:textId="276664C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90.375</w:t>
            </w:r>
          </w:p>
        </w:tc>
      </w:tr>
      <w:tr w:rsidR="005C332D" w:rsidRPr="003F6E51" w14:paraId="7DDC5D2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B7ACFF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2213" w:type="dxa"/>
            <w:tcBorders>
              <w:top w:val="nil"/>
              <w:left w:val="single" w:sz="8" w:space="0" w:color="auto"/>
              <w:bottom w:val="single" w:sz="4" w:space="0" w:color="auto"/>
              <w:right w:val="single" w:sz="8" w:space="0" w:color="auto"/>
            </w:tcBorders>
            <w:shd w:val="clear" w:color="auto" w:fill="auto"/>
            <w:noWrap/>
            <w:hideMark/>
          </w:tcPr>
          <w:p w14:paraId="5188631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ODŽACI</w:t>
            </w:r>
          </w:p>
        </w:tc>
        <w:tc>
          <w:tcPr>
            <w:tcW w:w="850" w:type="dxa"/>
            <w:tcBorders>
              <w:top w:val="nil"/>
              <w:left w:val="nil"/>
              <w:bottom w:val="single" w:sz="4" w:space="0" w:color="auto"/>
              <w:right w:val="single" w:sz="4" w:space="0" w:color="auto"/>
            </w:tcBorders>
            <w:shd w:val="clear" w:color="000000" w:fill="FFFFFF"/>
            <w:noWrap/>
            <w:hideMark/>
          </w:tcPr>
          <w:p w14:paraId="784F0E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26707</w:t>
            </w:r>
          </w:p>
        </w:tc>
        <w:tc>
          <w:tcPr>
            <w:tcW w:w="709" w:type="dxa"/>
            <w:tcBorders>
              <w:top w:val="nil"/>
              <w:left w:val="nil"/>
              <w:bottom w:val="single" w:sz="4" w:space="0" w:color="auto"/>
              <w:right w:val="single" w:sz="8" w:space="0" w:color="auto"/>
            </w:tcBorders>
            <w:shd w:val="clear" w:color="000000" w:fill="FFFFFF"/>
            <w:noWrap/>
            <w:hideMark/>
          </w:tcPr>
          <w:p w14:paraId="0BDCC8A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0,56</w:t>
            </w:r>
          </w:p>
        </w:tc>
        <w:tc>
          <w:tcPr>
            <w:tcW w:w="567" w:type="dxa"/>
            <w:tcBorders>
              <w:top w:val="nil"/>
              <w:left w:val="nil"/>
              <w:bottom w:val="single" w:sz="4" w:space="0" w:color="auto"/>
              <w:right w:val="single" w:sz="4" w:space="0" w:color="auto"/>
            </w:tcBorders>
            <w:shd w:val="clear" w:color="000000" w:fill="FFFFFF"/>
            <w:noWrap/>
            <w:hideMark/>
          </w:tcPr>
          <w:p w14:paraId="3009590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411</w:t>
            </w:r>
          </w:p>
        </w:tc>
        <w:tc>
          <w:tcPr>
            <w:tcW w:w="709" w:type="dxa"/>
            <w:tcBorders>
              <w:top w:val="nil"/>
              <w:left w:val="nil"/>
              <w:bottom w:val="single" w:sz="4" w:space="0" w:color="auto"/>
              <w:right w:val="single" w:sz="8" w:space="0" w:color="auto"/>
            </w:tcBorders>
            <w:shd w:val="clear" w:color="000000" w:fill="FFFFFF"/>
            <w:noWrap/>
            <w:hideMark/>
          </w:tcPr>
          <w:p w14:paraId="71AA00A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0,77</w:t>
            </w:r>
          </w:p>
        </w:tc>
        <w:tc>
          <w:tcPr>
            <w:tcW w:w="850" w:type="dxa"/>
            <w:tcBorders>
              <w:top w:val="nil"/>
              <w:left w:val="nil"/>
              <w:bottom w:val="single" w:sz="4" w:space="0" w:color="auto"/>
              <w:right w:val="single" w:sz="4" w:space="0" w:color="auto"/>
            </w:tcBorders>
            <w:shd w:val="clear" w:color="000000" w:fill="FFFFFF"/>
            <w:noWrap/>
            <w:hideMark/>
          </w:tcPr>
          <w:p w14:paraId="21E87BC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6EE0A10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3A8DBA4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6A2FBC2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4525B9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79,93</w:t>
            </w:r>
          </w:p>
        </w:tc>
        <w:tc>
          <w:tcPr>
            <w:tcW w:w="851" w:type="dxa"/>
            <w:tcBorders>
              <w:top w:val="nil"/>
              <w:left w:val="nil"/>
              <w:bottom w:val="single" w:sz="4" w:space="0" w:color="auto"/>
              <w:right w:val="single" w:sz="4" w:space="0" w:color="auto"/>
            </w:tcBorders>
            <w:shd w:val="clear" w:color="auto" w:fill="auto"/>
            <w:noWrap/>
            <w:hideMark/>
          </w:tcPr>
          <w:p w14:paraId="2690A2DF"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0,0059</w:t>
            </w:r>
          </w:p>
        </w:tc>
        <w:tc>
          <w:tcPr>
            <w:tcW w:w="1134" w:type="dxa"/>
            <w:tcBorders>
              <w:top w:val="nil"/>
              <w:left w:val="nil"/>
              <w:bottom w:val="single" w:sz="4" w:space="0" w:color="auto"/>
              <w:right w:val="single" w:sz="4" w:space="0" w:color="auto"/>
            </w:tcBorders>
            <w:shd w:val="clear" w:color="000000" w:fill="C6E0B4"/>
            <w:noWrap/>
            <w:hideMark/>
          </w:tcPr>
          <w:p w14:paraId="15C517E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1.594.526</w:t>
            </w:r>
          </w:p>
        </w:tc>
        <w:tc>
          <w:tcPr>
            <w:tcW w:w="992" w:type="dxa"/>
            <w:tcBorders>
              <w:top w:val="nil"/>
              <w:left w:val="nil"/>
              <w:bottom w:val="single" w:sz="4" w:space="0" w:color="auto"/>
              <w:right w:val="single" w:sz="4" w:space="0" w:color="auto"/>
            </w:tcBorders>
            <w:shd w:val="clear" w:color="auto" w:fill="auto"/>
            <w:noWrap/>
            <w:hideMark/>
          </w:tcPr>
          <w:p w14:paraId="45320EE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1.730.308</w:t>
            </w:r>
          </w:p>
        </w:tc>
        <w:tc>
          <w:tcPr>
            <w:tcW w:w="567" w:type="dxa"/>
            <w:tcBorders>
              <w:top w:val="nil"/>
              <w:left w:val="nil"/>
              <w:bottom w:val="single" w:sz="4" w:space="0" w:color="auto"/>
              <w:right w:val="single" w:sz="4" w:space="0" w:color="auto"/>
            </w:tcBorders>
            <w:shd w:val="clear" w:color="auto" w:fill="auto"/>
            <w:noWrap/>
            <w:hideMark/>
          </w:tcPr>
          <w:p w14:paraId="2C72403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92,15</w:t>
            </w:r>
          </w:p>
        </w:tc>
        <w:tc>
          <w:tcPr>
            <w:tcW w:w="850" w:type="dxa"/>
            <w:tcBorders>
              <w:top w:val="nil"/>
              <w:left w:val="nil"/>
              <w:bottom w:val="single" w:sz="4" w:space="0" w:color="auto"/>
              <w:right w:val="single" w:sz="4" w:space="0" w:color="auto"/>
            </w:tcBorders>
            <w:shd w:val="clear" w:color="auto" w:fill="auto"/>
            <w:noWrap/>
            <w:hideMark/>
          </w:tcPr>
          <w:p w14:paraId="3616030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1.435.073</w:t>
            </w:r>
          </w:p>
        </w:tc>
        <w:tc>
          <w:tcPr>
            <w:tcW w:w="709" w:type="dxa"/>
            <w:tcBorders>
              <w:top w:val="nil"/>
              <w:left w:val="nil"/>
              <w:bottom w:val="single" w:sz="4" w:space="0" w:color="auto"/>
              <w:right w:val="single" w:sz="8" w:space="0" w:color="auto"/>
            </w:tcBorders>
            <w:shd w:val="clear" w:color="auto" w:fill="auto"/>
            <w:noWrap/>
            <w:hideMark/>
          </w:tcPr>
          <w:p w14:paraId="057DF75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159.453</w:t>
            </w:r>
          </w:p>
        </w:tc>
        <w:tc>
          <w:tcPr>
            <w:tcW w:w="851" w:type="dxa"/>
            <w:tcBorders>
              <w:top w:val="nil"/>
              <w:left w:val="single" w:sz="4" w:space="0" w:color="auto"/>
              <w:bottom w:val="single" w:sz="4" w:space="0" w:color="auto"/>
              <w:right w:val="single" w:sz="4" w:space="0" w:color="auto"/>
            </w:tcBorders>
            <w:shd w:val="clear" w:color="auto" w:fill="auto"/>
            <w:noWrap/>
            <w:hideMark/>
          </w:tcPr>
          <w:p w14:paraId="4C874E87" w14:textId="1E354F8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53.734</w:t>
            </w:r>
          </w:p>
        </w:tc>
      </w:tr>
      <w:tr w:rsidR="005C332D" w:rsidRPr="003F6E51" w14:paraId="01591CB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9EF297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105</w:t>
            </w:r>
          </w:p>
        </w:tc>
        <w:tc>
          <w:tcPr>
            <w:tcW w:w="2213" w:type="dxa"/>
            <w:tcBorders>
              <w:top w:val="nil"/>
              <w:left w:val="single" w:sz="8" w:space="0" w:color="auto"/>
              <w:bottom w:val="single" w:sz="4" w:space="0" w:color="auto"/>
              <w:right w:val="single" w:sz="8" w:space="0" w:color="auto"/>
            </w:tcBorders>
            <w:shd w:val="clear" w:color="auto" w:fill="auto"/>
            <w:noWrap/>
            <w:hideMark/>
          </w:tcPr>
          <w:p w14:paraId="3715A06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OPOVO</w:t>
            </w:r>
          </w:p>
        </w:tc>
        <w:tc>
          <w:tcPr>
            <w:tcW w:w="850" w:type="dxa"/>
            <w:tcBorders>
              <w:top w:val="nil"/>
              <w:left w:val="nil"/>
              <w:bottom w:val="single" w:sz="4" w:space="0" w:color="auto"/>
              <w:right w:val="single" w:sz="4" w:space="0" w:color="auto"/>
            </w:tcBorders>
            <w:shd w:val="clear" w:color="000000" w:fill="FFFFFF"/>
            <w:noWrap/>
            <w:hideMark/>
          </w:tcPr>
          <w:p w14:paraId="53B76CC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9561</w:t>
            </w:r>
          </w:p>
        </w:tc>
        <w:tc>
          <w:tcPr>
            <w:tcW w:w="709" w:type="dxa"/>
            <w:tcBorders>
              <w:top w:val="nil"/>
              <w:left w:val="nil"/>
              <w:bottom w:val="single" w:sz="4" w:space="0" w:color="auto"/>
              <w:right w:val="single" w:sz="8" w:space="0" w:color="auto"/>
            </w:tcBorders>
            <w:shd w:val="clear" w:color="000000" w:fill="FFFFFF"/>
            <w:noWrap/>
            <w:hideMark/>
          </w:tcPr>
          <w:p w14:paraId="3ED4F4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0,20</w:t>
            </w:r>
          </w:p>
        </w:tc>
        <w:tc>
          <w:tcPr>
            <w:tcW w:w="567" w:type="dxa"/>
            <w:tcBorders>
              <w:top w:val="nil"/>
              <w:left w:val="nil"/>
              <w:bottom w:val="single" w:sz="4" w:space="0" w:color="auto"/>
              <w:right w:val="single" w:sz="4" w:space="0" w:color="auto"/>
            </w:tcBorders>
            <w:shd w:val="clear" w:color="000000" w:fill="FFFFFF"/>
            <w:noWrap/>
            <w:hideMark/>
          </w:tcPr>
          <w:p w14:paraId="0AB75C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203</w:t>
            </w:r>
          </w:p>
        </w:tc>
        <w:tc>
          <w:tcPr>
            <w:tcW w:w="709" w:type="dxa"/>
            <w:tcBorders>
              <w:top w:val="nil"/>
              <w:left w:val="nil"/>
              <w:bottom w:val="single" w:sz="4" w:space="0" w:color="auto"/>
              <w:right w:val="single" w:sz="8" w:space="0" w:color="auto"/>
            </w:tcBorders>
            <w:shd w:val="clear" w:color="000000" w:fill="FFFFFF"/>
            <w:noWrap/>
            <w:hideMark/>
          </w:tcPr>
          <w:p w14:paraId="3766936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0,38</w:t>
            </w:r>
          </w:p>
        </w:tc>
        <w:tc>
          <w:tcPr>
            <w:tcW w:w="850" w:type="dxa"/>
            <w:tcBorders>
              <w:top w:val="nil"/>
              <w:left w:val="nil"/>
              <w:bottom w:val="single" w:sz="4" w:space="0" w:color="auto"/>
              <w:right w:val="single" w:sz="4" w:space="0" w:color="auto"/>
            </w:tcBorders>
            <w:shd w:val="clear" w:color="000000" w:fill="FFFFFF"/>
            <w:noWrap/>
            <w:hideMark/>
          </w:tcPr>
          <w:p w14:paraId="753255E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w:t>
            </w:r>
          </w:p>
        </w:tc>
        <w:tc>
          <w:tcPr>
            <w:tcW w:w="709" w:type="dxa"/>
            <w:tcBorders>
              <w:top w:val="nil"/>
              <w:left w:val="nil"/>
              <w:bottom w:val="single" w:sz="4" w:space="0" w:color="auto"/>
              <w:right w:val="nil"/>
            </w:tcBorders>
            <w:shd w:val="clear" w:color="auto" w:fill="auto"/>
            <w:noWrap/>
            <w:hideMark/>
          </w:tcPr>
          <w:p w14:paraId="271727B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709" w:type="dxa"/>
            <w:tcBorders>
              <w:top w:val="nil"/>
              <w:left w:val="single" w:sz="8" w:space="0" w:color="auto"/>
              <w:bottom w:val="single" w:sz="4" w:space="0" w:color="auto"/>
              <w:right w:val="single" w:sz="4" w:space="0" w:color="auto"/>
            </w:tcBorders>
            <w:shd w:val="clear" w:color="auto" w:fill="auto"/>
            <w:noWrap/>
            <w:hideMark/>
          </w:tcPr>
          <w:p w14:paraId="3E5B370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C5ACD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27A415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69,57</w:t>
            </w:r>
          </w:p>
        </w:tc>
        <w:tc>
          <w:tcPr>
            <w:tcW w:w="851" w:type="dxa"/>
            <w:tcBorders>
              <w:top w:val="nil"/>
              <w:left w:val="nil"/>
              <w:bottom w:val="single" w:sz="4" w:space="0" w:color="auto"/>
              <w:right w:val="single" w:sz="4" w:space="0" w:color="auto"/>
            </w:tcBorders>
            <w:shd w:val="clear" w:color="auto" w:fill="auto"/>
            <w:noWrap/>
            <w:hideMark/>
          </w:tcPr>
          <w:p w14:paraId="3728C47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0,0051</w:t>
            </w:r>
          </w:p>
        </w:tc>
        <w:tc>
          <w:tcPr>
            <w:tcW w:w="1134" w:type="dxa"/>
            <w:tcBorders>
              <w:top w:val="nil"/>
              <w:left w:val="nil"/>
              <w:bottom w:val="single" w:sz="4" w:space="0" w:color="auto"/>
              <w:right w:val="single" w:sz="4" w:space="0" w:color="auto"/>
            </w:tcBorders>
            <w:shd w:val="clear" w:color="000000" w:fill="C6E0B4"/>
            <w:noWrap/>
            <w:hideMark/>
          </w:tcPr>
          <w:p w14:paraId="32054B9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1.387.836</w:t>
            </w:r>
          </w:p>
        </w:tc>
        <w:tc>
          <w:tcPr>
            <w:tcW w:w="992" w:type="dxa"/>
            <w:tcBorders>
              <w:top w:val="nil"/>
              <w:left w:val="nil"/>
              <w:bottom w:val="single" w:sz="4" w:space="0" w:color="auto"/>
              <w:right w:val="single" w:sz="4" w:space="0" w:color="auto"/>
            </w:tcBorders>
            <w:shd w:val="clear" w:color="auto" w:fill="auto"/>
            <w:noWrap/>
            <w:hideMark/>
          </w:tcPr>
          <w:p w14:paraId="1030C0B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1.907.503</w:t>
            </w:r>
          </w:p>
        </w:tc>
        <w:tc>
          <w:tcPr>
            <w:tcW w:w="567" w:type="dxa"/>
            <w:tcBorders>
              <w:top w:val="nil"/>
              <w:left w:val="nil"/>
              <w:bottom w:val="single" w:sz="4" w:space="0" w:color="auto"/>
              <w:right w:val="single" w:sz="4" w:space="0" w:color="auto"/>
            </w:tcBorders>
            <w:shd w:val="clear" w:color="auto" w:fill="auto"/>
            <w:noWrap/>
            <w:hideMark/>
          </w:tcPr>
          <w:p w14:paraId="395DC11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72,76</w:t>
            </w:r>
          </w:p>
        </w:tc>
        <w:tc>
          <w:tcPr>
            <w:tcW w:w="850" w:type="dxa"/>
            <w:tcBorders>
              <w:top w:val="nil"/>
              <w:left w:val="nil"/>
              <w:bottom w:val="single" w:sz="4" w:space="0" w:color="auto"/>
              <w:right w:val="single" w:sz="4" w:space="0" w:color="auto"/>
            </w:tcBorders>
            <w:shd w:val="clear" w:color="auto" w:fill="auto"/>
            <w:noWrap/>
            <w:hideMark/>
          </w:tcPr>
          <w:p w14:paraId="5CC540F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1.249.052</w:t>
            </w:r>
          </w:p>
        </w:tc>
        <w:tc>
          <w:tcPr>
            <w:tcW w:w="709" w:type="dxa"/>
            <w:tcBorders>
              <w:top w:val="nil"/>
              <w:left w:val="nil"/>
              <w:bottom w:val="single" w:sz="4" w:space="0" w:color="auto"/>
              <w:right w:val="single" w:sz="8" w:space="0" w:color="auto"/>
            </w:tcBorders>
            <w:shd w:val="clear" w:color="auto" w:fill="auto"/>
            <w:noWrap/>
            <w:hideMark/>
          </w:tcPr>
          <w:p w14:paraId="1659DA4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138.784</w:t>
            </w:r>
          </w:p>
        </w:tc>
        <w:tc>
          <w:tcPr>
            <w:tcW w:w="851" w:type="dxa"/>
            <w:tcBorders>
              <w:top w:val="nil"/>
              <w:left w:val="single" w:sz="4" w:space="0" w:color="auto"/>
              <w:bottom w:val="single" w:sz="4" w:space="0" w:color="auto"/>
              <w:right w:val="single" w:sz="4" w:space="0" w:color="auto"/>
            </w:tcBorders>
            <w:shd w:val="clear" w:color="auto" w:fill="auto"/>
            <w:noWrap/>
            <w:hideMark/>
          </w:tcPr>
          <w:p w14:paraId="1017EFD9" w14:textId="0D7735A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130.640</w:t>
            </w:r>
          </w:p>
        </w:tc>
      </w:tr>
      <w:tr w:rsidR="005C332D" w:rsidRPr="003F6E51" w14:paraId="421C086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52AE895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106</w:t>
            </w:r>
          </w:p>
        </w:tc>
        <w:tc>
          <w:tcPr>
            <w:tcW w:w="2213" w:type="dxa"/>
            <w:tcBorders>
              <w:top w:val="nil"/>
              <w:left w:val="single" w:sz="8" w:space="0" w:color="auto"/>
              <w:bottom w:val="single" w:sz="4" w:space="0" w:color="auto"/>
              <w:right w:val="single" w:sz="8" w:space="0" w:color="auto"/>
            </w:tcBorders>
            <w:shd w:val="clear" w:color="auto" w:fill="auto"/>
            <w:noWrap/>
            <w:hideMark/>
          </w:tcPr>
          <w:p w14:paraId="0CD8B78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PEĆINCI</w:t>
            </w:r>
          </w:p>
        </w:tc>
        <w:tc>
          <w:tcPr>
            <w:tcW w:w="850" w:type="dxa"/>
            <w:tcBorders>
              <w:top w:val="nil"/>
              <w:left w:val="nil"/>
              <w:bottom w:val="single" w:sz="4" w:space="0" w:color="auto"/>
              <w:right w:val="single" w:sz="4" w:space="0" w:color="auto"/>
            </w:tcBorders>
            <w:shd w:val="clear" w:color="000000" w:fill="FFFFFF"/>
            <w:noWrap/>
            <w:hideMark/>
          </w:tcPr>
          <w:p w14:paraId="7105E6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19095</w:t>
            </w:r>
          </w:p>
        </w:tc>
        <w:tc>
          <w:tcPr>
            <w:tcW w:w="709" w:type="dxa"/>
            <w:tcBorders>
              <w:top w:val="nil"/>
              <w:left w:val="nil"/>
              <w:bottom w:val="single" w:sz="4" w:space="0" w:color="auto"/>
              <w:right w:val="single" w:sz="8" w:space="0" w:color="auto"/>
            </w:tcBorders>
            <w:shd w:val="clear" w:color="000000" w:fill="FFFFFF"/>
            <w:noWrap/>
            <w:hideMark/>
          </w:tcPr>
          <w:p w14:paraId="0A6E4D0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0,40</w:t>
            </w:r>
          </w:p>
        </w:tc>
        <w:tc>
          <w:tcPr>
            <w:tcW w:w="567" w:type="dxa"/>
            <w:tcBorders>
              <w:top w:val="nil"/>
              <w:left w:val="nil"/>
              <w:bottom w:val="single" w:sz="4" w:space="0" w:color="auto"/>
              <w:right w:val="single" w:sz="4" w:space="0" w:color="auto"/>
            </w:tcBorders>
            <w:shd w:val="clear" w:color="000000" w:fill="FFFFFF"/>
            <w:noWrap/>
            <w:hideMark/>
          </w:tcPr>
          <w:p w14:paraId="448D5CB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489</w:t>
            </w:r>
          </w:p>
        </w:tc>
        <w:tc>
          <w:tcPr>
            <w:tcW w:w="709" w:type="dxa"/>
            <w:tcBorders>
              <w:top w:val="nil"/>
              <w:left w:val="nil"/>
              <w:bottom w:val="single" w:sz="4" w:space="0" w:color="auto"/>
              <w:right w:val="single" w:sz="8" w:space="0" w:color="auto"/>
            </w:tcBorders>
            <w:shd w:val="clear" w:color="000000" w:fill="FFFFFF"/>
            <w:noWrap/>
            <w:hideMark/>
          </w:tcPr>
          <w:p w14:paraId="7E2A65D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0,91</w:t>
            </w:r>
          </w:p>
        </w:tc>
        <w:tc>
          <w:tcPr>
            <w:tcW w:w="850" w:type="dxa"/>
            <w:tcBorders>
              <w:top w:val="nil"/>
              <w:left w:val="nil"/>
              <w:bottom w:val="single" w:sz="4" w:space="0" w:color="auto"/>
              <w:right w:val="single" w:sz="4" w:space="0" w:color="auto"/>
            </w:tcBorders>
            <w:shd w:val="clear" w:color="000000" w:fill="FFFFFF"/>
            <w:noWrap/>
            <w:hideMark/>
          </w:tcPr>
          <w:p w14:paraId="3B90E98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415AC6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528FC80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70FA57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4F06BBA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53,35</w:t>
            </w:r>
          </w:p>
        </w:tc>
        <w:tc>
          <w:tcPr>
            <w:tcW w:w="851" w:type="dxa"/>
            <w:tcBorders>
              <w:top w:val="nil"/>
              <w:left w:val="nil"/>
              <w:bottom w:val="single" w:sz="4" w:space="0" w:color="auto"/>
              <w:right w:val="single" w:sz="4" w:space="0" w:color="auto"/>
            </w:tcBorders>
            <w:shd w:val="clear" w:color="auto" w:fill="auto"/>
            <w:noWrap/>
            <w:hideMark/>
          </w:tcPr>
          <w:p w14:paraId="50598BE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0,0039</w:t>
            </w:r>
          </w:p>
        </w:tc>
        <w:tc>
          <w:tcPr>
            <w:tcW w:w="1134" w:type="dxa"/>
            <w:tcBorders>
              <w:top w:val="nil"/>
              <w:left w:val="nil"/>
              <w:bottom w:val="single" w:sz="4" w:space="0" w:color="auto"/>
              <w:right w:val="single" w:sz="4" w:space="0" w:color="auto"/>
            </w:tcBorders>
            <w:shd w:val="clear" w:color="000000" w:fill="C6E0B4"/>
            <w:noWrap/>
            <w:hideMark/>
          </w:tcPr>
          <w:p w14:paraId="1659B48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1.064.213</w:t>
            </w:r>
          </w:p>
        </w:tc>
        <w:tc>
          <w:tcPr>
            <w:tcW w:w="992" w:type="dxa"/>
            <w:tcBorders>
              <w:top w:val="nil"/>
              <w:left w:val="nil"/>
              <w:bottom w:val="single" w:sz="4" w:space="0" w:color="auto"/>
              <w:right w:val="single" w:sz="4" w:space="0" w:color="auto"/>
            </w:tcBorders>
            <w:shd w:val="clear" w:color="auto" w:fill="auto"/>
            <w:noWrap/>
            <w:hideMark/>
          </w:tcPr>
          <w:p w14:paraId="0A705A9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1.372.214</w:t>
            </w:r>
          </w:p>
        </w:tc>
        <w:tc>
          <w:tcPr>
            <w:tcW w:w="567" w:type="dxa"/>
            <w:tcBorders>
              <w:top w:val="nil"/>
              <w:left w:val="nil"/>
              <w:bottom w:val="single" w:sz="4" w:space="0" w:color="auto"/>
              <w:right w:val="single" w:sz="4" w:space="0" w:color="auto"/>
            </w:tcBorders>
            <w:shd w:val="clear" w:color="auto" w:fill="auto"/>
            <w:noWrap/>
            <w:hideMark/>
          </w:tcPr>
          <w:p w14:paraId="134F423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77,55</w:t>
            </w:r>
          </w:p>
        </w:tc>
        <w:tc>
          <w:tcPr>
            <w:tcW w:w="850" w:type="dxa"/>
            <w:tcBorders>
              <w:top w:val="nil"/>
              <w:left w:val="nil"/>
              <w:bottom w:val="single" w:sz="4" w:space="0" w:color="auto"/>
              <w:right w:val="single" w:sz="4" w:space="0" w:color="auto"/>
            </w:tcBorders>
            <w:shd w:val="clear" w:color="auto" w:fill="auto"/>
            <w:noWrap/>
            <w:hideMark/>
          </w:tcPr>
          <w:p w14:paraId="62AD2EF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957.792</w:t>
            </w:r>
          </w:p>
        </w:tc>
        <w:tc>
          <w:tcPr>
            <w:tcW w:w="709" w:type="dxa"/>
            <w:tcBorders>
              <w:top w:val="nil"/>
              <w:left w:val="nil"/>
              <w:bottom w:val="single" w:sz="4" w:space="0" w:color="auto"/>
              <w:right w:val="single" w:sz="8" w:space="0" w:color="auto"/>
            </w:tcBorders>
            <w:shd w:val="clear" w:color="auto" w:fill="auto"/>
            <w:noWrap/>
            <w:hideMark/>
          </w:tcPr>
          <w:p w14:paraId="28F0CA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106.421</w:t>
            </w:r>
          </w:p>
        </w:tc>
        <w:tc>
          <w:tcPr>
            <w:tcW w:w="851" w:type="dxa"/>
            <w:tcBorders>
              <w:top w:val="nil"/>
              <w:left w:val="single" w:sz="4" w:space="0" w:color="auto"/>
              <w:bottom w:val="single" w:sz="4" w:space="0" w:color="auto"/>
              <w:right w:val="single" w:sz="4" w:space="0" w:color="auto"/>
            </w:tcBorders>
            <w:shd w:val="clear" w:color="auto" w:fill="auto"/>
            <w:noWrap/>
            <w:hideMark/>
          </w:tcPr>
          <w:p w14:paraId="389EE09F" w14:textId="3152E34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50.159</w:t>
            </w:r>
          </w:p>
        </w:tc>
      </w:tr>
      <w:tr w:rsidR="005C332D" w:rsidRPr="003F6E51" w14:paraId="045CFEA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87C478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w:t>
            </w:r>
          </w:p>
        </w:tc>
        <w:tc>
          <w:tcPr>
            <w:tcW w:w="2213" w:type="dxa"/>
            <w:tcBorders>
              <w:top w:val="nil"/>
              <w:left w:val="single" w:sz="8" w:space="0" w:color="auto"/>
              <w:bottom w:val="single" w:sz="4" w:space="0" w:color="auto"/>
              <w:right w:val="single" w:sz="8" w:space="0" w:color="auto"/>
            </w:tcBorders>
            <w:shd w:val="clear" w:color="auto" w:fill="auto"/>
            <w:noWrap/>
            <w:hideMark/>
          </w:tcPr>
          <w:p w14:paraId="62D16255"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PLANDIŠTE</w:t>
            </w:r>
          </w:p>
        </w:tc>
        <w:tc>
          <w:tcPr>
            <w:tcW w:w="850" w:type="dxa"/>
            <w:tcBorders>
              <w:top w:val="nil"/>
              <w:left w:val="nil"/>
              <w:bottom w:val="single" w:sz="4" w:space="0" w:color="auto"/>
              <w:right w:val="single" w:sz="4" w:space="0" w:color="auto"/>
            </w:tcBorders>
            <w:shd w:val="clear" w:color="000000" w:fill="FFFFFF"/>
            <w:noWrap/>
            <w:hideMark/>
          </w:tcPr>
          <w:p w14:paraId="15B6319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10044</w:t>
            </w:r>
          </w:p>
        </w:tc>
        <w:tc>
          <w:tcPr>
            <w:tcW w:w="709" w:type="dxa"/>
            <w:tcBorders>
              <w:top w:val="nil"/>
              <w:left w:val="nil"/>
              <w:bottom w:val="single" w:sz="4" w:space="0" w:color="auto"/>
              <w:right w:val="single" w:sz="8" w:space="0" w:color="auto"/>
            </w:tcBorders>
            <w:shd w:val="clear" w:color="000000" w:fill="FFFFFF"/>
            <w:noWrap/>
            <w:hideMark/>
          </w:tcPr>
          <w:p w14:paraId="099A52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0,21</w:t>
            </w:r>
          </w:p>
        </w:tc>
        <w:tc>
          <w:tcPr>
            <w:tcW w:w="567" w:type="dxa"/>
            <w:tcBorders>
              <w:top w:val="nil"/>
              <w:left w:val="nil"/>
              <w:bottom w:val="single" w:sz="4" w:space="0" w:color="auto"/>
              <w:right w:val="single" w:sz="4" w:space="0" w:color="auto"/>
            </w:tcBorders>
            <w:shd w:val="clear" w:color="000000" w:fill="FFFFFF"/>
            <w:noWrap/>
            <w:hideMark/>
          </w:tcPr>
          <w:p w14:paraId="006D9C0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383</w:t>
            </w:r>
          </w:p>
        </w:tc>
        <w:tc>
          <w:tcPr>
            <w:tcW w:w="709" w:type="dxa"/>
            <w:tcBorders>
              <w:top w:val="nil"/>
              <w:left w:val="nil"/>
              <w:bottom w:val="single" w:sz="4" w:space="0" w:color="auto"/>
              <w:right w:val="single" w:sz="8" w:space="0" w:color="auto"/>
            </w:tcBorders>
            <w:shd w:val="clear" w:color="000000" w:fill="FFFFFF"/>
            <w:noWrap/>
            <w:hideMark/>
          </w:tcPr>
          <w:p w14:paraId="0807B1A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0,72</w:t>
            </w:r>
          </w:p>
        </w:tc>
        <w:tc>
          <w:tcPr>
            <w:tcW w:w="850" w:type="dxa"/>
            <w:tcBorders>
              <w:top w:val="nil"/>
              <w:left w:val="nil"/>
              <w:bottom w:val="single" w:sz="4" w:space="0" w:color="auto"/>
              <w:right w:val="single" w:sz="4" w:space="0" w:color="auto"/>
            </w:tcBorders>
            <w:shd w:val="clear" w:color="000000" w:fill="FFFFFF"/>
            <w:noWrap/>
            <w:hideMark/>
          </w:tcPr>
          <w:p w14:paraId="2A36355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CA95DB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87D883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52DF8DC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654E14E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66,37</w:t>
            </w:r>
          </w:p>
        </w:tc>
        <w:tc>
          <w:tcPr>
            <w:tcW w:w="851" w:type="dxa"/>
            <w:tcBorders>
              <w:top w:val="nil"/>
              <w:left w:val="nil"/>
              <w:bottom w:val="single" w:sz="4" w:space="0" w:color="auto"/>
              <w:right w:val="single" w:sz="4" w:space="0" w:color="auto"/>
            </w:tcBorders>
            <w:shd w:val="clear" w:color="auto" w:fill="auto"/>
            <w:noWrap/>
            <w:hideMark/>
          </w:tcPr>
          <w:p w14:paraId="7F84E26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0,0049</w:t>
            </w:r>
          </w:p>
        </w:tc>
        <w:tc>
          <w:tcPr>
            <w:tcW w:w="1134" w:type="dxa"/>
            <w:tcBorders>
              <w:top w:val="nil"/>
              <w:left w:val="nil"/>
              <w:bottom w:val="single" w:sz="4" w:space="0" w:color="auto"/>
              <w:right w:val="single" w:sz="4" w:space="0" w:color="auto"/>
            </w:tcBorders>
            <w:shd w:val="clear" w:color="000000" w:fill="C6E0B4"/>
            <w:noWrap/>
            <w:hideMark/>
          </w:tcPr>
          <w:p w14:paraId="27EF106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1.323.914</w:t>
            </w:r>
          </w:p>
        </w:tc>
        <w:tc>
          <w:tcPr>
            <w:tcW w:w="992" w:type="dxa"/>
            <w:tcBorders>
              <w:top w:val="nil"/>
              <w:left w:val="nil"/>
              <w:bottom w:val="single" w:sz="4" w:space="0" w:color="auto"/>
              <w:right w:val="single" w:sz="4" w:space="0" w:color="auto"/>
            </w:tcBorders>
            <w:shd w:val="clear" w:color="auto" w:fill="auto"/>
            <w:noWrap/>
            <w:hideMark/>
          </w:tcPr>
          <w:p w14:paraId="1955A1C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1.029.850</w:t>
            </w:r>
          </w:p>
        </w:tc>
        <w:tc>
          <w:tcPr>
            <w:tcW w:w="567" w:type="dxa"/>
            <w:tcBorders>
              <w:top w:val="nil"/>
              <w:left w:val="nil"/>
              <w:bottom w:val="single" w:sz="4" w:space="0" w:color="auto"/>
              <w:right w:val="single" w:sz="4" w:space="0" w:color="auto"/>
            </w:tcBorders>
            <w:shd w:val="clear" w:color="auto" w:fill="auto"/>
            <w:noWrap/>
            <w:hideMark/>
          </w:tcPr>
          <w:p w14:paraId="052C1F0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128,55</w:t>
            </w:r>
          </w:p>
        </w:tc>
        <w:tc>
          <w:tcPr>
            <w:tcW w:w="850" w:type="dxa"/>
            <w:tcBorders>
              <w:top w:val="nil"/>
              <w:left w:val="nil"/>
              <w:bottom w:val="single" w:sz="4" w:space="0" w:color="auto"/>
              <w:right w:val="single" w:sz="4" w:space="0" w:color="auto"/>
            </w:tcBorders>
            <w:shd w:val="clear" w:color="auto" w:fill="auto"/>
            <w:noWrap/>
            <w:hideMark/>
          </w:tcPr>
          <w:p w14:paraId="08AEC07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1.191.523</w:t>
            </w:r>
          </w:p>
        </w:tc>
        <w:tc>
          <w:tcPr>
            <w:tcW w:w="709" w:type="dxa"/>
            <w:tcBorders>
              <w:top w:val="nil"/>
              <w:left w:val="nil"/>
              <w:bottom w:val="single" w:sz="4" w:space="0" w:color="auto"/>
              <w:right w:val="single" w:sz="8" w:space="0" w:color="auto"/>
            </w:tcBorders>
            <w:shd w:val="clear" w:color="auto" w:fill="auto"/>
            <w:noWrap/>
            <w:hideMark/>
          </w:tcPr>
          <w:p w14:paraId="331B1B5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132.391</w:t>
            </w:r>
          </w:p>
        </w:tc>
        <w:tc>
          <w:tcPr>
            <w:tcW w:w="851" w:type="dxa"/>
            <w:tcBorders>
              <w:top w:val="nil"/>
              <w:left w:val="single" w:sz="4" w:space="0" w:color="auto"/>
              <w:bottom w:val="single" w:sz="4" w:space="0" w:color="auto"/>
              <w:right w:val="single" w:sz="4" w:space="0" w:color="auto"/>
            </w:tcBorders>
            <w:shd w:val="clear" w:color="auto" w:fill="auto"/>
            <w:noWrap/>
            <w:hideMark/>
          </w:tcPr>
          <w:p w14:paraId="31F44DE4" w14:textId="2F557F3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118.630</w:t>
            </w:r>
          </w:p>
        </w:tc>
      </w:tr>
      <w:tr w:rsidR="005C332D" w:rsidRPr="003F6E51" w14:paraId="2BC4684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EA1B91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108</w:t>
            </w:r>
          </w:p>
        </w:tc>
        <w:tc>
          <w:tcPr>
            <w:tcW w:w="2213" w:type="dxa"/>
            <w:tcBorders>
              <w:top w:val="nil"/>
              <w:left w:val="single" w:sz="8" w:space="0" w:color="auto"/>
              <w:bottom w:val="single" w:sz="4" w:space="0" w:color="auto"/>
              <w:right w:val="single" w:sz="8" w:space="0" w:color="auto"/>
            </w:tcBorders>
            <w:shd w:val="clear" w:color="auto" w:fill="auto"/>
            <w:noWrap/>
            <w:hideMark/>
          </w:tcPr>
          <w:p w14:paraId="1D4757B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RUMA</w:t>
            </w:r>
          </w:p>
        </w:tc>
        <w:tc>
          <w:tcPr>
            <w:tcW w:w="850" w:type="dxa"/>
            <w:tcBorders>
              <w:top w:val="nil"/>
              <w:left w:val="nil"/>
              <w:bottom w:val="single" w:sz="4" w:space="0" w:color="auto"/>
              <w:right w:val="single" w:sz="4" w:space="0" w:color="auto"/>
            </w:tcBorders>
            <w:shd w:val="clear" w:color="000000" w:fill="FFFFFF"/>
            <w:noWrap/>
            <w:hideMark/>
          </w:tcPr>
          <w:p w14:paraId="54FCDA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50966</w:t>
            </w:r>
          </w:p>
        </w:tc>
        <w:tc>
          <w:tcPr>
            <w:tcW w:w="709" w:type="dxa"/>
            <w:tcBorders>
              <w:top w:val="nil"/>
              <w:left w:val="nil"/>
              <w:bottom w:val="single" w:sz="4" w:space="0" w:color="auto"/>
              <w:right w:val="single" w:sz="8" w:space="0" w:color="auto"/>
            </w:tcBorders>
            <w:shd w:val="clear" w:color="000000" w:fill="FFFFFF"/>
            <w:noWrap/>
            <w:hideMark/>
          </w:tcPr>
          <w:p w14:paraId="035A241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w:t>
            </w:r>
          </w:p>
        </w:tc>
        <w:tc>
          <w:tcPr>
            <w:tcW w:w="567" w:type="dxa"/>
            <w:tcBorders>
              <w:top w:val="nil"/>
              <w:left w:val="nil"/>
              <w:bottom w:val="single" w:sz="4" w:space="0" w:color="auto"/>
              <w:right w:val="single" w:sz="4" w:space="0" w:color="auto"/>
            </w:tcBorders>
            <w:shd w:val="clear" w:color="000000" w:fill="FFFFFF"/>
            <w:noWrap/>
            <w:hideMark/>
          </w:tcPr>
          <w:p w14:paraId="3427C6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582</w:t>
            </w:r>
          </w:p>
        </w:tc>
        <w:tc>
          <w:tcPr>
            <w:tcW w:w="709" w:type="dxa"/>
            <w:tcBorders>
              <w:top w:val="nil"/>
              <w:left w:val="nil"/>
              <w:bottom w:val="single" w:sz="4" w:space="0" w:color="auto"/>
              <w:right w:val="single" w:sz="8" w:space="0" w:color="auto"/>
            </w:tcBorders>
            <w:shd w:val="clear" w:color="000000" w:fill="FFFFFF"/>
            <w:noWrap/>
            <w:hideMark/>
          </w:tcPr>
          <w:p w14:paraId="74E77F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w:t>
            </w:r>
          </w:p>
        </w:tc>
        <w:tc>
          <w:tcPr>
            <w:tcW w:w="850" w:type="dxa"/>
            <w:tcBorders>
              <w:top w:val="nil"/>
              <w:left w:val="nil"/>
              <w:bottom w:val="single" w:sz="4" w:space="0" w:color="auto"/>
              <w:right w:val="single" w:sz="4" w:space="0" w:color="auto"/>
            </w:tcBorders>
            <w:shd w:val="clear" w:color="000000" w:fill="FFFFFF"/>
            <w:noWrap/>
            <w:hideMark/>
          </w:tcPr>
          <w:p w14:paraId="7024896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4B9406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11E8FB4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31FD75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39D994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93,11</w:t>
            </w:r>
          </w:p>
        </w:tc>
        <w:tc>
          <w:tcPr>
            <w:tcW w:w="851" w:type="dxa"/>
            <w:tcBorders>
              <w:top w:val="nil"/>
              <w:left w:val="nil"/>
              <w:bottom w:val="single" w:sz="4" w:space="0" w:color="auto"/>
              <w:right w:val="single" w:sz="4" w:space="0" w:color="auto"/>
            </w:tcBorders>
            <w:shd w:val="clear" w:color="auto" w:fill="auto"/>
            <w:noWrap/>
            <w:hideMark/>
          </w:tcPr>
          <w:p w14:paraId="300E4E80"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0,0069</w:t>
            </w:r>
          </w:p>
        </w:tc>
        <w:tc>
          <w:tcPr>
            <w:tcW w:w="1134" w:type="dxa"/>
            <w:tcBorders>
              <w:top w:val="nil"/>
              <w:left w:val="nil"/>
              <w:bottom w:val="single" w:sz="4" w:space="0" w:color="auto"/>
              <w:right w:val="single" w:sz="4" w:space="0" w:color="auto"/>
            </w:tcBorders>
            <w:shd w:val="clear" w:color="000000" w:fill="C6E0B4"/>
            <w:noWrap/>
            <w:hideMark/>
          </w:tcPr>
          <w:p w14:paraId="2FE65B3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1.857.341</w:t>
            </w:r>
          </w:p>
        </w:tc>
        <w:tc>
          <w:tcPr>
            <w:tcW w:w="992" w:type="dxa"/>
            <w:tcBorders>
              <w:top w:val="nil"/>
              <w:left w:val="nil"/>
              <w:bottom w:val="single" w:sz="4" w:space="0" w:color="auto"/>
              <w:right w:val="single" w:sz="4" w:space="0" w:color="auto"/>
            </w:tcBorders>
            <w:shd w:val="clear" w:color="auto" w:fill="auto"/>
            <w:noWrap/>
            <w:hideMark/>
          </w:tcPr>
          <w:p w14:paraId="334546B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2.933.521</w:t>
            </w:r>
          </w:p>
        </w:tc>
        <w:tc>
          <w:tcPr>
            <w:tcW w:w="567" w:type="dxa"/>
            <w:tcBorders>
              <w:top w:val="nil"/>
              <w:left w:val="nil"/>
              <w:bottom w:val="single" w:sz="4" w:space="0" w:color="auto"/>
              <w:right w:val="single" w:sz="4" w:space="0" w:color="auto"/>
            </w:tcBorders>
            <w:shd w:val="clear" w:color="auto" w:fill="auto"/>
            <w:noWrap/>
            <w:hideMark/>
          </w:tcPr>
          <w:p w14:paraId="03B67AC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63,31</w:t>
            </w:r>
          </w:p>
        </w:tc>
        <w:tc>
          <w:tcPr>
            <w:tcW w:w="850" w:type="dxa"/>
            <w:tcBorders>
              <w:top w:val="nil"/>
              <w:left w:val="nil"/>
              <w:bottom w:val="single" w:sz="4" w:space="0" w:color="auto"/>
              <w:right w:val="single" w:sz="4" w:space="0" w:color="auto"/>
            </w:tcBorders>
            <w:shd w:val="clear" w:color="auto" w:fill="auto"/>
            <w:noWrap/>
            <w:hideMark/>
          </w:tcPr>
          <w:p w14:paraId="0A90E2C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1.671.607</w:t>
            </w:r>
          </w:p>
        </w:tc>
        <w:tc>
          <w:tcPr>
            <w:tcW w:w="709" w:type="dxa"/>
            <w:tcBorders>
              <w:top w:val="nil"/>
              <w:left w:val="nil"/>
              <w:bottom w:val="single" w:sz="4" w:space="0" w:color="auto"/>
              <w:right w:val="single" w:sz="8" w:space="0" w:color="auto"/>
            </w:tcBorders>
            <w:shd w:val="clear" w:color="auto" w:fill="auto"/>
            <w:noWrap/>
            <w:hideMark/>
          </w:tcPr>
          <w:p w14:paraId="7358FF3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185.734</w:t>
            </w:r>
          </w:p>
        </w:tc>
        <w:tc>
          <w:tcPr>
            <w:tcW w:w="851" w:type="dxa"/>
            <w:tcBorders>
              <w:top w:val="nil"/>
              <w:left w:val="single" w:sz="4" w:space="0" w:color="auto"/>
              <w:bottom w:val="single" w:sz="4" w:space="0" w:color="auto"/>
              <w:right w:val="single" w:sz="4" w:space="0" w:color="auto"/>
            </w:tcBorders>
            <w:shd w:val="clear" w:color="auto" w:fill="auto"/>
            <w:noWrap/>
            <w:hideMark/>
          </w:tcPr>
          <w:p w14:paraId="3844357A" w14:textId="7DFD9F7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32.798</w:t>
            </w:r>
          </w:p>
        </w:tc>
      </w:tr>
      <w:tr w:rsidR="005C332D" w:rsidRPr="003F6E51" w14:paraId="1FC3D88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8E064C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w:t>
            </w:r>
          </w:p>
        </w:tc>
        <w:tc>
          <w:tcPr>
            <w:tcW w:w="2213" w:type="dxa"/>
            <w:tcBorders>
              <w:top w:val="nil"/>
              <w:left w:val="single" w:sz="8" w:space="0" w:color="auto"/>
              <w:bottom w:val="single" w:sz="4" w:space="0" w:color="auto"/>
              <w:right w:val="single" w:sz="8" w:space="0" w:color="auto"/>
            </w:tcBorders>
            <w:shd w:val="clear" w:color="auto" w:fill="auto"/>
            <w:noWrap/>
            <w:hideMark/>
          </w:tcPr>
          <w:p w14:paraId="4386CDA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SEČANJ</w:t>
            </w:r>
          </w:p>
        </w:tc>
        <w:tc>
          <w:tcPr>
            <w:tcW w:w="850" w:type="dxa"/>
            <w:tcBorders>
              <w:top w:val="nil"/>
              <w:left w:val="nil"/>
              <w:bottom w:val="single" w:sz="4" w:space="0" w:color="auto"/>
              <w:right w:val="single" w:sz="4" w:space="0" w:color="auto"/>
            </w:tcBorders>
            <w:shd w:val="clear" w:color="000000" w:fill="FFFFFF"/>
            <w:noWrap/>
            <w:hideMark/>
          </w:tcPr>
          <w:p w14:paraId="258B81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11444</w:t>
            </w:r>
          </w:p>
        </w:tc>
        <w:tc>
          <w:tcPr>
            <w:tcW w:w="709" w:type="dxa"/>
            <w:tcBorders>
              <w:top w:val="nil"/>
              <w:left w:val="nil"/>
              <w:bottom w:val="single" w:sz="4" w:space="0" w:color="auto"/>
              <w:right w:val="single" w:sz="8" w:space="0" w:color="auto"/>
            </w:tcBorders>
            <w:shd w:val="clear" w:color="000000" w:fill="FFFFFF"/>
            <w:noWrap/>
            <w:hideMark/>
          </w:tcPr>
          <w:p w14:paraId="73E7F74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0,24</w:t>
            </w:r>
          </w:p>
        </w:tc>
        <w:tc>
          <w:tcPr>
            <w:tcW w:w="567" w:type="dxa"/>
            <w:tcBorders>
              <w:top w:val="nil"/>
              <w:left w:val="nil"/>
              <w:bottom w:val="single" w:sz="4" w:space="0" w:color="auto"/>
              <w:right w:val="single" w:sz="4" w:space="0" w:color="auto"/>
            </w:tcBorders>
            <w:shd w:val="clear" w:color="000000" w:fill="FFFFFF"/>
            <w:noWrap/>
            <w:hideMark/>
          </w:tcPr>
          <w:p w14:paraId="2505A39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523</w:t>
            </w:r>
          </w:p>
        </w:tc>
        <w:tc>
          <w:tcPr>
            <w:tcW w:w="709" w:type="dxa"/>
            <w:tcBorders>
              <w:top w:val="nil"/>
              <w:left w:val="nil"/>
              <w:bottom w:val="single" w:sz="4" w:space="0" w:color="auto"/>
              <w:right w:val="single" w:sz="8" w:space="0" w:color="auto"/>
            </w:tcBorders>
            <w:shd w:val="clear" w:color="000000" w:fill="FFFFFF"/>
            <w:noWrap/>
            <w:hideMark/>
          </w:tcPr>
          <w:p w14:paraId="646211C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0,98</w:t>
            </w:r>
          </w:p>
        </w:tc>
        <w:tc>
          <w:tcPr>
            <w:tcW w:w="850" w:type="dxa"/>
            <w:tcBorders>
              <w:top w:val="nil"/>
              <w:left w:val="nil"/>
              <w:bottom w:val="single" w:sz="4" w:space="0" w:color="auto"/>
              <w:right w:val="single" w:sz="4" w:space="0" w:color="auto"/>
            </w:tcBorders>
            <w:shd w:val="clear" w:color="000000" w:fill="FFFFFF"/>
            <w:noWrap/>
            <w:hideMark/>
          </w:tcPr>
          <w:p w14:paraId="214FE58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1125C37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70C8680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534B861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3633CE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73,94</w:t>
            </w:r>
          </w:p>
        </w:tc>
        <w:tc>
          <w:tcPr>
            <w:tcW w:w="851" w:type="dxa"/>
            <w:tcBorders>
              <w:top w:val="nil"/>
              <w:left w:val="nil"/>
              <w:bottom w:val="single" w:sz="4" w:space="0" w:color="auto"/>
              <w:right w:val="single" w:sz="4" w:space="0" w:color="auto"/>
            </w:tcBorders>
            <w:shd w:val="clear" w:color="auto" w:fill="auto"/>
            <w:noWrap/>
            <w:hideMark/>
          </w:tcPr>
          <w:p w14:paraId="6125288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0,0054</w:t>
            </w:r>
          </w:p>
        </w:tc>
        <w:tc>
          <w:tcPr>
            <w:tcW w:w="1134" w:type="dxa"/>
            <w:tcBorders>
              <w:top w:val="nil"/>
              <w:left w:val="nil"/>
              <w:bottom w:val="single" w:sz="4" w:space="0" w:color="auto"/>
              <w:right w:val="single" w:sz="4" w:space="0" w:color="auto"/>
            </w:tcBorders>
            <w:shd w:val="clear" w:color="000000" w:fill="C6E0B4"/>
            <w:noWrap/>
            <w:hideMark/>
          </w:tcPr>
          <w:p w14:paraId="6990105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1.474.939</w:t>
            </w:r>
          </w:p>
        </w:tc>
        <w:tc>
          <w:tcPr>
            <w:tcW w:w="992" w:type="dxa"/>
            <w:tcBorders>
              <w:top w:val="nil"/>
              <w:left w:val="nil"/>
              <w:bottom w:val="single" w:sz="4" w:space="0" w:color="auto"/>
              <w:right w:val="single" w:sz="4" w:space="0" w:color="auto"/>
            </w:tcBorders>
            <w:shd w:val="clear" w:color="auto" w:fill="auto"/>
            <w:noWrap/>
            <w:hideMark/>
          </w:tcPr>
          <w:p w14:paraId="56CECE6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468.685</w:t>
            </w:r>
          </w:p>
        </w:tc>
        <w:tc>
          <w:tcPr>
            <w:tcW w:w="567" w:type="dxa"/>
            <w:tcBorders>
              <w:top w:val="nil"/>
              <w:left w:val="nil"/>
              <w:bottom w:val="single" w:sz="4" w:space="0" w:color="auto"/>
              <w:right w:val="single" w:sz="4" w:space="0" w:color="auto"/>
            </w:tcBorders>
            <w:shd w:val="clear" w:color="auto" w:fill="auto"/>
            <w:noWrap/>
            <w:hideMark/>
          </w:tcPr>
          <w:p w14:paraId="56D0996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314,70</w:t>
            </w:r>
          </w:p>
        </w:tc>
        <w:tc>
          <w:tcPr>
            <w:tcW w:w="850" w:type="dxa"/>
            <w:tcBorders>
              <w:top w:val="nil"/>
              <w:left w:val="nil"/>
              <w:bottom w:val="single" w:sz="4" w:space="0" w:color="auto"/>
              <w:right w:val="single" w:sz="4" w:space="0" w:color="auto"/>
            </w:tcBorders>
            <w:shd w:val="clear" w:color="auto" w:fill="auto"/>
            <w:noWrap/>
            <w:hideMark/>
          </w:tcPr>
          <w:p w14:paraId="1B9B1FA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1.327.445</w:t>
            </w:r>
          </w:p>
        </w:tc>
        <w:tc>
          <w:tcPr>
            <w:tcW w:w="709" w:type="dxa"/>
            <w:tcBorders>
              <w:top w:val="nil"/>
              <w:left w:val="nil"/>
              <w:bottom w:val="single" w:sz="4" w:space="0" w:color="auto"/>
              <w:right w:val="single" w:sz="8" w:space="0" w:color="auto"/>
            </w:tcBorders>
            <w:shd w:val="clear" w:color="auto" w:fill="auto"/>
            <w:noWrap/>
            <w:hideMark/>
          </w:tcPr>
          <w:p w14:paraId="291910F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147.494</w:t>
            </w:r>
          </w:p>
        </w:tc>
        <w:tc>
          <w:tcPr>
            <w:tcW w:w="851" w:type="dxa"/>
            <w:tcBorders>
              <w:top w:val="nil"/>
              <w:left w:val="single" w:sz="4" w:space="0" w:color="auto"/>
              <w:bottom w:val="single" w:sz="4" w:space="0" w:color="auto"/>
              <w:right w:val="single" w:sz="4" w:space="0" w:color="auto"/>
            </w:tcBorders>
            <w:shd w:val="clear" w:color="auto" w:fill="auto"/>
            <w:noWrap/>
            <w:hideMark/>
          </w:tcPr>
          <w:p w14:paraId="41ACDDC0" w14:textId="785C4E7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115.995</w:t>
            </w:r>
          </w:p>
        </w:tc>
      </w:tr>
      <w:tr w:rsidR="005C332D" w:rsidRPr="003F6E51" w14:paraId="2EE97E5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3757963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2213" w:type="dxa"/>
            <w:tcBorders>
              <w:top w:val="nil"/>
              <w:left w:val="single" w:sz="8" w:space="0" w:color="auto"/>
              <w:bottom w:val="single" w:sz="4" w:space="0" w:color="auto"/>
              <w:right w:val="single" w:sz="8" w:space="0" w:color="auto"/>
            </w:tcBorders>
            <w:shd w:val="clear" w:color="auto" w:fill="auto"/>
            <w:noWrap/>
            <w:hideMark/>
          </w:tcPr>
          <w:p w14:paraId="362A21D5"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SENTA</w:t>
            </w:r>
          </w:p>
        </w:tc>
        <w:tc>
          <w:tcPr>
            <w:tcW w:w="850" w:type="dxa"/>
            <w:tcBorders>
              <w:top w:val="nil"/>
              <w:left w:val="nil"/>
              <w:bottom w:val="single" w:sz="4" w:space="0" w:color="auto"/>
              <w:right w:val="single" w:sz="4" w:space="0" w:color="auto"/>
            </w:tcBorders>
            <w:shd w:val="clear" w:color="000000" w:fill="FFFFFF"/>
            <w:noWrap/>
            <w:hideMark/>
          </w:tcPr>
          <w:p w14:paraId="0960B32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21376</w:t>
            </w:r>
          </w:p>
        </w:tc>
        <w:tc>
          <w:tcPr>
            <w:tcW w:w="709" w:type="dxa"/>
            <w:tcBorders>
              <w:top w:val="nil"/>
              <w:left w:val="nil"/>
              <w:bottom w:val="single" w:sz="4" w:space="0" w:color="auto"/>
              <w:right w:val="single" w:sz="8" w:space="0" w:color="auto"/>
            </w:tcBorders>
            <w:shd w:val="clear" w:color="000000" w:fill="FFFFFF"/>
            <w:noWrap/>
            <w:hideMark/>
          </w:tcPr>
          <w:p w14:paraId="5DC5EA0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0,45</w:t>
            </w:r>
          </w:p>
        </w:tc>
        <w:tc>
          <w:tcPr>
            <w:tcW w:w="567" w:type="dxa"/>
            <w:tcBorders>
              <w:top w:val="nil"/>
              <w:left w:val="nil"/>
              <w:bottom w:val="single" w:sz="4" w:space="0" w:color="auto"/>
              <w:right w:val="single" w:sz="4" w:space="0" w:color="auto"/>
            </w:tcBorders>
            <w:shd w:val="clear" w:color="000000" w:fill="FFFFFF"/>
            <w:noWrap/>
            <w:hideMark/>
          </w:tcPr>
          <w:p w14:paraId="0CAF3ED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294</w:t>
            </w:r>
          </w:p>
        </w:tc>
        <w:tc>
          <w:tcPr>
            <w:tcW w:w="709" w:type="dxa"/>
            <w:tcBorders>
              <w:top w:val="nil"/>
              <w:left w:val="nil"/>
              <w:bottom w:val="single" w:sz="4" w:space="0" w:color="auto"/>
              <w:right w:val="single" w:sz="8" w:space="0" w:color="auto"/>
            </w:tcBorders>
            <w:shd w:val="clear" w:color="000000" w:fill="FFFFFF"/>
            <w:noWrap/>
            <w:hideMark/>
          </w:tcPr>
          <w:p w14:paraId="3A09CDF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0,55</w:t>
            </w:r>
          </w:p>
        </w:tc>
        <w:tc>
          <w:tcPr>
            <w:tcW w:w="850" w:type="dxa"/>
            <w:tcBorders>
              <w:top w:val="nil"/>
              <w:left w:val="nil"/>
              <w:bottom w:val="single" w:sz="4" w:space="0" w:color="auto"/>
              <w:right w:val="single" w:sz="4" w:space="0" w:color="auto"/>
            </w:tcBorders>
            <w:shd w:val="clear" w:color="000000" w:fill="FFFFFF"/>
            <w:noWrap/>
            <w:hideMark/>
          </w:tcPr>
          <w:p w14:paraId="252E4D4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7C565A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17E0A0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F809E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244BBC4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46,61</w:t>
            </w:r>
          </w:p>
        </w:tc>
        <w:tc>
          <w:tcPr>
            <w:tcW w:w="851" w:type="dxa"/>
            <w:tcBorders>
              <w:top w:val="nil"/>
              <w:left w:val="nil"/>
              <w:bottom w:val="single" w:sz="4" w:space="0" w:color="auto"/>
              <w:right w:val="single" w:sz="4" w:space="0" w:color="auto"/>
            </w:tcBorders>
            <w:shd w:val="clear" w:color="auto" w:fill="auto"/>
            <w:noWrap/>
            <w:hideMark/>
          </w:tcPr>
          <w:p w14:paraId="0882DE7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0,0034</w:t>
            </w:r>
          </w:p>
        </w:tc>
        <w:tc>
          <w:tcPr>
            <w:tcW w:w="1134" w:type="dxa"/>
            <w:tcBorders>
              <w:top w:val="nil"/>
              <w:left w:val="nil"/>
              <w:bottom w:val="single" w:sz="4" w:space="0" w:color="auto"/>
              <w:right w:val="single" w:sz="4" w:space="0" w:color="auto"/>
            </w:tcBorders>
            <w:shd w:val="clear" w:color="000000" w:fill="C6E0B4"/>
            <w:noWrap/>
            <w:hideMark/>
          </w:tcPr>
          <w:p w14:paraId="1F9D399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929.711</w:t>
            </w:r>
          </w:p>
        </w:tc>
        <w:tc>
          <w:tcPr>
            <w:tcW w:w="992" w:type="dxa"/>
            <w:tcBorders>
              <w:top w:val="nil"/>
              <w:left w:val="nil"/>
              <w:bottom w:val="single" w:sz="4" w:space="0" w:color="auto"/>
              <w:right w:val="single" w:sz="4" w:space="0" w:color="auto"/>
            </w:tcBorders>
            <w:shd w:val="clear" w:color="auto" w:fill="auto"/>
            <w:noWrap/>
            <w:hideMark/>
          </w:tcPr>
          <w:p w14:paraId="6DB674A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1.027.964</w:t>
            </w:r>
          </w:p>
        </w:tc>
        <w:tc>
          <w:tcPr>
            <w:tcW w:w="567" w:type="dxa"/>
            <w:tcBorders>
              <w:top w:val="nil"/>
              <w:left w:val="nil"/>
              <w:bottom w:val="single" w:sz="4" w:space="0" w:color="auto"/>
              <w:right w:val="single" w:sz="4" w:space="0" w:color="auto"/>
            </w:tcBorders>
            <w:shd w:val="clear" w:color="auto" w:fill="auto"/>
            <w:noWrap/>
            <w:hideMark/>
          </w:tcPr>
          <w:p w14:paraId="0BA6D42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90,44</w:t>
            </w:r>
          </w:p>
        </w:tc>
        <w:tc>
          <w:tcPr>
            <w:tcW w:w="850" w:type="dxa"/>
            <w:tcBorders>
              <w:top w:val="nil"/>
              <w:left w:val="nil"/>
              <w:bottom w:val="single" w:sz="4" w:space="0" w:color="auto"/>
              <w:right w:val="single" w:sz="4" w:space="0" w:color="auto"/>
            </w:tcBorders>
            <w:shd w:val="clear" w:color="auto" w:fill="auto"/>
            <w:noWrap/>
            <w:hideMark/>
          </w:tcPr>
          <w:p w14:paraId="1A24FA8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836.740</w:t>
            </w:r>
          </w:p>
        </w:tc>
        <w:tc>
          <w:tcPr>
            <w:tcW w:w="709" w:type="dxa"/>
            <w:tcBorders>
              <w:top w:val="nil"/>
              <w:left w:val="nil"/>
              <w:bottom w:val="single" w:sz="4" w:space="0" w:color="auto"/>
              <w:right w:val="single" w:sz="8" w:space="0" w:color="auto"/>
            </w:tcBorders>
            <w:shd w:val="clear" w:color="auto" w:fill="auto"/>
            <w:noWrap/>
            <w:hideMark/>
          </w:tcPr>
          <w:p w14:paraId="17AC3FF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92.971</w:t>
            </w:r>
          </w:p>
        </w:tc>
        <w:tc>
          <w:tcPr>
            <w:tcW w:w="851" w:type="dxa"/>
            <w:tcBorders>
              <w:top w:val="nil"/>
              <w:left w:val="single" w:sz="4" w:space="0" w:color="auto"/>
              <w:bottom w:val="single" w:sz="4" w:space="0" w:color="auto"/>
              <w:right w:val="single" w:sz="4" w:space="0" w:color="auto"/>
            </w:tcBorders>
            <w:shd w:val="clear" w:color="auto" w:fill="auto"/>
            <w:noWrap/>
            <w:hideMark/>
          </w:tcPr>
          <w:p w14:paraId="461F0401" w14:textId="083BDD3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39.144</w:t>
            </w:r>
          </w:p>
        </w:tc>
      </w:tr>
      <w:tr w:rsidR="005C332D" w:rsidRPr="003F6E51" w14:paraId="5F39BAC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E9FCF1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111</w:t>
            </w:r>
          </w:p>
        </w:tc>
        <w:tc>
          <w:tcPr>
            <w:tcW w:w="2213" w:type="dxa"/>
            <w:tcBorders>
              <w:top w:val="nil"/>
              <w:left w:val="single" w:sz="8" w:space="0" w:color="auto"/>
              <w:bottom w:val="single" w:sz="4" w:space="0" w:color="auto"/>
              <w:right w:val="single" w:sz="8" w:space="0" w:color="auto"/>
            </w:tcBorders>
            <w:shd w:val="clear" w:color="auto" w:fill="auto"/>
            <w:noWrap/>
            <w:hideMark/>
          </w:tcPr>
          <w:p w14:paraId="63D904F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SRBOBRAN</w:t>
            </w:r>
          </w:p>
        </w:tc>
        <w:tc>
          <w:tcPr>
            <w:tcW w:w="850" w:type="dxa"/>
            <w:tcBorders>
              <w:top w:val="nil"/>
              <w:left w:val="nil"/>
              <w:bottom w:val="single" w:sz="4" w:space="0" w:color="auto"/>
              <w:right w:val="single" w:sz="4" w:space="0" w:color="auto"/>
            </w:tcBorders>
            <w:shd w:val="clear" w:color="000000" w:fill="FFFFFF"/>
            <w:noWrap/>
            <w:hideMark/>
          </w:tcPr>
          <w:p w14:paraId="179F6BF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15255</w:t>
            </w:r>
          </w:p>
        </w:tc>
        <w:tc>
          <w:tcPr>
            <w:tcW w:w="709" w:type="dxa"/>
            <w:tcBorders>
              <w:top w:val="nil"/>
              <w:left w:val="nil"/>
              <w:bottom w:val="single" w:sz="4" w:space="0" w:color="auto"/>
              <w:right w:val="single" w:sz="8" w:space="0" w:color="auto"/>
            </w:tcBorders>
            <w:shd w:val="clear" w:color="000000" w:fill="FFFFFF"/>
            <w:noWrap/>
            <w:hideMark/>
          </w:tcPr>
          <w:p w14:paraId="59FEABF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0,32</w:t>
            </w:r>
          </w:p>
        </w:tc>
        <w:tc>
          <w:tcPr>
            <w:tcW w:w="567" w:type="dxa"/>
            <w:tcBorders>
              <w:top w:val="nil"/>
              <w:left w:val="nil"/>
              <w:bottom w:val="single" w:sz="4" w:space="0" w:color="auto"/>
              <w:right w:val="single" w:sz="4" w:space="0" w:color="auto"/>
            </w:tcBorders>
            <w:shd w:val="clear" w:color="000000" w:fill="FFFFFF"/>
            <w:noWrap/>
            <w:hideMark/>
          </w:tcPr>
          <w:p w14:paraId="1A18018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284</w:t>
            </w:r>
          </w:p>
        </w:tc>
        <w:tc>
          <w:tcPr>
            <w:tcW w:w="709" w:type="dxa"/>
            <w:tcBorders>
              <w:top w:val="nil"/>
              <w:left w:val="nil"/>
              <w:bottom w:val="single" w:sz="4" w:space="0" w:color="auto"/>
              <w:right w:val="single" w:sz="8" w:space="0" w:color="auto"/>
            </w:tcBorders>
            <w:shd w:val="clear" w:color="000000" w:fill="FFFFFF"/>
            <w:noWrap/>
            <w:hideMark/>
          </w:tcPr>
          <w:p w14:paraId="25FEF62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0,53</w:t>
            </w:r>
          </w:p>
        </w:tc>
        <w:tc>
          <w:tcPr>
            <w:tcW w:w="850" w:type="dxa"/>
            <w:tcBorders>
              <w:top w:val="nil"/>
              <w:left w:val="nil"/>
              <w:bottom w:val="single" w:sz="4" w:space="0" w:color="auto"/>
              <w:right w:val="single" w:sz="4" w:space="0" w:color="auto"/>
            </w:tcBorders>
            <w:shd w:val="clear" w:color="000000" w:fill="FFFFFF"/>
            <w:noWrap/>
            <w:hideMark/>
          </w:tcPr>
          <w:p w14:paraId="4136F24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3F9E7D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553FC63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AA540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097BC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65,57</w:t>
            </w:r>
          </w:p>
        </w:tc>
        <w:tc>
          <w:tcPr>
            <w:tcW w:w="851" w:type="dxa"/>
            <w:tcBorders>
              <w:top w:val="nil"/>
              <w:left w:val="nil"/>
              <w:bottom w:val="single" w:sz="4" w:space="0" w:color="auto"/>
              <w:right w:val="single" w:sz="4" w:space="0" w:color="auto"/>
            </w:tcBorders>
            <w:shd w:val="clear" w:color="auto" w:fill="auto"/>
            <w:noWrap/>
            <w:hideMark/>
          </w:tcPr>
          <w:p w14:paraId="5829F23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0,0048</w:t>
            </w:r>
          </w:p>
        </w:tc>
        <w:tc>
          <w:tcPr>
            <w:tcW w:w="1134" w:type="dxa"/>
            <w:tcBorders>
              <w:top w:val="nil"/>
              <w:left w:val="nil"/>
              <w:bottom w:val="single" w:sz="4" w:space="0" w:color="auto"/>
              <w:right w:val="single" w:sz="4" w:space="0" w:color="auto"/>
            </w:tcBorders>
            <w:shd w:val="clear" w:color="000000" w:fill="C6E0B4"/>
            <w:noWrap/>
            <w:hideMark/>
          </w:tcPr>
          <w:p w14:paraId="5C3D5B1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1.308.112</w:t>
            </w:r>
          </w:p>
        </w:tc>
        <w:tc>
          <w:tcPr>
            <w:tcW w:w="992" w:type="dxa"/>
            <w:tcBorders>
              <w:top w:val="nil"/>
              <w:left w:val="nil"/>
              <w:bottom w:val="single" w:sz="4" w:space="0" w:color="auto"/>
              <w:right w:val="single" w:sz="4" w:space="0" w:color="auto"/>
            </w:tcBorders>
            <w:shd w:val="clear" w:color="auto" w:fill="auto"/>
            <w:noWrap/>
            <w:hideMark/>
          </w:tcPr>
          <w:p w14:paraId="38DCF22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830.448</w:t>
            </w:r>
          </w:p>
        </w:tc>
        <w:tc>
          <w:tcPr>
            <w:tcW w:w="567" w:type="dxa"/>
            <w:tcBorders>
              <w:top w:val="nil"/>
              <w:left w:val="nil"/>
              <w:bottom w:val="single" w:sz="4" w:space="0" w:color="auto"/>
              <w:right w:val="single" w:sz="4" w:space="0" w:color="auto"/>
            </w:tcBorders>
            <w:shd w:val="clear" w:color="auto" w:fill="auto"/>
            <w:noWrap/>
            <w:hideMark/>
          </w:tcPr>
          <w:p w14:paraId="0F437A3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157,52</w:t>
            </w:r>
          </w:p>
        </w:tc>
        <w:tc>
          <w:tcPr>
            <w:tcW w:w="850" w:type="dxa"/>
            <w:tcBorders>
              <w:top w:val="nil"/>
              <w:left w:val="nil"/>
              <w:bottom w:val="single" w:sz="4" w:space="0" w:color="auto"/>
              <w:right w:val="single" w:sz="4" w:space="0" w:color="auto"/>
            </w:tcBorders>
            <w:shd w:val="clear" w:color="auto" w:fill="auto"/>
            <w:noWrap/>
            <w:hideMark/>
          </w:tcPr>
          <w:p w14:paraId="2AB58AD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1.177.301</w:t>
            </w:r>
          </w:p>
        </w:tc>
        <w:tc>
          <w:tcPr>
            <w:tcW w:w="709" w:type="dxa"/>
            <w:tcBorders>
              <w:top w:val="nil"/>
              <w:left w:val="nil"/>
              <w:bottom w:val="single" w:sz="4" w:space="0" w:color="auto"/>
              <w:right w:val="single" w:sz="8" w:space="0" w:color="auto"/>
            </w:tcBorders>
            <w:shd w:val="clear" w:color="auto" w:fill="auto"/>
            <w:noWrap/>
            <w:hideMark/>
          </w:tcPr>
          <w:p w14:paraId="119B5C2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130.811</w:t>
            </w:r>
          </w:p>
        </w:tc>
        <w:tc>
          <w:tcPr>
            <w:tcW w:w="851" w:type="dxa"/>
            <w:tcBorders>
              <w:top w:val="nil"/>
              <w:left w:val="single" w:sz="4" w:space="0" w:color="auto"/>
              <w:bottom w:val="single" w:sz="4" w:space="0" w:color="auto"/>
              <w:right w:val="single" w:sz="4" w:space="0" w:color="auto"/>
            </w:tcBorders>
            <w:shd w:val="clear" w:color="auto" w:fill="auto"/>
            <w:noWrap/>
            <w:hideMark/>
          </w:tcPr>
          <w:p w14:paraId="102B110C" w14:textId="7BA3401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77.175</w:t>
            </w:r>
          </w:p>
        </w:tc>
      </w:tr>
      <w:tr w:rsidR="005C332D" w:rsidRPr="003F6E51" w14:paraId="3AAD162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44BF075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112</w:t>
            </w:r>
          </w:p>
        </w:tc>
        <w:tc>
          <w:tcPr>
            <w:tcW w:w="2213" w:type="dxa"/>
            <w:tcBorders>
              <w:top w:val="nil"/>
              <w:left w:val="single" w:sz="8" w:space="0" w:color="auto"/>
              <w:bottom w:val="single" w:sz="4" w:space="0" w:color="auto"/>
              <w:right w:val="single" w:sz="8" w:space="0" w:color="auto"/>
            </w:tcBorders>
            <w:shd w:val="clear" w:color="auto" w:fill="auto"/>
            <w:noWrap/>
            <w:hideMark/>
          </w:tcPr>
          <w:p w14:paraId="6F8A2E8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STARA PAZOVA</w:t>
            </w:r>
          </w:p>
        </w:tc>
        <w:tc>
          <w:tcPr>
            <w:tcW w:w="850" w:type="dxa"/>
            <w:tcBorders>
              <w:top w:val="nil"/>
              <w:left w:val="nil"/>
              <w:bottom w:val="single" w:sz="4" w:space="0" w:color="auto"/>
              <w:right w:val="single" w:sz="4" w:space="0" w:color="auto"/>
            </w:tcBorders>
            <w:shd w:val="clear" w:color="000000" w:fill="FFFFFF"/>
            <w:noWrap/>
            <w:hideMark/>
          </w:tcPr>
          <w:p w14:paraId="2329117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64677</w:t>
            </w:r>
          </w:p>
        </w:tc>
        <w:tc>
          <w:tcPr>
            <w:tcW w:w="709" w:type="dxa"/>
            <w:tcBorders>
              <w:top w:val="nil"/>
              <w:left w:val="nil"/>
              <w:bottom w:val="single" w:sz="4" w:space="0" w:color="auto"/>
              <w:right w:val="single" w:sz="8" w:space="0" w:color="auto"/>
            </w:tcBorders>
            <w:shd w:val="clear" w:color="000000" w:fill="FFFFFF"/>
            <w:noWrap/>
            <w:hideMark/>
          </w:tcPr>
          <w:p w14:paraId="7990FE0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1,36</w:t>
            </w:r>
          </w:p>
        </w:tc>
        <w:tc>
          <w:tcPr>
            <w:tcW w:w="567" w:type="dxa"/>
            <w:tcBorders>
              <w:top w:val="nil"/>
              <w:left w:val="nil"/>
              <w:bottom w:val="single" w:sz="4" w:space="0" w:color="auto"/>
              <w:right w:val="single" w:sz="4" w:space="0" w:color="auto"/>
            </w:tcBorders>
            <w:shd w:val="clear" w:color="000000" w:fill="FFFFFF"/>
            <w:noWrap/>
            <w:hideMark/>
          </w:tcPr>
          <w:p w14:paraId="4A6EBBB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350</w:t>
            </w:r>
          </w:p>
        </w:tc>
        <w:tc>
          <w:tcPr>
            <w:tcW w:w="709" w:type="dxa"/>
            <w:tcBorders>
              <w:top w:val="nil"/>
              <w:left w:val="nil"/>
              <w:bottom w:val="single" w:sz="4" w:space="0" w:color="auto"/>
              <w:right w:val="single" w:sz="8" w:space="0" w:color="auto"/>
            </w:tcBorders>
            <w:shd w:val="clear" w:color="000000" w:fill="FFFFFF"/>
            <w:noWrap/>
            <w:hideMark/>
          </w:tcPr>
          <w:p w14:paraId="152465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0,65</w:t>
            </w:r>
          </w:p>
        </w:tc>
        <w:tc>
          <w:tcPr>
            <w:tcW w:w="850" w:type="dxa"/>
            <w:tcBorders>
              <w:top w:val="nil"/>
              <w:left w:val="nil"/>
              <w:bottom w:val="single" w:sz="4" w:space="0" w:color="auto"/>
              <w:right w:val="single" w:sz="4" w:space="0" w:color="auto"/>
            </w:tcBorders>
            <w:shd w:val="clear" w:color="000000" w:fill="FFFFFF"/>
            <w:noWrap/>
            <w:hideMark/>
          </w:tcPr>
          <w:p w14:paraId="306508A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2F09FD6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2D4B599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3EB8FBC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599EE54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80,38</w:t>
            </w:r>
          </w:p>
        </w:tc>
        <w:tc>
          <w:tcPr>
            <w:tcW w:w="851" w:type="dxa"/>
            <w:tcBorders>
              <w:top w:val="nil"/>
              <w:left w:val="nil"/>
              <w:bottom w:val="single" w:sz="4" w:space="0" w:color="auto"/>
              <w:right w:val="single" w:sz="4" w:space="0" w:color="auto"/>
            </w:tcBorders>
            <w:shd w:val="clear" w:color="auto" w:fill="auto"/>
            <w:noWrap/>
            <w:hideMark/>
          </w:tcPr>
          <w:p w14:paraId="3FCF415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0,0059</w:t>
            </w:r>
          </w:p>
        </w:tc>
        <w:tc>
          <w:tcPr>
            <w:tcW w:w="1134" w:type="dxa"/>
            <w:tcBorders>
              <w:top w:val="nil"/>
              <w:left w:val="nil"/>
              <w:bottom w:val="single" w:sz="4" w:space="0" w:color="auto"/>
              <w:right w:val="single" w:sz="4" w:space="0" w:color="auto"/>
            </w:tcBorders>
            <w:shd w:val="clear" w:color="000000" w:fill="C6E0B4"/>
            <w:noWrap/>
            <w:hideMark/>
          </w:tcPr>
          <w:p w14:paraId="0D0A914F"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1.603.542</w:t>
            </w:r>
          </w:p>
        </w:tc>
        <w:tc>
          <w:tcPr>
            <w:tcW w:w="992" w:type="dxa"/>
            <w:tcBorders>
              <w:top w:val="nil"/>
              <w:left w:val="nil"/>
              <w:bottom w:val="single" w:sz="4" w:space="0" w:color="auto"/>
              <w:right w:val="single" w:sz="4" w:space="0" w:color="auto"/>
            </w:tcBorders>
            <w:shd w:val="clear" w:color="auto" w:fill="auto"/>
            <w:noWrap/>
            <w:hideMark/>
          </w:tcPr>
          <w:p w14:paraId="697529F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3.354.914</w:t>
            </w:r>
          </w:p>
        </w:tc>
        <w:tc>
          <w:tcPr>
            <w:tcW w:w="567" w:type="dxa"/>
            <w:tcBorders>
              <w:top w:val="nil"/>
              <w:left w:val="nil"/>
              <w:bottom w:val="single" w:sz="4" w:space="0" w:color="auto"/>
              <w:right w:val="single" w:sz="4" w:space="0" w:color="auto"/>
            </w:tcBorders>
            <w:shd w:val="clear" w:color="auto" w:fill="auto"/>
            <w:noWrap/>
            <w:hideMark/>
          </w:tcPr>
          <w:p w14:paraId="4ED8A1C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47,80</w:t>
            </w:r>
          </w:p>
        </w:tc>
        <w:tc>
          <w:tcPr>
            <w:tcW w:w="850" w:type="dxa"/>
            <w:tcBorders>
              <w:top w:val="nil"/>
              <w:left w:val="nil"/>
              <w:bottom w:val="single" w:sz="4" w:space="0" w:color="auto"/>
              <w:right w:val="single" w:sz="4" w:space="0" w:color="auto"/>
            </w:tcBorders>
            <w:shd w:val="clear" w:color="auto" w:fill="auto"/>
            <w:noWrap/>
            <w:hideMark/>
          </w:tcPr>
          <w:p w14:paraId="67C34B7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1.443.187</w:t>
            </w:r>
          </w:p>
        </w:tc>
        <w:tc>
          <w:tcPr>
            <w:tcW w:w="709" w:type="dxa"/>
            <w:tcBorders>
              <w:top w:val="nil"/>
              <w:left w:val="nil"/>
              <w:bottom w:val="single" w:sz="4" w:space="0" w:color="auto"/>
              <w:right w:val="single" w:sz="8" w:space="0" w:color="auto"/>
            </w:tcBorders>
            <w:shd w:val="clear" w:color="auto" w:fill="auto"/>
            <w:noWrap/>
            <w:hideMark/>
          </w:tcPr>
          <w:p w14:paraId="4A3253C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160.354</w:t>
            </w:r>
          </w:p>
        </w:tc>
        <w:tc>
          <w:tcPr>
            <w:tcW w:w="851" w:type="dxa"/>
            <w:tcBorders>
              <w:top w:val="nil"/>
              <w:left w:val="single" w:sz="4" w:space="0" w:color="auto"/>
              <w:bottom w:val="single" w:sz="4" w:space="0" w:color="auto"/>
              <w:right w:val="single" w:sz="4" w:space="0" w:color="auto"/>
            </w:tcBorders>
            <w:shd w:val="clear" w:color="auto" w:fill="auto"/>
            <w:noWrap/>
            <w:hideMark/>
          </w:tcPr>
          <w:p w14:paraId="07C5647F" w14:textId="40DF289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22.314</w:t>
            </w:r>
          </w:p>
        </w:tc>
      </w:tr>
      <w:tr w:rsidR="005C332D" w:rsidRPr="003F6E51" w14:paraId="00D84AD1"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D36E07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113</w:t>
            </w:r>
          </w:p>
        </w:tc>
        <w:tc>
          <w:tcPr>
            <w:tcW w:w="2213" w:type="dxa"/>
            <w:tcBorders>
              <w:top w:val="nil"/>
              <w:left w:val="single" w:sz="8" w:space="0" w:color="auto"/>
              <w:bottom w:val="single" w:sz="4" w:space="0" w:color="auto"/>
              <w:right w:val="single" w:sz="8" w:space="0" w:color="auto"/>
            </w:tcBorders>
            <w:shd w:val="clear" w:color="auto" w:fill="auto"/>
            <w:noWrap/>
            <w:hideMark/>
          </w:tcPr>
          <w:p w14:paraId="5D4DB4A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ŠID</w:t>
            </w:r>
          </w:p>
        </w:tc>
        <w:tc>
          <w:tcPr>
            <w:tcW w:w="850" w:type="dxa"/>
            <w:tcBorders>
              <w:top w:val="nil"/>
              <w:left w:val="nil"/>
              <w:bottom w:val="single" w:sz="4" w:space="0" w:color="auto"/>
              <w:right w:val="single" w:sz="4" w:space="0" w:color="auto"/>
            </w:tcBorders>
            <w:shd w:val="clear" w:color="000000" w:fill="FFFFFF"/>
            <w:noWrap/>
            <w:hideMark/>
          </w:tcPr>
          <w:p w14:paraId="0917735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30643</w:t>
            </w:r>
          </w:p>
        </w:tc>
        <w:tc>
          <w:tcPr>
            <w:tcW w:w="709" w:type="dxa"/>
            <w:tcBorders>
              <w:top w:val="nil"/>
              <w:left w:val="nil"/>
              <w:bottom w:val="single" w:sz="4" w:space="0" w:color="auto"/>
              <w:right w:val="single" w:sz="8" w:space="0" w:color="auto"/>
            </w:tcBorders>
            <w:shd w:val="clear" w:color="000000" w:fill="FFFFFF"/>
            <w:noWrap/>
            <w:hideMark/>
          </w:tcPr>
          <w:p w14:paraId="63AF69F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0,64</w:t>
            </w:r>
          </w:p>
        </w:tc>
        <w:tc>
          <w:tcPr>
            <w:tcW w:w="567" w:type="dxa"/>
            <w:tcBorders>
              <w:top w:val="nil"/>
              <w:left w:val="nil"/>
              <w:bottom w:val="single" w:sz="4" w:space="0" w:color="auto"/>
              <w:right w:val="single" w:sz="4" w:space="0" w:color="auto"/>
            </w:tcBorders>
            <w:shd w:val="clear" w:color="000000" w:fill="FFFFFF"/>
            <w:noWrap/>
            <w:hideMark/>
          </w:tcPr>
          <w:p w14:paraId="5B8172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687</w:t>
            </w:r>
          </w:p>
        </w:tc>
        <w:tc>
          <w:tcPr>
            <w:tcW w:w="709" w:type="dxa"/>
            <w:tcBorders>
              <w:top w:val="nil"/>
              <w:left w:val="nil"/>
              <w:bottom w:val="single" w:sz="4" w:space="0" w:color="auto"/>
              <w:right w:val="single" w:sz="8" w:space="0" w:color="auto"/>
            </w:tcBorders>
            <w:shd w:val="clear" w:color="000000" w:fill="FFFFFF"/>
            <w:noWrap/>
            <w:hideMark/>
          </w:tcPr>
          <w:p w14:paraId="10076C0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1,28</w:t>
            </w:r>
          </w:p>
        </w:tc>
        <w:tc>
          <w:tcPr>
            <w:tcW w:w="850" w:type="dxa"/>
            <w:tcBorders>
              <w:top w:val="nil"/>
              <w:left w:val="nil"/>
              <w:bottom w:val="single" w:sz="4" w:space="0" w:color="auto"/>
              <w:right w:val="single" w:sz="4" w:space="0" w:color="auto"/>
            </w:tcBorders>
            <w:shd w:val="clear" w:color="000000" w:fill="FFFFFF"/>
            <w:noWrap/>
            <w:hideMark/>
          </w:tcPr>
          <w:p w14:paraId="07C7AC9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1235269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1C15A9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061BF8C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7A234EA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95,03</w:t>
            </w:r>
          </w:p>
        </w:tc>
        <w:tc>
          <w:tcPr>
            <w:tcW w:w="851" w:type="dxa"/>
            <w:tcBorders>
              <w:top w:val="nil"/>
              <w:left w:val="nil"/>
              <w:bottom w:val="single" w:sz="4" w:space="0" w:color="auto"/>
              <w:right w:val="single" w:sz="4" w:space="0" w:color="auto"/>
            </w:tcBorders>
            <w:shd w:val="clear" w:color="auto" w:fill="auto"/>
            <w:noWrap/>
            <w:hideMark/>
          </w:tcPr>
          <w:p w14:paraId="378CE8CF"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0,0070</w:t>
            </w:r>
          </w:p>
        </w:tc>
        <w:tc>
          <w:tcPr>
            <w:tcW w:w="1134" w:type="dxa"/>
            <w:tcBorders>
              <w:top w:val="nil"/>
              <w:left w:val="nil"/>
              <w:bottom w:val="single" w:sz="4" w:space="0" w:color="auto"/>
              <w:right w:val="single" w:sz="4" w:space="0" w:color="auto"/>
            </w:tcBorders>
            <w:shd w:val="clear" w:color="000000" w:fill="C6E0B4"/>
            <w:noWrap/>
            <w:hideMark/>
          </w:tcPr>
          <w:p w14:paraId="33CC110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1.895.749</w:t>
            </w:r>
          </w:p>
        </w:tc>
        <w:tc>
          <w:tcPr>
            <w:tcW w:w="992" w:type="dxa"/>
            <w:tcBorders>
              <w:top w:val="nil"/>
              <w:left w:val="nil"/>
              <w:bottom w:val="single" w:sz="4" w:space="0" w:color="auto"/>
              <w:right w:val="single" w:sz="4" w:space="0" w:color="auto"/>
            </w:tcBorders>
            <w:shd w:val="clear" w:color="auto" w:fill="auto"/>
            <w:noWrap/>
            <w:hideMark/>
          </w:tcPr>
          <w:p w14:paraId="36B5625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1.357.758</w:t>
            </w:r>
          </w:p>
        </w:tc>
        <w:tc>
          <w:tcPr>
            <w:tcW w:w="567" w:type="dxa"/>
            <w:tcBorders>
              <w:top w:val="nil"/>
              <w:left w:val="nil"/>
              <w:bottom w:val="single" w:sz="4" w:space="0" w:color="auto"/>
              <w:right w:val="single" w:sz="4" w:space="0" w:color="auto"/>
            </w:tcBorders>
            <w:shd w:val="clear" w:color="auto" w:fill="auto"/>
            <w:noWrap/>
            <w:hideMark/>
          </w:tcPr>
          <w:p w14:paraId="6789F9D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139,62</w:t>
            </w:r>
          </w:p>
        </w:tc>
        <w:tc>
          <w:tcPr>
            <w:tcW w:w="850" w:type="dxa"/>
            <w:tcBorders>
              <w:top w:val="nil"/>
              <w:left w:val="nil"/>
              <w:bottom w:val="single" w:sz="4" w:space="0" w:color="auto"/>
              <w:right w:val="single" w:sz="4" w:space="0" w:color="auto"/>
            </w:tcBorders>
            <w:shd w:val="clear" w:color="auto" w:fill="auto"/>
            <w:noWrap/>
            <w:hideMark/>
          </w:tcPr>
          <w:p w14:paraId="3343B32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1.706.174</w:t>
            </w:r>
          </w:p>
        </w:tc>
        <w:tc>
          <w:tcPr>
            <w:tcW w:w="709" w:type="dxa"/>
            <w:tcBorders>
              <w:top w:val="nil"/>
              <w:left w:val="nil"/>
              <w:bottom w:val="single" w:sz="4" w:space="0" w:color="auto"/>
              <w:right w:val="single" w:sz="8" w:space="0" w:color="auto"/>
            </w:tcBorders>
            <w:shd w:val="clear" w:color="auto" w:fill="auto"/>
            <w:noWrap/>
            <w:hideMark/>
          </w:tcPr>
          <w:p w14:paraId="473DDD6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189.575</w:t>
            </w:r>
          </w:p>
        </w:tc>
        <w:tc>
          <w:tcPr>
            <w:tcW w:w="851" w:type="dxa"/>
            <w:tcBorders>
              <w:top w:val="nil"/>
              <w:left w:val="single" w:sz="4" w:space="0" w:color="auto"/>
              <w:bottom w:val="single" w:sz="4" w:space="0" w:color="auto"/>
              <w:right w:val="single" w:sz="4" w:space="0" w:color="auto"/>
            </w:tcBorders>
            <w:shd w:val="clear" w:color="auto" w:fill="auto"/>
            <w:noWrap/>
            <w:hideMark/>
          </w:tcPr>
          <w:p w14:paraId="2B629AC5" w14:textId="4C243DEF"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55.679</w:t>
            </w:r>
          </w:p>
        </w:tc>
      </w:tr>
      <w:tr w:rsidR="005C332D" w:rsidRPr="003F6E51" w14:paraId="7B0B0B14"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4BADFD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114</w:t>
            </w:r>
          </w:p>
        </w:tc>
        <w:tc>
          <w:tcPr>
            <w:tcW w:w="2213" w:type="dxa"/>
            <w:tcBorders>
              <w:top w:val="nil"/>
              <w:left w:val="single" w:sz="8" w:space="0" w:color="auto"/>
              <w:bottom w:val="single" w:sz="4" w:space="0" w:color="auto"/>
              <w:right w:val="single" w:sz="8" w:space="0" w:color="auto"/>
            </w:tcBorders>
            <w:shd w:val="clear" w:color="auto" w:fill="auto"/>
            <w:noWrap/>
            <w:hideMark/>
          </w:tcPr>
          <w:p w14:paraId="1029D928"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TEMERIN</w:t>
            </w:r>
          </w:p>
        </w:tc>
        <w:tc>
          <w:tcPr>
            <w:tcW w:w="850" w:type="dxa"/>
            <w:tcBorders>
              <w:top w:val="nil"/>
              <w:left w:val="nil"/>
              <w:bottom w:val="single" w:sz="4" w:space="0" w:color="auto"/>
              <w:right w:val="single" w:sz="4" w:space="0" w:color="auto"/>
            </w:tcBorders>
            <w:shd w:val="clear" w:color="000000" w:fill="FFFFFF"/>
            <w:noWrap/>
            <w:hideMark/>
          </w:tcPr>
          <w:p w14:paraId="307C8C4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27629</w:t>
            </w:r>
          </w:p>
        </w:tc>
        <w:tc>
          <w:tcPr>
            <w:tcW w:w="709" w:type="dxa"/>
            <w:tcBorders>
              <w:top w:val="nil"/>
              <w:left w:val="nil"/>
              <w:bottom w:val="single" w:sz="4" w:space="0" w:color="auto"/>
              <w:right w:val="single" w:sz="8" w:space="0" w:color="auto"/>
            </w:tcBorders>
            <w:shd w:val="clear" w:color="000000" w:fill="FFFFFF"/>
            <w:noWrap/>
            <w:hideMark/>
          </w:tcPr>
          <w:p w14:paraId="351ED04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0,58</w:t>
            </w:r>
          </w:p>
        </w:tc>
        <w:tc>
          <w:tcPr>
            <w:tcW w:w="567" w:type="dxa"/>
            <w:tcBorders>
              <w:top w:val="nil"/>
              <w:left w:val="nil"/>
              <w:bottom w:val="single" w:sz="4" w:space="0" w:color="auto"/>
              <w:right w:val="single" w:sz="4" w:space="0" w:color="auto"/>
            </w:tcBorders>
            <w:shd w:val="clear" w:color="000000" w:fill="FFFFFF"/>
            <w:noWrap/>
            <w:hideMark/>
          </w:tcPr>
          <w:p w14:paraId="7A2930B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170</w:t>
            </w:r>
          </w:p>
        </w:tc>
        <w:tc>
          <w:tcPr>
            <w:tcW w:w="709" w:type="dxa"/>
            <w:tcBorders>
              <w:top w:val="nil"/>
              <w:left w:val="nil"/>
              <w:bottom w:val="single" w:sz="4" w:space="0" w:color="auto"/>
              <w:right w:val="single" w:sz="8" w:space="0" w:color="auto"/>
            </w:tcBorders>
            <w:shd w:val="clear" w:color="000000" w:fill="FFFFFF"/>
            <w:noWrap/>
            <w:hideMark/>
          </w:tcPr>
          <w:p w14:paraId="193F84F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0,32</w:t>
            </w:r>
          </w:p>
        </w:tc>
        <w:tc>
          <w:tcPr>
            <w:tcW w:w="850" w:type="dxa"/>
            <w:tcBorders>
              <w:top w:val="nil"/>
              <w:left w:val="nil"/>
              <w:bottom w:val="single" w:sz="4" w:space="0" w:color="auto"/>
              <w:right w:val="single" w:sz="4" w:space="0" w:color="auto"/>
            </w:tcBorders>
            <w:shd w:val="clear" w:color="000000" w:fill="FFFFFF"/>
            <w:noWrap/>
            <w:hideMark/>
          </w:tcPr>
          <w:p w14:paraId="34DBA4C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694E66D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7FCB8D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EFBD58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E3C39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57,38</w:t>
            </w:r>
          </w:p>
        </w:tc>
        <w:tc>
          <w:tcPr>
            <w:tcW w:w="851" w:type="dxa"/>
            <w:tcBorders>
              <w:top w:val="nil"/>
              <w:left w:val="nil"/>
              <w:bottom w:val="single" w:sz="4" w:space="0" w:color="auto"/>
              <w:right w:val="single" w:sz="4" w:space="0" w:color="auto"/>
            </w:tcBorders>
            <w:shd w:val="clear" w:color="auto" w:fill="auto"/>
            <w:noWrap/>
            <w:hideMark/>
          </w:tcPr>
          <w:p w14:paraId="47801EB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0,0042</w:t>
            </w:r>
          </w:p>
        </w:tc>
        <w:tc>
          <w:tcPr>
            <w:tcW w:w="1134" w:type="dxa"/>
            <w:tcBorders>
              <w:top w:val="nil"/>
              <w:left w:val="nil"/>
              <w:bottom w:val="single" w:sz="4" w:space="0" w:color="auto"/>
              <w:right w:val="single" w:sz="4" w:space="0" w:color="auto"/>
            </w:tcBorders>
            <w:shd w:val="clear" w:color="000000" w:fill="C6E0B4"/>
            <w:noWrap/>
            <w:hideMark/>
          </w:tcPr>
          <w:p w14:paraId="1927338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1.144.671</w:t>
            </w:r>
          </w:p>
        </w:tc>
        <w:tc>
          <w:tcPr>
            <w:tcW w:w="992" w:type="dxa"/>
            <w:tcBorders>
              <w:top w:val="nil"/>
              <w:left w:val="nil"/>
              <w:bottom w:val="single" w:sz="4" w:space="0" w:color="auto"/>
              <w:right w:val="single" w:sz="4" w:space="0" w:color="auto"/>
            </w:tcBorders>
            <w:shd w:val="clear" w:color="auto" w:fill="auto"/>
            <w:noWrap/>
            <w:hideMark/>
          </w:tcPr>
          <w:p w14:paraId="0FF00B0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2.030.408</w:t>
            </w:r>
          </w:p>
        </w:tc>
        <w:tc>
          <w:tcPr>
            <w:tcW w:w="567" w:type="dxa"/>
            <w:tcBorders>
              <w:top w:val="nil"/>
              <w:left w:val="nil"/>
              <w:bottom w:val="single" w:sz="4" w:space="0" w:color="auto"/>
              <w:right w:val="single" w:sz="4" w:space="0" w:color="auto"/>
            </w:tcBorders>
            <w:shd w:val="clear" w:color="auto" w:fill="auto"/>
            <w:noWrap/>
            <w:hideMark/>
          </w:tcPr>
          <w:p w14:paraId="06E498C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56,38</w:t>
            </w:r>
          </w:p>
        </w:tc>
        <w:tc>
          <w:tcPr>
            <w:tcW w:w="850" w:type="dxa"/>
            <w:tcBorders>
              <w:top w:val="nil"/>
              <w:left w:val="nil"/>
              <w:bottom w:val="single" w:sz="4" w:space="0" w:color="auto"/>
              <w:right w:val="single" w:sz="4" w:space="0" w:color="auto"/>
            </w:tcBorders>
            <w:shd w:val="clear" w:color="auto" w:fill="auto"/>
            <w:noWrap/>
            <w:hideMark/>
          </w:tcPr>
          <w:p w14:paraId="0AC53CA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1.030.204</w:t>
            </w:r>
          </w:p>
        </w:tc>
        <w:tc>
          <w:tcPr>
            <w:tcW w:w="709" w:type="dxa"/>
            <w:tcBorders>
              <w:top w:val="nil"/>
              <w:left w:val="nil"/>
              <w:bottom w:val="single" w:sz="4" w:space="0" w:color="auto"/>
              <w:right w:val="single" w:sz="8" w:space="0" w:color="auto"/>
            </w:tcBorders>
            <w:shd w:val="clear" w:color="auto" w:fill="auto"/>
            <w:noWrap/>
            <w:hideMark/>
          </w:tcPr>
          <w:p w14:paraId="4BB53F1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114.467</w:t>
            </w:r>
          </w:p>
        </w:tc>
        <w:tc>
          <w:tcPr>
            <w:tcW w:w="851" w:type="dxa"/>
            <w:tcBorders>
              <w:top w:val="nil"/>
              <w:left w:val="single" w:sz="4" w:space="0" w:color="auto"/>
              <w:bottom w:val="single" w:sz="4" w:space="0" w:color="auto"/>
              <w:right w:val="single" w:sz="4" w:space="0" w:color="auto"/>
            </w:tcBorders>
            <w:shd w:val="clear" w:color="auto" w:fill="auto"/>
            <w:noWrap/>
            <w:hideMark/>
          </w:tcPr>
          <w:p w14:paraId="03414BF1" w14:textId="2568CBF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37.287</w:t>
            </w:r>
          </w:p>
        </w:tc>
      </w:tr>
      <w:tr w:rsidR="005C332D" w:rsidRPr="003F6E51" w14:paraId="15C0E5E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71B4F6C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115</w:t>
            </w:r>
          </w:p>
        </w:tc>
        <w:tc>
          <w:tcPr>
            <w:tcW w:w="2213" w:type="dxa"/>
            <w:tcBorders>
              <w:top w:val="nil"/>
              <w:left w:val="single" w:sz="8" w:space="0" w:color="auto"/>
              <w:bottom w:val="single" w:sz="4" w:space="0" w:color="auto"/>
              <w:right w:val="single" w:sz="8" w:space="0" w:color="auto"/>
            </w:tcBorders>
            <w:shd w:val="clear" w:color="auto" w:fill="auto"/>
            <w:noWrap/>
            <w:hideMark/>
          </w:tcPr>
          <w:p w14:paraId="466B178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TITEL</w:t>
            </w:r>
          </w:p>
        </w:tc>
        <w:tc>
          <w:tcPr>
            <w:tcW w:w="850" w:type="dxa"/>
            <w:tcBorders>
              <w:top w:val="nil"/>
              <w:left w:val="nil"/>
              <w:bottom w:val="single" w:sz="4" w:space="0" w:color="auto"/>
              <w:right w:val="single" w:sz="4" w:space="0" w:color="auto"/>
            </w:tcBorders>
            <w:shd w:val="clear" w:color="000000" w:fill="FFFFFF"/>
            <w:noWrap/>
            <w:hideMark/>
          </w:tcPr>
          <w:p w14:paraId="1571EED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14944</w:t>
            </w:r>
          </w:p>
        </w:tc>
        <w:tc>
          <w:tcPr>
            <w:tcW w:w="709" w:type="dxa"/>
            <w:tcBorders>
              <w:top w:val="nil"/>
              <w:left w:val="nil"/>
              <w:bottom w:val="single" w:sz="4" w:space="0" w:color="auto"/>
              <w:right w:val="single" w:sz="8" w:space="0" w:color="auto"/>
            </w:tcBorders>
            <w:shd w:val="clear" w:color="000000" w:fill="FFFFFF"/>
            <w:noWrap/>
            <w:hideMark/>
          </w:tcPr>
          <w:p w14:paraId="4EE5217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0,31</w:t>
            </w:r>
          </w:p>
        </w:tc>
        <w:tc>
          <w:tcPr>
            <w:tcW w:w="567" w:type="dxa"/>
            <w:tcBorders>
              <w:top w:val="nil"/>
              <w:left w:val="nil"/>
              <w:bottom w:val="single" w:sz="4" w:space="0" w:color="auto"/>
              <w:right w:val="single" w:sz="4" w:space="0" w:color="auto"/>
            </w:tcBorders>
            <w:shd w:val="clear" w:color="000000" w:fill="FFFFFF"/>
            <w:noWrap/>
            <w:hideMark/>
          </w:tcPr>
          <w:p w14:paraId="4741F79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261</w:t>
            </w:r>
          </w:p>
        </w:tc>
        <w:tc>
          <w:tcPr>
            <w:tcW w:w="709" w:type="dxa"/>
            <w:tcBorders>
              <w:top w:val="nil"/>
              <w:left w:val="nil"/>
              <w:bottom w:val="single" w:sz="4" w:space="0" w:color="auto"/>
              <w:right w:val="single" w:sz="8" w:space="0" w:color="auto"/>
            </w:tcBorders>
            <w:shd w:val="clear" w:color="000000" w:fill="FFFFFF"/>
            <w:noWrap/>
            <w:hideMark/>
          </w:tcPr>
          <w:p w14:paraId="48C47D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0,49</w:t>
            </w:r>
          </w:p>
        </w:tc>
        <w:tc>
          <w:tcPr>
            <w:tcW w:w="850" w:type="dxa"/>
            <w:tcBorders>
              <w:top w:val="nil"/>
              <w:left w:val="nil"/>
              <w:bottom w:val="single" w:sz="4" w:space="0" w:color="auto"/>
              <w:right w:val="single" w:sz="4" w:space="0" w:color="auto"/>
            </w:tcBorders>
            <w:shd w:val="clear" w:color="000000" w:fill="FFFFFF"/>
            <w:noWrap/>
            <w:hideMark/>
          </w:tcPr>
          <w:p w14:paraId="351CE2C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035745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DBD0B5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868EB5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C1A11B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64,27</w:t>
            </w:r>
          </w:p>
        </w:tc>
        <w:tc>
          <w:tcPr>
            <w:tcW w:w="851" w:type="dxa"/>
            <w:tcBorders>
              <w:top w:val="nil"/>
              <w:left w:val="nil"/>
              <w:bottom w:val="single" w:sz="4" w:space="0" w:color="auto"/>
              <w:right w:val="single" w:sz="4" w:space="0" w:color="auto"/>
            </w:tcBorders>
            <w:shd w:val="clear" w:color="auto" w:fill="auto"/>
            <w:noWrap/>
            <w:hideMark/>
          </w:tcPr>
          <w:p w14:paraId="6F25BB5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0,0047</w:t>
            </w:r>
          </w:p>
        </w:tc>
        <w:tc>
          <w:tcPr>
            <w:tcW w:w="1134" w:type="dxa"/>
            <w:tcBorders>
              <w:top w:val="nil"/>
              <w:left w:val="nil"/>
              <w:bottom w:val="single" w:sz="4" w:space="0" w:color="auto"/>
              <w:right w:val="single" w:sz="4" w:space="0" w:color="auto"/>
            </w:tcBorders>
            <w:shd w:val="clear" w:color="000000" w:fill="C6E0B4"/>
            <w:noWrap/>
            <w:hideMark/>
          </w:tcPr>
          <w:p w14:paraId="1591FFF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1.282.113</w:t>
            </w:r>
          </w:p>
        </w:tc>
        <w:tc>
          <w:tcPr>
            <w:tcW w:w="992" w:type="dxa"/>
            <w:tcBorders>
              <w:top w:val="nil"/>
              <w:left w:val="nil"/>
              <w:bottom w:val="single" w:sz="4" w:space="0" w:color="auto"/>
              <w:right w:val="single" w:sz="4" w:space="0" w:color="auto"/>
            </w:tcBorders>
            <w:shd w:val="clear" w:color="auto" w:fill="auto"/>
            <w:noWrap/>
            <w:hideMark/>
          </w:tcPr>
          <w:p w14:paraId="1D1528C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890.546</w:t>
            </w:r>
          </w:p>
        </w:tc>
        <w:tc>
          <w:tcPr>
            <w:tcW w:w="567" w:type="dxa"/>
            <w:tcBorders>
              <w:top w:val="nil"/>
              <w:left w:val="nil"/>
              <w:bottom w:val="single" w:sz="4" w:space="0" w:color="auto"/>
              <w:right w:val="single" w:sz="4" w:space="0" w:color="auto"/>
            </w:tcBorders>
            <w:shd w:val="clear" w:color="auto" w:fill="auto"/>
            <w:noWrap/>
            <w:hideMark/>
          </w:tcPr>
          <w:p w14:paraId="4FC94A4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143,97</w:t>
            </w:r>
          </w:p>
        </w:tc>
        <w:tc>
          <w:tcPr>
            <w:tcW w:w="850" w:type="dxa"/>
            <w:tcBorders>
              <w:top w:val="nil"/>
              <w:left w:val="nil"/>
              <w:bottom w:val="single" w:sz="4" w:space="0" w:color="auto"/>
              <w:right w:val="single" w:sz="4" w:space="0" w:color="auto"/>
            </w:tcBorders>
            <w:shd w:val="clear" w:color="auto" w:fill="auto"/>
            <w:noWrap/>
            <w:hideMark/>
          </w:tcPr>
          <w:p w14:paraId="783381A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1.153.901</w:t>
            </w:r>
          </w:p>
        </w:tc>
        <w:tc>
          <w:tcPr>
            <w:tcW w:w="709" w:type="dxa"/>
            <w:tcBorders>
              <w:top w:val="nil"/>
              <w:left w:val="nil"/>
              <w:bottom w:val="single" w:sz="4" w:space="0" w:color="auto"/>
              <w:right w:val="single" w:sz="8" w:space="0" w:color="auto"/>
            </w:tcBorders>
            <w:shd w:val="clear" w:color="auto" w:fill="auto"/>
            <w:noWrap/>
            <w:hideMark/>
          </w:tcPr>
          <w:p w14:paraId="6B01A0C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128.211</w:t>
            </w:r>
          </w:p>
        </w:tc>
        <w:tc>
          <w:tcPr>
            <w:tcW w:w="851" w:type="dxa"/>
            <w:tcBorders>
              <w:top w:val="nil"/>
              <w:left w:val="single" w:sz="4" w:space="0" w:color="auto"/>
              <w:bottom w:val="single" w:sz="4" w:space="0" w:color="auto"/>
              <w:right w:val="single" w:sz="4" w:space="0" w:color="auto"/>
            </w:tcBorders>
            <w:shd w:val="clear" w:color="auto" w:fill="auto"/>
            <w:noWrap/>
            <w:hideMark/>
          </w:tcPr>
          <w:p w14:paraId="3883076E" w14:textId="4064DFC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77.215</w:t>
            </w:r>
          </w:p>
        </w:tc>
      </w:tr>
      <w:tr w:rsidR="005C332D" w:rsidRPr="003F6E51" w14:paraId="584FD464"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2440615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116</w:t>
            </w:r>
          </w:p>
        </w:tc>
        <w:tc>
          <w:tcPr>
            <w:tcW w:w="2213" w:type="dxa"/>
            <w:tcBorders>
              <w:top w:val="nil"/>
              <w:left w:val="single" w:sz="8" w:space="0" w:color="auto"/>
              <w:bottom w:val="single" w:sz="4" w:space="0" w:color="auto"/>
              <w:right w:val="single" w:sz="8" w:space="0" w:color="auto"/>
            </w:tcBorders>
            <w:shd w:val="clear" w:color="auto" w:fill="auto"/>
            <w:noWrap/>
            <w:hideMark/>
          </w:tcPr>
          <w:p w14:paraId="54E38765"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VRBAS</w:t>
            </w:r>
          </w:p>
        </w:tc>
        <w:tc>
          <w:tcPr>
            <w:tcW w:w="850" w:type="dxa"/>
            <w:tcBorders>
              <w:top w:val="nil"/>
              <w:left w:val="nil"/>
              <w:bottom w:val="single" w:sz="4" w:space="0" w:color="auto"/>
              <w:right w:val="single" w:sz="4" w:space="0" w:color="auto"/>
            </w:tcBorders>
            <w:shd w:val="clear" w:color="000000" w:fill="FFFFFF"/>
            <w:noWrap/>
            <w:hideMark/>
          </w:tcPr>
          <w:p w14:paraId="37CE156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38654</w:t>
            </w:r>
          </w:p>
        </w:tc>
        <w:tc>
          <w:tcPr>
            <w:tcW w:w="709" w:type="dxa"/>
            <w:tcBorders>
              <w:top w:val="nil"/>
              <w:left w:val="nil"/>
              <w:bottom w:val="single" w:sz="4" w:space="0" w:color="auto"/>
              <w:right w:val="single" w:sz="8" w:space="0" w:color="auto"/>
            </w:tcBorders>
            <w:shd w:val="clear" w:color="000000" w:fill="FFFFFF"/>
            <w:noWrap/>
            <w:hideMark/>
          </w:tcPr>
          <w:p w14:paraId="7817862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0,81</w:t>
            </w:r>
          </w:p>
        </w:tc>
        <w:tc>
          <w:tcPr>
            <w:tcW w:w="567" w:type="dxa"/>
            <w:tcBorders>
              <w:top w:val="nil"/>
              <w:left w:val="nil"/>
              <w:bottom w:val="single" w:sz="4" w:space="0" w:color="auto"/>
              <w:right w:val="single" w:sz="4" w:space="0" w:color="auto"/>
            </w:tcBorders>
            <w:shd w:val="clear" w:color="000000" w:fill="FFFFFF"/>
            <w:noWrap/>
            <w:hideMark/>
          </w:tcPr>
          <w:p w14:paraId="398264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376</w:t>
            </w:r>
          </w:p>
        </w:tc>
        <w:tc>
          <w:tcPr>
            <w:tcW w:w="709" w:type="dxa"/>
            <w:tcBorders>
              <w:top w:val="nil"/>
              <w:left w:val="nil"/>
              <w:bottom w:val="single" w:sz="4" w:space="0" w:color="auto"/>
              <w:right w:val="single" w:sz="8" w:space="0" w:color="auto"/>
            </w:tcBorders>
            <w:shd w:val="clear" w:color="000000" w:fill="FFFFFF"/>
            <w:noWrap/>
            <w:hideMark/>
          </w:tcPr>
          <w:p w14:paraId="5A5396C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0,70</w:t>
            </w:r>
          </w:p>
        </w:tc>
        <w:tc>
          <w:tcPr>
            <w:tcW w:w="850" w:type="dxa"/>
            <w:tcBorders>
              <w:top w:val="nil"/>
              <w:left w:val="nil"/>
              <w:bottom w:val="single" w:sz="4" w:space="0" w:color="auto"/>
              <w:right w:val="single" w:sz="4" w:space="0" w:color="auto"/>
            </w:tcBorders>
            <w:shd w:val="clear" w:color="000000" w:fill="FFFFFF"/>
            <w:noWrap/>
            <w:hideMark/>
          </w:tcPr>
          <w:p w14:paraId="53CBCFF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4CF7279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40B7211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C7DBA5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E6251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63,15</w:t>
            </w:r>
          </w:p>
        </w:tc>
        <w:tc>
          <w:tcPr>
            <w:tcW w:w="851" w:type="dxa"/>
            <w:tcBorders>
              <w:top w:val="nil"/>
              <w:left w:val="nil"/>
              <w:bottom w:val="single" w:sz="4" w:space="0" w:color="auto"/>
              <w:right w:val="single" w:sz="4" w:space="0" w:color="auto"/>
            </w:tcBorders>
            <w:shd w:val="clear" w:color="auto" w:fill="auto"/>
            <w:noWrap/>
            <w:hideMark/>
          </w:tcPr>
          <w:p w14:paraId="6CDF860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0,0046</w:t>
            </w:r>
          </w:p>
        </w:tc>
        <w:tc>
          <w:tcPr>
            <w:tcW w:w="1134" w:type="dxa"/>
            <w:tcBorders>
              <w:top w:val="nil"/>
              <w:left w:val="nil"/>
              <w:bottom w:val="single" w:sz="4" w:space="0" w:color="auto"/>
              <w:right w:val="single" w:sz="4" w:space="0" w:color="auto"/>
            </w:tcBorders>
            <w:shd w:val="clear" w:color="000000" w:fill="C6E0B4"/>
            <w:noWrap/>
            <w:hideMark/>
          </w:tcPr>
          <w:p w14:paraId="5625CBC1"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1.259.676</w:t>
            </w:r>
          </w:p>
        </w:tc>
        <w:tc>
          <w:tcPr>
            <w:tcW w:w="992" w:type="dxa"/>
            <w:tcBorders>
              <w:top w:val="nil"/>
              <w:left w:val="nil"/>
              <w:bottom w:val="single" w:sz="4" w:space="0" w:color="auto"/>
              <w:right w:val="single" w:sz="4" w:space="0" w:color="auto"/>
            </w:tcBorders>
            <w:shd w:val="clear" w:color="auto" w:fill="auto"/>
            <w:noWrap/>
            <w:hideMark/>
          </w:tcPr>
          <w:p w14:paraId="030685B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779.824</w:t>
            </w:r>
          </w:p>
        </w:tc>
        <w:tc>
          <w:tcPr>
            <w:tcW w:w="567" w:type="dxa"/>
            <w:tcBorders>
              <w:top w:val="nil"/>
              <w:left w:val="nil"/>
              <w:bottom w:val="single" w:sz="4" w:space="0" w:color="auto"/>
              <w:right w:val="single" w:sz="4" w:space="0" w:color="auto"/>
            </w:tcBorders>
            <w:shd w:val="clear" w:color="auto" w:fill="auto"/>
            <w:noWrap/>
            <w:hideMark/>
          </w:tcPr>
          <w:p w14:paraId="2C44150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161,53</w:t>
            </w:r>
          </w:p>
        </w:tc>
        <w:tc>
          <w:tcPr>
            <w:tcW w:w="850" w:type="dxa"/>
            <w:tcBorders>
              <w:top w:val="nil"/>
              <w:left w:val="nil"/>
              <w:bottom w:val="single" w:sz="4" w:space="0" w:color="auto"/>
              <w:right w:val="single" w:sz="4" w:space="0" w:color="auto"/>
            </w:tcBorders>
            <w:shd w:val="clear" w:color="auto" w:fill="auto"/>
            <w:noWrap/>
            <w:hideMark/>
          </w:tcPr>
          <w:p w14:paraId="4AE7375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1.133.708</w:t>
            </w:r>
          </w:p>
        </w:tc>
        <w:tc>
          <w:tcPr>
            <w:tcW w:w="709" w:type="dxa"/>
            <w:tcBorders>
              <w:top w:val="nil"/>
              <w:left w:val="nil"/>
              <w:bottom w:val="single" w:sz="4" w:space="0" w:color="auto"/>
              <w:right w:val="single" w:sz="8" w:space="0" w:color="auto"/>
            </w:tcBorders>
            <w:shd w:val="clear" w:color="auto" w:fill="auto"/>
            <w:noWrap/>
            <w:hideMark/>
          </w:tcPr>
          <w:p w14:paraId="2343AD6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125.968</w:t>
            </w:r>
          </w:p>
        </w:tc>
        <w:tc>
          <w:tcPr>
            <w:tcW w:w="851" w:type="dxa"/>
            <w:tcBorders>
              <w:top w:val="nil"/>
              <w:left w:val="single" w:sz="4" w:space="0" w:color="auto"/>
              <w:bottom w:val="single" w:sz="4" w:space="0" w:color="auto"/>
              <w:right w:val="single" w:sz="4" w:space="0" w:color="auto"/>
            </w:tcBorders>
            <w:shd w:val="clear" w:color="auto" w:fill="auto"/>
            <w:noWrap/>
            <w:hideMark/>
          </w:tcPr>
          <w:p w14:paraId="765FE7E3" w14:textId="78E8A49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29.330</w:t>
            </w:r>
          </w:p>
        </w:tc>
      </w:tr>
      <w:tr w:rsidR="005C332D" w:rsidRPr="003F6E51" w14:paraId="41CA64D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993F3F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2213" w:type="dxa"/>
            <w:tcBorders>
              <w:top w:val="nil"/>
              <w:left w:val="single" w:sz="8" w:space="0" w:color="auto"/>
              <w:bottom w:val="single" w:sz="4" w:space="0" w:color="auto"/>
              <w:right w:val="single" w:sz="8" w:space="0" w:color="auto"/>
            </w:tcBorders>
            <w:shd w:val="clear" w:color="auto" w:fill="auto"/>
            <w:noWrap/>
            <w:hideMark/>
          </w:tcPr>
          <w:p w14:paraId="0C0248C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ŽABALJ</w:t>
            </w:r>
          </w:p>
        </w:tc>
        <w:tc>
          <w:tcPr>
            <w:tcW w:w="850" w:type="dxa"/>
            <w:tcBorders>
              <w:top w:val="nil"/>
              <w:left w:val="nil"/>
              <w:bottom w:val="single" w:sz="4" w:space="0" w:color="auto"/>
              <w:right w:val="single" w:sz="4" w:space="0" w:color="auto"/>
            </w:tcBorders>
            <w:shd w:val="clear" w:color="000000" w:fill="FFFFFF"/>
            <w:noWrap/>
            <w:hideMark/>
          </w:tcPr>
          <w:p w14:paraId="4EAFE20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24852</w:t>
            </w:r>
          </w:p>
        </w:tc>
        <w:tc>
          <w:tcPr>
            <w:tcW w:w="709" w:type="dxa"/>
            <w:tcBorders>
              <w:top w:val="nil"/>
              <w:left w:val="nil"/>
              <w:bottom w:val="single" w:sz="4" w:space="0" w:color="auto"/>
              <w:right w:val="single" w:sz="8" w:space="0" w:color="auto"/>
            </w:tcBorders>
            <w:shd w:val="clear" w:color="000000" w:fill="FFFFFF"/>
            <w:noWrap/>
            <w:hideMark/>
          </w:tcPr>
          <w:p w14:paraId="4C7EDC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0,52</w:t>
            </w:r>
          </w:p>
        </w:tc>
        <w:tc>
          <w:tcPr>
            <w:tcW w:w="567" w:type="dxa"/>
            <w:tcBorders>
              <w:top w:val="nil"/>
              <w:left w:val="nil"/>
              <w:bottom w:val="single" w:sz="4" w:space="0" w:color="auto"/>
              <w:right w:val="single" w:sz="4" w:space="0" w:color="auto"/>
            </w:tcBorders>
            <w:shd w:val="clear" w:color="000000" w:fill="FFFFFF"/>
            <w:noWrap/>
            <w:hideMark/>
          </w:tcPr>
          <w:p w14:paraId="39D21F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400</w:t>
            </w:r>
          </w:p>
        </w:tc>
        <w:tc>
          <w:tcPr>
            <w:tcW w:w="709" w:type="dxa"/>
            <w:tcBorders>
              <w:top w:val="nil"/>
              <w:left w:val="nil"/>
              <w:bottom w:val="single" w:sz="4" w:space="0" w:color="auto"/>
              <w:right w:val="single" w:sz="8" w:space="0" w:color="auto"/>
            </w:tcBorders>
            <w:shd w:val="clear" w:color="000000" w:fill="FFFFFF"/>
            <w:noWrap/>
            <w:hideMark/>
          </w:tcPr>
          <w:p w14:paraId="4D186AA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0,75</w:t>
            </w:r>
          </w:p>
        </w:tc>
        <w:tc>
          <w:tcPr>
            <w:tcW w:w="850" w:type="dxa"/>
            <w:tcBorders>
              <w:top w:val="nil"/>
              <w:left w:val="nil"/>
              <w:bottom w:val="single" w:sz="4" w:space="0" w:color="auto"/>
              <w:right w:val="single" w:sz="4" w:space="0" w:color="auto"/>
            </w:tcBorders>
            <w:shd w:val="clear" w:color="000000" w:fill="FFFFFF"/>
            <w:noWrap/>
            <w:hideMark/>
          </w:tcPr>
          <w:p w14:paraId="3CBF7B9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18F4B57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7EE30BE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674D273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5E6319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78,05</w:t>
            </w:r>
          </w:p>
        </w:tc>
        <w:tc>
          <w:tcPr>
            <w:tcW w:w="851" w:type="dxa"/>
            <w:tcBorders>
              <w:top w:val="nil"/>
              <w:left w:val="nil"/>
              <w:bottom w:val="single" w:sz="4" w:space="0" w:color="auto"/>
              <w:right w:val="single" w:sz="4" w:space="0" w:color="auto"/>
            </w:tcBorders>
            <w:shd w:val="clear" w:color="auto" w:fill="auto"/>
            <w:noWrap/>
            <w:hideMark/>
          </w:tcPr>
          <w:p w14:paraId="3B0921B5"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0,0057</w:t>
            </w:r>
          </w:p>
        </w:tc>
        <w:tc>
          <w:tcPr>
            <w:tcW w:w="1134" w:type="dxa"/>
            <w:tcBorders>
              <w:top w:val="nil"/>
              <w:left w:val="nil"/>
              <w:bottom w:val="single" w:sz="4" w:space="0" w:color="auto"/>
              <w:right w:val="single" w:sz="4" w:space="0" w:color="auto"/>
            </w:tcBorders>
            <w:shd w:val="clear" w:color="000000" w:fill="C6E0B4"/>
            <w:noWrap/>
            <w:hideMark/>
          </w:tcPr>
          <w:p w14:paraId="685EEAE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1.557.053</w:t>
            </w:r>
          </w:p>
        </w:tc>
        <w:tc>
          <w:tcPr>
            <w:tcW w:w="992" w:type="dxa"/>
            <w:tcBorders>
              <w:top w:val="nil"/>
              <w:left w:val="nil"/>
              <w:bottom w:val="single" w:sz="4" w:space="0" w:color="auto"/>
              <w:right w:val="single" w:sz="4" w:space="0" w:color="auto"/>
            </w:tcBorders>
            <w:shd w:val="clear" w:color="auto" w:fill="auto"/>
            <w:noWrap/>
            <w:hideMark/>
          </w:tcPr>
          <w:p w14:paraId="1C668B1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857.390</w:t>
            </w:r>
          </w:p>
        </w:tc>
        <w:tc>
          <w:tcPr>
            <w:tcW w:w="567" w:type="dxa"/>
            <w:tcBorders>
              <w:top w:val="nil"/>
              <w:left w:val="nil"/>
              <w:bottom w:val="single" w:sz="4" w:space="0" w:color="auto"/>
              <w:right w:val="single" w:sz="4" w:space="0" w:color="auto"/>
            </w:tcBorders>
            <w:shd w:val="clear" w:color="auto" w:fill="auto"/>
            <w:noWrap/>
            <w:hideMark/>
          </w:tcPr>
          <w:p w14:paraId="24F1DB4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181,60</w:t>
            </w:r>
          </w:p>
        </w:tc>
        <w:tc>
          <w:tcPr>
            <w:tcW w:w="850" w:type="dxa"/>
            <w:tcBorders>
              <w:top w:val="nil"/>
              <w:left w:val="nil"/>
              <w:bottom w:val="single" w:sz="4" w:space="0" w:color="auto"/>
              <w:right w:val="single" w:sz="4" w:space="0" w:color="auto"/>
            </w:tcBorders>
            <w:shd w:val="clear" w:color="auto" w:fill="auto"/>
            <w:noWrap/>
            <w:hideMark/>
          </w:tcPr>
          <w:p w14:paraId="6D75ECE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1.401.348</w:t>
            </w:r>
          </w:p>
        </w:tc>
        <w:tc>
          <w:tcPr>
            <w:tcW w:w="709" w:type="dxa"/>
            <w:tcBorders>
              <w:top w:val="nil"/>
              <w:left w:val="nil"/>
              <w:bottom w:val="single" w:sz="4" w:space="0" w:color="auto"/>
              <w:right w:val="single" w:sz="8" w:space="0" w:color="auto"/>
            </w:tcBorders>
            <w:shd w:val="clear" w:color="auto" w:fill="auto"/>
            <w:noWrap/>
            <w:hideMark/>
          </w:tcPr>
          <w:p w14:paraId="600F8B3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155.705</w:t>
            </w:r>
          </w:p>
        </w:tc>
        <w:tc>
          <w:tcPr>
            <w:tcW w:w="851" w:type="dxa"/>
            <w:tcBorders>
              <w:top w:val="nil"/>
              <w:left w:val="single" w:sz="4" w:space="0" w:color="auto"/>
              <w:bottom w:val="single" w:sz="4" w:space="0" w:color="auto"/>
              <w:right w:val="single" w:sz="4" w:space="0" w:color="auto"/>
            </w:tcBorders>
            <w:shd w:val="clear" w:color="auto" w:fill="auto"/>
            <w:noWrap/>
            <w:hideMark/>
          </w:tcPr>
          <w:p w14:paraId="4F5D1A65" w14:textId="0FFFE90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56.388</w:t>
            </w:r>
          </w:p>
        </w:tc>
      </w:tr>
      <w:tr w:rsidR="005C332D" w:rsidRPr="003F6E51" w14:paraId="24AD09C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C8C59C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118</w:t>
            </w:r>
          </w:p>
        </w:tc>
        <w:tc>
          <w:tcPr>
            <w:tcW w:w="2213" w:type="dxa"/>
            <w:tcBorders>
              <w:top w:val="nil"/>
              <w:left w:val="single" w:sz="8" w:space="0" w:color="auto"/>
              <w:bottom w:val="single" w:sz="4" w:space="0" w:color="auto"/>
              <w:right w:val="single" w:sz="8" w:space="0" w:color="auto"/>
            </w:tcBorders>
            <w:shd w:val="clear" w:color="auto" w:fill="auto"/>
            <w:noWrap/>
            <w:hideMark/>
          </w:tcPr>
          <w:p w14:paraId="7F5C61C2"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ŽITIŠTE</w:t>
            </w:r>
          </w:p>
        </w:tc>
        <w:tc>
          <w:tcPr>
            <w:tcW w:w="850" w:type="dxa"/>
            <w:tcBorders>
              <w:top w:val="nil"/>
              <w:left w:val="nil"/>
              <w:bottom w:val="single" w:sz="4" w:space="0" w:color="auto"/>
              <w:right w:val="single" w:sz="4" w:space="0" w:color="auto"/>
            </w:tcBorders>
            <w:shd w:val="clear" w:color="000000" w:fill="FFFFFF"/>
            <w:noWrap/>
            <w:hideMark/>
          </w:tcPr>
          <w:p w14:paraId="161F3A1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14693</w:t>
            </w:r>
          </w:p>
        </w:tc>
        <w:tc>
          <w:tcPr>
            <w:tcW w:w="709" w:type="dxa"/>
            <w:tcBorders>
              <w:top w:val="nil"/>
              <w:left w:val="nil"/>
              <w:bottom w:val="single" w:sz="4" w:space="0" w:color="auto"/>
              <w:right w:val="single" w:sz="8" w:space="0" w:color="auto"/>
            </w:tcBorders>
            <w:shd w:val="clear" w:color="000000" w:fill="FFFFFF"/>
            <w:noWrap/>
            <w:hideMark/>
          </w:tcPr>
          <w:p w14:paraId="4704BD3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0,31</w:t>
            </w:r>
          </w:p>
        </w:tc>
        <w:tc>
          <w:tcPr>
            <w:tcW w:w="567" w:type="dxa"/>
            <w:tcBorders>
              <w:top w:val="nil"/>
              <w:left w:val="nil"/>
              <w:bottom w:val="single" w:sz="4" w:space="0" w:color="auto"/>
              <w:right w:val="single" w:sz="4" w:space="0" w:color="auto"/>
            </w:tcBorders>
            <w:shd w:val="clear" w:color="000000" w:fill="FFFFFF"/>
            <w:noWrap/>
            <w:hideMark/>
          </w:tcPr>
          <w:p w14:paraId="1BDB51D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525</w:t>
            </w:r>
          </w:p>
        </w:tc>
        <w:tc>
          <w:tcPr>
            <w:tcW w:w="709" w:type="dxa"/>
            <w:tcBorders>
              <w:top w:val="nil"/>
              <w:left w:val="nil"/>
              <w:bottom w:val="single" w:sz="4" w:space="0" w:color="auto"/>
              <w:right w:val="single" w:sz="8" w:space="0" w:color="auto"/>
            </w:tcBorders>
            <w:shd w:val="clear" w:color="000000" w:fill="FFFFFF"/>
            <w:noWrap/>
            <w:hideMark/>
          </w:tcPr>
          <w:p w14:paraId="47DFE97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0,98</w:t>
            </w:r>
          </w:p>
        </w:tc>
        <w:tc>
          <w:tcPr>
            <w:tcW w:w="850" w:type="dxa"/>
            <w:tcBorders>
              <w:top w:val="nil"/>
              <w:left w:val="nil"/>
              <w:bottom w:val="single" w:sz="4" w:space="0" w:color="auto"/>
              <w:right w:val="single" w:sz="4" w:space="0" w:color="auto"/>
            </w:tcBorders>
            <w:shd w:val="clear" w:color="000000" w:fill="FFFFFF"/>
            <w:noWrap/>
            <w:hideMark/>
          </w:tcPr>
          <w:p w14:paraId="740D63A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40B6136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241346B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28D7ED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94841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76,42</w:t>
            </w:r>
          </w:p>
        </w:tc>
        <w:tc>
          <w:tcPr>
            <w:tcW w:w="851" w:type="dxa"/>
            <w:tcBorders>
              <w:top w:val="nil"/>
              <w:left w:val="nil"/>
              <w:bottom w:val="single" w:sz="4" w:space="0" w:color="auto"/>
              <w:right w:val="single" w:sz="4" w:space="0" w:color="auto"/>
            </w:tcBorders>
            <w:shd w:val="clear" w:color="auto" w:fill="auto"/>
            <w:noWrap/>
            <w:hideMark/>
          </w:tcPr>
          <w:p w14:paraId="4414B9B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0,0056</w:t>
            </w:r>
          </w:p>
        </w:tc>
        <w:tc>
          <w:tcPr>
            <w:tcW w:w="1134" w:type="dxa"/>
            <w:tcBorders>
              <w:top w:val="nil"/>
              <w:left w:val="nil"/>
              <w:bottom w:val="single" w:sz="4" w:space="0" w:color="auto"/>
              <w:right w:val="single" w:sz="4" w:space="0" w:color="auto"/>
            </w:tcBorders>
            <w:shd w:val="clear" w:color="000000" w:fill="C6E0B4"/>
            <w:noWrap/>
            <w:hideMark/>
          </w:tcPr>
          <w:p w14:paraId="6A25A54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1.524.479</w:t>
            </w:r>
          </w:p>
        </w:tc>
        <w:tc>
          <w:tcPr>
            <w:tcW w:w="992" w:type="dxa"/>
            <w:tcBorders>
              <w:top w:val="nil"/>
              <w:left w:val="nil"/>
              <w:bottom w:val="single" w:sz="4" w:space="0" w:color="auto"/>
              <w:right w:val="single" w:sz="4" w:space="0" w:color="auto"/>
            </w:tcBorders>
            <w:shd w:val="clear" w:color="auto" w:fill="auto"/>
            <w:noWrap/>
            <w:hideMark/>
          </w:tcPr>
          <w:p w14:paraId="4142820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2.906.262</w:t>
            </w:r>
          </w:p>
        </w:tc>
        <w:tc>
          <w:tcPr>
            <w:tcW w:w="567" w:type="dxa"/>
            <w:tcBorders>
              <w:top w:val="nil"/>
              <w:left w:val="nil"/>
              <w:bottom w:val="single" w:sz="4" w:space="0" w:color="auto"/>
              <w:right w:val="single" w:sz="4" w:space="0" w:color="auto"/>
            </w:tcBorders>
            <w:shd w:val="clear" w:color="auto" w:fill="auto"/>
            <w:noWrap/>
            <w:hideMark/>
          </w:tcPr>
          <w:p w14:paraId="2F838D0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52,45</w:t>
            </w:r>
          </w:p>
        </w:tc>
        <w:tc>
          <w:tcPr>
            <w:tcW w:w="850" w:type="dxa"/>
            <w:tcBorders>
              <w:top w:val="nil"/>
              <w:left w:val="nil"/>
              <w:bottom w:val="single" w:sz="4" w:space="0" w:color="auto"/>
              <w:right w:val="single" w:sz="4" w:space="0" w:color="auto"/>
            </w:tcBorders>
            <w:shd w:val="clear" w:color="auto" w:fill="auto"/>
            <w:noWrap/>
            <w:hideMark/>
          </w:tcPr>
          <w:p w14:paraId="64C625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1.372.031</w:t>
            </w:r>
          </w:p>
        </w:tc>
        <w:tc>
          <w:tcPr>
            <w:tcW w:w="709" w:type="dxa"/>
            <w:tcBorders>
              <w:top w:val="nil"/>
              <w:left w:val="nil"/>
              <w:bottom w:val="single" w:sz="4" w:space="0" w:color="auto"/>
              <w:right w:val="single" w:sz="8" w:space="0" w:color="auto"/>
            </w:tcBorders>
            <w:shd w:val="clear" w:color="auto" w:fill="auto"/>
            <w:noWrap/>
            <w:hideMark/>
          </w:tcPr>
          <w:p w14:paraId="20A3194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152.448</w:t>
            </w:r>
          </w:p>
        </w:tc>
        <w:tc>
          <w:tcPr>
            <w:tcW w:w="851" w:type="dxa"/>
            <w:tcBorders>
              <w:top w:val="nil"/>
              <w:left w:val="single" w:sz="4" w:space="0" w:color="auto"/>
              <w:bottom w:val="single" w:sz="4" w:space="0" w:color="auto"/>
              <w:right w:val="single" w:sz="4" w:space="0" w:color="auto"/>
            </w:tcBorders>
            <w:shd w:val="clear" w:color="auto" w:fill="auto"/>
            <w:noWrap/>
            <w:hideMark/>
          </w:tcPr>
          <w:p w14:paraId="2C0DB387" w14:textId="679BDB8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93.380</w:t>
            </w:r>
          </w:p>
        </w:tc>
      </w:tr>
      <w:tr w:rsidR="005C332D" w:rsidRPr="003F6E51" w14:paraId="2826897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1D5BDE1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119</w:t>
            </w:r>
          </w:p>
        </w:tc>
        <w:tc>
          <w:tcPr>
            <w:tcW w:w="2213" w:type="dxa"/>
            <w:tcBorders>
              <w:top w:val="nil"/>
              <w:left w:val="single" w:sz="8" w:space="0" w:color="auto"/>
              <w:bottom w:val="single" w:sz="4" w:space="0" w:color="auto"/>
              <w:right w:val="single" w:sz="8" w:space="0" w:color="auto"/>
            </w:tcBorders>
            <w:shd w:val="clear" w:color="auto" w:fill="auto"/>
            <w:noWrap/>
            <w:hideMark/>
          </w:tcPr>
          <w:p w14:paraId="686331C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SREMSKI KARLOVCI</w:t>
            </w:r>
          </w:p>
        </w:tc>
        <w:tc>
          <w:tcPr>
            <w:tcW w:w="850" w:type="dxa"/>
            <w:tcBorders>
              <w:top w:val="nil"/>
              <w:left w:val="nil"/>
              <w:bottom w:val="single" w:sz="4" w:space="0" w:color="auto"/>
              <w:right w:val="single" w:sz="4" w:space="0" w:color="auto"/>
            </w:tcBorders>
            <w:shd w:val="clear" w:color="000000" w:fill="FFFFFF"/>
            <w:noWrap/>
            <w:hideMark/>
          </w:tcPr>
          <w:p w14:paraId="407985F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8265</w:t>
            </w:r>
          </w:p>
        </w:tc>
        <w:tc>
          <w:tcPr>
            <w:tcW w:w="709" w:type="dxa"/>
            <w:tcBorders>
              <w:top w:val="nil"/>
              <w:left w:val="nil"/>
              <w:bottom w:val="single" w:sz="4" w:space="0" w:color="auto"/>
              <w:right w:val="single" w:sz="8" w:space="0" w:color="auto"/>
            </w:tcBorders>
            <w:shd w:val="clear" w:color="000000" w:fill="FFFFFF"/>
            <w:noWrap/>
            <w:hideMark/>
          </w:tcPr>
          <w:p w14:paraId="111468E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0,17</w:t>
            </w:r>
          </w:p>
        </w:tc>
        <w:tc>
          <w:tcPr>
            <w:tcW w:w="567" w:type="dxa"/>
            <w:tcBorders>
              <w:top w:val="nil"/>
              <w:left w:val="nil"/>
              <w:bottom w:val="single" w:sz="4" w:space="0" w:color="auto"/>
              <w:right w:val="single" w:sz="4" w:space="0" w:color="auto"/>
            </w:tcBorders>
            <w:shd w:val="clear" w:color="000000" w:fill="FFFFFF"/>
            <w:noWrap/>
            <w:hideMark/>
          </w:tcPr>
          <w:p w14:paraId="57097DD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51</w:t>
            </w:r>
          </w:p>
        </w:tc>
        <w:tc>
          <w:tcPr>
            <w:tcW w:w="709" w:type="dxa"/>
            <w:tcBorders>
              <w:top w:val="nil"/>
              <w:left w:val="nil"/>
              <w:bottom w:val="single" w:sz="4" w:space="0" w:color="auto"/>
              <w:right w:val="single" w:sz="8" w:space="0" w:color="auto"/>
            </w:tcBorders>
            <w:shd w:val="clear" w:color="000000" w:fill="FFFFFF"/>
            <w:noWrap/>
            <w:hideMark/>
          </w:tcPr>
          <w:p w14:paraId="222EBBF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0,10</w:t>
            </w:r>
          </w:p>
        </w:tc>
        <w:tc>
          <w:tcPr>
            <w:tcW w:w="850" w:type="dxa"/>
            <w:tcBorders>
              <w:top w:val="nil"/>
              <w:left w:val="nil"/>
              <w:bottom w:val="single" w:sz="4" w:space="0" w:color="auto"/>
              <w:right w:val="single" w:sz="4" w:space="0" w:color="auto"/>
            </w:tcBorders>
            <w:shd w:val="clear" w:color="000000" w:fill="FFFFFF"/>
            <w:noWrap/>
            <w:hideMark/>
          </w:tcPr>
          <w:p w14:paraId="75ECBD8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1630C27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67A1D70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6C3FCE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67CA8C2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37,58</w:t>
            </w:r>
          </w:p>
        </w:tc>
        <w:tc>
          <w:tcPr>
            <w:tcW w:w="851" w:type="dxa"/>
            <w:tcBorders>
              <w:top w:val="nil"/>
              <w:left w:val="nil"/>
              <w:bottom w:val="single" w:sz="4" w:space="0" w:color="auto"/>
              <w:right w:val="single" w:sz="4" w:space="0" w:color="auto"/>
            </w:tcBorders>
            <w:shd w:val="clear" w:color="auto" w:fill="auto"/>
            <w:noWrap/>
            <w:hideMark/>
          </w:tcPr>
          <w:p w14:paraId="606E8FC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0,0028</w:t>
            </w:r>
          </w:p>
        </w:tc>
        <w:tc>
          <w:tcPr>
            <w:tcW w:w="1134" w:type="dxa"/>
            <w:tcBorders>
              <w:top w:val="nil"/>
              <w:left w:val="nil"/>
              <w:bottom w:val="single" w:sz="4" w:space="0" w:color="auto"/>
              <w:right w:val="single" w:sz="4" w:space="0" w:color="auto"/>
            </w:tcBorders>
            <w:shd w:val="clear" w:color="000000" w:fill="C6E0B4"/>
            <w:noWrap/>
            <w:hideMark/>
          </w:tcPr>
          <w:p w14:paraId="0C8E8B3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749.612</w:t>
            </w:r>
          </w:p>
        </w:tc>
        <w:tc>
          <w:tcPr>
            <w:tcW w:w="992" w:type="dxa"/>
            <w:tcBorders>
              <w:top w:val="nil"/>
              <w:left w:val="nil"/>
              <w:bottom w:val="single" w:sz="4" w:space="0" w:color="auto"/>
              <w:right w:val="single" w:sz="4" w:space="0" w:color="auto"/>
            </w:tcBorders>
            <w:shd w:val="clear" w:color="auto" w:fill="auto"/>
            <w:noWrap/>
            <w:hideMark/>
          </w:tcPr>
          <w:p w14:paraId="537F0F6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649.349</w:t>
            </w:r>
          </w:p>
        </w:tc>
        <w:tc>
          <w:tcPr>
            <w:tcW w:w="567" w:type="dxa"/>
            <w:tcBorders>
              <w:top w:val="nil"/>
              <w:left w:val="nil"/>
              <w:bottom w:val="single" w:sz="4" w:space="0" w:color="auto"/>
              <w:right w:val="single" w:sz="4" w:space="0" w:color="auto"/>
            </w:tcBorders>
            <w:shd w:val="clear" w:color="auto" w:fill="auto"/>
            <w:noWrap/>
            <w:hideMark/>
          </w:tcPr>
          <w:p w14:paraId="4C7F91A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115,44</w:t>
            </w:r>
          </w:p>
        </w:tc>
        <w:tc>
          <w:tcPr>
            <w:tcW w:w="850" w:type="dxa"/>
            <w:tcBorders>
              <w:top w:val="nil"/>
              <w:left w:val="nil"/>
              <w:bottom w:val="single" w:sz="4" w:space="0" w:color="auto"/>
              <w:right w:val="single" w:sz="4" w:space="0" w:color="auto"/>
            </w:tcBorders>
            <w:shd w:val="clear" w:color="auto" w:fill="auto"/>
            <w:noWrap/>
            <w:hideMark/>
          </w:tcPr>
          <w:p w14:paraId="5503915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674.650</w:t>
            </w:r>
          </w:p>
        </w:tc>
        <w:tc>
          <w:tcPr>
            <w:tcW w:w="709" w:type="dxa"/>
            <w:tcBorders>
              <w:top w:val="nil"/>
              <w:left w:val="nil"/>
              <w:bottom w:val="single" w:sz="4" w:space="0" w:color="auto"/>
              <w:right w:val="single" w:sz="8" w:space="0" w:color="auto"/>
            </w:tcBorders>
            <w:shd w:val="clear" w:color="auto" w:fill="auto"/>
            <w:noWrap/>
            <w:hideMark/>
          </w:tcPr>
          <w:p w14:paraId="04EB1F4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74.961</w:t>
            </w:r>
          </w:p>
        </w:tc>
        <w:tc>
          <w:tcPr>
            <w:tcW w:w="851" w:type="dxa"/>
            <w:tcBorders>
              <w:top w:val="nil"/>
              <w:left w:val="single" w:sz="4" w:space="0" w:color="auto"/>
              <w:bottom w:val="single" w:sz="4" w:space="0" w:color="auto"/>
              <w:right w:val="single" w:sz="4" w:space="0" w:color="auto"/>
            </w:tcBorders>
            <w:shd w:val="clear" w:color="auto" w:fill="auto"/>
            <w:noWrap/>
            <w:hideMark/>
          </w:tcPr>
          <w:p w14:paraId="4B1CBA5E" w14:textId="6142B5E5"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81.627</w:t>
            </w:r>
          </w:p>
        </w:tc>
      </w:tr>
      <w:tr w:rsidR="005C332D" w:rsidRPr="003F6E51" w14:paraId="2C1C0555"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69750BA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120</w:t>
            </w:r>
          </w:p>
        </w:tc>
        <w:tc>
          <w:tcPr>
            <w:tcW w:w="2213" w:type="dxa"/>
            <w:tcBorders>
              <w:top w:val="nil"/>
              <w:left w:val="single" w:sz="8" w:space="0" w:color="auto"/>
              <w:bottom w:val="single" w:sz="4" w:space="0" w:color="auto"/>
              <w:right w:val="single" w:sz="8" w:space="0" w:color="auto"/>
            </w:tcBorders>
            <w:shd w:val="clear" w:color="auto" w:fill="auto"/>
            <w:noWrap/>
            <w:hideMark/>
          </w:tcPr>
          <w:p w14:paraId="4A4CC29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ČAČAK</w:t>
            </w:r>
          </w:p>
        </w:tc>
        <w:tc>
          <w:tcPr>
            <w:tcW w:w="850" w:type="dxa"/>
            <w:tcBorders>
              <w:top w:val="nil"/>
              <w:left w:val="nil"/>
              <w:bottom w:val="single" w:sz="4" w:space="0" w:color="auto"/>
              <w:right w:val="single" w:sz="4" w:space="0" w:color="auto"/>
            </w:tcBorders>
            <w:shd w:val="clear" w:color="000000" w:fill="FFFFFF"/>
            <w:noWrap/>
            <w:hideMark/>
          </w:tcPr>
          <w:p w14:paraId="7DD1C1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108737</w:t>
            </w:r>
          </w:p>
        </w:tc>
        <w:tc>
          <w:tcPr>
            <w:tcW w:w="709" w:type="dxa"/>
            <w:tcBorders>
              <w:top w:val="nil"/>
              <w:left w:val="nil"/>
              <w:bottom w:val="single" w:sz="4" w:space="0" w:color="auto"/>
              <w:right w:val="single" w:sz="8" w:space="0" w:color="auto"/>
            </w:tcBorders>
            <w:shd w:val="clear" w:color="000000" w:fill="FFFFFF"/>
            <w:noWrap/>
            <w:hideMark/>
          </w:tcPr>
          <w:p w14:paraId="73055A2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2,29</w:t>
            </w:r>
          </w:p>
        </w:tc>
        <w:tc>
          <w:tcPr>
            <w:tcW w:w="567" w:type="dxa"/>
            <w:tcBorders>
              <w:top w:val="nil"/>
              <w:left w:val="nil"/>
              <w:bottom w:val="single" w:sz="4" w:space="0" w:color="auto"/>
              <w:right w:val="single" w:sz="4" w:space="0" w:color="auto"/>
            </w:tcBorders>
            <w:shd w:val="clear" w:color="000000" w:fill="FFFFFF"/>
            <w:noWrap/>
            <w:hideMark/>
          </w:tcPr>
          <w:p w14:paraId="2F603A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636</w:t>
            </w:r>
          </w:p>
        </w:tc>
        <w:tc>
          <w:tcPr>
            <w:tcW w:w="709" w:type="dxa"/>
            <w:tcBorders>
              <w:top w:val="nil"/>
              <w:left w:val="nil"/>
              <w:bottom w:val="single" w:sz="4" w:space="0" w:color="auto"/>
              <w:right w:val="single" w:sz="8" w:space="0" w:color="auto"/>
            </w:tcBorders>
            <w:shd w:val="clear" w:color="000000" w:fill="FFFFFF"/>
            <w:noWrap/>
            <w:hideMark/>
          </w:tcPr>
          <w:p w14:paraId="19C2395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1,19</w:t>
            </w:r>
          </w:p>
        </w:tc>
        <w:tc>
          <w:tcPr>
            <w:tcW w:w="850" w:type="dxa"/>
            <w:tcBorders>
              <w:top w:val="nil"/>
              <w:left w:val="nil"/>
              <w:bottom w:val="single" w:sz="4" w:space="0" w:color="auto"/>
              <w:right w:val="single" w:sz="4" w:space="0" w:color="auto"/>
            </w:tcBorders>
            <w:shd w:val="clear" w:color="000000" w:fill="FFFFFF"/>
            <w:noWrap/>
            <w:hideMark/>
          </w:tcPr>
          <w:p w14:paraId="4B1EC03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75C17A6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1A820C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A1FA18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7A835AB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126,85</w:t>
            </w:r>
          </w:p>
        </w:tc>
        <w:tc>
          <w:tcPr>
            <w:tcW w:w="851" w:type="dxa"/>
            <w:tcBorders>
              <w:top w:val="nil"/>
              <w:left w:val="nil"/>
              <w:bottom w:val="single" w:sz="4" w:space="0" w:color="auto"/>
              <w:right w:val="single" w:sz="4" w:space="0" w:color="auto"/>
            </w:tcBorders>
            <w:shd w:val="clear" w:color="auto" w:fill="auto"/>
            <w:noWrap/>
            <w:hideMark/>
          </w:tcPr>
          <w:p w14:paraId="1C3B95D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0,0093</w:t>
            </w:r>
          </w:p>
        </w:tc>
        <w:tc>
          <w:tcPr>
            <w:tcW w:w="1134" w:type="dxa"/>
            <w:tcBorders>
              <w:top w:val="nil"/>
              <w:left w:val="nil"/>
              <w:bottom w:val="single" w:sz="4" w:space="0" w:color="auto"/>
              <w:right w:val="single" w:sz="4" w:space="0" w:color="auto"/>
            </w:tcBorders>
            <w:shd w:val="clear" w:color="000000" w:fill="C6E0B4"/>
            <w:noWrap/>
            <w:hideMark/>
          </w:tcPr>
          <w:p w14:paraId="34F11D79"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2.530.406</w:t>
            </w:r>
          </w:p>
        </w:tc>
        <w:tc>
          <w:tcPr>
            <w:tcW w:w="992" w:type="dxa"/>
            <w:tcBorders>
              <w:top w:val="nil"/>
              <w:left w:val="nil"/>
              <w:bottom w:val="single" w:sz="4" w:space="0" w:color="auto"/>
              <w:right w:val="single" w:sz="4" w:space="0" w:color="auto"/>
            </w:tcBorders>
            <w:shd w:val="clear" w:color="auto" w:fill="auto"/>
            <w:noWrap/>
            <w:hideMark/>
          </w:tcPr>
          <w:p w14:paraId="21046AC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3.987.672</w:t>
            </w:r>
          </w:p>
        </w:tc>
        <w:tc>
          <w:tcPr>
            <w:tcW w:w="567" w:type="dxa"/>
            <w:tcBorders>
              <w:top w:val="nil"/>
              <w:left w:val="nil"/>
              <w:bottom w:val="single" w:sz="4" w:space="0" w:color="auto"/>
              <w:right w:val="single" w:sz="4" w:space="0" w:color="auto"/>
            </w:tcBorders>
            <w:shd w:val="clear" w:color="auto" w:fill="auto"/>
            <w:noWrap/>
            <w:hideMark/>
          </w:tcPr>
          <w:p w14:paraId="4181E4A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63,46</w:t>
            </w:r>
          </w:p>
        </w:tc>
        <w:tc>
          <w:tcPr>
            <w:tcW w:w="850" w:type="dxa"/>
            <w:tcBorders>
              <w:top w:val="nil"/>
              <w:left w:val="nil"/>
              <w:bottom w:val="single" w:sz="4" w:space="0" w:color="auto"/>
              <w:right w:val="single" w:sz="4" w:space="0" w:color="auto"/>
            </w:tcBorders>
            <w:shd w:val="clear" w:color="auto" w:fill="auto"/>
            <w:noWrap/>
            <w:hideMark/>
          </w:tcPr>
          <w:p w14:paraId="2F2DE4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2.277.366</w:t>
            </w:r>
          </w:p>
        </w:tc>
        <w:tc>
          <w:tcPr>
            <w:tcW w:w="709" w:type="dxa"/>
            <w:tcBorders>
              <w:top w:val="nil"/>
              <w:left w:val="nil"/>
              <w:bottom w:val="single" w:sz="4" w:space="0" w:color="auto"/>
              <w:right w:val="single" w:sz="8" w:space="0" w:color="auto"/>
            </w:tcBorders>
            <w:shd w:val="clear" w:color="auto" w:fill="auto"/>
            <w:noWrap/>
            <w:hideMark/>
          </w:tcPr>
          <w:p w14:paraId="0EB67D3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253.041</w:t>
            </w:r>
          </w:p>
        </w:tc>
        <w:tc>
          <w:tcPr>
            <w:tcW w:w="851" w:type="dxa"/>
            <w:tcBorders>
              <w:top w:val="nil"/>
              <w:left w:val="single" w:sz="4" w:space="0" w:color="auto"/>
              <w:bottom w:val="single" w:sz="4" w:space="0" w:color="auto"/>
              <w:right w:val="single" w:sz="4" w:space="0" w:color="auto"/>
            </w:tcBorders>
            <w:shd w:val="clear" w:color="auto" w:fill="auto"/>
            <w:noWrap/>
            <w:hideMark/>
          </w:tcPr>
          <w:p w14:paraId="09EEE035" w14:textId="5748EDD4"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20.944</w:t>
            </w:r>
          </w:p>
        </w:tc>
      </w:tr>
      <w:tr w:rsidR="005C332D" w:rsidRPr="003F6E51" w14:paraId="1CE433F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4A054A9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121</w:t>
            </w:r>
          </w:p>
        </w:tc>
        <w:tc>
          <w:tcPr>
            <w:tcW w:w="2213" w:type="dxa"/>
            <w:tcBorders>
              <w:top w:val="nil"/>
              <w:left w:val="single" w:sz="8" w:space="0" w:color="auto"/>
              <w:bottom w:val="single" w:sz="4" w:space="0" w:color="auto"/>
              <w:right w:val="single" w:sz="8" w:space="0" w:color="auto"/>
            </w:tcBorders>
            <w:shd w:val="clear" w:color="auto" w:fill="auto"/>
            <w:noWrap/>
            <w:hideMark/>
          </w:tcPr>
          <w:p w14:paraId="480AA1D3"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KRAGUJEVAC</w:t>
            </w:r>
          </w:p>
        </w:tc>
        <w:tc>
          <w:tcPr>
            <w:tcW w:w="850" w:type="dxa"/>
            <w:tcBorders>
              <w:top w:val="nil"/>
              <w:left w:val="nil"/>
              <w:bottom w:val="single" w:sz="4" w:space="0" w:color="auto"/>
              <w:right w:val="single" w:sz="4" w:space="0" w:color="auto"/>
            </w:tcBorders>
            <w:shd w:val="clear" w:color="000000" w:fill="FFFFFF"/>
            <w:noWrap/>
            <w:hideMark/>
          </w:tcPr>
          <w:p w14:paraId="5AEEEC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175716</w:t>
            </w:r>
          </w:p>
        </w:tc>
        <w:tc>
          <w:tcPr>
            <w:tcW w:w="709" w:type="dxa"/>
            <w:tcBorders>
              <w:top w:val="nil"/>
              <w:left w:val="nil"/>
              <w:bottom w:val="single" w:sz="4" w:space="0" w:color="auto"/>
              <w:right w:val="single" w:sz="8" w:space="0" w:color="auto"/>
            </w:tcBorders>
            <w:shd w:val="clear" w:color="000000" w:fill="FFFFFF"/>
            <w:noWrap/>
            <w:hideMark/>
          </w:tcPr>
          <w:p w14:paraId="1B02235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3,69</w:t>
            </w:r>
          </w:p>
        </w:tc>
        <w:tc>
          <w:tcPr>
            <w:tcW w:w="567" w:type="dxa"/>
            <w:tcBorders>
              <w:top w:val="nil"/>
              <w:left w:val="nil"/>
              <w:bottom w:val="single" w:sz="4" w:space="0" w:color="auto"/>
              <w:right w:val="single" w:sz="4" w:space="0" w:color="auto"/>
            </w:tcBorders>
            <w:shd w:val="clear" w:color="000000" w:fill="FFFFFF"/>
            <w:noWrap/>
            <w:hideMark/>
          </w:tcPr>
          <w:p w14:paraId="3C11C16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835</w:t>
            </w:r>
          </w:p>
        </w:tc>
        <w:tc>
          <w:tcPr>
            <w:tcW w:w="709" w:type="dxa"/>
            <w:tcBorders>
              <w:top w:val="nil"/>
              <w:left w:val="nil"/>
              <w:bottom w:val="single" w:sz="4" w:space="0" w:color="auto"/>
              <w:right w:val="single" w:sz="8" w:space="0" w:color="auto"/>
            </w:tcBorders>
            <w:shd w:val="clear" w:color="000000" w:fill="FFFFFF"/>
            <w:noWrap/>
            <w:hideMark/>
          </w:tcPr>
          <w:p w14:paraId="10346FB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1,56</w:t>
            </w:r>
          </w:p>
        </w:tc>
        <w:tc>
          <w:tcPr>
            <w:tcW w:w="850" w:type="dxa"/>
            <w:tcBorders>
              <w:top w:val="nil"/>
              <w:left w:val="nil"/>
              <w:bottom w:val="single" w:sz="4" w:space="0" w:color="auto"/>
              <w:right w:val="single" w:sz="4" w:space="0" w:color="auto"/>
            </w:tcBorders>
            <w:shd w:val="clear" w:color="000000" w:fill="FFFFFF"/>
            <w:noWrap/>
            <w:hideMark/>
          </w:tcPr>
          <w:p w14:paraId="46AFAD2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5C91B46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5CC30F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w:t>
            </w:r>
          </w:p>
        </w:tc>
        <w:tc>
          <w:tcPr>
            <w:tcW w:w="708" w:type="dxa"/>
            <w:tcBorders>
              <w:top w:val="nil"/>
              <w:left w:val="nil"/>
              <w:bottom w:val="single" w:sz="4" w:space="0" w:color="auto"/>
              <w:right w:val="nil"/>
            </w:tcBorders>
            <w:shd w:val="clear" w:color="auto" w:fill="auto"/>
            <w:noWrap/>
            <w:hideMark/>
          </w:tcPr>
          <w:p w14:paraId="4241849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0,83</w:t>
            </w:r>
          </w:p>
        </w:tc>
        <w:tc>
          <w:tcPr>
            <w:tcW w:w="709" w:type="dxa"/>
            <w:tcBorders>
              <w:top w:val="single" w:sz="4" w:space="0" w:color="auto"/>
              <w:left w:val="single" w:sz="8" w:space="0" w:color="auto"/>
              <w:bottom w:val="nil"/>
              <w:right w:val="single" w:sz="4" w:space="0" w:color="auto"/>
            </w:tcBorders>
            <w:shd w:val="clear" w:color="auto" w:fill="auto"/>
            <w:noWrap/>
            <w:hideMark/>
          </w:tcPr>
          <w:p w14:paraId="66883DE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184,38</w:t>
            </w:r>
          </w:p>
        </w:tc>
        <w:tc>
          <w:tcPr>
            <w:tcW w:w="851" w:type="dxa"/>
            <w:tcBorders>
              <w:top w:val="nil"/>
              <w:left w:val="nil"/>
              <w:bottom w:val="single" w:sz="4" w:space="0" w:color="auto"/>
              <w:right w:val="single" w:sz="4" w:space="0" w:color="auto"/>
            </w:tcBorders>
            <w:shd w:val="clear" w:color="auto" w:fill="auto"/>
            <w:noWrap/>
            <w:hideMark/>
          </w:tcPr>
          <w:p w14:paraId="13BC288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0,0136</w:t>
            </w:r>
          </w:p>
        </w:tc>
        <w:tc>
          <w:tcPr>
            <w:tcW w:w="1134" w:type="dxa"/>
            <w:tcBorders>
              <w:top w:val="nil"/>
              <w:left w:val="nil"/>
              <w:bottom w:val="single" w:sz="4" w:space="0" w:color="auto"/>
              <w:right w:val="single" w:sz="4" w:space="0" w:color="auto"/>
            </w:tcBorders>
            <w:shd w:val="clear" w:color="000000" w:fill="C6E0B4"/>
            <w:noWrap/>
            <w:hideMark/>
          </w:tcPr>
          <w:p w14:paraId="346B99D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3.678.084</w:t>
            </w:r>
          </w:p>
        </w:tc>
        <w:tc>
          <w:tcPr>
            <w:tcW w:w="992" w:type="dxa"/>
            <w:tcBorders>
              <w:top w:val="nil"/>
              <w:left w:val="nil"/>
              <w:bottom w:val="single" w:sz="4" w:space="0" w:color="auto"/>
              <w:right w:val="single" w:sz="4" w:space="0" w:color="auto"/>
            </w:tcBorders>
            <w:shd w:val="clear" w:color="auto" w:fill="auto"/>
            <w:noWrap/>
            <w:hideMark/>
          </w:tcPr>
          <w:p w14:paraId="1EF8811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6.088.575</w:t>
            </w:r>
          </w:p>
        </w:tc>
        <w:tc>
          <w:tcPr>
            <w:tcW w:w="567" w:type="dxa"/>
            <w:tcBorders>
              <w:top w:val="nil"/>
              <w:left w:val="nil"/>
              <w:bottom w:val="single" w:sz="4" w:space="0" w:color="auto"/>
              <w:right w:val="single" w:sz="4" w:space="0" w:color="auto"/>
            </w:tcBorders>
            <w:shd w:val="clear" w:color="auto" w:fill="auto"/>
            <w:noWrap/>
            <w:hideMark/>
          </w:tcPr>
          <w:p w14:paraId="3E7C9EC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60,41</w:t>
            </w:r>
          </w:p>
        </w:tc>
        <w:tc>
          <w:tcPr>
            <w:tcW w:w="850" w:type="dxa"/>
            <w:tcBorders>
              <w:top w:val="nil"/>
              <w:left w:val="nil"/>
              <w:bottom w:val="single" w:sz="4" w:space="0" w:color="auto"/>
              <w:right w:val="single" w:sz="4" w:space="0" w:color="auto"/>
            </w:tcBorders>
            <w:shd w:val="clear" w:color="auto" w:fill="auto"/>
            <w:noWrap/>
            <w:hideMark/>
          </w:tcPr>
          <w:p w14:paraId="4DE503B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3.310.276</w:t>
            </w:r>
          </w:p>
        </w:tc>
        <w:tc>
          <w:tcPr>
            <w:tcW w:w="709" w:type="dxa"/>
            <w:tcBorders>
              <w:top w:val="nil"/>
              <w:left w:val="nil"/>
              <w:bottom w:val="single" w:sz="4" w:space="0" w:color="auto"/>
              <w:right w:val="single" w:sz="8" w:space="0" w:color="auto"/>
            </w:tcBorders>
            <w:shd w:val="clear" w:color="auto" w:fill="auto"/>
            <w:noWrap/>
            <w:hideMark/>
          </w:tcPr>
          <w:p w14:paraId="65CBD31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367.808</w:t>
            </w:r>
          </w:p>
        </w:tc>
        <w:tc>
          <w:tcPr>
            <w:tcW w:w="851" w:type="dxa"/>
            <w:tcBorders>
              <w:top w:val="nil"/>
              <w:left w:val="single" w:sz="4" w:space="0" w:color="auto"/>
              <w:bottom w:val="single" w:sz="4" w:space="0" w:color="auto"/>
              <w:right w:val="single" w:sz="4" w:space="0" w:color="auto"/>
            </w:tcBorders>
            <w:shd w:val="clear" w:color="auto" w:fill="auto"/>
            <w:noWrap/>
            <w:hideMark/>
          </w:tcPr>
          <w:p w14:paraId="576D7311" w14:textId="23D8BD7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18.839</w:t>
            </w:r>
          </w:p>
        </w:tc>
      </w:tr>
      <w:tr w:rsidR="005C332D" w:rsidRPr="003F6E51" w14:paraId="02E36E13"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9AB181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122</w:t>
            </w:r>
          </w:p>
        </w:tc>
        <w:tc>
          <w:tcPr>
            <w:tcW w:w="2213" w:type="dxa"/>
            <w:tcBorders>
              <w:top w:val="nil"/>
              <w:left w:val="single" w:sz="8" w:space="0" w:color="auto"/>
              <w:bottom w:val="single" w:sz="4" w:space="0" w:color="auto"/>
              <w:right w:val="single" w:sz="8" w:space="0" w:color="auto"/>
            </w:tcBorders>
            <w:shd w:val="clear" w:color="auto" w:fill="auto"/>
            <w:noWrap/>
            <w:hideMark/>
          </w:tcPr>
          <w:p w14:paraId="33C850D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KRALJEVO</w:t>
            </w:r>
          </w:p>
        </w:tc>
        <w:tc>
          <w:tcPr>
            <w:tcW w:w="850" w:type="dxa"/>
            <w:tcBorders>
              <w:top w:val="nil"/>
              <w:left w:val="nil"/>
              <w:bottom w:val="single" w:sz="4" w:space="0" w:color="auto"/>
              <w:right w:val="single" w:sz="4" w:space="0" w:color="auto"/>
            </w:tcBorders>
            <w:shd w:val="clear" w:color="000000" w:fill="FFFFFF"/>
            <w:noWrap/>
            <w:hideMark/>
          </w:tcPr>
          <w:p w14:paraId="26D25F8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115921</w:t>
            </w:r>
          </w:p>
        </w:tc>
        <w:tc>
          <w:tcPr>
            <w:tcW w:w="709" w:type="dxa"/>
            <w:tcBorders>
              <w:top w:val="nil"/>
              <w:left w:val="nil"/>
              <w:bottom w:val="single" w:sz="4" w:space="0" w:color="auto"/>
              <w:right w:val="single" w:sz="8" w:space="0" w:color="auto"/>
            </w:tcBorders>
            <w:shd w:val="clear" w:color="000000" w:fill="FFFFFF"/>
            <w:noWrap/>
            <w:hideMark/>
          </w:tcPr>
          <w:p w14:paraId="6FA7E84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2,44</w:t>
            </w:r>
          </w:p>
        </w:tc>
        <w:tc>
          <w:tcPr>
            <w:tcW w:w="567" w:type="dxa"/>
            <w:tcBorders>
              <w:top w:val="nil"/>
              <w:left w:val="nil"/>
              <w:bottom w:val="single" w:sz="4" w:space="0" w:color="auto"/>
              <w:right w:val="single" w:sz="4" w:space="0" w:color="auto"/>
            </w:tcBorders>
            <w:shd w:val="clear" w:color="000000" w:fill="FFFFFF"/>
            <w:noWrap/>
            <w:hideMark/>
          </w:tcPr>
          <w:p w14:paraId="1786E00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1530</w:t>
            </w:r>
          </w:p>
        </w:tc>
        <w:tc>
          <w:tcPr>
            <w:tcW w:w="709" w:type="dxa"/>
            <w:tcBorders>
              <w:top w:val="nil"/>
              <w:left w:val="nil"/>
              <w:bottom w:val="single" w:sz="4" w:space="0" w:color="auto"/>
              <w:right w:val="single" w:sz="8" w:space="0" w:color="auto"/>
            </w:tcBorders>
            <w:shd w:val="clear" w:color="000000" w:fill="FFFFFF"/>
            <w:noWrap/>
            <w:hideMark/>
          </w:tcPr>
          <w:p w14:paraId="2C4C7C1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2,86</w:t>
            </w:r>
          </w:p>
        </w:tc>
        <w:tc>
          <w:tcPr>
            <w:tcW w:w="850" w:type="dxa"/>
            <w:tcBorders>
              <w:top w:val="nil"/>
              <w:left w:val="nil"/>
              <w:bottom w:val="single" w:sz="4" w:space="0" w:color="auto"/>
              <w:right w:val="single" w:sz="4" w:space="0" w:color="auto"/>
            </w:tcBorders>
            <w:shd w:val="clear" w:color="000000" w:fill="FFFFFF"/>
            <w:noWrap/>
            <w:hideMark/>
          </w:tcPr>
          <w:p w14:paraId="0D40CC75"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09F0590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494480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79CBA6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2A86E5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197,84</w:t>
            </w:r>
          </w:p>
        </w:tc>
        <w:tc>
          <w:tcPr>
            <w:tcW w:w="851" w:type="dxa"/>
            <w:tcBorders>
              <w:top w:val="nil"/>
              <w:left w:val="nil"/>
              <w:bottom w:val="single" w:sz="4" w:space="0" w:color="auto"/>
              <w:right w:val="single" w:sz="4" w:space="0" w:color="auto"/>
            </w:tcBorders>
            <w:shd w:val="clear" w:color="auto" w:fill="auto"/>
            <w:noWrap/>
            <w:hideMark/>
          </w:tcPr>
          <w:p w14:paraId="529DE6C8"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0,0146</w:t>
            </w:r>
          </w:p>
        </w:tc>
        <w:tc>
          <w:tcPr>
            <w:tcW w:w="1134" w:type="dxa"/>
            <w:tcBorders>
              <w:top w:val="nil"/>
              <w:left w:val="nil"/>
              <w:bottom w:val="single" w:sz="4" w:space="0" w:color="auto"/>
              <w:right w:val="single" w:sz="4" w:space="0" w:color="auto"/>
            </w:tcBorders>
            <w:shd w:val="clear" w:color="000000" w:fill="C6E0B4"/>
            <w:noWrap/>
            <w:hideMark/>
          </w:tcPr>
          <w:p w14:paraId="0EAB651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3.946.581</w:t>
            </w:r>
          </w:p>
        </w:tc>
        <w:tc>
          <w:tcPr>
            <w:tcW w:w="992" w:type="dxa"/>
            <w:tcBorders>
              <w:top w:val="nil"/>
              <w:left w:val="nil"/>
              <w:bottom w:val="single" w:sz="4" w:space="0" w:color="auto"/>
              <w:right w:val="single" w:sz="4" w:space="0" w:color="auto"/>
            </w:tcBorders>
            <w:shd w:val="clear" w:color="auto" w:fill="auto"/>
            <w:noWrap/>
            <w:hideMark/>
          </w:tcPr>
          <w:p w14:paraId="605111E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4.064.041</w:t>
            </w:r>
          </w:p>
        </w:tc>
        <w:tc>
          <w:tcPr>
            <w:tcW w:w="567" w:type="dxa"/>
            <w:tcBorders>
              <w:top w:val="nil"/>
              <w:left w:val="nil"/>
              <w:bottom w:val="single" w:sz="4" w:space="0" w:color="auto"/>
              <w:right w:val="single" w:sz="4" w:space="0" w:color="auto"/>
            </w:tcBorders>
            <w:shd w:val="clear" w:color="auto" w:fill="auto"/>
            <w:noWrap/>
            <w:hideMark/>
          </w:tcPr>
          <w:p w14:paraId="21294EE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97,11</w:t>
            </w:r>
          </w:p>
        </w:tc>
        <w:tc>
          <w:tcPr>
            <w:tcW w:w="850" w:type="dxa"/>
            <w:tcBorders>
              <w:top w:val="nil"/>
              <w:left w:val="nil"/>
              <w:bottom w:val="single" w:sz="4" w:space="0" w:color="auto"/>
              <w:right w:val="single" w:sz="4" w:space="0" w:color="auto"/>
            </w:tcBorders>
            <w:shd w:val="clear" w:color="auto" w:fill="auto"/>
            <w:noWrap/>
            <w:hideMark/>
          </w:tcPr>
          <w:p w14:paraId="48C5727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3.551.923</w:t>
            </w:r>
          </w:p>
        </w:tc>
        <w:tc>
          <w:tcPr>
            <w:tcW w:w="709" w:type="dxa"/>
            <w:tcBorders>
              <w:top w:val="nil"/>
              <w:left w:val="nil"/>
              <w:bottom w:val="single" w:sz="4" w:space="0" w:color="auto"/>
              <w:right w:val="single" w:sz="8" w:space="0" w:color="auto"/>
            </w:tcBorders>
            <w:shd w:val="clear" w:color="auto" w:fill="auto"/>
            <w:noWrap/>
            <w:hideMark/>
          </w:tcPr>
          <w:p w14:paraId="59C480E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394.658</w:t>
            </w:r>
          </w:p>
        </w:tc>
        <w:tc>
          <w:tcPr>
            <w:tcW w:w="851" w:type="dxa"/>
            <w:tcBorders>
              <w:top w:val="nil"/>
              <w:left w:val="single" w:sz="4" w:space="0" w:color="auto"/>
              <w:bottom w:val="single" w:sz="4" w:space="0" w:color="auto"/>
              <w:right w:val="single" w:sz="4" w:space="0" w:color="auto"/>
            </w:tcBorders>
            <w:shd w:val="clear" w:color="auto" w:fill="auto"/>
            <w:noWrap/>
            <w:hideMark/>
          </w:tcPr>
          <w:p w14:paraId="62917FDF" w14:textId="4CE9B488"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30.641</w:t>
            </w:r>
          </w:p>
        </w:tc>
      </w:tr>
      <w:tr w:rsidR="005C332D" w:rsidRPr="003F6E51" w14:paraId="50591DB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6A027D2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123</w:t>
            </w:r>
          </w:p>
        </w:tc>
        <w:tc>
          <w:tcPr>
            <w:tcW w:w="2213" w:type="dxa"/>
            <w:tcBorders>
              <w:top w:val="nil"/>
              <w:left w:val="single" w:sz="8" w:space="0" w:color="auto"/>
              <w:bottom w:val="single" w:sz="4" w:space="0" w:color="auto"/>
              <w:right w:val="single" w:sz="8" w:space="0" w:color="auto"/>
            </w:tcBorders>
            <w:shd w:val="clear" w:color="auto" w:fill="auto"/>
            <w:noWrap/>
            <w:hideMark/>
          </w:tcPr>
          <w:p w14:paraId="7C875DF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KRUŠEVAC</w:t>
            </w:r>
          </w:p>
        </w:tc>
        <w:tc>
          <w:tcPr>
            <w:tcW w:w="850" w:type="dxa"/>
            <w:tcBorders>
              <w:top w:val="nil"/>
              <w:left w:val="nil"/>
              <w:bottom w:val="single" w:sz="4" w:space="0" w:color="auto"/>
              <w:right w:val="single" w:sz="4" w:space="0" w:color="auto"/>
            </w:tcBorders>
            <w:shd w:val="clear" w:color="000000" w:fill="FFFFFF"/>
            <w:noWrap/>
            <w:hideMark/>
          </w:tcPr>
          <w:p w14:paraId="702CAAB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119035</w:t>
            </w:r>
          </w:p>
        </w:tc>
        <w:tc>
          <w:tcPr>
            <w:tcW w:w="709" w:type="dxa"/>
            <w:tcBorders>
              <w:top w:val="nil"/>
              <w:left w:val="nil"/>
              <w:bottom w:val="single" w:sz="4" w:space="0" w:color="auto"/>
              <w:right w:val="single" w:sz="8" w:space="0" w:color="auto"/>
            </w:tcBorders>
            <w:shd w:val="clear" w:color="000000" w:fill="FFFFFF"/>
            <w:noWrap/>
            <w:hideMark/>
          </w:tcPr>
          <w:p w14:paraId="7C9D199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2,50</w:t>
            </w:r>
          </w:p>
        </w:tc>
        <w:tc>
          <w:tcPr>
            <w:tcW w:w="567" w:type="dxa"/>
            <w:tcBorders>
              <w:top w:val="nil"/>
              <w:left w:val="nil"/>
              <w:bottom w:val="single" w:sz="4" w:space="0" w:color="auto"/>
              <w:right w:val="single" w:sz="4" w:space="0" w:color="auto"/>
            </w:tcBorders>
            <w:shd w:val="clear" w:color="000000" w:fill="FFFFFF"/>
            <w:noWrap/>
            <w:hideMark/>
          </w:tcPr>
          <w:p w14:paraId="31EBDF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854</w:t>
            </w:r>
          </w:p>
        </w:tc>
        <w:tc>
          <w:tcPr>
            <w:tcW w:w="709" w:type="dxa"/>
            <w:tcBorders>
              <w:top w:val="nil"/>
              <w:left w:val="nil"/>
              <w:bottom w:val="single" w:sz="4" w:space="0" w:color="auto"/>
              <w:right w:val="single" w:sz="8" w:space="0" w:color="auto"/>
            </w:tcBorders>
            <w:shd w:val="clear" w:color="000000" w:fill="FFFFFF"/>
            <w:noWrap/>
            <w:hideMark/>
          </w:tcPr>
          <w:p w14:paraId="40ECA78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1,60</w:t>
            </w:r>
          </w:p>
        </w:tc>
        <w:tc>
          <w:tcPr>
            <w:tcW w:w="850" w:type="dxa"/>
            <w:tcBorders>
              <w:top w:val="nil"/>
              <w:left w:val="nil"/>
              <w:bottom w:val="single" w:sz="4" w:space="0" w:color="auto"/>
              <w:right w:val="single" w:sz="4" w:space="0" w:color="auto"/>
            </w:tcBorders>
            <w:shd w:val="clear" w:color="000000" w:fill="FFFFFF"/>
            <w:noWrap/>
            <w:hideMark/>
          </w:tcPr>
          <w:p w14:paraId="51E498F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9CC7C1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4C25C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6F66266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single" w:sz="4" w:space="0" w:color="auto"/>
              <w:left w:val="single" w:sz="8" w:space="0" w:color="auto"/>
              <w:bottom w:val="nil"/>
              <w:right w:val="single" w:sz="4" w:space="0" w:color="auto"/>
            </w:tcBorders>
            <w:shd w:val="clear" w:color="auto" w:fill="auto"/>
            <w:noWrap/>
            <w:hideMark/>
          </w:tcPr>
          <w:p w14:paraId="3CDD183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156,92</w:t>
            </w:r>
          </w:p>
        </w:tc>
        <w:tc>
          <w:tcPr>
            <w:tcW w:w="851" w:type="dxa"/>
            <w:tcBorders>
              <w:top w:val="nil"/>
              <w:left w:val="nil"/>
              <w:bottom w:val="single" w:sz="4" w:space="0" w:color="auto"/>
              <w:right w:val="single" w:sz="4" w:space="0" w:color="auto"/>
            </w:tcBorders>
            <w:shd w:val="clear" w:color="auto" w:fill="auto"/>
            <w:noWrap/>
            <w:hideMark/>
          </w:tcPr>
          <w:p w14:paraId="08F5B53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0,0116</w:t>
            </w:r>
          </w:p>
        </w:tc>
        <w:tc>
          <w:tcPr>
            <w:tcW w:w="1134" w:type="dxa"/>
            <w:tcBorders>
              <w:top w:val="nil"/>
              <w:left w:val="nil"/>
              <w:bottom w:val="single" w:sz="4" w:space="0" w:color="auto"/>
              <w:right w:val="single" w:sz="4" w:space="0" w:color="auto"/>
            </w:tcBorders>
            <w:shd w:val="clear" w:color="000000" w:fill="C6E0B4"/>
            <w:noWrap/>
            <w:hideMark/>
          </w:tcPr>
          <w:p w14:paraId="5534E4C7"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3.130.353</w:t>
            </w:r>
          </w:p>
        </w:tc>
        <w:tc>
          <w:tcPr>
            <w:tcW w:w="992" w:type="dxa"/>
            <w:tcBorders>
              <w:top w:val="nil"/>
              <w:left w:val="nil"/>
              <w:bottom w:val="single" w:sz="4" w:space="0" w:color="auto"/>
              <w:right w:val="single" w:sz="4" w:space="0" w:color="auto"/>
            </w:tcBorders>
            <w:shd w:val="clear" w:color="auto" w:fill="auto"/>
            <w:noWrap/>
            <w:hideMark/>
          </w:tcPr>
          <w:p w14:paraId="6939872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3.551.073</w:t>
            </w:r>
          </w:p>
        </w:tc>
        <w:tc>
          <w:tcPr>
            <w:tcW w:w="567" w:type="dxa"/>
            <w:tcBorders>
              <w:top w:val="nil"/>
              <w:left w:val="nil"/>
              <w:bottom w:val="single" w:sz="4" w:space="0" w:color="auto"/>
              <w:right w:val="single" w:sz="4" w:space="0" w:color="auto"/>
            </w:tcBorders>
            <w:shd w:val="clear" w:color="auto" w:fill="auto"/>
            <w:noWrap/>
            <w:hideMark/>
          </w:tcPr>
          <w:p w14:paraId="5F039DD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88,15</w:t>
            </w:r>
          </w:p>
        </w:tc>
        <w:tc>
          <w:tcPr>
            <w:tcW w:w="850" w:type="dxa"/>
            <w:tcBorders>
              <w:top w:val="nil"/>
              <w:left w:val="nil"/>
              <w:bottom w:val="single" w:sz="4" w:space="0" w:color="auto"/>
              <w:right w:val="single" w:sz="4" w:space="0" w:color="auto"/>
            </w:tcBorders>
            <w:shd w:val="clear" w:color="auto" w:fill="auto"/>
            <w:noWrap/>
            <w:hideMark/>
          </w:tcPr>
          <w:p w14:paraId="28CC234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2.817.317</w:t>
            </w:r>
          </w:p>
        </w:tc>
        <w:tc>
          <w:tcPr>
            <w:tcW w:w="709" w:type="dxa"/>
            <w:tcBorders>
              <w:top w:val="nil"/>
              <w:left w:val="nil"/>
              <w:bottom w:val="single" w:sz="4" w:space="0" w:color="auto"/>
              <w:right w:val="single" w:sz="8" w:space="0" w:color="auto"/>
            </w:tcBorders>
            <w:shd w:val="clear" w:color="auto" w:fill="auto"/>
            <w:noWrap/>
            <w:hideMark/>
          </w:tcPr>
          <w:p w14:paraId="3A72BF5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313.035</w:t>
            </w:r>
          </w:p>
        </w:tc>
        <w:tc>
          <w:tcPr>
            <w:tcW w:w="851" w:type="dxa"/>
            <w:tcBorders>
              <w:top w:val="nil"/>
              <w:left w:val="single" w:sz="4" w:space="0" w:color="auto"/>
              <w:bottom w:val="single" w:sz="4" w:space="0" w:color="auto"/>
              <w:right w:val="single" w:sz="4" w:space="0" w:color="auto"/>
            </w:tcBorders>
            <w:shd w:val="clear" w:color="auto" w:fill="auto"/>
            <w:noWrap/>
            <w:hideMark/>
          </w:tcPr>
          <w:p w14:paraId="5F22AD24" w14:textId="3CBF9CA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23.668</w:t>
            </w:r>
          </w:p>
        </w:tc>
      </w:tr>
      <w:tr w:rsidR="005C332D" w:rsidRPr="003F6E51" w14:paraId="3871643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05D4BA1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124</w:t>
            </w:r>
          </w:p>
        </w:tc>
        <w:tc>
          <w:tcPr>
            <w:tcW w:w="2213" w:type="dxa"/>
            <w:tcBorders>
              <w:top w:val="nil"/>
              <w:left w:val="single" w:sz="8" w:space="0" w:color="auto"/>
              <w:bottom w:val="single" w:sz="4" w:space="0" w:color="auto"/>
              <w:right w:val="single" w:sz="8" w:space="0" w:color="auto"/>
            </w:tcBorders>
            <w:shd w:val="clear" w:color="auto" w:fill="auto"/>
            <w:noWrap/>
            <w:hideMark/>
          </w:tcPr>
          <w:p w14:paraId="4CF3ACF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LESKOVAC</w:t>
            </w:r>
          </w:p>
        </w:tc>
        <w:tc>
          <w:tcPr>
            <w:tcW w:w="850" w:type="dxa"/>
            <w:tcBorders>
              <w:top w:val="nil"/>
              <w:left w:val="nil"/>
              <w:bottom w:val="single" w:sz="4" w:space="0" w:color="auto"/>
              <w:right w:val="single" w:sz="4" w:space="0" w:color="auto"/>
            </w:tcBorders>
            <w:shd w:val="clear" w:color="000000" w:fill="FFFFFF"/>
            <w:noWrap/>
            <w:hideMark/>
          </w:tcPr>
          <w:p w14:paraId="3B3F6AC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132764</w:t>
            </w:r>
          </w:p>
        </w:tc>
        <w:tc>
          <w:tcPr>
            <w:tcW w:w="709" w:type="dxa"/>
            <w:tcBorders>
              <w:top w:val="nil"/>
              <w:left w:val="nil"/>
              <w:bottom w:val="single" w:sz="4" w:space="0" w:color="auto"/>
              <w:right w:val="single" w:sz="8" w:space="0" w:color="auto"/>
            </w:tcBorders>
            <w:shd w:val="clear" w:color="000000" w:fill="FFFFFF"/>
            <w:noWrap/>
            <w:hideMark/>
          </w:tcPr>
          <w:p w14:paraId="0AF129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2,79</w:t>
            </w:r>
          </w:p>
        </w:tc>
        <w:tc>
          <w:tcPr>
            <w:tcW w:w="567" w:type="dxa"/>
            <w:tcBorders>
              <w:top w:val="nil"/>
              <w:left w:val="nil"/>
              <w:bottom w:val="single" w:sz="4" w:space="0" w:color="auto"/>
              <w:right w:val="single" w:sz="4" w:space="0" w:color="auto"/>
            </w:tcBorders>
            <w:shd w:val="clear" w:color="000000" w:fill="FFFFFF"/>
            <w:noWrap/>
            <w:hideMark/>
          </w:tcPr>
          <w:p w14:paraId="60E3CD5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1025</w:t>
            </w:r>
          </w:p>
        </w:tc>
        <w:tc>
          <w:tcPr>
            <w:tcW w:w="709" w:type="dxa"/>
            <w:tcBorders>
              <w:top w:val="nil"/>
              <w:left w:val="nil"/>
              <w:bottom w:val="single" w:sz="4" w:space="0" w:color="auto"/>
              <w:right w:val="single" w:sz="8" w:space="0" w:color="auto"/>
            </w:tcBorders>
            <w:shd w:val="clear" w:color="000000" w:fill="FFFFFF"/>
            <w:noWrap/>
            <w:hideMark/>
          </w:tcPr>
          <w:p w14:paraId="1E4A1A1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1,92</w:t>
            </w:r>
          </w:p>
        </w:tc>
        <w:tc>
          <w:tcPr>
            <w:tcW w:w="850" w:type="dxa"/>
            <w:tcBorders>
              <w:top w:val="nil"/>
              <w:left w:val="nil"/>
              <w:bottom w:val="single" w:sz="4" w:space="0" w:color="auto"/>
              <w:right w:val="single" w:sz="4" w:space="0" w:color="auto"/>
            </w:tcBorders>
            <w:shd w:val="clear" w:color="000000" w:fill="FFFFFF"/>
            <w:noWrap/>
            <w:hideMark/>
          </w:tcPr>
          <w:p w14:paraId="1BD7ABC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3BE535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63480B0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5DDBF0B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59ADBE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186,63</w:t>
            </w:r>
          </w:p>
        </w:tc>
        <w:tc>
          <w:tcPr>
            <w:tcW w:w="851" w:type="dxa"/>
            <w:tcBorders>
              <w:top w:val="nil"/>
              <w:left w:val="nil"/>
              <w:bottom w:val="single" w:sz="4" w:space="0" w:color="auto"/>
              <w:right w:val="single" w:sz="4" w:space="0" w:color="auto"/>
            </w:tcBorders>
            <w:shd w:val="clear" w:color="auto" w:fill="auto"/>
            <w:noWrap/>
            <w:hideMark/>
          </w:tcPr>
          <w:p w14:paraId="797B764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0,0137</w:t>
            </w:r>
          </w:p>
        </w:tc>
        <w:tc>
          <w:tcPr>
            <w:tcW w:w="1134" w:type="dxa"/>
            <w:tcBorders>
              <w:top w:val="nil"/>
              <w:left w:val="nil"/>
              <w:bottom w:val="single" w:sz="4" w:space="0" w:color="auto"/>
              <w:right w:val="single" w:sz="4" w:space="0" w:color="auto"/>
            </w:tcBorders>
            <w:shd w:val="clear" w:color="000000" w:fill="C6E0B4"/>
            <w:noWrap/>
            <w:hideMark/>
          </w:tcPr>
          <w:p w14:paraId="10769523"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3.723.074</w:t>
            </w:r>
          </w:p>
        </w:tc>
        <w:tc>
          <w:tcPr>
            <w:tcW w:w="992" w:type="dxa"/>
            <w:tcBorders>
              <w:top w:val="nil"/>
              <w:left w:val="nil"/>
              <w:bottom w:val="single" w:sz="4" w:space="0" w:color="auto"/>
              <w:right w:val="single" w:sz="4" w:space="0" w:color="auto"/>
            </w:tcBorders>
            <w:shd w:val="clear" w:color="auto" w:fill="auto"/>
            <w:noWrap/>
            <w:hideMark/>
          </w:tcPr>
          <w:p w14:paraId="30440A8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3.275.812</w:t>
            </w:r>
          </w:p>
        </w:tc>
        <w:tc>
          <w:tcPr>
            <w:tcW w:w="567" w:type="dxa"/>
            <w:tcBorders>
              <w:top w:val="nil"/>
              <w:left w:val="nil"/>
              <w:bottom w:val="single" w:sz="4" w:space="0" w:color="auto"/>
              <w:right w:val="single" w:sz="4" w:space="0" w:color="auto"/>
            </w:tcBorders>
            <w:shd w:val="clear" w:color="auto" w:fill="auto"/>
            <w:noWrap/>
            <w:hideMark/>
          </w:tcPr>
          <w:p w14:paraId="3D539F7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113,65</w:t>
            </w:r>
          </w:p>
        </w:tc>
        <w:tc>
          <w:tcPr>
            <w:tcW w:w="850" w:type="dxa"/>
            <w:tcBorders>
              <w:top w:val="nil"/>
              <w:left w:val="nil"/>
              <w:bottom w:val="single" w:sz="4" w:space="0" w:color="auto"/>
              <w:right w:val="single" w:sz="4" w:space="0" w:color="auto"/>
            </w:tcBorders>
            <w:shd w:val="clear" w:color="auto" w:fill="auto"/>
            <w:noWrap/>
            <w:hideMark/>
          </w:tcPr>
          <w:p w14:paraId="4C19D00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3.350.767</w:t>
            </w:r>
          </w:p>
        </w:tc>
        <w:tc>
          <w:tcPr>
            <w:tcW w:w="709" w:type="dxa"/>
            <w:tcBorders>
              <w:top w:val="nil"/>
              <w:left w:val="nil"/>
              <w:bottom w:val="single" w:sz="4" w:space="0" w:color="auto"/>
              <w:right w:val="single" w:sz="8" w:space="0" w:color="auto"/>
            </w:tcBorders>
            <w:shd w:val="clear" w:color="auto" w:fill="auto"/>
            <w:noWrap/>
            <w:hideMark/>
          </w:tcPr>
          <w:p w14:paraId="154E8C0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372.307</w:t>
            </w:r>
          </w:p>
        </w:tc>
        <w:tc>
          <w:tcPr>
            <w:tcW w:w="851" w:type="dxa"/>
            <w:tcBorders>
              <w:top w:val="nil"/>
              <w:left w:val="single" w:sz="4" w:space="0" w:color="auto"/>
              <w:bottom w:val="single" w:sz="4" w:space="0" w:color="auto"/>
              <w:right w:val="single" w:sz="4" w:space="0" w:color="auto"/>
            </w:tcBorders>
            <w:shd w:val="clear" w:color="auto" w:fill="auto"/>
            <w:noWrap/>
            <w:hideMark/>
          </w:tcPr>
          <w:p w14:paraId="015F19E7" w14:textId="1DE86A1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25.239</w:t>
            </w:r>
          </w:p>
        </w:tc>
      </w:tr>
      <w:tr w:rsidR="005C332D" w:rsidRPr="003F6E51" w14:paraId="07CDF92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11EA61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125</w:t>
            </w:r>
          </w:p>
        </w:tc>
        <w:tc>
          <w:tcPr>
            <w:tcW w:w="2213" w:type="dxa"/>
            <w:tcBorders>
              <w:top w:val="nil"/>
              <w:left w:val="single" w:sz="8" w:space="0" w:color="auto"/>
              <w:bottom w:val="single" w:sz="4" w:space="0" w:color="auto"/>
              <w:right w:val="single" w:sz="8" w:space="0" w:color="auto"/>
            </w:tcBorders>
            <w:shd w:val="clear" w:color="auto" w:fill="auto"/>
            <w:noWrap/>
            <w:hideMark/>
          </w:tcPr>
          <w:p w14:paraId="3FD78FC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LOZNICA</w:t>
            </w:r>
          </w:p>
        </w:tc>
        <w:tc>
          <w:tcPr>
            <w:tcW w:w="850" w:type="dxa"/>
            <w:tcBorders>
              <w:top w:val="nil"/>
              <w:left w:val="nil"/>
              <w:bottom w:val="single" w:sz="4" w:space="0" w:color="auto"/>
              <w:right w:val="single" w:sz="4" w:space="0" w:color="auto"/>
            </w:tcBorders>
            <w:shd w:val="clear" w:color="000000" w:fill="FFFFFF"/>
            <w:noWrap/>
            <w:hideMark/>
          </w:tcPr>
          <w:p w14:paraId="4BB4D9F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73975</w:t>
            </w:r>
          </w:p>
        </w:tc>
        <w:tc>
          <w:tcPr>
            <w:tcW w:w="709" w:type="dxa"/>
            <w:tcBorders>
              <w:top w:val="nil"/>
              <w:left w:val="nil"/>
              <w:bottom w:val="single" w:sz="4" w:space="0" w:color="auto"/>
              <w:right w:val="single" w:sz="8" w:space="0" w:color="auto"/>
            </w:tcBorders>
            <w:shd w:val="clear" w:color="000000" w:fill="FFFFFF"/>
            <w:noWrap/>
            <w:hideMark/>
          </w:tcPr>
          <w:p w14:paraId="741B4D9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1,55</w:t>
            </w:r>
          </w:p>
        </w:tc>
        <w:tc>
          <w:tcPr>
            <w:tcW w:w="567" w:type="dxa"/>
            <w:tcBorders>
              <w:top w:val="nil"/>
              <w:left w:val="nil"/>
              <w:bottom w:val="single" w:sz="4" w:space="0" w:color="auto"/>
              <w:right w:val="single" w:sz="4" w:space="0" w:color="auto"/>
            </w:tcBorders>
            <w:shd w:val="clear" w:color="000000" w:fill="FFFFFF"/>
            <w:noWrap/>
            <w:hideMark/>
          </w:tcPr>
          <w:p w14:paraId="567CB12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612</w:t>
            </w:r>
          </w:p>
        </w:tc>
        <w:tc>
          <w:tcPr>
            <w:tcW w:w="709" w:type="dxa"/>
            <w:tcBorders>
              <w:top w:val="nil"/>
              <w:left w:val="nil"/>
              <w:bottom w:val="single" w:sz="4" w:space="0" w:color="auto"/>
              <w:right w:val="single" w:sz="8" w:space="0" w:color="auto"/>
            </w:tcBorders>
            <w:shd w:val="clear" w:color="000000" w:fill="FFFFFF"/>
            <w:noWrap/>
            <w:hideMark/>
          </w:tcPr>
          <w:p w14:paraId="08A45B5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1,14</w:t>
            </w:r>
          </w:p>
        </w:tc>
        <w:tc>
          <w:tcPr>
            <w:tcW w:w="850" w:type="dxa"/>
            <w:tcBorders>
              <w:top w:val="nil"/>
              <w:left w:val="nil"/>
              <w:bottom w:val="single" w:sz="4" w:space="0" w:color="auto"/>
              <w:right w:val="single" w:sz="4" w:space="0" w:color="auto"/>
            </w:tcBorders>
            <w:shd w:val="clear" w:color="000000" w:fill="FFFFFF"/>
            <w:noWrap/>
            <w:hideMark/>
          </w:tcPr>
          <w:p w14:paraId="2451DBD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736BDE3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0C398B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16B4EF7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3652B6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123,75</w:t>
            </w:r>
          </w:p>
        </w:tc>
        <w:tc>
          <w:tcPr>
            <w:tcW w:w="851" w:type="dxa"/>
            <w:tcBorders>
              <w:top w:val="nil"/>
              <w:left w:val="nil"/>
              <w:bottom w:val="single" w:sz="4" w:space="0" w:color="auto"/>
              <w:right w:val="single" w:sz="4" w:space="0" w:color="auto"/>
            </w:tcBorders>
            <w:shd w:val="clear" w:color="auto" w:fill="auto"/>
            <w:noWrap/>
            <w:hideMark/>
          </w:tcPr>
          <w:p w14:paraId="1E243E1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0,0091</w:t>
            </w:r>
          </w:p>
        </w:tc>
        <w:tc>
          <w:tcPr>
            <w:tcW w:w="1134" w:type="dxa"/>
            <w:tcBorders>
              <w:top w:val="nil"/>
              <w:left w:val="nil"/>
              <w:bottom w:val="single" w:sz="4" w:space="0" w:color="auto"/>
              <w:right w:val="single" w:sz="4" w:space="0" w:color="auto"/>
            </w:tcBorders>
            <w:shd w:val="clear" w:color="000000" w:fill="C6E0B4"/>
            <w:noWrap/>
            <w:hideMark/>
          </w:tcPr>
          <w:p w14:paraId="6F6F7682"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2.468.593</w:t>
            </w:r>
          </w:p>
        </w:tc>
        <w:tc>
          <w:tcPr>
            <w:tcW w:w="992" w:type="dxa"/>
            <w:tcBorders>
              <w:top w:val="nil"/>
              <w:left w:val="nil"/>
              <w:bottom w:val="single" w:sz="4" w:space="0" w:color="auto"/>
              <w:right w:val="single" w:sz="4" w:space="0" w:color="auto"/>
            </w:tcBorders>
            <w:shd w:val="clear" w:color="auto" w:fill="auto"/>
            <w:noWrap/>
            <w:hideMark/>
          </w:tcPr>
          <w:p w14:paraId="22225E3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1.846.833</w:t>
            </w:r>
          </w:p>
        </w:tc>
        <w:tc>
          <w:tcPr>
            <w:tcW w:w="567" w:type="dxa"/>
            <w:tcBorders>
              <w:top w:val="nil"/>
              <w:left w:val="nil"/>
              <w:bottom w:val="single" w:sz="4" w:space="0" w:color="auto"/>
              <w:right w:val="single" w:sz="4" w:space="0" w:color="auto"/>
            </w:tcBorders>
            <w:shd w:val="clear" w:color="auto" w:fill="auto"/>
            <w:noWrap/>
            <w:hideMark/>
          </w:tcPr>
          <w:p w14:paraId="1B859A6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133,67</w:t>
            </w:r>
          </w:p>
        </w:tc>
        <w:tc>
          <w:tcPr>
            <w:tcW w:w="850" w:type="dxa"/>
            <w:tcBorders>
              <w:top w:val="nil"/>
              <w:left w:val="nil"/>
              <w:bottom w:val="single" w:sz="4" w:space="0" w:color="auto"/>
              <w:right w:val="single" w:sz="4" w:space="0" w:color="auto"/>
            </w:tcBorders>
            <w:shd w:val="clear" w:color="auto" w:fill="auto"/>
            <w:noWrap/>
            <w:hideMark/>
          </w:tcPr>
          <w:p w14:paraId="6F82531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2.221.734</w:t>
            </w:r>
          </w:p>
        </w:tc>
        <w:tc>
          <w:tcPr>
            <w:tcW w:w="709" w:type="dxa"/>
            <w:tcBorders>
              <w:top w:val="nil"/>
              <w:left w:val="nil"/>
              <w:bottom w:val="single" w:sz="4" w:space="0" w:color="auto"/>
              <w:right w:val="single" w:sz="8" w:space="0" w:color="auto"/>
            </w:tcBorders>
            <w:shd w:val="clear" w:color="auto" w:fill="auto"/>
            <w:noWrap/>
            <w:hideMark/>
          </w:tcPr>
          <w:p w14:paraId="75BB619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246.859</w:t>
            </w:r>
          </w:p>
        </w:tc>
        <w:tc>
          <w:tcPr>
            <w:tcW w:w="851" w:type="dxa"/>
            <w:tcBorders>
              <w:top w:val="nil"/>
              <w:left w:val="single" w:sz="4" w:space="0" w:color="auto"/>
              <w:bottom w:val="single" w:sz="4" w:space="0" w:color="auto"/>
              <w:right w:val="single" w:sz="4" w:space="0" w:color="auto"/>
            </w:tcBorders>
            <w:shd w:val="clear" w:color="auto" w:fill="auto"/>
            <w:noWrap/>
            <w:hideMark/>
          </w:tcPr>
          <w:p w14:paraId="309CBB66" w14:textId="783A9E2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30.034</w:t>
            </w:r>
          </w:p>
        </w:tc>
      </w:tr>
      <w:tr w:rsidR="005C332D" w:rsidRPr="003F6E51" w14:paraId="7584452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03DCBA8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126</w:t>
            </w:r>
          </w:p>
        </w:tc>
        <w:tc>
          <w:tcPr>
            <w:tcW w:w="2213" w:type="dxa"/>
            <w:tcBorders>
              <w:top w:val="nil"/>
              <w:left w:val="single" w:sz="8" w:space="0" w:color="auto"/>
              <w:bottom w:val="single" w:sz="4" w:space="0" w:color="auto"/>
              <w:right w:val="single" w:sz="8" w:space="0" w:color="auto"/>
            </w:tcBorders>
            <w:shd w:val="clear" w:color="auto" w:fill="auto"/>
            <w:noWrap/>
            <w:hideMark/>
          </w:tcPr>
          <w:p w14:paraId="45ED2AC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NIŠ</w:t>
            </w:r>
          </w:p>
        </w:tc>
        <w:tc>
          <w:tcPr>
            <w:tcW w:w="850" w:type="dxa"/>
            <w:tcBorders>
              <w:top w:val="nil"/>
              <w:left w:val="nil"/>
              <w:bottom w:val="nil"/>
              <w:right w:val="nil"/>
            </w:tcBorders>
            <w:shd w:val="clear" w:color="000000" w:fill="FFFFFF"/>
            <w:noWrap/>
            <w:hideMark/>
          </w:tcPr>
          <w:p w14:paraId="368E1A2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254723</w:t>
            </w:r>
          </w:p>
        </w:tc>
        <w:tc>
          <w:tcPr>
            <w:tcW w:w="709" w:type="dxa"/>
            <w:tcBorders>
              <w:top w:val="nil"/>
              <w:left w:val="single" w:sz="4" w:space="0" w:color="auto"/>
              <w:bottom w:val="single" w:sz="4" w:space="0" w:color="auto"/>
              <w:right w:val="single" w:sz="8" w:space="0" w:color="auto"/>
            </w:tcBorders>
            <w:shd w:val="clear" w:color="000000" w:fill="FFFFFF"/>
            <w:noWrap/>
            <w:hideMark/>
          </w:tcPr>
          <w:p w14:paraId="048E6DE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5,35</w:t>
            </w:r>
          </w:p>
        </w:tc>
        <w:tc>
          <w:tcPr>
            <w:tcW w:w="567" w:type="dxa"/>
            <w:tcBorders>
              <w:top w:val="nil"/>
              <w:left w:val="nil"/>
              <w:bottom w:val="single" w:sz="4" w:space="0" w:color="auto"/>
              <w:right w:val="single" w:sz="4" w:space="0" w:color="auto"/>
            </w:tcBorders>
            <w:shd w:val="clear" w:color="000000" w:fill="FFFFFF"/>
            <w:noWrap/>
            <w:hideMark/>
          </w:tcPr>
          <w:p w14:paraId="671A72E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596</w:t>
            </w:r>
          </w:p>
        </w:tc>
        <w:tc>
          <w:tcPr>
            <w:tcW w:w="709" w:type="dxa"/>
            <w:tcBorders>
              <w:top w:val="nil"/>
              <w:left w:val="nil"/>
              <w:bottom w:val="single" w:sz="4" w:space="0" w:color="auto"/>
              <w:right w:val="single" w:sz="8" w:space="0" w:color="auto"/>
            </w:tcBorders>
            <w:shd w:val="clear" w:color="000000" w:fill="FFFFFF"/>
            <w:noWrap/>
            <w:hideMark/>
          </w:tcPr>
          <w:p w14:paraId="7CB624A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1,11</w:t>
            </w:r>
          </w:p>
        </w:tc>
        <w:tc>
          <w:tcPr>
            <w:tcW w:w="850" w:type="dxa"/>
            <w:tcBorders>
              <w:top w:val="nil"/>
              <w:left w:val="nil"/>
              <w:bottom w:val="single" w:sz="4" w:space="0" w:color="auto"/>
              <w:right w:val="single" w:sz="4" w:space="0" w:color="auto"/>
            </w:tcBorders>
            <w:shd w:val="clear" w:color="000000" w:fill="FFFFFF"/>
            <w:noWrap/>
            <w:hideMark/>
          </w:tcPr>
          <w:p w14:paraId="72A8679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419A042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4C9E74A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75EF249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725C2FA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233,06</w:t>
            </w:r>
          </w:p>
        </w:tc>
        <w:tc>
          <w:tcPr>
            <w:tcW w:w="851" w:type="dxa"/>
            <w:tcBorders>
              <w:top w:val="nil"/>
              <w:left w:val="nil"/>
              <w:bottom w:val="single" w:sz="4" w:space="0" w:color="auto"/>
              <w:right w:val="single" w:sz="4" w:space="0" w:color="auto"/>
            </w:tcBorders>
            <w:shd w:val="clear" w:color="auto" w:fill="auto"/>
            <w:noWrap/>
            <w:hideMark/>
          </w:tcPr>
          <w:p w14:paraId="559C7E9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0,0172</w:t>
            </w:r>
          </w:p>
        </w:tc>
        <w:tc>
          <w:tcPr>
            <w:tcW w:w="1134" w:type="dxa"/>
            <w:tcBorders>
              <w:top w:val="nil"/>
              <w:left w:val="nil"/>
              <w:bottom w:val="single" w:sz="4" w:space="0" w:color="auto"/>
              <w:right w:val="single" w:sz="4" w:space="0" w:color="auto"/>
            </w:tcBorders>
            <w:shd w:val="clear" w:color="000000" w:fill="FFFF00"/>
            <w:noWrap/>
            <w:hideMark/>
          </w:tcPr>
          <w:p w14:paraId="6FB25DB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4.649.114</w:t>
            </w:r>
          </w:p>
        </w:tc>
        <w:tc>
          <w:tcPr>
            <w:tcW w:w="992" w:type="dxa"/>
            <w:tcBorders>
              <w:top w:val="nil"/>
              <w:left w:val="nil"/>
              <w:bottom w:val="single" w:sz="4" w:space="0" w:color="auto"/>
              <w:right w:val="single" w:sz="4" w:space="0" w:color="auto"/>
            </w:tcBorders>
            <w:shd w:val="clear" w:color="auto" w:fill="auto"/>
            <w:noWrap/>
            <w:hideMark/>
          </w:tcPr>
          <w:p w14:paraId="28C2526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9.390.783</w:t>
            </w:r>
          </w:p>
        </w:tc>
        <w:tc>
          <w:tcPr>
            <w:tcW w:w="567" w:type="dxa"/>
            <w:tcBorders>
              <w:top w:val="nil"/>
              <w:left w:val="nil"/>
              <w:bottom w:val="single" w:sz="4" w:space="0" w:color="auto"/>
              <w:right w:val="single" w:sz="4" w:space="0" w:color="auto"/>
            </w:tcBorders>
            <w:shd w:val="clear" w:color="auto" w:fill="auto"/>
            <w:noWrap/>
            <w:hideMark/>
          </w:tcPr>
          <w:p w14:paraId="41DF3AB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49,51</w:t>
            </w:r>
          </w:p>
        </w:tc>
        <w:tc>
          <w:tcPr>
            <w:tcW w:w="850" w:type="dxa"/>
            <w:tcBorders>
              <w:top w:val="nil"/>
              <w:left w:val="nil"/>
              <w:bottom w:val="single" w:sz="4" w:space="0" w:color="auto"/>
              <w:right w:val="single" w:sz="4" w:space="0" w:color="auto"/>
            </w:tcBorders>
            <w:shd w:val="clear" w:color="auto" w:fill="auto"/>
            <w:noWrap/>
            <w:hideMark/>
          </w:tcPr>
          <w:p w14:paraId="2BDC526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4.184.203</w:t>
            </w:r>
          </w:p>
        </w:tc>
        <w:tc>
          <w:tcPr>
            <w:tcW w:w="709" w:type="dxa"/>
            <w:tcBorders>
              <w:top w:val="nil"/>
              <w:left w:val="nil"/>
              <w:bottom w:val="single" w:sz="4" w:space="0" w:color="auto"/>
              <w:right w:val="single" w:sz="8" w:space="0" w:color="auto"/>
            </w:tcBorders>
            <w:shd w:val="clear" w:color="auto" w:fill="auto"/>
            <w:noWrap/>
            <w:hideMark/>
          </w:tcPr>
          <w:p w14:paraId="3E51FDA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464.911</w:t>
            </w:r>
          </w:p>
        </w:tc>
        <w:tc>
          <w:tcPr>
            <w:tcW w:w="851" w:type="dxa"/>
            <w:tcBorders>
              <w:top w:val="nil"/>
              <w:left w:val="single" w:sz="4" w:space="0" w:color="auto"/>
              <w:bottom w:val="single" w:sz="4" w:space="0" w:color="auto"/>
              <w:right w:val="single" w:sz="4" w:space="0" w:color="auto"/>
            </w:tcBorders>
            <w:shd w:val="clear" w:color="auto" w:fill="auto"/>
            <w:noWrap/>
            <w:hideMark/>
          </w:tcPr>
          <w:p w14:paraId="6A7DC1E4" w14:textId="7BD298B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16.426</w:t>
            </w:r>
          </w:p>
        </w:tc>
      </w:tr>
      <w:tr w:rsidR="005C332D" w:rsidRPr="003F6E51" w14:paraId="42CADB1B"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6E5EF17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127</w:t>
            </w:r>
          </w:p>
        </w:tc>
        <w:tc>
          <w:tcPr>
            <w:tcW w:w="2213" w:type="dxa"/>
            <w:tcBorders>
              <w:top w:val="nil"/>
              <w:left w:val="single" w:sz="8" w:space="0" w:color="auto"/>
              <w:bottom w:val="single" w:sz="4" w:space="0" w:color="auto"/>
              <w:right w:val="single" w:sz="8" w:space="0" w:color="auto"/>
            </w:tcBorders>
            <w:shd w:val="clear" w:color="auto" w:fill="auto"/>
            <w:noWrap/>
            <w:hideMark/>
          </w:tcPr>
          <w:p w14:paraId="4B634B4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NOVI PAZAR</w:t>
            </w:r>
          </w:p>
        </w:tc>
        <w:tc>
          <w:tcPr>
            <w:tcW w:w="850" w:type="dxa"/>
            <w:tcBorders>
              <w:top w:val="single" w:sz="4" w:space="0" w:color="auto"/>
              <w:left w:val="nil"/>
              <w:bottom w:val="single" w:sz="4" w:space="0" w:color="auto"/>
              <w:right w:val="single" w:sz="4" w:space="0" w:color="auto"/>
            </w:tcBorders>
            <w:shd w:val="clear" w:color="000000" w:fill="FFFFFF"/>
            <w:noWrap/>
            <w:hideMark/>
          </w:tcPr>
          <w:p w14:paraId="3B4CFC2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107822</w:t>
            </w:r>
          </w:p>
        </w:tc>
        <w:tc>
          <w:tcPr>
            <w:tcW w:w="709" w:type="dxa"/>
            <w:tcBorders>
              <w:top w:val="nil"/>
              <w:left w:val="nil"/>
              <w:bottom w:val="single" w:sz="4" w:space="0" w:color="auto"/>
              <w:right w:val="single" w:sz="8" w:space="0" w:color="auto"/>
            </w:tcBorders>
            <w:shd w:val="clear" w:color="000000" w:fill="FFFFFF"/>
            <w:noWrap/>
            <w:hideMark/>
          </w:tcPr>
          <w:p w14:paraId="13713D1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2,27</w:t>
            </w:r>
          </w:p>
        </w:tc>
        <w:tc>
          <w:tcPr>
            <w:tcW w:w="567" w:type="dxa"/>
            <w:tcBorders>
              <w:top w:val="nil"/>
              <w:left w:val="nil"/>
              <w:bottom w:val="single" w:sz="4" w:space="0" w:color="auto"/>
              <w:right w:val="single" w:sz="4" w:space="0" w:color="auto"/>
            </w:tcBorders>
            <w:shd w:val="clear" w:color="000000" w:fill="FFFFFF"/>
            <w:noWrap/>
            <w:hideMark/>
          </w:tcPr>
          <w:p w14:paraId="7A40FFD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742</w:t>
            </w:r>
          </w:p>
        </w:tc>
        <w:tc>
          <w:tcPr>
            <w:tcW w:w="709" w:type="dxa"/>
            <w:tcBorders>
              <w:top w:val="nil"/>
              <w:left w:val="nil"/>
              <w:bottom w:val="single" w:sz="4" w:space="0" w:color="auto"/>
              <w:right w:val="single" w:sz="8" w:space="0" w:color="auto"/>
            </w:tcBorders>
            <w:shd w:val="clear" w:color="000000" w:fill="FFFFFF"/>
            <w:noWrap/>
            <w:hideMark/>
          </w:tcPr>
          <w:p w14:paraId="2AA45B5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1,39</w:t>
            </w:r>
          </w:p>
        </w:tc>
        <w:tc>
          <w:tcPr>
            <w:tcW w:w="850" w:type="dxa"/>
            <w:tcBorders>
              <w:top w:val="nil"/>
              <w:left w:val="nil"/>
              <w:bottom w:val="single" w:sz="4" w:space="0" w:color="auto"/>
              <w:right w:val="single" w:sz="4" w:space="0" w:color="auto"/>
            </w:tcBorders>
            <w:shd w:val="clear" w:color="000000" w:fill="FFFFFF"/>
            <w:noWrap/>
            <w:hideMark/>
          </w:tcPr>
          <w:p w14:paraId="7E51BA5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9" w:type="dxa"/>
            <w:tcBorders>
              <w:top w:val="nil"/>
              <w:left w:val="nil"/>
              <w:bottom w:val="single" w:sz="4" w:space="0" w:color="auto"/>
              <w:right w:val="nil"/>
            </w:tcBorders>
            <w:shd w:val="clear" w:color="auto" w:fill="auto"/>
            <w:noWrap/>
            <w:hideMark/>
          </w:tcPr>
          <w:p w14:paraId="2066F80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1,03</w:t>
            </w:r>
          </w:p>
        </w:tc>
        <w:tc>
          <w:tcPr>
            <w:tcW w:w="709" w:type="dxa"/>
            <w:tcBorders>
              <w:top w:val="nil"/>
              <w:left w:val="single" w:sz="8" w:space="0" w:color="auto"/>
              <w:bottom w:val="single" w:sz="4" w:space="0" w:color="auto"/>
              <w:right w:val="single" w:sz="4" w:space="0" w:color="auto"/>
            </w:tcBorders>
            <w:shd w:val="clear" w:color="auto" w:fill="auto"/>
            <w:noWrap/>
            <w:hideMark/>
          </w:tcPr>
          <w:p w14:paraId="2946A6A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1674E4C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1D7AA84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155,06</w:t>
            </w:r>
          </w:p>
        </w:tc>
        <w:tc>
          <w:tcPr>
            <w:tcW w:w="851" w:type="dxa"/>
            <w:tcBorders>
              <w:top w:val="nil"/>
              <w:left w:val="nil"/>
              <w:bottom w:val="single" w:sz="4" w:space="0" w:color="auto"/>
              <w:right w:val="single" w:sz="4" w:space="0" w:color="auto"/>
            </w:tcBorders>
            <w:shd w:val="clear" w:color="auto" w:fill="auto"/>
            <w:noWrap/>
            <w:hideMark/>
          </w:tcPr>
          <w:p w14:paraId="05956AE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0,0114</w:t>
            </w:r>
          </w:p>
        </w:tc>
        <w:tc>
          <w:tcPr>
            <w:tcW w:w="1134" w:type="dxa"/>
            <w:tcBorders>
              <w:top w:val="nil"/>
              <w:left w:val="nil"/>
              <w:bottom w:val="single" w:sz="4" w:space="0" w:color="auto"/>
              <w:right w:val="single" w:sz="4" w:space="0" w:color="auto"/>
            </w:tcBorders>
            <w:shd w:val="clear" w:color="000000" w:fill="C6E0B4"/>
            <w:noWrap/>
            <w:hideMark/>
          </w:tcPr>
          <w:p w14:paraId="5033F17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3.093.314</w:t>
            </w:r>
          </w:p>
        </w:tc>
        <w:tc>
          <w:tcPr>
            <w:tcW w:w="992" w:type="dxa"/>
            <w:tcBorders>
              <w:top w:val="nil"/>
              <w:left w:val="nil"/>
              <w:bottom w:val="single" w:sz="4" w:space="0" w:color="auto"/>
              <w:right w:val="single" w:sz="4" w:space="0" w:color="auto"/>
            </w:tcBorders>
            <w:shd w:val="clear" w:color="auto" w:fill="auto"/>
            <w:noWrap/>
            <w:hideMark/>
          </w:tcPr>
          <w:p w14:paraId="73C36D9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4.998.320</w:t>
            </w:r>
          </w:p>
        </w:tc>
        <w:tc>
          <w:tcPr>
            <w:tcW w:w="567" w:type="dxa"/>
            <w:tcBorders>
              <w:top w:val="nil"/>
              <w:left w:val="nil"/>
              <w:bottom w:val="single" w:sz="4" w:space="0" w:color="auto"/>
              <w:right w:val="single" w:sz="4" w:space="0" w:color="auto"/>
            </w:tcBorders>
            <w:shd w:val="clear" w:color="auto" w:fill="auto"/>
            <w:noWrap/>
            <w:hideMark/>
          </w:tcPr>
          <w:p w14:paraId="2B505AB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61,89</w:t>
            </w:r>
          </w:p>
        </w:tc>
        <w:tc>
          <w:tcPr>
            <w:tcW w:w="850" w:type="dxa"/>
            <w:tcBorders>
              <w:top w:val="nil"/>
              <w:left w:val="nil"/>
              <w:bottom w:val="single" w:sz="4" w:space="0" w:color="auto"/>
              <w:right w:val="single" w:sz="4" w:space="0" w:color="auto"/>
            </w:tcBorders>
            <w:shd w:val="clear" w:color="auto" w:fill="auto"/>
            <w:noWrap/>
            <w:hideMark/>
          </w:tcPr>
          <w:p w14:paraId="44B56AC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2.783.982</w:t>
            </w:r>
          </w:p>
        </w:tc>
        <w:tc>
          <w:tcPr>
            <w:tcW w:w="709" w:type="dxa"/>
            <w:tcBorders>
              <w:top w:val="nil"/>
              <w:left w:val="nil"/>
              <w:bottom w:val="single" w:sz="4" w:space="0" w:color="auto"/>
              <w:right w:val="single" w:sz="8" w:space="0" w:color="auto"/>
            </w:tcBorders>
            <w:shd w:val="clear" w:color="auto" w:fill="auto"/>
            <w:noWrap/>
            <w:hideMark/>
          </w:tcPr>
          <w:p w14:paraId="7ECF6DD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309.331</w:t>
            </w:r>
          </w:p>
        </w:tc>
        <w:tc>
          <w:tcPr>
            <w:tcW w:w="851" w:type="dxa"/>
            <w:tcBorders>
              <w:top w:val="nil"/>
              <w:left w:val="single" w:sz="4" w:space="0" w:color="auto"/>
              <w:bottom w:val="single" w:sz="4" w:space="0" w:color="auto"/>
              <w:right w:val="single" w:sz="4" w:space="0" w:color="auto"/>
            </w:tcBorders>
            <w:shd w:val="clear" w:color="auto" w:fill="auto"/>
            <w:noWrap/>
            <w:hideMark/>
          </w:tcPr>
          <w:p w14:paraId="76B61830" w14:textId="593A384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25.820</w:t>
            </w:r>
          </w:p>
        </w:tc>
      </w:tr>
      <w:tr w:rsidR="005C332D" w:rsidRPr="003F6E51" w14:paraId="17E294D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B44636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128</w:t>
            </w:r>
          </w:p>
        </w:tc>
        <w:tc>
          <w:tcPr>
            <w:tcW w:w="2213" w:type="dxa"/>
            <w:tcBorders>
              <w:top w:val="nil"/>
              <w:left w:val="single" w:sz="8" w:space="0" w:color="auto"/>
              <w:bottom w:val="single" w:sz="4" w:space="0" w:color="auto"/>
              <w:right w:val="single" w:sz="8" w:space="0" w:color="auto"/>
            </w:tcBorders>
            <w:shd w:val="clear" w:color="auto" w:fill="auto"/>
            <w:noWrap/>
            <w:hideMark/>
          </w:tcPr>
          <w:p w14:paraId="09A6B3BA"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PIROT</w:t>
            </w:r>
          </w:p>
        </w:tc>
        <w:tc>
          <w:tcPr>
            <w:tcW w:w="850" w:type="dxa"/>
            <w:tcBorders>
              <w:top w:val="nil"/>
              <w:left w:val="nil"/>
              <w:bottom w:val="single" w:sz="4" w:space="0" w:color="auto"/>
              <w:right w:val="single" w:sz="4" w:space="0" w:color="auto"/>
            </w:tcBorders>
            <w:shd w:val="clear" w:color="000000" w:fill="FFFFFF"/>
            <w:noWrap/>
            <w:hideMark/>
          </w:tcPr>
          <w:p w14:paraId="5B498E5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53281</w:t>
            </w:r>
          </w:p>
        </w:tc>
        <w:tc>
          <w:tcPr>
            <w:tcW w:w="709" w:type="dxa"/>
            <w:tcBorders>
              <w:top w:val="nil"/>
              <w:left w:val="nil"/>
              <w:bottom w:val="single" w:sz="4" w:space="0" w:color="auto"/>
              <w:right w:val="single" w:sz="8" w:space="0" w:color="auto"/>
            </w:tcBorders>
            <w:shd w:val="clear" w:color="000000" w:fill="FFFFFF"/>
            <w:noWrap/>
            <w:hideMark/>
          </w:tcPr>
          <w:p w14:paraId="2FE7243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1,12</w:t>
            </w:r>
          </w:p>
        </w:tc>
        <w:tc>
          <w:tcPr>
            <w:tcW w:w="567" w:type="dxa"/>
            <w:tcBorders>
              <w:top w:val="nil"/>
              <w:left w:val="nil"/>
              <w:bottom w:val="single" w:sz="4" w:space="0" w:color="auto"/>
              <w:right w:val="single" w:sz="4" w:space="0" w:color="auto"/>
            </w:tcBorders>
            <w:shd w:val="clear" w:color="000000" w:fill="FFFFFF"/>
            <w:noWrap/>
            <w:hideMark/>
          </w:tcPr>
          <w:p w14:paraId="5164D55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1232</w:t>
            </w:r>
          </w:p>
        </w:tc>
        <w:tc>
          <w:tcPr>
            <w:tcW w:w="709" w:type="dxa"/>
            <w:tcBorders>
              <w:top w:val="nil"/>
              <w:left w:val="nil"/>
              <w:bottom w:val="single" w:sz="4" w:space="0" w:color="auto"/>
              <w:right w:val="single" w:sz="8" w:space="0" w:color="auto"/>
            </w:tcBorders>
            <w:shd w:val="clear" w:color="000000" w:fill="FFFFFF"/>
            <w:noWrap/>
            <w:hideMark/>
          </w:tcPr>
          <w:p w14:paraId="2459BE3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2,30</w:t>
            </w:r>
          </w:p>
        </w:tc>
        <w:tc>
          <w:tcPr>
            <w:tcW w:w="850" w:type="dxa"/>
            <w:tcBorders>
              <w:top w:val="nil"/>
              <w:left w:val="nil"/>
              <w:bottom w:val="single" w:sz="4" w:space="0" w:color="auto"/>
              <w:right w:val="single" w:sz="4" w:space="0" w:color="auto"/>
            </w:tcBorders>
            <w:shd w:val="clear" w:color="000000" w:fill="FFFFFF"/>
            <w:noWrap/>
            <w:hideMark/>
          </w:tcPr>
          <w:p w14:paraId="21E2A8E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0F779CB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7AC3BB5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41F624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ADEBD8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125,52</w:t>
            </w:r>
          </w:p>
        </w:tc>
        <w:tc>
          <w:tcPr>
            <w:tcW w:w="851" w:type="dxa"/>
            <w:tcBorders>
              <w:top w:val="nil"/>
              <w:left w:val="nil"/>
              <w:bottom w:val="single" w:sz="4" w:space="0" w:color="auto"/>
              <w:right w:val="single" w:sz="4" w:space="0" w:color="auto"/>
            </w:tcBorders>
            <w:shd w:val="clear" w:color="auto" w:fill="auto"/>
            <w:noWrap/>
            <w:hideMark/>
          </w:tcPr>
          <w:p w14:paraId="6E19125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0,0092</w:t>
            </w:r>
          </w:p>
        </w:tc>
        <w:tc>
          <w:tcPr>
            <w:tcW w:w="1134" w:type="dxa"/>
            <w:tcBorders>
              <w:top w:val="nil"/>
              <w:left w:val="nil"/>
              <w:bottom w:val="single" w:sz="4" w:space="0" w:color="auto"/>
              <w:right w:val="single" w:sz="4" w:space="0" w:color="auto"/>
            </w:tcBorders>
            <w:shd w:val="clear" w:color="000000" w:fill="C6E0B4"/>
            <w:noWrap/>
            <w:hideMark/>
          </w:tcPr>
          <w:p w14:paraId="52E2A0C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2.503.999</w:t>
            </w:r>
          </w:p>
        </w:tc>
        <w:tc>
          <w:tcPr>
            <w:tcW w:w="992" w:type="dxa"/>
            <w:tcBorders>
              <w:top w:val="nil"/>
              <w:left w:val="nil"/>
              <w:bottom w:val="single" w:sz="4" w:space="0" w:color="auto"/>
              <w:right w:val="single" w:sz="4" w:space="0" w:color="auto"/>
            </w:tcBorders>
            <w:shd w:val="clear" w:color="auto" w:fill="auto"/>
            <w:noWrap/>
            <w:hideMark/>
          </w:tcPr>
          <w:p w14:paraId="5B3FADA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3.598.059</w:t>
            </w:r>
          </w:p>
        </w:tc>
        <w:tc>
          <w:tcPr>
            <w:tcW w:w="567" w:type="dxa"/>
            <w:tcBorders>
              <w:top w:val="nil"/>
              <w:left w:val="nil"/>
              <w:bottom w:val="single" w:sz="4" w:space="0" w:color="auto"/>
              <w:right w:val="single" w:sz="4" w:space="0" w:color="auto"/>
            </w:tcBorders>
            <w:shd w:val="clear" w:color="auto" w:fill="auto"/>
            <w:noWrap/>
            <w:hideMark/>
          </w:tcPr>
          <w:p w14:paraId="34F640C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69,59</w:t>
            </w:r>
          </w:p>
        </w:tc>
        <w:tc>
          <w:tcPr>
            <w:tcW w:w="850" w:type="dxa"/>
            <w:tcBorders>
              <w:top w:val="nil"/>
              <w:left w:val="nil"/>
              <w:bottom w:val="single" w:sz="4" w:space="0" w:color="auto"/>
              <w:right w:val="single" w:sz="4" w:space="0" w:color="auto"/>
            </w:tcBorders>
            <w:shd w:val="clear" w:color="auto" w:fill="auto"/>
            <w:noWrap/>
            <w:hideMark/>
          </w:tcPr>
          <w:p w14:paraId="661EF87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2.253.599</w:t>
            </w:r>
          </w:p>
        </w:tc>
        <w:tc>
          <w:tcPr>
            <w:tcW w:w="709" w:type="dxa"/>
            <w:tcBorders>
              <w:top w:val="nil"/>
              <w:left w:val="nil"/>
              <w:bottom w:val="single" w:sz="4" w:space="0" w:color="auto"/>
              <w:right w:val="single" w:sz="8" w:space="0" w:color="auto"/>
            </w:tcBorders>
            <w:shd w:val="clear" w:color="auto" w:fill="auto"/>
            <w:noWrap/>
            <w:hideMark/>
          </w:tcPr>
          <w:p w14:paraId="4D2ECA9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250.400</w:t>
            </w:r>
          </w:p>
        </w:tc>
        <w:tc>
          <w:tcPr>
            <w:tcW w:w="851" w:type="dxa"/>
            <w:tcBorders>
              <w:top w:val="nil"/>
              <w:left w:val="single" w:sz="4" w:space="0" w:color="auto"/>
              <w:bottom w:val="single" w:sz="4" w:space="0" w:color="auto"/>
              <w:right w:val="single" w:sz="4" w:space="0" w:color="auto"/>
            </w:tcBorders>
            <w:shd w:val="clear" w:color="auto" w:fill="auto"/>
            <w:noWrap/>
            <w:hideMark/>
          </w:tcPr>
          <w:p w14:paraId="171EE923" w14:textId="298E608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42.296</w:t>
            </w:r>
          </w:p>
        </w:tc>
      </w:tr>
      <w:tr w:rsidR="005C332D" w:rsidRPr="003F6E51" w14:paraId="2C957C3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6A75E87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129</w:t>
            </w:r>
          </w:p>
        </w:tc>
        <w:tc>
          <w:tcPr>
            <w:tcW w:w="2213" w:type="dxa"/>
            <w:tcBorders>
              <w:top w:val="nil"/>
              <w:left w:val="single" w:sz="8" w:space="0" w:color="auto"/>
              <w:bottom w:val="single" w:sz="4" w:space="0" w:color="auto"/>
              <w:right w:val="single" w:sz="8" w:space="0" w:color="auto"/>
            </w:tcBorders>
            <w:shd w:val="clear" w:color="auto" w:fill="auto"/>
            <w:noWrap/>
            <w:hideMark/>
          </w:tcPr>
          <w:p w14:paraId="48649CB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POŽAREVAC</w:t>
            </w:r>
          </w:p>
        </w:tc>
        <w:tc>
          <w:tcPr>
            <w:tcW w:w="850" w:type="dxa"/>
            <w:tcBorders>
              <w:top w:val="nil"/>
              <w:left w:val="nil"/>
              <w:bottom w:val="nil"/>
              <w:right w:val="nil"/>
            </w:tcBorders>
            <w:shd w:val="clear" w:color="000000" w:fill="FFFFFF"/>
            <w:noWrap/>
            <w:hideMark/>
          </w:tcPr>
          <w:p w14:paraId="56DDC14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71026</w:t>
            </w:r>
          </w:p>
        </w:tc>
        <w:tc>
          <w:tcPr>
            <w:tcW w:w="709" w:type="dxa"/>
            <w:tcBorders>
              <w:top w:val="nil"/>
              <w:left w:val="single" w:sz="4" w:space="0" w:color="auto"/>
              <w:bottom w:val="single" w:sz="4" w:space="0" w:color="auto"/>
              <w:right w:val="single" w:sz="8" w:space="0" w:color="auto"/>
            </w:tcBorders>
            <w:shd w:val="clear" w:color="000000" w:fill="FFFFFF"/>
            <w:noWrap/>
            <w:hideMark/>
          </w:tcPr>
          <w:p w14:paraId="144C604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1,49</w:t>
            </w:r>
          </w:p>
        </w:tc>
        <w:tc>
          <w:tcPr>
            <w:tcW w:w="567" w:type="dxa"/>
            <w:tcBorders>
              <w:top w:val="nil"/>
              <w:left w:val="nil"/>
              <w:bottom w:val="single" w:sz="4" w:space="0" w:color="auto"/>
              <w:right w:val="single" w:sz="4" w:space="0" w:color="auto"/>
            </w:tcBorders>
            <w:shd w:val="clear" w:color="000000" w:fill="FFFFFF"/>
            <w:noWrap/>
            <w:hideMark/>
          </w:tcPr>
          <w:p w14:paraId="5115CF4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477</w:t>
            </w:r>
          </w:p>
        </w:tc>
        <w:tc>
          <w:tcPr>
            <w:tcW w:w="709" w:type="dxa"/>
            <w:tcBorders>
              <w:top w:val="nil"/>
              <w:left w:val="nil"/>
              <w:bottom w:val="single" w:sz="4" w:space="0" w:color="auto"/>
              <w:right w:val="single" w:sz="8" w:space="0" w:color="auto"/>
            </w:tcBorders>
            <w:shd w:val="clear" w:color="000000" w:fill="FFFFFF"/>
            <w:noWrap/>
            <w:hideMark/>
          </w:tcPr>
          <w:p w14:paraId="4CBD573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0,89</w:t>
            </w:r>
          </w:p>
        </w:tc>
        <w:tc>
          <w:tcPr>
            <w:tcW w:w="850" w:type="dxa"/>
            <w:tcBorders>
              <w:top w:val="nil"/>
              <w:left w:val="nil"/>
              <w:bottom w:val="single" w:sz="4" w:space="0" w:color="auto"/>
              <w:right w:val="single" w:sz="4" w:space="0" w:color="auto"/>
            </w:tcBorders>
            <w:shd w:val="clear" w:color="000000" w:fill="FFFFFF"/>
            <w:noWrap/>
            <w:hideMark/>
          </w:tcPr>
          <w:p w14:paraId="16C8C2D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2EE65E8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56C47CD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AF709B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23DA79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91,68</w:t>
            </w:r>
          </w:p>
        </w:tc>
        <w:tc>
          <w:tcPr>
            <w:tcW w:w="851" w:type="dxa"/>
            <w:tcBorders>
              <w:top w:val="nil"/>
              <w:left w:val="nil"/>
              <w:bottom w:val="single" w:sz="4" w:space="0" w:color="auto"/>
              <w:right w:val="single" w:sz="4" w:space="0" w:color="auto"/>
            </w:tcBorders>
            <w:shd w:val="clear" w:color="auto" w:fill="auto"/>
            <w:noWrap/>
            <w:hideMark/>
          </w:tcPr>
          <w:p w14:paraId="12536FCD"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0,0067</w:t>
            </w:r>
          </w:p>
        </w:tc>
        <w:tc>
          <w:tcPr>
            <w:tcW w:w="1134" w:type="dxa"/>
            <w:tcBorders>
              <w:top w:val="nil"/>
              <w:left w:val="nil"/>
              <w:bottom w:val="single" w:sz="4" w:space="0" w:color="auto"/>
              <w:right w:val="single" w:sz="4" w:space="0" w:color="auto"/>
            </w:tcBorders>
            <w:shd w:val="clear" w:color="000000" w:fill="C6E0B4"/>
            <w:noWrap/>
            <w:hideMark/>
          </w:tcPr>
          <w:p w14:paraId="25F4CF7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1.828.840</w:t>
            </w:r>
          </w:p>
        </w:tc>
        <w:tc>
          <w:tcPr>
            <w:tcW w:w="992" w:type="dxa"/>
            <w:tcBorders>
              <w:top w:val="nil"/>
              <w:left w:val="nil"/>
              <w:bottom w:val="single" w:sz="4" w:space="0" w:color="auto"/>
              <w:right w:val="single" w:sz="4" w:space="0" w:color="auto"/>
            </w:tcBorders>
            <w:shd w:val="clear" w:color="auto" w:fill="auto"/>
            <w:noWrap/>
            <w:hideMark/>
          </w:tcPr>
          <w:p w14:paraId="3BC6BC8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7.419.257</w:t>
            </w:r>
          </w:p>
        </w:tc>
        <w:tc>
          <w:tcPr>
            <w:tcW w:w="567" w:type="dxa"/>
            <w:tcBorders>
              <w:top w:val="nil"/>
              <w:left w:val="nil"/>
              <w:bottom w:val="single" w:sz="4" w:space="0" w:color="auto"/>
              <w:right w:val="single" w:sz="4" w:space="0" w:color="auto"/>
            </w:tcBorders>
            <w:shd w:val="clear" w:color="auto" w:fill="auto"/>
            <w:noWrap/>
            <w:hideMark/>
          </w:tcPr>
          <w:p w14:paraId="523A58E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24,65</w:t>
            </w:r>
          </w:p>
        </w:tc>
        <w:tc>
          <w:tcPr>
            <w:tcW w:w="850" w:type="dxa"/>
            <w:tcBorders>
              <w:top w:val="nil"/>
              <w:left w:val="nil"/>
              <w:bottom w:val="single" w:sz="4" w:space="0" w:color="auto"/>
              <w:right w:val="single" w:sz="4" w:space="0" w:color="auto"/>
            </w:tcBorders>
            <w:shd w:val="clear" w:color="auto" w:fill="auto"/>
            <w:noWrap/>
            <w:hideMark/>
          </w:tcPr>
          <w:p w14:paraId="2371B76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1.645.956</w:t>
            </w:r>
          </w:p>
        </w:tc>
        <w:tc>
          <w:tcPr>
            <w:tcW w:w="709" w:type="dxa"/>
            <w:tcBorders>
              <w:top w:val="nil"/>
              <w:left w:val="nil"/>
              <w:bottom w:val="single" w:sz="4" w:space="0" w:color="auto"/>
              <w:right w:val="single" w:sz="8" w:space="0" w:color="auto"/>
            </w:tcBorders>
            <w:shd w:val="clear" w:color="auto" w:fill="auto"/>
            <w:noWrap/>
            <w:hideMark/>
          </w:tcPr>
          <w:p w14:paraId="5C953B8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182.884</w:t>
            </w:r>
          </w:p>
        </w:tc>
        <w:tc>
          <w:tcPr>
            <w:tcW w:w="851" w:type="dxa"/>
            <w:tcBorders>
              <w:top w:val="nil"/>
              <w:left w:val="single" w:sz="4" w:space="0" w:color="auto"/>
              <w:bottom w:val="single" w:sz="4" w:space="0" w:color="auto"/>
              <w:right w:val="single" w:sz="4" w:space="0" w:color="auto"/>
            </w:tcBorders>
            <w:shd w:val="clear" w:color="auto" w:fill="auto"/>
            <w:noWrap/>
            <w:hideMark/>
          </w:tcPr>
          <w:p w14:paraId="6418F5AB" w14:textId="561AC9C1"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23.174</w:t>
            </w:r>
          </w:p>
        </w:tc>
      </w:tr>
      <w:tr w:rsidR="005C332D" w:rsidRPr="003F6E51" w14:paraId="601BA316"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DCBDED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130</w:t>
            </w:r>
          </w:p>
        </w:tc>
        <w:tc>
          <w:tcPr>
            <w:tcW w:w="2213" w:type="dxa"/>
            <w:tcBorders>
              <w:top w:val="nil"/>
              <w:left w:val="single" w:sz="8" w:space="0" w:color="auto"/>
              <w:bottom w:val="single" w:sz="4" w:space="0" w:color="auto"/>
              <w:right w:val="single" w:sz="8" w:space="0" w:color="auto"/>
            </w:tcBorders>
            <w:shd w:val="clear" w:color="auto" w:fill="auto"/>
            <w:noWrap/>
            <w:hideMark/>
          </w:tcPr>
          <w:p w14:paraId="1130BE2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SMEDEREVO</w:t>
            </w:r>
          </w:p>
        </w:tc>
        <w:tc>
          <w:tcPr>
            <w:tcW w:w="850" w:type="dxa"/>
            <w:tcBorders>
              <w:top w:val="single" w:sz="4" w:space="0" w:color="auto"/>
              <w:left w:val="nil"/>
              <w:bottom w:val="single" w:sz="4" w:space="0" w:color="auto"/>
              <w:right w:val="single" w:sz="4" w:space="0" w:color="auto"/>
            </w:tcBorders>
            <w:shd w:val="clear" w:color="000000" w:fill="FFFFFF"/>
            <w:noWrap/>
            <w:hideMark/>
          </w:tcPr>
          <w:p w14:paraId="15FC25D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101332</w:t>
            </w:r>
          </w:p>
        </w:tc>
        <w:tc>
          <w:tcPr>
            <w:tcW w:w="709" w:type="dxa"/>
            <w:tcBorders>
              <w:top w:val="nil"/>
              <w:left w:val="nil"/>
              <w:bottom w:val="single" w:sz="4" w:space="0" w:color="auto"/>
              <w:right w:val="single" w:sz="8" w:space="0" w:color="auto"/>
            </w:tcBorders>
            <w:shd w:val="clear" w:color="000000" w:fill="FFFFFF"/>
            <w:noWrap/>
            <w:hideMark/>
          </w:tcPr>
          <w:p w14:paraId="0544F8D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2,13</w:t>
            </w:r>
          </w:p>
        </w:tc>
        <w:tc>
          <w:tcPr>
            <w:tcW w:w="567" w:type="dxa"/>
            <w:tcBorders>
              <w:top w:val="nil"/>
              <w:left w:val="nil"/>
              <w:bottom w:val="single" w:sz="4" w:space="0" w:color="auto"/>
              <w:right w:val="single" w:sz="4" w:space="0" w:color="auto"/>
            </w:tcBorders>
            <w:shd w:val="clear" w:color="000000" w:fill="FFFFFF"/>
            <w:noWrap/>
            <w:hideMark/>
          </w:tcPr>
          <w:p w14:paraId="4209E42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484</w:t>
            </w:r>
          </w:p>
        </w:tc>
        <w:tc>
          <w:tcPr>
            <w:tcW w:w="709" w:type="dxa"/>
            <w:tcBorders>
              <w:top w:val="nil"/>
              <w:left w:val="nil"/>
              <w:bottom w:val="single" w:sz="4" w:space="0" w:color="auto"/>
              <w:right w:val="single" w:sz="8" w:space="0" w:color="auto"/>
            </w:tcBorders>
            <w:shd w:val="clear" w:color="000000" w:fill="FFFFFF"/>
            <w:noWrap/>
            <w:hideMark/>
          </w:tcPr>
          <w:p w14:paraId="1082ACE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850" w:type="dxa"/>
            <w:tcBorders>
              <w:top w:val="nil"/>
              <w:left w:val="nil"/>
              <w:bottom w:val="single" w:sz="4" w:space="0" w:color="auto"/>
              <w:right w:val="single" w:sz="4" w:space="0" w:color="auto"/>
            </w:tcBorders>
            <w:shd w:val="clear" w:color="000000" w:fill="FFFFFF"/>
            <w:noWrap/>
            <w:hideMark/>
          </w:tcPr>
          <w:p w14:paraId="002FA94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3F7DEB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5CC802E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002333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6171087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125,92</w:t>
            </w:r>
          </w:p>
        </w:tc>
        <w:tc>
          <w:tcPr>
            <w:tcW w:w="851" w:type="dxa"/>
            <w:tcBorders>
              <w:top w:val="nil"/>
              <w:left w:val="nil"/>
              <w:bottom w:val="single" w:sz="4" w:space="0" w:color="auto"/>
              <w:right w:val="single" w:sz="4" w:space="0" w:color="auto"/>
            </w:tcBorders>
            <w:shd w:val="clear" w:color="auto" w:fill="auto"/>
            <w:noWrap/>
            <w:hideMark/>
          </w:tcPr>
          <w:p w14:paraId="485EB99D"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0,0093</w:t>
            </w:r>
          </w:p>
        </w:tc>
        <w:tc>
          <w:tcPr>
            <w:tcW w:w="1134" w:type="dxa"/>
            <w:tcBorders>
              <w:top w:val="nil"/>
              <w:left w:val="nil"/>
              <w:bottom w:val="single" w:sz="4" w:space="0" w:color="auto"/>
              <w:right w:val="single" w:sz="4" w:space="0" w:color="auto"/>
            </w:tcBorders>
            <w:shd w:val="clear" w:color="000000" w:fill="C6E0B4"/>
            <w:noWrap/>
            <w:hideMark/>
          </w:tcPr>
          <w:p w14:paraId="750391FA"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2.511.966</w:t>
            </w:r>
          </w:p>
        </w:tc>
        <w:tc>
          <w:tcPr>
            <w:tcW w:w="992" w:type="dxa"/>
            <w:tcBorders>
              <w:top w:val="nil"/>
              <w:left w:val="nil"/>
              <w:bottom w:val="single" w:sz="4" w:space="0" w:color="auto"/>
              <w:right w:val="single" w:sz="4" w:space="0" w:color="auto"/>
            </w:tcBorders>
            <w:shd w:val="clear" w:color="auto" w:fill="auto"/>
            <w:noWrap/>
            <w:hideMark/>
          </w:tcPr>
          <w:p w14:paraId="25040AC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3.413.259</w:t>
            </w:r>
          </w:p>
        </w:tc>
        <w:tc>
          <w:tcPr>
            <w:tcW w:w="567" w:type="dxa"/>
            <w:tcBorders>
              <w:top w:val="nil"/>
              <w:left w:val="nil"/>
              <w:bottom w:val="single" w:sz="4" w:space="0" w:color="auto"/>
              <w:right w:val="single" w:sz="4" w:space="0" w:color="auto"/>
            </w:tcBorders>
            <w:shd w:val="clear" w:color="auto" w:fill="auto"/>
            <w:noWrap/>
            <w:hideMark/>
          </w:tcPr>
          <w:p w14:paraId="271E177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73,59</w:t>
            </w:r>
          </w:p>
        </w:tc>
        <w:tc>
          <w:tcPr>
            <w:tcW w:w="850" w:type="dxa"/>
            <w:tcBorders>
              <w:top w:val="nil"/>
              <w:left w:val="nil"/>
              <w:bottom w:val="single" w:sz="4" w:space="0" w:color="auto"/>
              <w:right w:val="single" w:sz="4" w:space="0" w:color="auto"/>
            </w:tcBorders>
            <w:shd w:val="clear" w:color="auto" w:fill="auto"/>
            <w:noWrap/>
            <w:hideMark/>
          </w:tcPr>
          <w:p w14:paraId="4875DE6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2.260.770</w:t>
            </w:r>
          </w:p>
        </w:tc>
        <w:tc>
          <w:tcPr>
            <w:tcW w:w="709" w:type="dxa"/>
            <w:tcBorders>
              <w:top w:val="nil"/>
              <w:left w:val="nil"/>
              <w:bottom w:val="single" w:sz="4" w:space="0" w:color="auto"/>
              <w:right w:val="single" w:sz="8" w:space="0" w:color="auto"/>
            </w:tcBorders>
            <w:shd w:val="clear" w:color="auto" w:fill="auto"/>
            <w:noWrap/>
            <w:hideMark/>
          </w:tcPr>
          <w:p w14:paraId="6CE30B6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251.197</w:t>
            </w:r>
          </w:p>
        </w:tc>
        <w:tc>
          <w:tcPr>
            <w:tcW w:w="851" w:type="dxa"/>
            <w:tcBorders>
              <w:top w:val="nil"/>
              <w:left w:val="single" w:sz="4" w:space="0" w:color="auto"/>
              <w:bottom w:val="single" w:sz="4" w:space="0" w:color="auto"/>
              <w:right w:val="single" w:sz="4" w:space="0" w:color="auto"/>
            </w:tcBorders>
            <w:shd w:val="clear" w:color="auto" w:fill="auto"/>
            <w:noWrap/>
            <w:hideMark/>
          </w:tcPr>
          <w:p w14:paraId="5D389E3E" w14:textId="5CBAC45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22.311</w:t>
            </w:r>
          </w:p>
        </w:tc>
      </w:tr>
      <w:tr w:rsidR="005C332D" w:rsidRPr="003F6E51" w14:paraId="109B9B0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1F4C78C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131</w:t>
            </w:r>
          </w:p>
        </w:tc>
        <w:tc>
          <w:tcPr>
            <w:tcW w:w="2213" w:type="dxa"/>
            <w:tcBorders>
              <w:top w:val="nil"/>
              <w:left w:val="single" w:sz="8" w:space="0" w:color="auto"/>
              <w:bottom w:val="single" w:sz="4" w:space="0" w:color="auto"/>
              <w:right w:val="single" w:sz="8" w:space="0" w:color="auto"/>
            </w:tcBorders>
            <w:shd w:val="clear" w:color="auto" w:fill="auto"/>
            <w:noWrap/>
            <w:hideMark/>
          </w:tcPr>
          <w:p w14:paraId="53C258D0"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JAGODINA</w:t>
            </w:r>
          </w:p>
        </w:tc>
        <w:tc>
          <w:tcPr>
            <w:tcW w:w="850" w:type="dxa"/>
            <w:tcBorders>
              <w:top w:val="nil"/>
              <w:left w:val="nil"/>
              <w:bottom w:val="single" w:sz="4" w:space="0" w:color="auto"/>
              <w:right w:val="single" w:sz="4" w:space="0" w:color="auto"/>
            </w:tcBorders>
            <w:shd w:val="clear" w:color="000000" w:fill="FFFFFF"/>
            <w:noWrap/>
            <w:hideMark/>
          </w:tcPr>
          <w:p w14:paraId="61D5FA5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68378</w:t>
            </w:r>
          </w:p>
        </w:tc>
        <w:tc>
          <w:tcPr>
            <w:tcW w:w="709" w:type="dxa"/>
            <w:tcBorders>
              <w:top w:val="nil"/>
              <w:left w:val="nil"/>
              <w:bottom w:val="single" w:sz="4" w:space="0" w:color="auto"/>
              <w:right w:val="single" w:sz="8" w:space="0" w:color="auto"/>
            </w:tcBorders>
            <w:shd w:val="clear" w:color="000000" w:fill="FFFFFF"/>
            <w:noWrap/>
            <w:hideMark/>
          </w:tcPr>
          <w:p w14:paraId="68F14F6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1,44</w:t>
            </w:r>
          </w:p>
        </w:tc>
        <w:tc>
          <w:tcPr>
            <w:tcW w:w="567" w:type="dxa"/>
            <w:tcBorders>
              <w:top w:val="nil"/>
              <w:left w:val="nil"/>
              <w:bottom w:val="single" w:sz="4" w:space="0" w:color="auto"/>
              <w:right w:val="single" w:sz="4" w:space="0" w:color="auto"/>
            </w:tcBorders>
            <w:shd w:val="clear" w:color="000000" w:fill="FFFFFF"/>
            <w:noWrap/>
            <w:hideMark/>
          </w:tcPr>
          <w:p w14:paraId="0C7F98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470</w:t>
            </w:r>
          </w:p>
        </w:tc>
        <w:tc>
          <w:tcPr>
            <w:tcW w:w="709" w:type="dxa"/>
            <w:tcBorders>
              <w:top w:val="nil"/>
              <w:left w:val="nil"/>
              <w:bottom w:val="single" w:sz="4" w:space="0" w:color="auto"/>
              <w:right w:val="single" w:sz="8" w:space="0" w:color="auto"/>
            </w:tcBorders>
            <w:shd w:val="clear" w:color="000000" w:fill="FFFFFF"/>
            <w:noWrap/>
            <w:hideMark/>
          </w:tcPr>
          <w:p w14:paraId="15FFCE4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0,88</w:t>
            </w:r>
          </w:p>
        </w:tc>
        <w:tc>
          <w:tcPr>
            <w:tcW w:w="850" w:type="dxa"/>
            <w:tcBorders>
              <w:top w:val="nil"/>
              <w:left w:val="nil"/>
              <w:bottom w:val="single" w:sz="4" w:space="0" w:color="auto"/>
              <w:right w:val="single" w:sz="4" w:space="0" w:color="auto"/>
            </w:tcBorders>
            <w:shd w:val="clear" w:color="000000" w:fill="FFFFFF"/>
            <w:noWrap/>
            <w:hideMark/>
          </w:tcPr>
          <w:p w14:paraId="119A22A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61307A3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1BCCB0F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3,4</w:t>
            </w:r>
          </w:p>
        </w:tc>
        <w:tc>
          <w:tcPr>
            <w:tcW w:w="708" w:type="dxa"/>
            <w:tcBorders>
              <w:top w:val="nil"/>
              <w:left w:val="nil"/>
              <w:bottom w:val="single" w:sz="4" w:space="0" w:color="auto"/>
              <w:right w:val="nil"/>
            </w:tcBorders>
            <w:shd w:val="clear" w:color="auto" w:fill="auto"/>
            <w:noWrap/>
            <w:hideMark/>
          </w:tcPr>
          <w:p w14:paraId="16AE0E0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1,17</w:t>
            </w:r>
          </w:p>
        </w:tc>
        <w:tc>
          <w:tcPr>
            <w:tcW w:w="709" w:type="dxa"/>
            <w:tcBorders>
              <w:top w:val="single" w:sz="4" w:space="0" w:color="auto"/>
              <w:left w:val="single" w:sz="8" w:space="0" w:color="auto"/>
              <w:bottom w:val="nil"/>
              <w:right w:val="single" w:sz="4" w:space="0" w:color="auto"/>
            </w:tcBorders>
            <w:shd w:val="clear" w:color="auto" w:fill="auto"/>
            <w:noWrap/>
            <w:hideMark/>
          </w:tcPr>
          <w:p w14:paraId="2E5C3C7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102,06</w:t>
            </w:r>
          </w:p>
        </w:tc>
        <w:tc>
          <w:tcPr>
            <w:tcW w:w="851" w:type="dxa"/>
            <w:tcBorders>
              <w:top w:val="nil"/>
              <w:left w:val="nil"/>
              <w:bottom w:val="single" w:sz="4" w:space="0" w:color="auto"/>
              <w:right w:val="single" w:sz="4" w:space="0" w:color="auto"/>
            </w:tcBorders>
            <w:shd w:val="clear" w:color="auto" w:fill="auto"/>
            <w:noWrap/>
            <w:hideMark/>
          </w:tcPr>
          <w:p w14:paraId="2389787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0,0075</w:t>
            </w:r>
          </w:p>
        </w:tc>
        <w:tc>
          <w:tcPr>
            <w:tcW w:w="1134" w:type="dxa"/>
            <w:tcBorders>
              <w:top w:val="nil"/>
              <w:left w:val="nil"/>
              <w:bottom w:val="single" w:sz="4" w:space="0" w:color="auto"/>
              <w:right w:val="single" w:sz="4" w:space="0" w:color="auto"/>
            </w:tcBorders>
            <w:shd w:val="clear" w:color="000000" w:fill="C6E0B4"/>
            <w:noWrap/>
            <w:hideMark/>
          </w:tcPr>
          <w:p w14:paraId="6BDFBDD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2.035.997</w:t>
            </w:r>
          </w:p>
        </w:tc>
        <w:tc>
          <w:tcPr>
            <w:tcW w:w="992" w:type="dxa"/>
            <w:tcBorders>
              <w:top w:val="nil"/>
              <w:left w:val="nil"/>
              <w:bottom w:val="single" w:sz="4" w:space="0" w:color="auto"/>
              <w:right w:val="single" w:sz="4" w:space="0" w:color="auto"/>
            </w:tcBorders>
            <w:shd w:val="clear" w:color="auto" w:fill="auto"/>
            <w:noWrap/>
            <w:hideMark/>
          </w:tcPr>
          <w:p w14:paraId="0182623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1.116.624</w:t>
            </w:r>
          </w:p>
        </w:tc>
        <w:tc>
          <w:tcPr>
            <w:tcW w:w="567" w:type="dxa"/>
            <w:tcBorders>
              <w:top w:val="nil"/>
              <w:left w:val="nil"/>
              <w:bottom w:val="single" w:sz="4" w:space="0" w:color="auto"/>
              <w:right w:val="single" w:sz="4" w:space="0" w:color="auto"/>
            </w:tcBorders>
            <w:shd w:val="clear" w:color="auto" w:fill="auto"/>
            <w:noWrap/>
            <w:hideMark/>
          </w:tcPr>
          <w:p w14:paraId="01FF40C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182,34</w:t>
            </w:r>
          </w:p>
        </w:tc>
        <w:tc>
          <w:tcPr>
            <w:tcW w:w="850" w:type="dxa"/>
            <w:tcBorders>
              <w:top w:val="nil"/>
              <w:left w:val="nil"/>
              <w:bottom w:val="single" w:sz="4" w:space="0" w:color="auto"/>
              <w:right w:val="single" w:sz="4" w:space="0" w:color="auto"/>
            </w:tcBorders>
            <w:shd w:val="clear" w:color="auto" w:fill="auto"/>
            <w:noWrap/>
            <w:hideMark/>
          </w:tcPr>
          <w:p w14:paraId="3865203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1.832.397</w:t>
            </w:r>
          </w:p>
        </w:tc>
        <w:tc>
          <w:tcPr>
            <w:tcW w:w="709" w:type="dxa"/>
            <w:tcBorders>
              <w:top w:val="nil"/>
              <w:left w:val="nil"/>
              <w:bottom w:val="single" w:sz="4" w:space="0" w:color="auto"/>
              <w:right w:val="single" w:sz="8" w:space="0" w:color="auto"/>
            </w:tcBorders>
            <w:shd w:val="clear" w:color="auto" w:fill="auto"/>
            <w:noWrap/>
            <w:hideMark/>
          </w:tcPr>
          <w:p w14:paraId="1A9177A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203.600</w:t>
            </w:r>
          </w:p>
        </w:tc>
        <w:tc>
          <w:tcPr>
            <w:tcW w:w="851" w:type="dxa"/>
            <w:tcBorders>
              <w:top w:val="nil"/>
              <w:left w:val="single" w:sz="4" w:space="0" w:color="auto"/>
              <w:bottom w:val="single" w:sz="4" w:space="0" w:color="auto"/>
              <w:right w:val="single" w:sz="4" w:space="0" w:color="auto"/>
            </w:tcBorders>
            <w:shd w:val="clear" w:color="auto" w:fill="auto"/>
            <w:noWrap/>
            <w:hideMark/>
          </w:tcPr>
          <w:p w14:paraId="59A7ACC3" w14:textId="040BCFB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26.798</w:t>
            </w:r>
          </w:p>
        </w:tc>
      </w:tr>
      <w:tr w:rsidR="005C332D" w:rsidRPr="003F6E51" w14:paraId="5EFD55F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3C97C58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132</w:t>
            </w:r>
          </w:p>
        </w:tc>
        <w:tc>
          <w:tcPr>
            <w:tcW w:w="2213" w:type="dxa"/>
            <w:tcBorders>
              <w:top w:val="nil"/>
              <w:left w:val="single" w:sz="8" w:space="0" w:color="auto"/>
              <w:bottom w:val="single" w:sz="4" w:space="0" w:color="auto"/>
              <w:right w:val="single" w:sz="8" w:space="0" w:color="auto"/>
            </w:tcBorders>
            <w:shd w:val="clear" w:color="auto" w:fill="auto"/>
            <w:noWrap/>
            <w:hideMark/>
          </w:tcPr>
          <w:p w14:paraId="2582497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ŠABAC</w:t>
            </w:r>
          </w:p>
        </w:tc>
        <w:tc>
          <w:tcPr>
            <w:tcW w:w="850" w:type="dxa"/>
            <w:tcBorders>
              <w:top w:val="nil"/>
              <w:left w:val="nil"/>
              <w:bottom w:val="single" w:sz="4" w:space="0" w:color="auto"/>
              <w:right w:val="single" w:sz="4" w:space="0" w:color="auto"/>
            </w:tcBorders>
            <w:shd w:val="clear" w:color="000000" w:fill="FFFFFF"/>
            <w:noWrap/>
            <w:hideMark/>
          </w:tcPr>
          <w:p w14:paraId="1248A6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109340</w:t>
            </w:r>
          </w:p>
        </w:tc>
        <w:tc>
          <w:tcPr>
            <w:tcW w:w="709" w:type="dxa"/>
            <w:tcBorders>
              <w:top w:val="nil"/>
              <w:left w:val="nil"/>
              <w:bottom w:val="single" w:sz="4" w:space="0" w:color="auto"/>
              <w:right w:val="single" w:sz="8" w:space="0" w:color="auto"/>
            </w:tcBorders>
            <w:shd w:val="clear" w:color="000000" w:fill="FFFFFF"/>
            <w:noWrap/>
            <w:hideMark/>
          </w:tcPr>
          <w:p w14:paraId="08269CA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2,30</w:t>
            </w:r>
          </w:p>
        </w:tc>
        <w:tc>
          <w:tcPr>
            <w:tcW w:w="567" w:type="dxa"/>
            <w:tcBorders>
              <w:top w:val="nil"/>
              <w:left w:val="nil"/>
              <w:bottom w:val="single" w:sz="4" w:space="0" w:color="auto"/>
              <w:right w:val="single" w:sz="4" w:space="0" w:color="auto"/>
            </w:tcBorders>
            <w:shd w:val="clear" w:color="000000" w:fill="FFFFFF"/>
            <w:noWrap/>
            <w:hideMark/>
          </w:tcPr>
          <w:p w14:paraId="4C53F3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797</w:t>
            </w:r>
          </w:p>
        </w:tc>
        <w:tc>
          <w:tcPr>
            <w:tcW w:w="709" w:type="dxa"/>
            <w:tcBorders>
              <w:top w:val="nil"/>
              <w:left w:val="nil"/>
              <w:bottom w:val="single" w:sz="4" w:space="0" w:color="auto"/>
              <w:right w:val="single" w:sz="8" w:space="0" w:color="auto"/>
            </w:tcBorders>
            <w:shd w:val="clear" w:color="000000" w:fill="FFFFFF"/>
            <w:noWrap/>
            <w:hideMark/>
          </w:tcPr>
          <w:p w14:paraId="4BB730B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1,49</w:t>
            </w:r>
          </w:p>
        </w:tc>
        <w:tc>
          <w:tcPr>
            <w:tcW w:w="850" w:type="dxa"/>
            <w:tcBorders>
              <w:top w:val="nil"/>
              <w:left w:val="nil"/>
              <w:bottom w:val="single" w:sz="4" w:space="0" w:color="auto"/>
              <w:right w:val="single" w:sz="4" w:space="0" w:color="auto"/>
            </w:tcBorders>
            <w:shd w:val="clear" w:color="000000" w:fill="FFFFFF"/>
            <w:noWrap/>
            <w:hideMark/>
          </w:tcPr>
          <w:p w14:paraId="4DD507F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00A06C8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256F1A1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3248583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1C6D315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146,44</w:t>
            </w:r>
          </w:p>
        </w:tc>
        <w:tc>
          <w:tcPr>
            <w:tcW w:w="851" w:type="dxa"/>
            <w:tcBorders>
              <w:top w:val="nil"/>
              <w:left w:val="nil"/>
              <w:bottom w:val="single" w:sz="4" w:space="0" w:color="auto"/>
              <w:right w:val="single" w:sz="4" w:space="0" w:color="auto"/>
            </w:tcBorders>
            <w:shd w:val="clear" w:color="auto" w:fill="auto"/>
            <w:noWrap/>
            <w:hideMark/>
          </w:tcPr>
          <w:p w14:paraId="240B1317"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0,0108</w:t>
            </w:r>
          </w:p>
        </w:tc>
        <w:tc>
          <w:tcPr>
            <w:tcW w:w="1134" w:type="dxa"/>
            <w:tcBorders>
              <w:top w:val="nil"/>
              <w:left w:val="nil"/>
              <w:bottom w:val="single" w:sz="4" w:space="0" w:color="auto"/>
              <w:right w:val="single" w:sz="4" w:space="0" w:color="auto"/>
            </w:tcBorders>
            <w:shd w:val="clear" w:color="000000" w:fill="C6E0B4"/>
            <w:noWrap/>
            <w:hideMark/>
          </w:tcPr>
          <w:p w14:paraId="57E81CD4"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2.921.195</w:t>
            </w:r>
          </w:p>
        </w:tc>
        <w:tc>
          <w:tcPr>
            <w:tcW w:w="992" w:type="dxa"/>
            <w:tcBorders>
              <w:top w:val="nil"/>
              <w:left w:val="nil"/>
              <w:bottom w:val="single" w:sz="4" w:space="0" w:color="auto"/>
              <w:right w:val="single" w:sz="4" w:space="0" w:color="auto"/>
            </w:tcBorders>
            <w:shd w:val="clear" w:color="auto" w:fill="auto"/>
            <w:noWrap/>
            <w:hideMark/>
          </w:tcPr>
          <w:p w14:paraId="7EA6CD7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3.575.209</w:t>
            </w:r>
          </w:p>
        </w:tc>
        <w:tc>
          <w:tcPr>
            <w:tcW w:w="567" w:type="dxa"/>
            <w:tcBorders>
              <w:top w:val="nil"/>
              <w:left w:val="nil"/>
              <w:bottom w:val="single" w:sz="4" w:space="0" w:color="auto"/>
              <w:right w:val="single" w:sz="4" w:space="0" w:color="auto"/>
            </w:tcBorders>
            <w:shd w:val="clear" w:color="auto" w:fill="auto"/>
            <w:noWrap/>
            <w:hideMark/>
          </w:tcPr>
          <w:p w14:paraId="602430C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81,71</w:t>
            </w:r>
          </w:p>
        </w:tc>
        <w:tc>
          <w:tcPr>
            <w:tcW w:w="850" w:type="dxa"/>
            <w:tcBorders>
              <w:top w:val="nil"/>
              <w:left w:val="nil"/>
              <w:bottom w:val="single" w:sz="4" w:space="0" w:color="auto"/>
              <w:right w:val="single" w:sz="4" w:space="0" w:color="auto"/>
            </w:tcBorders>
            <w:shd w:val="clear" w:color="auto" w:fill="auto"/>
            <w:noWrap/>
            <w:hideMark/>
          </w:tcPr>
          <w:p w14:paraId="6771370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2.629.075</w:t>
            </w:r>
          </w:p>
        </w:tc>
        <w:tc>
          <w:tcPr>
            <w:tcW w:w="709" w:type="dxa"/>
            <w:tcBorders>
              <w:top w:val="nil"/>
              <w:left w:val="nil"/>
              <w:bottom w:val="single" w:sz="4" w:space="0" w:color="auto"/>
              <w:right w:val="single" w:sz="8" w:space="0" w:color="auto"/>
            </w:tcBorders>
            <w:shd w:val="clear" w:color="auto" w:fill="auto"/>
            <w:noWrap/>
            <w:hideMark/>
          </w:tcPr>
          <w:p w14:paraId="7D5A2DA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292.119</w:t>
            </w:r>
          </w:p>
        </w:tc>
        <w:tc>
          <w:tcPr>
            <w:tcW w:w="851" w:type="dxa"/>
            <w:tcBorders>
              <w:top w:val="nil"/>
              <w:left w:val="single" w:sz="4" w:space="0" w:color="auto"/>
              <w:bottom w:val="single" w:sz="4" w:space="0" w:color="auto"/>
              <w:right w:val="single" w:sz="4" w:space="0" w:color="auto"/>
            </w:tcBorders>
            <w:shd w:val="clear" w:color="auto" w:fill="auto"/>
            <w:noWrap/>
            <w:hideMark/>
          </w:tcPr>
          <w:p w14:paraId="0797A0B8" w14:textId="542BA41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24.045</w:t>
            </w:r>
          </w:p>
        </w:tc>
      </w:tr>
      <w:tr w:rsidR="005C332D" w:rsidRPr="003F6E51" w14:paraId="178F66D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37D885A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133</w:t>
            </w:r>
          </w:p>
        </w:tc>
        <w:tc>
          <w:tcPr>
            <w:tcW w:w="2213" w:type="dxa"/>
            <w:tcBorders>
              <w:top w:val="nil"/>
              <w:left w:val="single" w:sz="8" w:space="0" w:color="auto"/>
              <w:bottom w:val="single" w:sz="4" w:space="0" w:color="auto"/>
              <w:right w:val="single" w:sz="8" w:space="0" w:color="auto"/>
            </w:tcBorders>
            <w:shd w:val="clear" w:color="auto" w:fill="auto"/>
            <w:noWrap/>
            <w:hideMark/>
          </w:tcPr>
          <w:p w14:paraId="088C4119"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UŽICE</w:t>
            </w:r>
          </w:p>
        </w:tc>
        <w:tc>
          <w:tcPr>
            <w:tcW w:w="850" w:type="dxa"/>
            <w:tcBorders>
              <w:top w:val="nil"/>
              <w:left w:val="nil"/>
              <w:bottom w:val="nil"/>
              <w:right w:val="nil"/>
            </w:tcBorders>
            <w:shd w:val="clear" w:color="000000" w:fill="FFFFFF"/>
            <w:noWrap/>
            <w:hideMark/>
          </w:tcPr>
          <w:p w14:paraId="07A9FF0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72096</w:t>
            </w:r>
          </w:p>
        </w:tc>
        <w:tc>
          <w:tcPr>
            <w:tcW w:w="709" w:type="dxa"/>
            <w:tcBorders>
              <w:top w:val="nil"/>
              <w:left w:val="single" w:sz="4" w:space="0" w:color="auto"/>
              <w:bottom w:val="single" w:sz="4" w:space="0" w:color="auto"/>
              <w:right w:val="single" w:sz="8" w:space="0" w:color="auto"/>
            </w:tcBorders>
            <w:shd w:val="clear" w:color="000000" w:fill="FFFFFF"/>
            <w:noWrap/>
            <w:hideMark/>
          </w:tcPr>
          <w:p w14:paraId="1FA86F3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1,52</w:t>
            </w:r>
          </w:p>
        </w:tc>
        <w:tc>
          <w:tcPr>
            <w:tcW w:w="567" w:type="dxa"/>
            <w:tcBorders>
              <w:top w:val="nil"/>
              <w:left w:val="nil"/>
              <w:bottom w:val="single" w:sz="4" w:space="0" w:color="auto"/>
              <w:right w:val="single" w:sz="4" w:space="0" w:color="auto"/>
            </w:tcBorders>
            <w:shd w:val="clear" w:color="000000" w:fill="FFFFFF"/>
            <w:noWrap/>
            <w:hideMark/>
          </w:tcPr>
          <w:p w14:paraId="1BBEED5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667</w:t>
            </w:r>
          </w:p>
        </w:tc>
        <w:tc>
          <w:tcPr>
            <w:tcW w:w="709" w:type="dxa"/>
            <w:tcBorders>
              <w:top w:val="nil"/>
              <w:left w:val="nil"/>
              <w:bottom w:val="single" w:sz="4" w:space="0" w:color="auto"/>
              <w:right w:val="single" w:sz="8" w:space="0" w:color="auto"/>
            </w:tcBorders>
            <w:shd w:val="clear" w:color="000000" w:fill="FFFFFF"/>
            <w:noWrap/>
            <w:hideMark/>
          </w:tcPr>
          <w:p w14:paraId="06A3049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1,25</w:t>
            </w:r>
          </w:p>
        </w:tc>
        <w:tc>
          <w:tcPr>
            <w:tcW w:w="850" w:type="dxa"/>
            <w:tcBorders>
              <w:top w:val="nil"/>
              <w:left w:val="nil"/>
              <w:bottom w:val="single" w:sz="4" w:space="0" w:color="auto"/>
              <w:right w:val="single" w:sz="4" w:space="0" w:color="auto"/>
            </w:tcBorders>
            <w:shd w:val="clear" w:color="000000" w:fill="FFFFFF"/>
            <w:noWrap/>
            <w:hideMark/>
          </w:tcPr>
          <w:p w14:paraId="36F39EE6"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3B239E1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6073DB1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57A84D2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6EA3D40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100,65</w:t>
            </w:r>
          </w:p>
        </w:tc>
        <w:tc>
          <w:tcPr>
            <w:tcW w:w="851" w:type="dxa"/>
            <w:tcBorders>
              <w:top w:val="nil"/>
              <w:left w:val="nil"/>
              <w:bottom w:val="single" w:sz="4" w:space="0" w:color="auto"/>
              <w:right w:val="single" w:sz="4" w:space="0" w:color="auto"/>
            </w:tcBorders>
            <w:shd w:val="clear" w:color="auto" w:fill="auto"/>
            <w:noWrap/>
            <w:hideMark/>
          </w:tcPr>
          <w:p w14:paraId="1E0A5070"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0,0074</w:t>
            </w:r>
          </w:p>
        </w:tc>
        <w:tc>
          <w:tcPr>
            <w:tcW w:w="1134" w:type="dxa"/>
            <w:tcBorders>
              <w:top w:val="nil"/>
              <w:left w:val="nil"/>
              <w:bottom w:val="single" w:sz="4" w:space="0" w:color="auto"/>
              <w:right w:val="single" w:sz="4" w:space="0" w:color="auto"/>
            </w:tcBorders>
            <w:shd w:val="clear" w:color="000000" w:fill="C6E0B4"/>
            <w:noWrap/>
            <w:hideMark/>
          </w:tcPr>
          <w:p w14:paraId="0CBC9336"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2.007.855</w:t>
            </w:r>
          </w:p>
        </w:tc>
        <w:tc>
          <w:tcPr>
            <w:tcW w:w="992" w:type="dxa"/>
            <w:tcBorders>
              <w:top w:val="nil"/>
              <w:left w:val="nil"/>
              <w:bottom w:val="single" w:sz="4" w:space="0" w:color="auto"/>
              <w:right w:val="single" w:sz="4" w:space="0" w:color="auto"/>
            </w:tcBorders>
            <w:shd w:val="clear" w:color="auto" w:fill="auto"/>
            <w:noWrap/>
            <w:hideMark/>
          </w:tcPr>
          <w:p w14:paraId="39682CC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3.405.737</w:t>
            </w:r>
          </w:p>
        </w:tc>
        <w:tc>
          <w:tcPr>
            <w:tcW w:w="567" w:type="dxa"/>
            <w:tcBorders>
              <w:top w:val="nil"/>
              <w:left w:val="nil"/>
              <w:bottom w:val="single" w:sz="4" w:space="0" w:color="auto"/>
              <w:right w:val="single" w:sz="4" w:space="0" w:color="auto"/>
            </w:tcBorders>
            <w:shd w:val="clear" w:color="auto" w:fill="auto"/>
            <w:noWrap/>
            <w:hideMark/>
          </w:tcPr>
          <w:p w14:paraId="6C8A7D9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58,96</w:t>
            </w:r>
          </w:p>
        </w:tc>
        <w:tc>
          <w:tcPr>
            <w:tcW w:w="850" w:type="dxa"/>
            <w:tcBorders>
              <w:top w:val="nil"/>
              <w:left w:val="nil"/>
              <w:bottom w:val="single" w:sz="4" w:space="0" w:color="auto"/>
              <w:right w:val="single" w:sz="4" w:space="0" w:color="auto"/>
            </w:tcBorders>
            <w:shd w:val="clear" w:color="auto" w:fill="auto"/>
            <w:noWrap/>
            <w:hideMark/>
          </w:tcPr>
          <w:p w14:paraId="18003B7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1.807.070</w:t>
            </w:r>
          </w:p>
        </w:tc>
        <w:tc>
          <w:tcPr>
            <w:tcW w:w="709" w:type="dxa"/>
            <w:tcBorders>
              <w:top w:val="nil"/>
              <w:left w:val="nil"/>
              <w:bottom w:val="single" w:sz="4" w:space="0" w:color="auto"/>
              <w:right w:val="single" w:sz="8" w:space="0" w:color="auto"/>
            </w:tcBorders>
            <w:shd w:val="clear" w:color="auto" w:fill="auto"/>
            <w:noWrap/>
            <w:hideMark/>
          </w:tcPr>
          <w:p w14:paraId="5BF6B7AC"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200.786</w:t>
            </w:r>
          </w:p>
        </w:tc>
        <w:tc>
          <w:tcPr>
            <w:tcW w:w="851" w:type="dxa"/>
            <w:tcBorders>
              <w:top w:val="nil"/>
              <w:left w:val="single" w:sz="4" w:space="0" w:color="auto"/>
              <w:bottom w:val="single" w:sz="4" w:space="0" w:color="auto"/>
              <w:right w:val="single" w:sz="4" w:space="0" w:color="auto"/>
            </w:tcBorders>
            <w:shd w:val="clear" w:color="auto" w:fill="auto"/>
            <w:noWrap/>
            <w:hideMark/>
          </w:tcPr>
          <w:p w14:paraId="22F12118" w14:textId="29424086"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25.065</w:t>
            </w:r>
          </w:p>
        </w:tc>
      </w:tr>
      <w:tr w:rsidR="005C332D" w:rsidRPr="003F6E51" w14:paraId="3BBD9C8D"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36A219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134</w:t>
            </w:r>
          </w:p>
        </w:tc>
        <w:tc>
          <w:tcPr>
            <w:tcW w:w="2213" w:type="dxa"/>
            <w:tcBorders>
              <w:top w:val="nil"/>
              <w:left w:val="single" w:sz="8" w:space="0" w:color="auto"/>
              <w:bottom w:val="single" w:sz="4" w:space="0" w:color="auto"/>
              <w:right w:val="single" w:sz="8" w:space="0" w:color="auto"/>
            </w:tcBorders>
            <w:shd w:val="clear" w:color="auto" w:fill="auto"/>
            <w:noWrap/>
            <w:hideMark/>
          </w:tcPr>
          <w:p w14:paraId="4998BBD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VALJEVO</w:t>
            </w:r>
          </w:p>
        </w:tc>
        <w:tc>
          <w:tcPr>
            <w:tcW w:w="850" w:type="dxa"/>
            <w:tcBorders>
              <w:top w:val="single" w:sz="4" w:space="0" w:color="auto"/>
              <w:left w:val="nil"/>
              <w:bottom w:val="single" w:sz="4" w:space="0" w:color="auto"/>
              <w:right w:val="single" w:sz="4" w:space="0" w:color="auto"/>
            </w:tcBorders>
            <w:shd w:val="clear" w:color="000000" w:fill="FFFFFF"/>
            <w:noWrap/>
            <w:hideMark/>
          </w:tcPr>
          <w:p w14:paraId="036AC9F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84586</w:t>
            </w:r>
          </w:p>
        </w:tc>
        <w:tc>
          <w:tcPr>
            <w:tcW w:w="709" w:type="dxa"/>
            <w:tcBorders>
              <w:top w:val="nil"/>
              <w:left w:val="nil"/>
              <w:bottom w:val="single" w:sz="4" w:space="0" w:color="auto"/>
              <w:right w:val="single" w:sz="8" w:space="0" w:color="auto"/>
            </w:tcBorders>
            <w:shd w:val="clear" w:color="000000" w:fill="FFFFFF"/>
            <w:noWrap/>
            <w:hideMark/>
          </w:tcPr>
          <w:p w14:paraId="32D2348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1,78</w:t>
            </w:r>
          </w:p>
        </w:tc>
        <w:tc>
          <w:tcPr>
            <w:tcW w:w="567" w:type="dxa"/>
            <w:tcBorders>
              <w:top w:val="nil"/>
              <w:left w:val="nil"/>
              <w:bottom w:val="single" w:sz="4" w:space="0" w:color="auto"/>
              <w:right w:val="single" w:sz="4" w:space="0" w:color="auto"/>
            </w:tcBorders>
            <w:shd w:val="clear" w:color="000000" w:fill="FFFFFF"/>
            <w:noWrap/>
            <w:hideMark/>
          </w:tcPr>
          <w:p w14:paraId="4535592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905</w:t>
            </w:r>
          </w:p>
        </w:tc>
        <w:tc>
          <w:tcPr>
            <w:tcW w:w="709" w:type="dxa"/>
            <w:tcBorders>
              <w:top w:val="nil"/>
              <w:left w:val="nil"/>
              <w:bottom w:val="single" w:sz="4" w:space="0" w:color="auto"/>
              <w:right w:val="single" w:sz="8" w:space="0" w:color="auto"/>
            </w:tcBorders>
            <w:shd w:val="clear" w:color="000000" w:fill="FFFFFF"/>
            <w:noWrap/>
            <w:hideMark/>
          </w:tcPr>
          <w:p w14:paraId="2AA95B7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1,69</w:t>
            </w:r>
          </w:p>
        </w:tc>
        <w:tc>
          <w:tcPr>
            <w:tcW w:w="850" w:type="dxa"/>
            <w:tcBorders>
              <w:top w:val="nil"/>
              <w:left w:val="nil"/>
              <w:bottom w:val="single" w:sz="4" w:space="0" w:color="auto"/>
              <w:right w:val="single" w:sz="4" w:space="0" w:color="auto"/>
            </w:tcBorders>
            <w:shd w:val="clear" w:color="000000" w:fill="FFFFFF"/>
            <w:noWrap/>
            <w:hideMark/>
          </w:tcPr>
          <w:p w14:paraId="3E27F16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1D65B7B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6245CE8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2B1021B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24E9AD0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120,96</w:t>
            </w:r>
          </w:p>
        </w:tc>
        <w:tc>
          <w:tcPr>
            <w:tcW w:w="851" w:type="dxa"/>
            <w:tcBorders>
              <w:top w:val="nil"/>
              <w:left w:val="nil"/>
              <w:bottom w:val="single" w:sz="4" w:space="0" w:color="auto"/>
              <w:right w:val="single" w:sz="4" w:space="0" w:color="auto"/>
            </w:tcBorders>
            <w:shd w:val="clear" w:color="auto" w:fill="auto"/>
            <w:noWrap/>
            <w:hideMark/>
          </w:tcPr>
          <w:p w14:paraId="339F35E4"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0,0089</w:t>
            </w:r>
          </w:p>
        </w:tc>
        <w:tc>
          <w:tcPr>
            <w:tcW w:w="1134" w:type="dxa"/>
            <w:tcBorders>
              <w:top w:val="nil"/>
              <w:left w:val="nil"/>
              <w:bottom w:val="single" w:sz="4" w:space="0" w:color="auto"/>
              <w:right w:val="single" w:sz="4" w:space="0" w:color="auto"/>
            </w:tcBorders>
            <w:shd w:val="clear" w:color="000000" w:fill="C6E0B4"/>
            <w:noWrap/>
            <w:hideMark/>
          </w:tcPr>
          <w:p w14:paraId="7DE3319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2.412.953</w:t>
            </w:r>
          </w:p>
        </w:tc>
        <w:tc>
          <w:tcPr>
            <w:tcW w:w="992" w:type="dxa"/>
            <w:tcBorders>
              <w:top w:val="nil"/>
              <w:left w:val="nil"/>
              <w:bottom w:val="single" w:sz="4" w:space="0" w:color="auto"/>
              <w:right w:val="single" w:sz="4" w:space="0" w:color="auto"/>
            </w:tcBorders>
            <w:shd w:val="clear" w:color="auto" w:fill="auto"/>
            <w:noWrap/>
            <w:hideMark/>
          </w:tcPr>
          <w:p w14:paraId="0FF2257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3.443.630</w:t>
            </w:r>
          </w:p>
        </w:tc>
        <w:tc>
          <w:tcPr>
            <w:tcW w:w="567" w:type="dxa"/>
            <w:tcBorders>
              <w:top w:val="nil"/>
              <w:left w:val="nil"/>
              <w:bottom w:val="single" w:sz="4" w:space="0" w:color="auto"/>
              <w:right w:val="single" w:sz="4" w:space="0" w:color="auto"/>
            </w:tcBorders>
            <w:shd w:val="clear" w:color="auto" w:fill="auto"/>
            <w:noWrap/>
            <w:hideMark/>
          </w:tcPr>
          <w:p w14:paraId="5793A47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70,07</w:t>
            </w:r>
          </w:p>
        </w:tc>
        <w:tc>
          <w:tcPr>
            <w:tcW w:w="850" w:type="dxa"/>
            <w:tcBorders>
              <w:top w:val="nil"/>
              <w:left w:val="nil"/>
              <w:bottom w:val="single" w:sz="4" w:space="0" w:color="auto"/>
              <w:right w:val="single" w:sz="4" w:space="0" w:color="auto"/>
            </w:tcBorders>
            <w:shd w:val="clear" w:color="auto" w:fill="auto"/>
            <w:noWrap/>
            <w:hideMark/>
          </w:tcPr>
          <w:p w14:paraId="5618399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2.171.658</w:t>
            </w:r>
          </w:p>
        </w:tc>
        <w:tc>
          <w:tcPr>
            <w:tcW w:w="709" w:type="dxa"/>
            <w:tcBorders>
              <w:top w:val="nil"/>
              <w:left w:val="nil"/>
              <w:bottom w:val="single" w:sz="4" w:space="0" w:color="auto"/>
              <w:right w:val="single" w:sz="8" w:space="0" w:color="auto"/>
            </w:tcBorders>
            <w:shd w:val="clear" w:color="auto" w:fill="auto"/>
            <w:noWrap/>
            <w:hideMark/>
          </w:tcPr>
          <w:p w14:paraId="7A66856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241.295</w:t>
            </w:r>
          </w:p>
        </w:tc>
        <w:tc>
          <w:tcPr>
            <w:tcW w:w="851" w:type="dxa"/>
            <w:tcBorders>
              <w:top w:val="nil"/>
              <w:left w:val="single" w:sz="4" w:space="0" w:color="auto"/>
              <w:bottom w:val="single" w:sz="4" w:space="0" w:color="auto"/>
              <w:right w:val="single" w:sz="4" w:space="0" w:color="auto"/>
            </w:tcBorders>
            <w:shd w:val="clear" w:color="auto" w:fill="auto"/>
            <w:noWrap/>
            <w:hideMark/>
          </w:tcPr>
          <w:p w14:paraId="4A18FD63" w14:textId="6DB2236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25.674</w:t>
            </w:r>
          </w:p>
        </w:tc>
      </w:tr>
      <w:tr w:rsidR="005C332D" w:rsidRPr="003F6E51" w14:paraId="20A59261"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42BA20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135</w:t>
            </w:r>
          </w:p>
        </w:tc>
        <w:tc>
          <w:tcPr>
            <w:tcW w:w="2213" w:type="dxa"/>
            <w:tcBorders>
              <w:top w:val="nil"/>
              <w:left w:val="single" w:sz="8" w:space="0" w:color="auto"/>
              <w:bottom w:val="single" w:sz="4" w:space="0" w:color="auto"/>
              <w:right w:val="single" w:sz="8" w:space="0" w:color="auto"/>
            </w:tcBorders>
            <w:shd w:val="clear" w:color="auto" w:fill="auto"/>
            <w:noWrap/>
            <w:hideMark/>
          </w:tcPr>
          <w:p w14:paraId="48F44B2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VRANJE</w:t>
            </w:r>
          </w:p>
        </w:tc>
        <w:tc>
          <w:tcPr>
            <w:tcW w:w="850" w:type="dxa"/>
            <w:tcBorders>
              <w:top w:val="nil"/>
              <w:left w:val="nil"/>
              <w:bottom w:val="nil"/>
              <w:right w:val="nil"/>
            </w:tcBorders>
            <w:shd w:val="clear" w:color="000000" w:fill="FFFFFF"/>
            <w:noWrap/>
            <w:hideMark/>
          </w:tcPr>
          <w:p w14:paraId="5EF3D1D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79068</w:t>
            </w:r>
          </w:p>
        </w:tc>
        <w:tc>
          <w:tcPr>
            <w:tcW w:w="709" w:type="dxa"/>
            <w:tcBorders>
              <w:top w:val="nil"/>
              <w:left w:val="single" w:sz="4" w:space="0" w:color="auto"/>
              <w:bottom w:val="single" w:sz="4" w:space="0" w:color="auto"/>
              <w:right w:val="single" w:sz="8" w:space="0" w:color="auto"/>
            </w:tcBorders>
            <w:shd w:val="clear" w:color="000000" w:fill="FFFFFF"/>
            <w:noWrap/>
            <w:hideMark/>
          </w:tcPr>
          <w:p w14:paraId="4AC5E13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1,66</w:t>
            </w:r>
          </w:p>
        </w:tc>
        <w:tc>
          <w:tcPr>
            <w:tcW w:w="567" w:type="dxa"/>
            <w:tcBorders>
              <w:top w:val="nil"/>
              <w:left w:val="nil"/>
              <w:bottom w:val="single" w:sz="4" w:space="0" w:color="auto"/>
              <w:right w:val="single" w:sz="4" w:space="0" w:color="auto"/>
            </w:tcBorders>
            <w:shd w:val="clear" w:color="000000" w:fill="FFFFFF"/>
            <w:noWrap/>
            <w:hideMark/>
          </w:tcPr>
          <w:p w14:paraId="245D2EE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860</w:t>
            </w:r>
          </w:p>
        </w:tc>
        <w:tc>
          <w:tcPr>
            <w:tcW w:w="709" w:type="dxa"/>
            <w:tcBorders>
              <w:top w:val="nil"/>
              <w:left w:val="nil"/>
              <w:bottom w:val="single" w:sz="4" w:space="0" w:color="auto"/>
              <w:right w:val="single" w:sz="8" w:space="0" w:color="auto"/>
            </w:tcBorders>
            <w:shd w:val="clear" w:color="000000" w:fill="FFFFFF"/>
            <w:noWrap/>
            <w:hideMark/>
          </w:tcPr>
          <w:p w14:paraId="25DE2C4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1,61</w:t>
            </w:r>
          </w:p>
        </w:tc>
        <w:tc>
          <w:tcPr>
            <w:tcW w:w="850" w:type="dxa"/>
            <w:tcBorders>
              <w:top w:val="nil"/>
              <w:left w:val="nil"/>
              <w:bottom w:val="single" w:sz="4" w:space="0" w:color="auto"/>
              <w:right w:val="single" w:sz="4" w:space="0" w:color="auto"/>
            </w:tcBorders>
            <w:shd w:val="clear" w:color="000000" w:fill="FFFFFF"/>
            <w:noWrap/>
            <w:hideMark/>
          </w:tcPr>
          <w:p w14:paraId="5755E5D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155ED2C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71C8F12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44D990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698B9AC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127,11</w:t>
            </w:r>
          </w:p>
        </w:tc>
        <w:tc>
          <w:tcPr>
            <w:tcW w:w="851" w:type="dxa"/>
            <w:tcBorders>
              <w:top w:val="nil"/>
              <w:left w:val="nil"/>
              <w:bottom w:val="single" w:sz="4" w:space="0" w:color="auto"/>
              <w:right w:val="single" w:sz="4" w:space="0" w:color="auto"/>
            </w:tcBorders>
            <w:shd w:val="clear" w:color="auto" w:fill="auto"/>
            <w:noWrap/>
            <w:hideMark/>
          </w:tcPr>
          <w:p w14:paraId="2BBDECE2"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0,0094</w:t>
            </w:r>
          </w:p>
        </w:tc>
        <w:tc>
          <w:tcPr>
            <w:tcW w:w="1134" w:type="dxa"/>
            <w:tcBorders>
              <w:top w:val="nil"/>
              <w:left w:val="nil"/>
              <w:bottom w:val="single" w:sz="4" w:space="0" w:color="auto"/>
              <w:right w:val="single" w:sz="4" w:space="0" w:color="auto"/>
            </w:tcBorders>
            <w:shd w:val="clear" w:color="000000" w:fill="C6E0B4"/>
            <w:noWrap/>
            <w:hideMark/>
          </w:tcPr>
          <w:p w14:paraId="3035681A"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2.535.695</w:t>
            </w:r>
          </w:p>
        </w:tc>
        <w:tc>
          <w:tcPr>
            <w:tcW w:w="992" w:type="dxa"/>
            <w:tcBorders>
              <w:top w:val="nil"/>
              <w:left w:val="nil"/>
              <w:bottom w:val="single" w:sz="4" w:space="0" w:color="auto"/>
              <w:right w:val="single" w:sz="4" w:space="0" w:color="auto"/>
            </w:tcBorders>
            <w:shd w:val="clear" w:color="auto" w:fill="auto"/>
            <w:noWrap/>
            <w:hideMark/>
          </w:tcPr>
          <w:p w14:paraId="0BE78AA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4.624.069</w:t>
            </w:r>
          </w:p>
        </w:tc>
        <w:tc>
          <w:tcPr>
            <w:tcW w:w="567" w:type="dxa"/>
            <w:tcBorders>
              <w:top w:val="nil"/>
              <w:left w:val="nil"/>
              <w:bottom w:val="single" w:sz="4" w:space="0" w:color="auto"/>
              <w:right w:val="single" w:sz="4" w:space="0" w:color="auto"/>
            </w:tcBorders>
            <w:shd w:val="clear" w:color="auto" w:fill="auto"/>
            <w:noWrap/>
            <w:hideMark/>
          </w:tcPr>
          <w:p w14:paraId="4CBF275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54,84</w:t>
            </w:r>
          </w:p>
        </w:tc>
        <w:tc>
          <w:tcPr>
            <w:tcW w:w="850" w:type="dxa"/>
            <w:tcBorders>
              <w:top w:val="nil"/>
              <w:left w:val="nil"/>
              <w:bottom w:val="single" w:sz="4" w:space="0" w:color="auto"/>
              <w:right w:val="single" w:sz="4" w:space="0" w:color="auto"/>
            </w:tcBorders>
            <w:shd w:val="clear" w:color="auto" w:fill="auto"/>
            <w:noWrap/>
            <w:hideMark/>
          </w:tcPr>
          <w:p w14:paraId="5C56474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2.282.126</w:t>
            </w:r>
          </w:p>
        </w:tc>
        <w:tc>
          <w:tcPr>
            <w:tcW w:w="709" w:type="dxa"/>
            <w:tcBorders>
              <w:top w:val="nil"/>
              <w:left w:val="nil"/>
              <w:bottom w:val="single" w:sz="4" w:space="0" w:color="auto"/>
              <w:right w:val="single" w:sz="8" w:space="0" w:color="auto"/>
            </w:tcBorders>
            <w:shd w:val="clear" w:color="auto" w:fill="auto"/>
            <w:noWrap/>
            <w:hideMark/>
          </w:tcPr>
          <w:p w14:paraId="74F9012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253.570</w:t>
            </w:r>
          </w:p>
        </w:tc>
        <w:tc>
          <w:tcPr>
            <w:tcW w:w="851" w:type="dxa"/>
            <w:tcBorders>
              <w:top w:val="nil"/>
              <w:left w:val="single" w:sz="4" w:space="0" w:color="auto"/>
              <w:bottom w:val="single" w:sz="4" w:space="0" w:color="auto"/>
              <w:right w:val="single" w:sz="4" w:space="0" w:color="auto"/>
            </w:tcBorders>
            <w:shd w:val="clear" w:color="auto" w:fill="auto"/>
            <w:noWrap/>
            <w:hideMark/>
          </w:tcPr>
          <w:p w14:paraId="0FADFBE7" w14:textId="6606092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28.863</w:t>
            </w:r>
          </w:p>
        </w:tc>
      </w:tr>
      <w:tr w:rsidR="005C332D" w:rsidRPr="003F6E51" w14:paraId="3F19966C"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0AED5554"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136</w:t>
            </w:r>
          </w:p>
        </w:tc>
        <w:tc>
          <w:tcPr>
            <w:tcW w:w="2213" w:type="dxa"/>
            <w:tcBorders>
              <w:top w:val="nil"/>
              <w:left w:val="single" w:sz="8" w:space="0" w:color="auto"/>
              <w:bottom w:val="single" w:sz="4" w:space="0" w:color="auto"/>
              <w:right w:val="single" w:sz="8" w:space="0" w:color="auto"/>
            </w:tcBorders>
            <w:shd w:val="clear" w:color="auto" w:fill="auto"/>
            <w:noWrap/>
            <w:hideMark/>
          </w:tcPr>
          <w:p w14:paraId="4DEF32E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ZAJEČAR</w:t>
            </w:r>
          </w:p>
        </w:tc>
        <w:tc>
          <w:tcPr>
            <w:tcW w:w="850" w:type="dxa"/>
            <w:tcBorders>
              <w:top w:val="single" w:sz="4" w:space="0" w:color="auto"/>
              <w:left w:val="nil"/>
              <w:bottom w:val="single" w:sz="4" w:space="0" w:color="auto"/>
              <w:right w:val="single" w:sz="4" w:space="0" w:color="auto"/>
            </w:tcBorders>
            <w:shd w:val="clear" w:color="000000" w:fill="FFFFFF"/>
            <w:noWrap/>
            <w:hideMark/>
          </w:tcPr>
          <w:p w14:paraId="6C81D63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52637</w:t>
            </w:r>
          </w:p>
        </w:tc>
        <w:tc>
          <w:tcPr>
            <w:tcW w:w="709" w:type="dxa"/>
            <w:tcBorders>
              <w:top w:val="nil"/>
              <w:left w:val="nil"/>
              <w:bottom w:val="single" w:sz="4" w:space="0" w:color="auto"/>
              <w:right w:val="single" w:sz="8" w:space="0" w:color="auto"/>
            </w:tcBorders>
            <w:shd w:val="clear" w:color="000000" w:fill="FFFFFF"/>
            <w:noWrap/>
            <w:hideMark/>
          </w:tcPr>
          <w:p w14:paraId="4C04ACB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1,11</w:t>
            </w:r>
          </w:p>
        </w:tc>
        <w:tc>
          <w:tcPr>
            <w:tcW w:w="567" w:type="dxa"/>
            <w:tcBorders>
              <w:top w:val="nil"/>
              <w:left w:val="nil"/>
              <w:bottom w:val="single" w:sz="4" w:space="0" w:color="auto"/>
              <w:right w:val="single" w:sz="4" w:space="0" w:color="auto"/>
            </w:tcBorders>
            <w:shd w:val="clear" w:color="000000" w:fill="FFFFFF"/>
            <w:noWrap/>
            <w:hideMark/>
          </w:tcPr>
          <w:p w14:paraId="6A62B82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1069</w:t>
            </w:r>
          </w:p>
        </w:tc>
        <w:tc>
          <w:tcPr>
            <w:tcW w:w="709" w:type="dxa"/>
            <w:tcBorders>
              <w:top w:val="nil"/>
              <w:left w:val="nil"/>
              <w:bottom w:val="single" w:sz="4" w:space="0" w:color="auto"/>
              <w:right w:val="single" w:sz="8" w:space="0" w:color="auto"/>
            </w:tcBorders>
            <w:shd w:val="clear" w:color="000000" w:fill="FFFFFF"/>
            <w:noWrap/>
            <w:hideMark/>
          </w:tcPr>
          <w:p w14:paraId="683EA70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2,00</w:t>
            </w:r>
          </w:p>
        </w:tc>
        <w:tc>
          <w:tcPr>
            <w:tcW w:w="850" w:type="dxa"/>
            <w:tcBorders>
              <w:top w:val="nil"/>
              <w:left w:val="nil"/>
              <w:bottom w:val="single" w:sz="4" w:space="0" w:color="auto"/>
              <w:right w:val="single" w:sz="4" w:space="0" w:color="auto"/>
            </w:tcBorders>
            <w:shd w:val="clear" w:color="000000" w:fill="FFFFFF"/>
            <w:noWrap/>
            <w:hideMark/>
          </w:tcPr>
          <w:p w14:paraId="469B682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52F67BA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54F1877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w:t>
            </w:r>
          </w:p>
        </w:tc>
        <w:tc>
          <w:tcPr>
            <w:tcW w:w="708" w:type="dxa"/>
            <w:tcBorders>
              <w:top w:val="nil"/>
              <w:left w:val="nil"/>
              <w:bottom w:val="single" w:sz="4" w:space="0" w:color="auto"/>
              <w:right w:val="nil"/>
            </w:tcBorders>
            <w:shd w:val="clear" w:color="auto" w:fill="auto"/>
            <w:noWrap/>
            <w:hideMark/>
          </w:tcPr>
          <w:p w14:paraId="50E687A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0,76</w:t>
            </w:r>
          </w:p>
        </w:tc>
        <w:tc>
          <w:tcPr>
            <w:tcW w:w="709" w:type="dxa"/>
            <w:tcBorders>
              <w:top w:val="single" w:sz="4" w:space="0" w:color="auto"/>
              <w:left w:val="single" w:sz="8" w:space="0" w:color="auto"/>
              <w:bottom w:val="nil"/>
              <w:right w:val="single" w:sz="4" w:space="0" w:color="auto"/>
            </w:tcBorders>
            <w:shd w:val="clear" w:color="auto" w:fill="auto"/>
            <w:noWrap/>
            <w:hideMark/>
          </w:tcPr>
          <w:p w14:paraId="36EE8D4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116,40</w:t>
            </w:r>
          </w:p>
        </w:tc>
        <w:tc>
          <w:tcPr>
            <w:tcW w:w="851" w:type="dxa"/>
            <w:tcBorders>
              <w:top w:val="nil"/>
              <w:left w:val="nil"/>
              <w:bottom w:val="single" w:sz="4" w:space="0" w:color="auto"/>
              <w:right w:val="single" w:sz="4" w:space="0" w:color="auto"/>
            </w:tcBorders>
            <w:shd w:val="clear" w:color="auto" w:fill="auto"/>
            <w:noWrap/>
            <w:hideMark/>
          </w:tcPr>
          <w:p w14:paraId="78AD8E96"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0,0086</w:t>
            </w:r>
          </w:p>
        </w:tc>
        <w:tc>
          <w:tcPr>
            <w:tcW w:w="1134" w:type="dxa"/>
            <w:tcBorders>
              <w:top w:val="nil"/>
              <w:left w:val="nil"/>
              <w:bottom w:val="single" w:sz="4" w:space="0" w:color="auto"/>
              <w:right w:val="single" w:sz="4" w:space="0" w:color="auto"/>
            </w:tcBorders>
            <w:shd w:val="clear" w:color="000000" w:fill="C6E0B4"/>
            <w:noWrap/>
            <w:hideMark/>
          </w:tcPr>
          <w:p w14:paraId="3544157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2.321.981</w:t>
            </w:r>
          </w:p>
        </w:tc>
        <w:tc>
          <w:tcPr>
            <w:tcW w:w="992" w:type="dxa"/>
            <w:tcBorders>
              <w:top w:val="nil"/>
              <w:left w:val="nil"/>
              <w:bottom w:val="single" w:sz="4" w:space="0" w:color="auto"/>
              <w:right w:val="single" w:sz="4" w:space="0" w:color="auto"/>
            </w:tcBorders>
            <w:shd w:val="clear" w:color="auto" w:fill="auto"/>
            <w:noWrap/>
            <w:hideMark/>
          </w:tcPr>
          <w:p w14:paraId="0FF9462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1.187.210</w:t>
            </w:r>
          </w:p>
        </w:tc>
        <w:tc>
          <w:tcPr>
            <w:tcW w:w="567" w:type="dxa"/>
            <w:tcBorders>
              <w:top w:val="nil"/>
              <w:left w:val="nil"/>
              <w:bottom w:val="single" w:sz="4" w:space="0" w:color="auto"/>
              <w:right w:val="single" w:sz="4" w:space="0" w:color="auto"/>
            </w:tcBorders>
            <w:shd w:val="clear" w:color="auto" w:fill="auto"/>
            <w:noWrap/>
            <w:hideMark/>
          </w:tcPr>
          <w:p w14:paraId="69046B8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195,58</w:t>
            </w:r>
          </w:p>
        </w:tc>
        <w:tc>
          <w:tcPr>
            <w:tcW w:w="850" w:type="dxa"/>
            <w:tcBorders>
              <w:top w:val="nil"/>
              <w:left w:val="nil"/>
              <w:bottom w:val="single" w:sz="4" w:space="0" w:color="auto"/>
              <w:right w:val="single" w:sz="4" w:space="0" w:color="auto"/>
            </w:tcBorders>
            <w:shd w:val="clear" w:color="auto" w:fill="auto"/>
            <w:noWrap/>
            <w:hideMark/>
          </w:tcPr>
          <w:p w14:paraId="699D15F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2.089.783</w:t>
            </w:r>
          </w:p>
        </w:tc>
        <w:tc>
          <w:tcPr>
            <w:tcW w:w="709" w:type="dxa"/>
            <w:tcBorders>
              <w:top w:val="nil"/>
              <w:left w:val="nil"/>
              <w:bottom w:val="single" w:sz="4" w:space="0" w:color="auto"/>
              <w:right w:val="single" w:sz="8" w:space="0" w:color="auto"/>
            </w:tcBorders>
            <w:shd w:val="clear" w:color="auto" w:fill="auto"/>
            <w:noWrap/>
            <w:hideMark/>
          </w:tcPr>
          <w:p w14:paraId="4A5FB5D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232.198</w:t>
            </w:r>
          </w:p>
        </w:tc>
        <w:tc>
          <w:tcPr>
            <w:tcW w:w="851" w:type="dxa"/>
            <w:tcBorders>
              <w:top w:val="nil"/>
              <w:left w:val="single" w:sz="4" w:space="0" w:color="auto"/>
              <w:bottom w:val="single" w:sz="4" w:space="0" w:color="auto"/>
              <w:right w:val="single" w:sz="4" w:space="0" w:color="auto"/>
            </w:tcBorders>
            <w:shd w:val="clear" w:color="auto" w:fill="auto"/>
            <w:noWrap/>
            <w:hideMark/>
          </w:tcPr>
          <w:p w14:paraId="54CFB32D" w14:textId="10990C7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39.702</w:t>
            </w:r>
          </w:p>
        </w:tc>
      </w:tr>
      <w:tr w:rsidR="005C332D" w:rsidRPr="003F6E51" w14:paraId="662AD6D2"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53AC753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137</w:t>
            </w:r>
          </w:p>
        </w:tc>
        <w:tc>
          <w:tcPr>
            <w:tcW w:w="2213" w:type="dxa"/>
            <w:tcBorders>
              <w:top w:val="nil"/>
              <w:left w:val="single" w:sz="8" w:space="0" w:color="auto"/>
              <w:bottom w:val="single" w:sz="4" w:space="0" w:color="auto"/>
              <w:right w:val="single" w:sz="8" w:space="0" w:color="auto"/>
            </w:tcBorders>
            <w:shd w:val="clear" w:color="auto" w:fill="auto"/>
            <w:noWrap/>
            <w:hideMark/>
          </w:tcPr>
          <w:p w14:paraId="1A1A945B"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KIKINDA</w:t>
            </w:r>
          </w:p>
        </w:tc>
        <w:tc>
          <w:tcPr>
            <w:tcW w:w="850" w:type="dxa"/>
            <w:tcBorders>
              <w:top w:val="nil"/>
              <w:left w:val="nil"/>
              <w:bottom w:val="single" w:sz="4" w:space="0" w:color="auto"/>
              <w:right w:val="single" w:sz="4" w:space="0" w:color="auto"/>
            </w:tcBorders>
            <w:shd w:val="clear" w:color="000000" w:fill="FFFFFF"/>
            <w:noWrap/>
            <w:hideMark/>
          </w:tcPr>
          <w:p w14:paraId="08BA2FD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53453</w:t>
            </w:r>
          </w:p>
        </w:tc>
        <w:tc>
          <w:tcPr>
            <w:tcW w:w="709" w:type="dxa"/>
            <w:tcBorders>
              <w:top w:val="nil"/>
              <w:left w:val="nil"/>
              <w:bottom w:val="single" w:sz="4" w:space="0" w:color="auto"/>
              <w:right w:val="single" w:sz="8" w:space="0" w:color="auto"/>
            </w:tcBorders>
            <w:shd w:val="clear" w:color="000000" w:fill="FFFFFF"/>
            <w:noWrap/>
            <w:hideMark/>
          </w:tcPr>
          <w:p w14:paraId="69C926B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1,12</w:t>
            </w:r>
          </w:p>
        </w:tc>
        <w:tc>
          <w:tcPr>
            <w:tcW w:w="567" w:type="dxa"/>
            <w:tcBorders>
              <w:top w:val="nil"/>
              <w:left w:val="nil"/>
              <w:bottom w:val="single" w:sz="4" w:space="0" w:color="auto"/>
              <w:right w:val="single" w:sz="4" w:space="0" w:color="auto"/>
            </w:tcBorders>
            <w:shd w:val="clear" w:color="000000" w:fill="FFFFFF"/>
            <w:noWrap/>
            <w:hideMark/>
          </w:tcPr>
          <w:p w14:paraId="64DF00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782</w:t>
            </w:r>
          </w:p>
        </w:tc>
        <w:tc>
          <w:tcPr>
            <w:tcW w:w="709" w:type="dxa"/>
            <w:tcBorders>
              <w:top w:val="nil"/>
              <w:left w:val="nil"/>
              <w:bottom w:val="single" w:sz="4" w:space="0" w:color="auto"/>
              <w:right w:val="single" w:sz="8" w:space="0" w:color="auto"/>
            </w:tcBorders>
            <w:shd w:val="clear" w:color="000000" w:fill="FFFFFF"/>
            <w:noWrap/>
            <w:hideMark/>
          </w:tcPr>
          <w:p w14:paraId="5A1EC1D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1,46</w:t>
            </w:r>
          </w:p>
        </w:tc>
        <w:tc>
          <w:tcPr>
            <w:tcW w:w="850" w:type="dxa"/>
            <w:tcBorders>
              <w:top w:val="nil"/>
              <w:left w:val="nil"/>
              <w:bottom w:val="single" w:sz="4" w:space="0" w:color="auto"/>
              <w:right w:val="single" w:sz="4" w:space="0" w:color="auto"/>
            </w:tcBorders>
            <w:shd w:val="clear" w:color="000000" w:fill="FFFFFF"/>
            <w:noWrap/>
            <w:hideMark/>
          </w:tcPr>
          <w:p w14:paraId="6900045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40B35B4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3BC11B7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7A4877C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928FB2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104,97</w:t>
            </w:r>
          </w:p>
        </w:tc>
        <w:tc>
          <w:tcPr>
            <w:tcW w:w="851" w:type="dxa"/>
            <w:tcBorders>
              <w:top w:val="nil"/>
              <w:left w:val="nil"/>
              <w:bottom w:val="single" w:sz="4" w:space="0" w:color="auto"/>
              <w:right w:val="single" w:sz="4" w:space="0" w:color="auto"/>
            </w:tcBorders>
            <w:shd w:val="clear" w:color="auto" w:fill="auto"/>
            <w:noWrap/>
            <w:hideMark/>
          </w:tcPr>
          <w:p w14:paraId="443878A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0,0077</w:t>
            </w:r>
          </w:p>
        </w:tc>
        <w:tc>
          <w:tcPr>
            <w:tcW w:w="1134" w:type="dxa"/>
            <w:tcBorders>
              <w:top w:val="nil"/>
              <w:left w:val="nil"/>
              <w:bottom w:val="single" w:sz="4" w:space="0" w:color="auto"/>
              <w:right w:val="single" w:sz="4" w:space="0" w:color="auto"/>
            </w:tcBorders>
            <w:shd w:val="clear" w:color="000000" w:fill="C6E0B4"/>
            <w:noWrap/>
            <w:hideMark/>
          </w:tcPr>
          <w:p w14:paraId="4579D5A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2.094.004</w:t>
            </w:r>
          </w:p>
        </w:tc>
        <w:tc>
          <w:tcPr>
            <w:tcW w:w="992" w:type="dxa"/>
            <w:tcBorders>
              <w:top w:val="nil"/>
              <w:left w:val="nil"/>
              <w:bottom w:val="single" w:sz="4" w:space="0" w:color="auto"/>
              <w:right w:val="single" w:sz="4" w:space="0" w:color="auto"/>
            </w:tcBorders>
            <w:shd w:val="clear" w:color="auto" w:fill="auto"/>
            <w:noWrap/>
            <w:hideMark/>
          </w:tcPr>
          <w:p w14:paraId="6E05E42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4.542.509</w:t>
            </w:r>
          </w:p>
        </w:tc>
        <w:tc>
          <w:tcPr>
            <w:tcW w:w="567" w:type="dxa"/>
            <w:tcBorders>
              <w:top w:val="nil"/>
              <w:left w:val="nil"/>
              <w:bottom w:val="single" w:sz="4" w:space="0" w:color="auto"/>
              <w:right w:val="single" w:sz="4" w:space="0" w:color="auto"/>
            </w:tcBorders>
            <w:shd w:val="clear" w:color="auto" w:fill="auto"/>
            <w:noWrap/>
            <w:hideMark/>
          </w:tcPr>
          <w:p w14:paraId="730E4B0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46,10</w:t>
            </w:r>
          </w:p>
        </w:tc>
        <w:tc>
          <w:tcPr>
            <w:tcW w:w="850" w:type="dxa"/>
            <w:tcBorders>
              <w:top w:val="nil"/>
              <w:left w:val="nil"/>
              <w:bottom w:val="single" w:sz="4" w:space="0" w:color="auto"/>
              <w:right w:val="single" w:sz="4" w:space="0" w:color="auto"/>
            </w:tcBorders>
            <w:shd w:val="clear" w:color="auto" w:fill="auto"/>
            <w:noWrap/>
            <w:hideMark/>
          </w:tcPr>
          <w:p w14:paraId="0661922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1.884.604</w:t>
            </w:r>
          </w:p>
        </w:tc>
        <w:tc>
          <w:tcPr>
            <w:tcW w:w="709" w:type="dxa"/>
            <w:tcBorders>
              <w:top w:val="nil"/>
              <w:left w:val="nil"/>
              <w:bottom w:val="single" w:sz="4" w:space="0" w:color="auto"/>
              <w:right w:val="single" w:sz="8" w:space="0" w:color="auto"/>
            </w:tcBorders>
            <w:shd w:val="clear" w:color="auto" w:fill="auto"/>
            <w:noWrap/>
            <w:hideMark/>
          </w:tcPr>
          <w:p w14:paraId="6831B69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209.400</w:t>
            </w:r>
          </w:p>
        </w:tc>
        <w:tc>
          <w:tcPr>
            <w:tcW w:w="851" w:type="dxa"/>
            <w:tcBorders>
              <w:top w:val="nil"/>
              <w:left w:val="single" w:sz="4" w:space="0" w:color="auto"/>
              <w:bottom w:val="single" w:sz="4" w:space="0" w:color="auto"/>
              <w:right w:val="single" w:sz="4" w:space="0" w:color="auto"/>
            </w:tcBorders>
            <w:shd w:val="clear" w:color="auto" w:fill="auto"/>
            <w:noWrap/>
            <w:hideMark/>
          </w:tcPr>
          <w:p w14:paraId="5635B9EF" w14:textId="5A80AE3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35.257</w:t>
            </w:r>
          </w:p>
        </w:tc>
      </w:tr>
      <w:tr w:rsidR="005C332D" w:rsidRPr="003F6E51" w14:paraId="25490A1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14801DB1"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138</w:t>
            </w:r>
          </w:p>
        </w:tc>
        <w:tc>
          <w:tcPr>
            <w:tcW w:w="2213" w:type="dxa"/>
            <w:tcBorders>
              <w:top w:val="nil"/>
              <w:left w:val="single" w:sz="8" w:space="0" w:color="auto"/>
              <w:bottom w:val="single" w:sz="4" w:space="0" w:color="auto"/>
              <w:right w:val="single" w:sz="8" w:space="0" w:color="auto"/>
            </w:tcBorders>
            <w:shd w:val="clear" w:color="auto" w:fill="auto"/>
            <w:noWrap/>
            <w:hideMark/>
          </w:tcPr>
          <w:p w14:paraId="11FFDC41"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NOVI SAD</w:t>
            </w:r>
          </w:p>
        </w:tc>
        <w:tc>
          <w:tcPr>
            <w:tcW w:w="850" w:type="dxa"/>
            <w:tcBorders>
              <w:top w:val="nil"/>
              <w:left w:val="nil"/>
              <w:bottom w:val="nil"/>
              <w:right w:val="nil"/>
            </w:tcBorders>
            <w:shd w:val="clear" w:color="000000" w:fill="FFFFFF"/>
            <w:noWrap/>
            <w:hideMark/>
          </w:tcPr>
          <w:p w14:paraId="1FB171F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362675</w:t>
            </w:r>
          </w:p>
        </w:tc>
        <w:tc>
          <w:tcPr>
            <w:tcW w:w="709" w:type="dxa"/>
            <w:tcBorders>
              <w:top w:val="nil"/>
              <w:left w:val="single" w:sz="4" w:space="0" w:color="auto"/>
              <w:bottom w:val="single" w:sz="4" w:space="0" w:color="auto"/>
              <w:right w:val="single" w:sz="8" w:space="0" w:color="auto"/>
            </w:tcBorders>
            <w:shd w:val="clear" w:color="000000" w:fill="FFFFFF"/>
            <w:noWrap/>
            <w:hideMark/>
          </w:tcPr>
          <w:p w14:paraId="756F08F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7,62</w:t>
            </w:r>
          </w:p>
        </w:tc>
        <w:tc>
          <w:tcPr>
            <w:tcW w:w="567" w:type="dxa"/>
            <w:tcBorders>
              <w:top w:val="nil"/>
              <w:left w:val="nil"/>
              <w:bottom w:val="single" w:sz="4" w:space="0" w:color="auto"/>
              <w:right w:val="single" w:sz="4" w:space="0" w:color="auto"/>
            </w:tcBorders>
            <w:shd w:val="clear" w:color="000000" w:fill="FFFFFF"/>
            <w:noWrap/>
            <w:hideMark/>
          </w:tcPr>
          <w:p w14:paraId="3FB7066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699</w:t>
            </w:r>
          </w:p>
        </w:tc>
        <w:tc>
          <w:tcPr>
            <w:tcW w:w="709" w:type="dxa"/>
            <w:tcBorders>
              <w:top w:val="nil"/>
              <w:left w:val="nil"/>
              <w:bottom w:val="single" w:sz="4" w:space="0" w:color="auto"/>
              <w:right w:val="single" w:sz="8" w:space="0" w:color="auto"/>
            </w:tcBorders>
            <w:shd w:val="clear" w:color="000000" w:fill="FFFFFF"/>
            <w:noWrap/>
            <w:hideMark/>
          </w:tcPr>
          <w:p w14:paraId="6B7E6D9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1,31</w:t>
            </w:r>
          </w:p>
        </w:tc>
        <w:tc>
          <w:tcPr>
            <w:tcW w:w="850" w:type="dxa"/>
            <w:tcBorders>
              <w:top w:val="nil"/>
              <w:left w:val="nil"/>
              <w:bottom w:val="single" w:sz="4" w:space="0" w:color="auto"/>
              <w:right w:val="single" w:sz="4" w:space="0" w:color="auto"/>
            </w:tcBorders>
            <w:shd w:val="clear" w:color="000000" w:fill="FFFFFF"/>
            <w:noWrap/>
            <w:hideMark/>
          </w:tcPr>
          <w:p w14:paraId="6C40476C"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7900F23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34583AA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37CF3EC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24A8733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316,59</w:t>
            </w:r>
          </w:p>
        </w:tc>
        <w:tc>
          <w:tcPr>
            <w:tcW w:w="851" w:type="dxa"/>
            <w:tcBorders>
              <w:top w:val="nil"/>
              <w:left w:val="nil"/>
              <w:bottom w:val="single" w:sz="4" w:space="0" w:color="auto"/>
              <w:right w:val="single" w:sz="4" w:space="0" w:color="auto"/>
            </w:tcBorders>
            <w:shd w:val="clear" w:color="auto" w:fill="auto"/>
            <w:noWrap/>
            <w:hideMark/>
          </w:tcPr>
          <w:p w14:paraId="6D5A03A3"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0,0233</w:t>
            </w:r>
          </w:p>
        </w:tc>
        <w:tc>
          <w:tcPr>
            <w:tcW w:w="1134" w:type="dxa"/>
            <w:tcBorders>
              <w:top w:val="nil"/>
              <w:left w:val="nil"/>
              <w:bottom w:val="single" w:sz="4" w:space="0" w:color="auto"/>
              <w:right w:val="single" w:sz="4" w:space="0" w:color="auto"/>
            </w:tcBorders>
            <w:shd w:val="clear" w:color="000000" w:fill="FFFF00"/>
            <w:noWrap/>
            <w:hideMark/>
          </w:tcPr>
          <w:p w14:paraId="314A768E"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6.315.448</w:t>
            </w:r>
          </w:p>
        </w:tc>
        <w:tc>
          <w:tcPr>
            <w:tcW w:w="992" w:type="dxa"/>
            <w:tcBorders>
              <w:top w:val="nil"/>
              <w:left w:val="nil"/>
              <w:bottom w:val="single" w:sz="4" w:space="0" w:color="auto"/>
              <w:right w:val="single" w:sz="4" w:space="0" w:color="auto"/>
            </w:tcBorders>
            <w:shd w:val="clear" w:color="auto" w:fill="auto"/>
            <w:noWrap/>
            <w:hideMark/>
          </w:tcPr>
          <w:p w14:paraId="10B3067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43.401.071</w:t>
            </w:r>
          </w:p>
        </w:tc>
        <w:tc>
          <w:tcPr>
            <w:tcW w:w="567" w:type="dxa"/>
            <w:tcBorders>
              <w:top w:val="nil"/>
              <w:left w:val="nil"/>
              <w:bottom w:val="single" w:sz="4" w:space="0" w:color="auto"/>
              <w:right w:val="single" w:sz="4" w:space="0" w:color="auto"/>
            </w:tcBorders>
            <w:shd w:val="clear" w:color="auto" w:fill="auto"/>
            <w:noWrap/>
            <w:hideMark/>
          </w:tcPr>
          <w:p w14:paraId="3F0BFE1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14,55</w:t>
            </w:r>
          </w:p>
        </w:tc>
        <w:tc>
          <w:tcPr>
            <w:tcW w:w="850" w:type="dxa"/>
            <w:tcBorders>
              <w:top w:val="nil"/>
              <w:left w:val="nil"/>
              <w:bottom w:val="single" w:sz="4" w:space="0" w:color="auto"/>
              <w:right w:val="single" w:sz="4" w:space="0" w:color="auto"/>
            </w:tcBorders>
            <w:shd w:val="clear" w:color="auto" w:fill="auto"/>
            <w:noWrap/>
            <w:hideMark/>
          </w:tcPr>
          <w:p w14:paraId="4A20742E"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5.683.903</w:t>
            </w:r>
          </w:p>
        </w:tc>
        <w:tc>
          <w:tcPr>
            <w:tcW w:w="709" w:type="dxa"/>
            <w:tcBorders>
              <w:top w:val="nil"/>
              <w:left w:val="nil"/>
              <w:bottom w:val="single" w:sz="4" w:space="0" w:color="auto"/>
              <w:right w:val="single" w:sz="8" w:space="0" w:color="auto"/>
            </w:tcBorders>
            <w:shd w:val="clear" w:color="auto" w:fill="auto"/>
            <w:noWrap/>
            <w:hideMark/>
          </w:tcPr>
          <w:p w14:paraId="5A15D3C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631.545</w:t>
            </w:r>
          </w:p>
        </w:tc>
        <w:tc>
          <w:tcPr>
            <w:tcW w:w="851" w:type="dxa"/>
            <w:tcBorders>
              <w:top w:val="nil"/>
              <w:left w:val="single" w:sz="4" w:space="0" w:color="auto"/>
              <w:bottom w:val="single" w:sz="4" w:space="0" w:color="auto"/>
              <w:right w:val="single" w:sz="4" w:space="0" w:color="auto"/>
            </w:tcBorders>
            <w:shd w:val="clear" w:color="auto" w:fill="auto"/>
            <w:noWrap/>
            <w:hideMark/>
          </w:tcPr>
          <w:p w14:paraId="126AC660" w14:textId="15A749AC"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15.672</w:t>
            </w:r>
          </w:p>
        </w:tc>
      </w:tr>
      <w:tr w:rsidR="005C332D" w:rsidRPr="003F6E51" w14:paraId="79EE691A"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E16186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139</w:t>
            </w:r>
          </w:p>
        </w:tc>
        <w:tc>
          <w:tcPr>
            <w:tcW w:w="2213" w:type="dxa"/>
            <w:tcBorders>
              <w:top w:val="nil"/>
              <w:left w:val="single" w:sz="8" w:space="0" w:color="auto"/>
              <w:bottom w:val="single" w:sz="4" w:space="0" w:color="auto"/>
              <w:right w:val="single" w:sz="8" w:space="0" w:color="auto"/>
            </w:tcBorders>
            <w:shd w:val="clear" w:color="auto" w:fill="auto"/>
            <w:noWrap/>
            <w:hideMark/>
          </w:tcPr>
          <w:p w14:paraId="30B3431F"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PANČEVO</w:t>
            </w:r>
          </w:p>
        </w:tc>
        <w:tc>
          <w:tcPr>
            <w:tcW w:w="850" w:type="dxa"/>
            <w:tcBorders>
              <w:top w:val="single" w:sz="4" w:space="0" w:color="auto"/>
              <w:left w:val="nil"/>
              <w:bottom w:val="single" w:sz="4" w:space="0" w:color="auto"/>
              <w:right w:val="single" w:sz="4" w:space="0" w:color="auto"/>
            </w:tcBorders>
            <w:shd w:val="clear" w:color="000000" w:fill="FFFFFF"/>
            <w:noWrap/>
            <w:hideMark/>
          </w:tcPr>
          <w:p w14:paraId="6822C0F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118971</w:t>
            </w:r>
          </w:p>
        </w:tc>
        <w:tc>
          <w:tcPr>
            <w:tcW w:w="709" w:type="dxa"/>
            <w:tcBorders>
              <w:top w:val="nil"/>
              <w:left w:val="nil"/>
              <w:bottom w:val="single" w:sz="4" w:space="0" w:color="auto"/>
              <w:right w:val="single" w:sz="8" w:space="0" w:color="auto"/>
            </w:tcBorders>
            <w:shd w:val="clear" w:color="000000" w:fill="FFFFFF"/>
            <w:noWrap/>
            <w:hideMark/>
          </w:tcPr>
          <w:p w14:paraId="1851D99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2,50</w:t>
            </w:r>
          </w:p>
        </w:tc>
        <w:tc>
          <w:tcPr>
            <w:tcW w:w="567" w:type="dxa"/>
            <w:tcBorders>
              <w:top w:val="nil"/>
              <w:left w:val="nil"/>
              <w:bottom w:val="single" w:sz="4" w:space="0" w:color="auto"/>
              <w:right w:val="single" w:sz="4" w:space="0" w:color="auto"/>
            </w:tcBorders>
            <w:shd w:val="clear" w:color="000000" w:fill="FFFFFF"/>
            <w:noWrap/>
            <w:hideMark/>
          </w:tcPr>
          <w:p w14:paraId="17153420"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756</w:t>
            </w:r>
          </w:p>
        </w:tc>
        <w:tc>
          <w:tcPr>
            <w:tcW w:w="709" w:type="dxa"/>
            <w:tcBorders>
              <w:top w:val="nil"/>
              <w:left w:val="nil"/>
              <w:bottom w:val="single" w:sz="4" w:space="0" w:color="auto"/>
              <w:right w:val="single" w:sz="8" w:space="0" w:color="auto"/>
            </w:tcBorders>
            <w:shd w:val="clear" w:color="000000" w:fill="FFFFFF"/>
            <w:noWrap/>
            <w:hideMark/>
          </w:tcPr>
          <w:p w14:paraId="237D60E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1,41</w:t>
            </w:r>
          </w:p>
        </w:tc>
        <w:tc>
          <w:tcPr>
            <w:tcW w:w="850" w:type="dxa"/>
            <w:tcBorders>
              <w:top w:val="nil"/>
              <w:left w:val="nil"/>
              <w:bottom w:val="single" w:sz="4" w:space="0" w:color="auto"/>
              <w:right w:val="single" w:sz="4" w:space="0" w:color="auto"/>
            </w:tcBorders>
            <w:shd w:val="clear" w:color="000000" w:fill="FFFFFF"/>
            <w:noWrap/>
            <w:hideMark/>
          </w:tcPr>
          <w:p w14:paraId="1BFC51DF"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39DD8F7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03D565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2C99473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0F4E37C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139,98</w:t>
            </w:r>
          </w:p>
        </w:tc>
        <w:tc>
          <w:tcPr>
            <w:tcW w:w="851" w:type="dxa"/>
            <w:tcBorders>
              <w:top w:val="nil"/>
              <w:left w:val="nil"/>
              <w:bottom w:val="single" w:sz="4" w:space="0" w:color="auto"/>
              <w:right w:val="single" w:sz="4" w:space="0" w:color="auto"/>
            </w:tcBorders>
            <w:shd w:val="clear" w:color="auto" w:fill="auto"/>
            <w:noWrap/>
            <w:hideMark/>
          </w:tcPr>
          <w:p w14:paraId="46BF114E"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0,0103</w:t>
            </w:r>
          </w:p>
        </w:tc>
        <w:tc>
          <w:tcPr>
            <w:tcW w:w="1134" w:type="dxa"/>
            <w:tcBorders>
              <w:top w:val="nil"/>
              <w:left w:val="nil"/>
              <w:bottom w:val="single" w:sz="4" w:space="0" w:color="auto"/>
              <w:right w:val="single" w:sz="4" w:space="0" w:color="auto"/>
            </w:tcBorders>
            <w:shd w:val="clear" w:color="000000" w:fill="C6E0B4"/>
            <w:noWrap/>
            <w:hideMark/>
          </w:tcPr>
          <w:p w14:paraId="2B07BDC5"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2.792.422</w:t>
            </w:r>
          </w:p>
        </w:tc>
        <w:tc>
          <w:tcPr>
            <w:tcW w:w="992" w:type="dxa"/>
            <w:tcBorders>
              <w:top w:val="nil"/>
              <w:left w:val="nil"/>
              <w:bottom w:val="single" w:sz="4" w:space="0" w:color="auto"/>
              <w:right w:val="single" w:sz="4" w:space="0" w:color="auto"/>
            </w:tcBorders>
            <w:shd w:val="clear" w:color="auto" w:fill="auto"/>
            <w:noWrap/>
            <w:hideMark/>
          </w:tcPr>
          <w:p w14:paraId="6307FFA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5.098.408</w:t>
            </w:r>
          </w:p>
        </w:tc>
        <w:tc>
          <w:tcPr>
            <w:tcW w:w="567" w:type="dxa"/>
            <w:tcBorders>
              <w:top w:val="nil"/>
              <w:left w:val="nil"/>
              <w:bottom w:val="single" w:sz="4" w:space="0" w:color="auto"/>
              <w:right w:val="single" w:sz="4" w:space="0" w:color="auto"/>
            </w:tcBorders>
            <w:shd w:val="clear" w:color="auto" w:fill="auto"/>
            <w:noWrap/>
            <w:hideMark/>
          </w:tcPr>
          <w:p w14:paraId="44E6FE9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54,77</w:t>
            </w:r>
          </w:p>
        </w:tc>
        <w:tc>
          <w:tcPr>
            <w:tcW w:w="850" w:type="dxa"/>
            <w:tcBorders>
              <w:top w:val="nil"/>
              <w:left w:val="nil"/>
              <w:bottom w:val="single" w:sz="4" w:space="0" w:color="auto"/>
              <w:right w:val="single" w:sz="4" w:space="0" w:color="auto"/>
            </w:tcBorders>
            <w:shd w:val="clear" w:color="auto" w:fill="auto"/>
            <w:noWrap/>
            <w:hideMark/>
          </w:tcPr>
          <w:p w14:paraId="6CC1895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2.513.180</w:t>
            </w:r>
          </w:p>
        </w:tc>
        <w:tc>
          <w:tcPr>
            <w:tcW w:w="709" w:type="dxa"/>
            <w:tcBorders>
              <w:top w:val="nil"/>
              <w:left w:val="nil"/>
              <w:bottom w:val="single" w:sz="4" w:space="0" w:color="auto"/>
              <w:right w:val="single" w:sz="8" w:space="0" w:color="auto"/>
            </w:tcBorders>
            <w:shd w:val="clear" w:color="auto" w:fill="auto"/>
            <w:noWrap/>
            <w:hideMark/>
          </w:tcPr>
          <w:p w14:paraId="57BDFDE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279.242</w:t>
            </w:r>
          </w:p>
        </w:tc>
        <w:tc>
          <w:tcPr>
            <w:tcW w:w="851" w:type="dxa"/>
            <w:tcBorders>
              <w:top w:val="nil"/>
              <w:left w:val="single" w:sz="4" w:space="0" w:color="auto"/>
              <w:bottom w:val="single" w:sz="4" w:space="0" w:color="auto"/>
              <w:right w:val="single" w:sz="4" w:space="0" w:color="auto"/>
            </w:tcBorders>
            <w:shd w:val="clear" w:color="auto" w:fill="auto"/>
            <w:noWrap/>
            <w:hideMark/>
          </w:tcPr>
          <w:p w14:paraId="2EC29582" w14:textId="4DC203FB"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21.124</w:t>
            </w:r>
          </w:p>
        </w:tc>
      </w:tr>
      <w:tr w:rsidR="005C332D" w:rsidRPr="003F6E51" w14:paraId="649497DF"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4A42F238"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140</w:t>
            </w:r>
          </w:p>
        </w:tc>
        <w:tc>
          <w:tcPr>
            <w:tcW w:w="2213" w:type="dxa"/>
            <w:tcBorders>
              <w:top w:val="nil"/>
              <w:left w:val="single" w:sz="8" w:space="0" w:color="auto"/>
              <w:bottom w:val="single" w:sz="4" w:space="0" w:color="auto"/>
              <w:right w:val="single" w:sz="8" w:space="0" w:color="auto"/>
            </w:tcBorders>
            <w:shd w:val="clear" w:color="auto" w:fill="auto"/>
            <w:noWrap/>
            <w:hideMark/>
          </w:tcPr>
          <w:p w14:paraId="05533E37"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SOMBOR</w:t>
            </w:r>
          </w:p>
        </w:tc>
        <w:tc>
          <w:tcPr>
            <w:tcW w:w="850" w:type="dxa"/>
            <w:tcBorders>
              <w:top w:val="nil"/>
              <w:left w:val="nil"/>
              <w:bottom w:val="single" w:sz="4" w:space="0" w:color="auto"/>
              <w:right w:val="single" w:sz="4" w:space="0" w:color="auto"/>
            </w:tcBorders>
            <w:shd w:val="clear" w:color="000000" w:fill="FFFFFF"/>
            <w:noWrap/>
            <w:hideMark/>
          </w:tcPr>
          <w:p w14:paraId="65867EB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77463</w:t>
            </w:r>
          </w:p>
        </w:tc>
        <w:tc>
          <w:tcPr>
            <w:tcW w:w="709" w:type="dxa"/>
            <w:tcBorders>
              <w:top w:val="nil"/>
              <w:left w:val="nil"/>
              <w:bottom w:val="single" w:sz="4" w:space="0" w:color="auto"/>
              <w:right w:val="single" w:sz="8" w:space="0" w:color="auto"/>
            </w:tcBorders>
            <w:shd w:val="clear" w:color="000000" w:fill="FFFFFF"/>
            <w:noWrap/>
            <w:hideMark/>
          </w:tcPr>
          <w:p w14:paraId="73B868A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1,63</w:t>
            </w:r>
          </w:p>
        </w:tc>
        <w:tc>
          <w:tcPr>
            <w:tcW w:w="567" w:type="dxa"/>
            <w:tcBorders>
              <w:top w:val="nil"/>
              <w:left w:val="nil"/>
              <w:bottom w:val="single" w:sz="4" w:space="0" w:color="auto"/>
              <w:right w:val="single" w:sz="4" w:space="0" w:color="auto"/>
            </w:tcBorders>
            <w:shd w:val="clear" w:color="000000" w:fill="FFFFFF"/>
            <w:noWrap/>
            <w:hideMark/>
          </w:tcPr>
          <w:p w14:paraId="0492D82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1216</w:t>
            </w:r>
          </w:p>
        </w:tc>
        <w:tc>
          <w:tcPr>
            <w:tcW w:w="709" w:type="dxa"/>
            <w:tcBorders>
              <w:top w:val="nil"/>
              <w:left w:val="nil"/>
              <w:bottom w:val="single" w:sz="4" w:space="0" w:color="auto"/>
              <w:right w:val="single" w:sz="8" w:space="0" w:color="auto"/>
            </w:tcBorders>
            <w:shd w:val="clear" w:color="000000" w:fill="FFFFFF"/>
            <w:noWrap/>
            <w:hideMark/>
          </w:tcPr>
          <w:p w14:paraId="107A5C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2,27</w:t>
            </w:r>
          </w:p>
        </w:tc>
        <w:tc>
          <w:tcPr>
            <w:tcW w:w="850" w:type="dxa"/>
            <w:tcBorders>
              <w:top w:val="nil"/>
              <w:left w:val="nil"/>
              <w:bottom w:val="single" w:sz="4" w:space="0" w:color="auto"/>
              <w:right w:val="single" w:sz="4" w:space="0" w:color="auto"/>
            </w:tcBorders>
            <w:shd w:val="clear" w:color="000000" w:fill="FFFFFF"/>
            <w:noWrap/>
            <w:hideMark/>
          </w:tcPr>
          <w:p w14:paraId="413D8303"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6FD7D23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5A991A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15459A8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2A46AF6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142,56</w:t>
            </w:r>
          </w:p>
        </w:tc>
        <w:tc>
          <w:tcPr>
            <w:tcW w:w="851" w:type="dxa"/>
            <w:tcBorders>
              <w:top w:val="nil"/>
              <w:left w:val="nil"/>
              <w:bottom w:val="single" w:sz="4" w:space="0" w:color="auto"/>
              <w:right w:val="single" w:sz="4" w:space="0" w:color="auto"/>
            </w:tcBorders>
            <w:shd w:val="clear" w:color="auto" w:fill="auto"/>
            <w:noWrap/>
            <w:hideMark/>
          </w:tcPr>
          <w:p w14:paraId="74C39AE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0,0105</w:t>
            </w:r>
          </w:p>
        </w:tc>
        <w:tc>
          <w:tcPr>
            <w:tcW w:w="1134" w:type="dxa"/>
            <w:tcBorders>
              <w:top w:val="nil"/>
              <w:left w:val="nil"/>
              <w:bottom w:val="single" w:sz="4" w:space="0" w:color="auto"/>
              <w:right w:val="single" w:sz="4" w:space="0" w:color="auto"/>
            </w:tcBorders>
            <w:shd w:val="clear" w:color="000000" w:fill="C6E0B4"/>
            <w:noWrap/>
            <w:hideMark/>
          </w:tcPr>
          <w:p w14:paraId="0F1B126D"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2.843.938</w:t>
            </w:r>
          </w:p>
        </w:tc>
        <w:tc>
          <w:tcPr>
            <w:tcW w:w="992" w:type="dxa"/>
            <w:tcBorders>
              <w:top w:val="nil"/>
              <w:left w:val="nil"/>
              <w:bottom w:val="single" w:sz="4" w:space="0" w:color="auto"/>
              <w:right w:val="single" w:sz="4" w:space="0" w:color="auto"/>
            </w:tcBorders>
            <w:shd w:val="clear" w:color="auto" w:fill="auto"/>
            <w:noWrap/>
            <w:hideMark/>
          </w:tcPr>
          <w:p w14:paraId="1C9E860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3.730.579</w:t>
            </w:r>
          </w:p>
        </w:tc>
        <w:tc>
          <w:tcPr>
            <w:tcW w:w="567" w:type="dxa"/>
            <w:tcBorders>
              <w:top w:val="nil"/>
              <w:left w:val="nil"/>
              <w:bottom w:val="single" w:sz="4" w:space="0" w:color="auto"/>
              <w:right w:val="single" w:sz="4" w:space="0" w:color="auto"/>
            </w:tcBorders>
            <w:shd w:val="clear" w:color="auto" w:fill="auto"/>
            <w:noWrap/>
            <w:hideMark/>
          </w:tcPr>
          <w:p w14:paraId="0888E815"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76,23</w:t>
            </w:r>
          </w:p>
        </w:tc>
        <w:tc>
          <w:tcPr>
            <w:tcW w:w="850" w:type="dxa"/>
            <w:tcBorders>
              <w:top w:val="nil"/>
              <w:left w:val="nil"/>
              <w:bottom w:val="single" w:sz="4" w:space="0" w:color="auto"/>
              <w:right w:val="single" w:sz="4" w:space="0" w:color="auto"/>
            </w:tcBorders>
            <w:shd w:val="clear" w:color="auto" w:fill="auto"/>
            <w:noWrap/>
            <w:hideMark/>
          </w:tcPr>
          <w:p w14:paraId="073C14D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2.559.544</w:t>
            </w:r>
          </w:p>
        </w:tc>
        <w:tc>
          <w:tcPr>
            <w:tcW w:w="709" w:type="dxa"/>
            <w:tcBorders>
              <w:top w:val="nil"/>
              <w:left w:val="nil"/>
              <w:bottom w:val="single" w:sz="4" w:space="0" w:color="auto"/>
              <w:right w:val="single" w:sz="8" w:space="0" w:color="auto"/>
            </w:tcBorders>
            <w:shd w:val="clear" w:color="auto" w:fill="auto"/>
            <w:noWrap/>
            <w:hideMark/>
          </w:tcPr>
          <w:p w14:paraId="26F76FB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284.394</w:t>
            </w:r>
          </w:p>
        </w:tc>
        <w:tc>
          <w:tcPr>
            <w:tcW w:w="851" w:type="dxa"/>
            <w:tcBorders>
              <w:top w:val="nil"/>
              <w:left w:val="single" w:sz="4" w:space="0" w:color="auto"/>
              <w:bottom w:val="single" w:sz="4" w:space="0" w:color="auto"/>
              <w:right w:val="single" w:sz="4" w:space="0" w:color="auto"/>
            </w:tcBorders>
            <w:shd w:val="clear" w:color="auto" w:fill="auto"/>
            <w:noWrap/>
            <w:hideMark/>
          </w:tcPr>
          <w:p w14:paraId="7D84A400" w14:textId="271F8C60"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33.042</w:t>
            </w:r>
          </w:p>
        </w:tc>
      </w:tr>
      <w:tr w:rsidR="005C332D" w:rsidRPr="003F6E51" w14:paraId="76941BEE"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33933A3A"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141</w:t>
            </w:r>
          </w:p>
        </w:tc>
        <w:tc>
          <w:tcPr>
            <w:tcW w:w="2213" w:type="dxa"/>
            <w:tcBorders>
              <w:top w:val="nil"/>
              <w:left w:val="single" w:sz="8" w:space="0" w:color="auto"/>
              <w:bottom w:val="single" w:sz="4" w:space="0" w:color="auto"/>
              <w:right w:val="single" w:sz="8" w:space="0" w:color="auto"/>
            </w:tcBorders>
            <w:shd w:val="clear" w:color="auto" w:fill="auto"/>
            <w:noWrap/>
            <w:hideMark/>
          </w:tcPr>
          <w:p w14:paraId="322D9258"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SREMSKA MITROVICA</w:t>
            </w:r>
          </w:p>
        </w:tc>
        <w:tc>
          <w:tcPr>
            <w:tcW w:w="850" w:type="dxa"/>
            <w:tcBorders>
              <w:top w:val="nil"/>
              <w:left w:val="nil"/>
              <w:bottom w:val="single" w:sz="4" w:space="0" w:color="auto"/>
              <w:right w:val="single" w:sz="4" w:space="0" w:color="auto"/>
            </w:tcBorders>
            <w:shd w:val="clear" w:color="000000" w:fill="FFFFFF"/>
            <w:noWrap/>
            <w:hideMark/>
          </w:tcPr>
          <w:p w14:paraId="19541A8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74609</w:t>
            </w:r>
          </w:p>
        </w:tc>
        <w:tc>
          <w:tcPr>
            <w:tcW w:w="709" w:type="dxa"/>
            <w:tcBorders>
              <w:top w:val="nil"/>
              <w:left w:val="nil"/>
              <w:bottom w:val="single" w:sz="4" w:space="0" w:color="auto"/>
              <w:right w:val="single" w:sz="8" w:space="0" w:color="auto"/>
            </w:tcBorders>
            <w:shd w:val="clear" w:color="000000" w:fill="FFFFFF"/>
            <w:noWrap/>
            <w:hideMark/>
          </w:tcPr>
          <w:p w14:paraId="4A8B723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1,57</w:t>
            </w:r>
          </w:p>
        </w:tc>
        <w:tc>
          <w:tcPr>
            <w:tcW w:w="567" w:type="dxa"/>
            <w:tcBorders>
              <w:top w:val="nil"/>
              <w:left w:val="nil"/>
              <w:bottom w:val="single" w:sz="4" w:space="0" w:color="auto"/>
              <w:right w:val="single" w:sz="4" w:space="0" w:color="auto"/>
            </w:tcBorders>
            <w:shd w:val="clear" w:color="000000" w:fill="FFFFFF"/>
            <w:noWrap/>
            <w:hideMark/>
          </w:tcPr>
          <w:p w14:paraId="62AA27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762</w:t>
            </w:r>
          </w:p>
        </w:tc>
        <w:tc>
          <w:tcPr>
            <w:tcW w:w="709" w:type="dxa"/>
            <w:tcBorders>
              <w:top w:val="nil"/>
              <w:left w:val="nil"/>
              <w:bottom w:val="single" w:sz="4" w:space="0" w:color="auto"/>
              <w:right w:val="single" w:sz="8" w:space="0" w:color="auto"/>
            </w:tcBorders>
            <w:shd w:val="clear" w:color="000000" w:fill="FFFFFF"/>
            <w:noWrap/>
            <w:hideMark/>
          </w:tcPr>
          <w:p w14:paraId="34BC88E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1,42</w:t>
            </w:r>
          </w:p>
        </w:tc>
        <w:tc>
          <w:tcPr>
            <w:tcW w:w="850" w:type="dxa"/>
            <w:tcBorders>
              <w:top w:val="nil"/>
              <w:left w:val="nil"/>
              <w:bottom w:val="single" w:sz="4" w:space="0" w:color="auto"/>
              <w:right w:val="single" w:sz="4" w:space="0" w:color="auto"/>
            </w:tcBorders>
            <w:shd w:val="clear" w:color="000000" w:fill="FFFFFF"/>
            <w:noWrap/>
            <w:hideMark/>
          </w:tcPr>
          <w:p w14:paraId="3FDC7AE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0863D53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78F7B55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2,6</w:t>
            </w:r>
          </w:p>
        </w:tc>
        <w:tc>
          <w:tcPr>
            <w:tcW w:w="708" w:type="dxa"/>
            <w:tcBorders>
              <w:top w:val="nil"/>
              <w:left w:val="nil"/>
              <w:bottom w:val="single" w:sz="4" w:space="0" w:color="auto"/>
              <w:right w:val="nil"/>
            </w:tcBorders>
            <w:shd w:val="clear" w:color="auto" w:fill="auto"/>
            <w:noWrap/>
            <w:hideMark/>
          </w:tcPr>
          <w:p w14:paraId="51F5797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0,90</w:t>
            </w:r>
          </w:p>
        </w:tc>
        <w:tc>
          <w:tcPr>
            <w:tcW w:w="709" w:type="dxa"/>
            <w:tcBorders>
              <w:top w:val="single" w:sz="4" w:space="0" w:color="auto"/>
              <w:left w:val="single" w:sz="8" w:space="0" w:color="auto"/>
              <w:bottom w:val="nil"/>
              <w:right w:val="single" w:sz="4" w:space="0" w:color="auto"/>
            </w:tcBorders>
            <w:shd w:val="clear" w:color="auto" w:fill="auto"/>
            <w:noWrap/>
            <w:hideMark/>
          </w:tcPr>
          <w:p w14:paraId="5141AB6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118,91</w:t>
            </w:r>
          </w:p>
        </w:tc>
        <w:tc>
          <w:tcPr>
            <w:tcW w:w="851" w:type="dxa"/>
            <w:tcBorders>
              <w:top w:val="nil"/>
              <w:left w:val="nil"/>
              <w:bottom w:val="single" w:sz="4" w:space="0" w:color="auto"/>
              <w:right w:val="single" w:sz="4" w:space="0" w:color="auto"/>
            </w:tcBorders>
            <w:shd w:val="clear" w:color="auto" w:fill="auto"/>
            <w:noWrap/>
            <w:hideMark/>
          </w:tcPr>
          <w:p w14:paraId="5F59CB89"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0,0088</w:t>
            </w:r>
          </w:p>
        </w:tc>
        <w:tc>
          <w:tcPr>
            <w:tcW w:w="1134" w:type="dxa"/>
            <w:tcBorders>
              <w:top w:val="nil"/>
              <w:left w:val="nil"/>
              <w:bottom w:val="single" w:sz="4" w:space="0" w:color="auto"/>
              <w:right w:val="single" w:sz="4" w:space="0" w:color="auto"/>
            </w:tcBorders>
            <w:shd w:val="clear" w:color="000000" w:fill="C6E0B4"/>
            <w:noWrap/>
            <w:hideMark/>
          </w:tcPr>
          <w:p w14:paraId="12E2324B"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2.372.043</w:t>
            </w:r>
          </w:p>
        </w:tc>
        <w:tc>
          <w:tcPr>
            <w:tcW w:w="992" w:type="dxa"/>
            <w:tcBorders>
              <w:top w:val="nil"/>
              <w:left w:val="nil"/>
              <w:bottom w:val="single" w:sz="4" w:space="0" w:color="auto"/>
              <w:right w:val="single" w:sz="4" w:space="0" w:color="auto"/>
            </w:tcBorders>
            <w:shd w:val="clear" w:color="auto" w:fill="auto"/>
            <w:noWrap/>
            <w:hideMark/>
          </w:tcPr>
          <w:p w14:paraId="0AB033D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3.416.207</w:t>
            </w:r>
          </w:p>
        </w:tc>
        <w:tc>
          <w:tcPr>
            <w:tcW w:w="567" w:type="dxa"/>
            <w:tcBorders>
              <w:top w:val="nil"/>
              <w:left w:val="nil"/>
              <w:bottom w:val="single" w:sz="4" w:space="0" w:color="auto"/>
              <w:right w:val="single" w:sz="4" w:space="0" w:color="auto"/>
            </w:tcBorders>
            <w:shd w:val="clear" w:color="auto" w:fill="auto"/>
            <w:noWrap/>
            <w:hideMark/>
          </w:tcPr>
          <w:p w14:paraId="24C0F18F"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69,43</w:t>
            </w:r>
          </w:p>
        </w:tc>
        <w:tc>
          <w:tcPr>
            <w:tcW w:w="850" w:type="dxa"/>
            <w:tcBorders>
              <w:top w:val="nil"/>
              <w:left w:val="nil"/>
              <w:bottom w:val="single" w:sz="4" w:space="0" w:color="auto"/>
              <w:right w:val="single" w:sz="4" w:space="0" w:color="auto"/>
            </w:tcBorders>
            <w:shd w:val="clear" w:color="auto" w:fill="auto"/>
            <w:noWrap/>
            <w:hideMark/>
          </w:tcPr>
          <w:p w14:paraId="18FFAE8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2.134.839</w:t>
            </w:r>
          </w:p>
        </w:tc>
        <w:tc>
          <w:tcPr>
            <w:tcW w:w="709" w:type="dxa"/>
            <w:tcBorders>
              <w:top w:val="nil"/>
              <w:left w:val="nil"/>
              <w:bottom w:val="single" w:sz="4" w:space="0" w:color="auto"/>
              <w:right w:val="single" w:sz="8" w:space="0" w:color="auto"/>
            </w:tcBorders>
            <w:shd w:val="clear" w:color="auto" w:fill="auto"/>
            <w:noWrap/>
            <w:hideMark/>
          </w:tcPr>
          <w:p w14:paraId="23D63D2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237.204</w:t>
            </w:r>
          </w:p>
        </w:tc>
        <w:tc>
          <w:tcPr>
            <w:tcW w:w="851" w:type="dxa"/>
            <w:tcBorders>
              <w:top w:val="nil"/>
              <w:left w:val="single" w:sz="4" w:space="0" w:color="auto"/>
              <w:bottom w:val="single" w:sz="4" w:space="0" w:color="auto"/>
              <w:right w:val="single" w:sz="4" w:space="0" w:color="auto"/>
            </w:tcBorders>
            <w:shd w:val="clear" w:color="auto" w:fill="auto"/>
            <w:noWrap/>
            <w:hideMark/>
          </w:tcPr>
          <w:p w14:paraId="6CF46358" w14:textId="005910B3"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28.614</w:t>
            </w:r>
          </w:p>
        </w:tc>
      </w:tr>
      <w:tr w:rsidR="005C332D" w:rsidRPr="003F6E51" w14:paraId="1BFACC2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2B006822"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142</w:t>
            </w:r>
          </w:p>
        </w:tc>
        <w:tc>
          <w:tcPr>
            <w:tcW w:w="2213" w:type="dxa"/>
            <w:tcBorders>
              <w:top w:val="nil"/>
              <w:left w:val="single" w:sz="8" w:space="0" w:color="auto"/>
              <w:bottom w:val="single" w:sz="4" w:space="0" w:color="auto"/>
              <w:right w:val="single" w:sz="8" w:space="0" w:color="auto"/>
            </w:tcBorders>
            <w:shd w:val="clear" w:color="auto" w:fill="auto"/>
            <w:noWrap/>
            <w:hideMark/>
          </w:tcPr>
          <w:p w14:paraId="49A79EC4"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SUBOTICA</w:t>
            </w:r>
          </w:p>
        </w:tc>
        <w:tc>
          <w:tcPr>
            <w:tcW w:w="850" w:type="dxa"/>
            <w:tcBorders>
              <w:top w:val="nil"/>
              <w:left w:val="nil"/>
              <w:bottom w:val="single" w:sz="4" w:space="0" w:color="auto"/>
              <w:right w:val="single" w:sz="4" w:space="0" w:color="auto"/>
            </w:tcBorders>
            <w:shd w:val="clear" w:color="000000" w:fill="FFFFFF"/>
            <w:noWrap/>
            <w:hideMark/>
          </w:tcPr>
          <w:p w14:paraId="3E82AAC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135678</w:t>
            </w:r>
          </w:p>
        </w:tc>
        <w:tc>
          <w:tcPr>
            <w:tcW w:w="709" w:type="dxa"/>
            <w:tcBorders>
              <w:top w:val="nil"/>
              <w:left w:val="nil"/>
              <w:bottom w:val="single" w:sz="4" w:space="0" w:color="auto"/>
              <w:right w:val="single" w:sz="8" w:space="0" w:color="auto"/>
            </w:tcBorders>
            <w:shd w:val="clear" w:color="000000" w:fill="FFFFFF"/>
            <w:noWrap/>
            <w:hideMark/>
          </w:tcPr>
          <w:p w14:paraId="35DF865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2,85</w:t>
            </w:r>
          </w:p>
        </w:tc>
        <w:tc>
          <w:tcPr>
            <w:tcW w:w="567" w:type="dxa"/>
            <w:tcBorders>
              <w:top w:val="nil"/>
              <w:left w:val="nil"/>
              <w:bottom w:val="single" w:sz="4" w:space="0" w:color="auto"/>
              <w:right w:val="single" w:sz="4" w:space="0" w:color="auto"/>
            </w:tcBorders>
            <w:shd w:val="clear" w:color="000000" w:fill="FFFFFF"/>
            <w:noWrap/>
            <w:hideMark/>
          </w:tcPr>
          <w:p w14:paraId="5B327C58"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1007</w:t>
            </w:r>
          </w:p>
        </w:tc>
        <w:tc>
          <w:tcPr>
            <w:tcW w:w="709" w:type="dxa"/>
            <w:tcBorders>
              <w:top w:val="nil"/>
              <w:left w:val="nil"/>
              <w:bottom w:val="single" w:sz="4" w:space="0" w:color="auto"/>
              <w:right w:val="single" w:sz="8" w:space="0" w:color="auto"/>
            </w:tcBorders>
            <w:shd w:val="clear" w:color="000000" w:fill="FFFFFF"/>
            <w:noWrap/>
            <w:hideMark/>
          </w:tcPr>
          <w:p w14:paraId="3AD91EA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1,88</w:t>
            </w:r>
          </w:p>
        </w:tc>
        <w:tc>
          <w:tcPr>
            <w:tcW w:w="850" w:type="dxa"/>
            <w:tcBorders>
              <w:top w:val="nil"/>
              <w:left w:val="nil"/>
              <w:bottom w:val="single" w:sz="4" w:space="0" w:color="auto"/>
              <w:right w:val="single" w:sz="4" w:space="0" w:color="auto"/>
            </w:tcBorders>
            <w:shd w:val="clear" w:color="000000" w:fill="FFFFFF"/>
            <w:noWrap/>
            <w:hideMark/>
          </w:tcPr>
          <w:p w14:paraId="3679A89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74464E7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483E589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2,8</w:t>
            </w:r>
          </w:p>
        </w:tc>
        <w:tc>
          <w:tcPr>
            <w:tcW w:w="708" w:type="dxa"/>
            <w:tcBorders>
              <w:top w:val="nil"/>
              <w:left w:val="nil"/>
              <w:bottom w:val="single" w:sz="4" w:space="0" w:color="auto"/>
              <w:right w:val="nil"/>
            </w:tcBorders>
            <w:shd w:val="clear" w:color="auto" w:fill="auto"/>
            <w:noWrap/>
            <w:hideMark/>
          </w:tcPr>
          <w:p w14:paraId="1AD8AB3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0,97</w:t>
            </w:r>
          </w:p>
        </w:tc>
        <w:tc>
          <w:tcPr>
            <w:tcW w:w="709" w:type="dxa"/>
            <w:tcBorders>
              <w:top w:val="single" w:sz="4" w:space="0" w:color="auto"/>
              <w:left w:val="single" w:sz="8" w:space="0" w:color="auto"/>
              <w:bottom w:val="nil"/>
              <w:right w:val="single" w:sz="4" w:space="0" w:color="auto"/>
            </w:tcBorders>
            <w:shd w:val="clear" w:color="auto" w:fill="auto"/>
            <w:noWrap/>
            <w:hideMark/>
          </w:tcPr>
          <w:p w14:paraId="052E009B"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163,65</w:t>
            </w:r>
          </w:p>
        </w:tc>
        <w:tc>
          <w:tcPr>
            <w:tcW w:w="851" w:type="dxa"/>
            <w:tcBorders>
              <w:top w:val="nil"/>
              <w:left w:val="nil"/>
              <w:bottom w:val="single" w:sz="4" w:space="0" w:color="auto"/>
              <w:right w:val="single" w:sz="4" w:space="0" w:color="auto"/>
            </w:tcBorders>
            <w:shd w:val="clear" w:color="auto" w:fill="auto"/>
            <w:noWrap/>
            <w:hideMark/>
          </w:tcPr>
          <w:p w14:paraId="50D9EBB0"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0,0120</w:t>
            </w:r>
          </w:p>
        </w:tc>
        <w:tc>
          <w:tcPr>
            <w:tcW w:w="1134" w:type="dxa"/>
            <w:tcBorders>
              <w:top w:val="nil"/>
              <w:left w:val="nil"/>
              <w:bottom w:val="single" w:sz="4" w:space="0" w:color="auto"/>
              <w:right w:val="single" w:sz="4" w:space="0" w:color="auto"/>
            </w:tcBorders>
            <w:shd w:val="clear" w:color="000000" w:fill="C6E0B4"/>
            <w:noWrap/>
            <w:hideMark/>
          </w:tcPr>
          <w:p w14:paraId="53338D5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3.264.633</w:t>
            </w:r>
          </w:p>
        </w:tc>
        <w:tc>
          <w:tcPr>
            <w:tcW w:w="992" w:type="dxa"/>
            <w:tcBorders>
              <w:top w:val="nil"/>
              <w:left w:val="nil"/>
              <w:bottom w:val="single" w:sz="4" w:space="0" w:color="auto"/>
              <w:right w:val="single" w:sz="4" w:space="0" w:color="auto"/>
            </w:tcBorders>
            <w:shd w:val="clear" w:color="auto" w:fill="auto"/>
            <w:noWrap/>
            <w:hideMark/>
          </w:tcPr>
          <w:p w14:paraId="7BC10FC0"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8.679.194</w:t>
            </w:r>
          </w:p>
        </w:tc>
        <w:tc>
          <w:tcPr>
            <w:tcW w:w="567" w:type="dxa"/>
            <w:tcBorders>
              <w:top w:val="nil"/>
              <w:left w:val="nil"/>
              <w:bottom w:val="single" w:sz="4" w:space="0" w:color="auto"/>
              <w:right w:val="single" w:sz="4" w:space="0" w:color="auto"/>
            </w:tcBorders>
            <w:shd w:val="clear" w:color="auto" w:fill="auto"/>
            <w:noWrap/>
            <w:hideMark/>
          </w:tcPr>
          <w:p w14:paraId="388622D9"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37,61</w:t>
            </w:r>
          </w:p>
        </w:tc>
        <w:tc>
          <w:tcPr>
            <w:tcW w:w="850" w:type="dxa"/>
            <w:tcBorders>
              <w:top w:val="nil"/>
              <w:left w:val="nil"/>
              <w:bottom w:val="single" w:sz="4" w:space="0" w:color="auto"/>
              <w:right w:val="single" w:sz="4" w:space="0" w:color="auto"/>
            </w:tcBorders>
            <w:shd w:val="clear" w:color="auto" w:fill="auto"/>
            <w:noWrap/>
            <w:hideMark/>
          </w:tcPr>
          <w:p w14:paraId="0CF3C078"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2.938.170</w:t>
            </w:r>
          </w:p>
        </w:tc>
        <w:tc>
          <w:tcPr>
            <w:tcW w:w="709" w:type="dxa"/>
            <w:tcBorders>
              <w:top w:val="nil"/>
              <w:left w:val="nil"/>
              <w:bottom w:val="single" w:sz="4" w:space="0" w:color="auto"/>
              <w:right w:val="single" w:sz="8" w:space="0" w:color="auto"/>
            </w:tcBorders>
            <w:shd w:val="clear" w:color="auto" w:fill="auto"/>
            <w:noWrap/>
            <w:hideMark/>
          </w:tcPr>
          <w:p w14:paraId="7E2B62B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326.463</w:t>
            </w:r>
          </w:p>
        </w:tc>
        <w:tc>
          <w:tcPr>
            <w:tcW w:w="851" w:type="dxa"/>
            <w:tcBorders>
              <w:top w:val="nil"/>
              <w:left w:val="single" w:sz="4" w:space="0" w:color="auto"/>
              <w:bottom w:val="single" w:sz="4" w:space="0" w:color="auto"/>
              <w:right w:val="single" w:sz="4" w:space="0" w:color="auto"/>
            </w:tcBorders>
            <w:shd w:val="clear" w:color="auto" w:fill="auto"/>
            <w:noWrap/>
            <w:hideMark/>
          </w:tcPr>
          <w:p w14:paraId="61768C8C" w14:textId="73E263FD"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21.655</w:t>
            </w:r>
          </w:p>
        </w:tc>
      </w:tr>
      <w:tr w:rsidR="005C332D" w:rsidRPr="003F6E51" w14:paraId="67E389A4"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7F75A55D"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143</w:t>
            </w:r>
          </w:p>
        </w:tc>
        <w:tc>
          <w:tcPr>
            <w:tcW w:w="2213" w:type="dxa"/>
            <w:tcBorders>
              <w:top w:val="nil"/>
              <w:left w:val="single" w:sz="8" w:space="0" w:color="auto"/>
              <w:bottom w:val="single" w:sz="4" w:space="0" w:color="auto"/>
              <w:right w:val="single" w:sz="8" w:space="0" w:color="auto"/>
            </w:tcBorders>
            <w:shd w:val="clear" w:color="auto" w:fill="auto"/>
            <w:noWrap/>
            <w:hideMark/>
          </w:tcPr>
          <w:p w14:paraId="5F55D466"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VRŠAC</w:t>
            </w:r>
          </w:p>
        </w:tc>
        <w:tc>
          <w:tcPr>
            <w:tcW w:w="850" w:type="dxa"/>
            <w:tcBorders>
              <w:top w:val="nil"/>
              <w:left w:val="nil"/>
              <w:bottom w:val="single" w:sz="4" w:space="0" w:color="auto"/>
              <w:right w:val="single" w:sz="4" w:space="0" w:color="auto"/>
            </w:tcBorders>
            <w:shd w:val="clear" w:color="000000" w:fill="FFFFFF"/>
            <w:noWrap/>
            <w:hideMark/>
          </w:tcPr>
          <w:p w14:paraId="7AC23161"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48514</w:t>
            </w:r>
          </w:p>
        </w:tc>
        <w:tc>
          <w:tcPr>
            <w:tcW w:w="709" w:type="dxa"/>
            <w:tcBorders>
              <w:top w:val="nil"/>
              <w:left w:val="nil"/>
              <w:bottom w:val="single" w:sz="4" w:space="0" w:color="auto"/>
              <w:right w:val="single" w:sz="8" w:space="0" w:color="auto"/>
            </w:tcBorders>
            <w:shd w:val="clear" w:color="000000" w:fill="FFFFFF"/>
            <w:noWrap/>
            <w:hideMark/>
          </w:tcPr>
          <w:p w14:paraId="06ED5EC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1,02</w:t>
            </w:r>
          </w:p>
        </w:tc>
        <w:tc>
          <w:tcPr>
            <w:tcW w:w="567" w:type="dxa"/>
            <w:tcBorders>
              <w:top w:val="nil"/>
              <w:left w:val="nil"/>
              <w:bottom w:val="single" w:sz="4" w:space="0" w:color="auto"/>
              <w:right w:val="single" w:sz="4" w:space="0" w:color="auto"/>
            </w:tcBorders>
            <w:shd w:val="clear" w:color="000000" w:fill="FFFFFF"/>
            <w:noWrap/>
            <w:hideMark/>
          </w:tcPr>
          <w:p w14:paraId="5B59105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800</w:t>
            </w:r>
          </w:p>
        </w:tc>
        <w:tc>
          <w:tcPr>
            <w:tcW w:w="709" w:type="dxa"/>
            <w:tcBorders>
              <w:top w:val="nil"/>
              <w:left w:val="nil"/>
              <w:bottom w:val="single" w:sz="4" w:space="0" w:color="auto"/>
              <w:right w:val="single" w:sz="8" w:space="0" w:color="auto"/>
            </w:tcBorders>
            <w:shd w:val="clear" w:color="000000" w:fill="FFFFFF"/>
            <w:noWrap/>
            <w:hideMark/>
          </w:tcPr>
          <w:p w14:paraId="02D5C27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1,50</w:t>
            </w:r>
          </w:p>
        </w:tc>
        <w:tc>
          <w:tcPr>
            <w:tcW w:w="850" w:type="dxa"/>
            <w:tcBorders>
              <w:top w:val="nil"/>
              <w:left w:val="nil"/>
              <w:bottom w:val="single" w:sz="4" w:space="0" w:color="auto"/>
              <w:right w:val="single" w:sz="4" w:space="0" w:color="auto"/>
            </w:tcBorders>
            <w:shd w:val="clear" w:color="000000" w:fill="FFFFFF"/>
            <w:noWrap/>
            <w:hideMark/>
          </w:tcPr>
          <w:p w14:paraId="5D91FA50"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single" w:sz="4" w:space="0" w:color="auto"/>
              <w:right w:val="nil"/>
            </w:tcBorders>
            <w:shd w:val="clear" w:color="auto" w:fill="auto"/>
            <w:noWrap/>
            <w:hideMark/>
          </w:tcPr>
          <w:p w14:paraId="443CB9E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single" w:sz="4" w:space="0" w:color="auto"/>
              <w:right w:val="single" w:sz="4" w:space="0" w:color="auto"/>
            </w:tcBorders>
            <w:shd w:val="clear" w:color="auto" w:fill="auto"/>
            <w:noWrap/>
            <w:hideMark/>
          </w:tcPr>
          <w:p w14:paraId="68B5113C"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056312B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44D21A9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90,21</w:t>
            </w:r>
          </w:p>
        </w:tc>
        <w:tc>
          <w:tcPr>
            <w:tcW w:w="851" w:type="dxa"/>
            <w:tcBorders>
              <w:top w:val="nil"/>
              <w:left w:val="nil"/>
              <w:bottom w:val="single" w:sz="4" w:space="0" w:color="auto"/>
              <w:right w:val="single" w:sz="4" w:space="0" w:color="auto"/>
            </w:tcBorders>
            <w:shd w:val="clear" w:color="auto" w:fill="auto"/>
            <w:noWrap/>
            <w:hideMark/>
          </w:tcPr>
          <w:p w14:paraId="4B524B4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0,0066</w:t>
            </w:r>
          </w:p>
        </w:tc>
        <w:tc>
          <w:tcPr>
            <w:tcW w:w="1134" w:type="dxa"/>
            <w:tcBorders>
              <w:top w:val="nil"/>
              <w:left w:val="nil"/>
              <w:bottom w:val="single" w:sz="4" w:space="0" w:color="auto"/>
              <w:right w:val="single" w:sz="4" w:space="0" w:color="auto"/>
            </w:tcBorders>
            <w:shd w:val="clear" w:color="000000" w:fill="C6E0B4"/>
            <w:noWrap/>
            <w:hideMark/>
          </w:tcPr>
          <w:p w14:paraId="2F1F90E8"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1.799.534</w:t>
            </w:r>
          </w:p>
        </w:tc>
        <w:tc>
          <w:tcPr>
            <w:tcW w:w="992" w:type="dxa"/>
            <w:tcBorders>
              <w:top w:val="nil"/>
              <w:left w:val="nil"/>
              <w:bottom w:val="single" w:sz="4" w:space="0" w:color="auto"/>
              <w:right w:val="single" w:sz="4" w:space="0" w:color="auto"/>
            </w:tcBorders>
            <w:shd w:val="clear" w:color="auto" w:fill="auto"/>
            <w:noWrap/>
            <w:hideMark/>
          </w:tcPr>
          <w:p w14:paraId="6906D62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1.702.867</w:t>
            </w:r>
          </w:p>
        </w:tc>
        <w:tc>
          <w:tcPr>
            <w:tcW w:w="567" w:type="dxa"/>
            <w:tcBorders>
              <w:top w:val="nil"/>
              <w:left w:val="nil"/>
              <w:bottom w:val="single" w:sz="4" w:space="0" w:color="auto"/>
              <w:right w:val="single" w:sz="4" w:space="0" w:color="auto"/>
            </w:tcBorders>
            <w:shd w:val="clear" w:color="auto" w:fill="auto"/>
            <w:noWrap/>
            <w:hideMark/>
          </w:tcPr>
          <w:p w14:paraId="46521651"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105,68</w:t>
            </w:r>
          </w:p>
        </w:tc>
        <w:tc>
          <w:tcPr>
            <w:tcW w:w="850" w:type="dxa"/>
            <w:tcBorders>
              <w:top w:val="nil"/>
              <w:left w:val="nil"/>
              <w:bottom w:val="single" w:sz="4" w:space="0" w:color="auto"/>
              <w:right w:val="single" w:sz="4" w:space="0" w:color="auto"/>
            </w:tcBorders>
            <w:shd w:val="clear" w:color="auto" w:fill="auto"/>
            <w:noWrap/>
            <w:hideMark/>
          </w:tcPr>
          <w:p w14:paraId="562F093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1.619.580</w:t>
            </w:r>
          </w:p>
        </w:tc>
        <w:tc>
          <w:tcPr>
            <w:tcW w:w="709" w:type="dxa"/>
            <w:tcBorders>
              <w:top w:val="nil"/>
              <w:left w:val="nil"/>
              <w:bottom w:val="single" w:sz="4" w:space="0" w:color="auto"/>
              <w:right w:val="single" w:sz="8" w:space="0" w:color="auto"/>
            </w:tcBorders>
            <w:shd w:val="clear" w:color="auto" w:fill="auto"/>
            <w:noWrap/>
            <w:hideMark/>
          </w:tcPr>
          <w:p w14:paraId="6580D952"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179.953</w:t>
            </w:r>
          </w:p>
        </w:tc>
        <w:tc>
          <w:tcPr>
            <w:tcW w:w="851" w:type="dxa"/>
            <w:tcBorders>
              <w:top w:val="nil"/>
              <w:left w:val="single" w:sz="4" w:space="0" w:color="auto"/>
              <w:bottom w:val="single" w:sz="4" w:space="0" w:color="auto"/>
              <w:right w:val="single" w:sz="4" w:space="0" w:color="auto"/>
            </w:tcBorders>
            <w:shd w:val="clear" w:color="auto" w:fill="auto"/>
            <w:noWrap/>
            <w:hideMark/>
          </w:tcPr>
          <w:p w14:paraId="1B1DF8EE" w14:textId="4F22CD42"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33.384</w:t>
            </w:r>
          </w:p>
        </w:tc>
      </w:tr>
      <w:tr w:rsidR="005C332D" w:rsidRPr="003F6E51" w14:paraId="49A9B8B0"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vAlign w:val="bottom"/>
            <w:hideMark/>
          </w:tcPr>
          <w:p w14:paraId="1F2447D9"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144</w:t>
            </w:r>
          </w:p>
        </w:tc>
        <w:tc>
          <w:tcPr>
            <w:tcW w:w="2213" w:type="dxa"/>
            <w:tcBorders>
              <w:top w:val="nil"/>
              <w:left w:val="single" w:sz="8" w:space="0" w:color="auto"/>
              <w:bottom w:val="single" w:sz="4" w:space="0" w:color="auto"/>
              <w:right w:val="single" w:sz="8" w:space="0" w:color="auto"/>
            </w:tcBorders>
            <w:shd w:val="clear" w:color="auto" w:fill="auto"/>
            <w:noWrap/>
            <w:hideMark/>
          </w:tcPr>
          <w:p w14:paraId="4DE51F8E"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ZRENJANIN</w:t>
            </w:r>
          </w:p>
        </w:tc>
        <w:tc>
          <w:tcPr>
            <w:tcW w:w="850" w:type="dxa"/>
            <w:tcBorders>
              <w:top w:val="nil"/>
              <w:left w:val="nil"/>
              <w:bottom w:val="single" w:sz="4" w:space="0" w:color="auto"/>
              <w:right w:val="single" w:sz="4" w:space="0" w:color="auto"/>
            </w:tcBorders>
            <w:shd w:val="clear" w:color="000000" w:fill="FFFFFF"/>
            <w:noWrap/>
            <w:hideMark/>
          </w:tcPr>
          <w:p w14:paraId="69F86E9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114679</w:t>
            </w:r>
          </w:p>
        </w:tc>
        <w:tc>
          <w:tcPr>
            <w:tcW w:w="709" w:type="dxa"/>
            <w:tcBorders>
              <w:top w:val="nil"/>
              <w:left w:val="nil"/>
              <w:bottom w:val="single" w:sz="4" w:space="0" w:color="auto"/>
              <w:right w:val="single" w:sz="8" w:space="0" w:color="auto"/>
            </w:tcBorders>
            <w:shd w:val="clear" w:color="000000" w:fill="FFFFFF"/>
            <w:noWrap/>
            <w:hideMark/>
          </w:tcPr>
          <w:p w14:paraId="7AB869AE"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2,41</w:t>
            </w:r>
          </w:p>
        </w:tc>
        <w:tc>
          <w:tcPr>
            <w:tcW w:w="567" w:type="dxa"/>
            <w:tcBorders>
              <w:top w:val="nil"/>
              <w:left w:val="nil"/>
              <w:bottom w:val="single" w:sz="4" w:space="0" w:color="auto"/>
              <w:right w:val="single" w:sz="4" w:space="0" w:color="auto"/>
            </w:tcBorders>
            <w:shd w:val="clear" w:color="000000" w:fill="FFFFFF"/>
            <w:noWrap/>
            <w:hideMark/>
          </w:tcPr>
          <w:p w14:paraId="0FBB2097"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1327</w:t>
            </w:r>
          </w:p>
        </w:tc>
        <w:tc>
          <w:tcPr>
            <w:tcW w:w="709" w:type="dxa"/>
            <w:tcBorders>
              <w:top w:val="nil"/>
              <w:left w:val="nil"/>
              <w:bottom w:val="single" w:sz="4" w:space="0" w:color="auto"/>
              <w:right w:val="single" w:sz="8" w:space="0" w:color="auto"/>
            </w:tcBorders>
            <w:shd w:val="clear" w:color="000000" w:fill="FFFFFF"/>
            <w:noWrap/>
            <w:hideMark/>
          </w:tcPr>
          <w:p w14:paraId="18DDF5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2,48</w:t>
            </w:r>
          </w:p>
        </w:tc>
        <w:tc>
          <w:tcPr>
            <w:tcW w:w="850" w:type="dxa"/>
            <w:tcBorders>
              <w:top w:val="nil"/>
              <w:left w:val="nil"/>
              <w:bottom w:val="single" w:sz="4" w:space="0" w:color="auto"/>
              <w:right w:val="single" w:sz="4" w:space="0" w:color="auto"/>
            </w:tcBorders>
            <w:shd w:val="clear" w:color="000000" w:fill="FFFFFF"/>
            <w:noWrap/>
            <w:hideMark/>
          </w:tcPr>
          <w:p w14:paraId="161B70BE"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2</w:t>
            </w:r>
          </w:p>
        </w:tc>
        <w:tc>
          <w:tcPr>
            <w:tcW w:w="709" w:type="dxa"/>
            <w:tcBorders>
              <w:top w:val="nil"/>
              <w:left w:val="nil"/>
              <w:bottom w:val="single" w:sz="4" w:space="0" w:color="auto"/>
              <w:right w:val="nil"/>
            </w:tcBorders>
            <w:shd w:val="clear" w:color="auto" w:fill="auto"/>
            <w:noWrap/>
            <w:hideMark/>
          </w:tcPr>
          <w:p w14:paraId="35C0EF1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0,68</w:t>
            </w:r>
          </w:p>
        </w:tc>
        <w:tc>
          <w:tcPr>
            <w:tcW w:w="709" w:type="dxa"/>
            <w:tcBorders>
              <w:top w:val="nil"/>
              <w:left w:val="single" w:sz="8" w:space="0" w:color="auto"/>
              <w:bottom w:val="single" w:sz="4" w:space="0" w:color="auto"/>
              <w:right w:val="single" w:sz="4" w:space="0" w:color="auto"/>
            </w:tcBorders>
            <w:shd w:val="clear" w:color="auto" w:fill="auto"/>
            <w:noWrap/>
            <w:hideMark/>
          </w:tcPr>
          <w:p w14:paraId="45A0CC19"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w:t>
            </w:r>
          </w:p>
        </w:tc>
        <w:tc>
          <w:tcPr>
            <w:tcW w:w="708" w:type="dxa"/>
            <w:tcBorders>
              <w:top w:val="nil"/>
              <w:left w:val="nil"/>
              <w:bottom w:val="single" w:sz="4" w:space="0" w:color="auto"/>
              <w:right w:val="nil"/>
            </w:tcBorders>
            <w:shd w:val="clear" w:color="auto" w:fill="auto"/>
            <w:noWrap/>
            <w:hideMark/>
          </w:tcPr>
          <w:p w14:paraId="44C2C24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1,04</w:t>
            </w:r>
          </w:p>
        </w:tc>
        <w:tc>
          <w:tcPr>
            <w:tcW w:w="709" w:type="dxa"/>
            <w:tcBorders>
              <w:top w:val="single" w:sz="4" w:space="0" w:color="auto"/>
              <w:left w:val="single" w:sz="8" w:space="0" w:color="auto"/>
              <w:bottom w:val="nil"/>
              <w:right w:val="single" w:sz="4" w:space="0" w:color="auto"/>
            </w:tcBorders>
            <w:shd w:val="clear" w:color="auto" w:fill="auto"/>
            <w:noWrap/>
            <w:hideMark/>
          </w:tcPr>
          <w:p w14:paraId="7EA33C62"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175,47</w:t>
            </w:r>
          </w:p>
        </w:tc>
        <w:tc>
          <w:tcPr>
            <w:tcW w:w="851" w:type="dxa"/>
            <w:tcBorders>
              <w:top w:val="nil"/>
              <w:left w:val="nil"/>
              <w:bottom w:val="single" w:sz="4" w:space="0" w:color="auto"/>
              <w:right w:val="single" w:sz="4" w:space="0" w:color="auto"/>
            </w:tcBorders>
            <w:shd w:val="clear" w:color="auto" w:fill="auto"/>
            <w:noWrap/>
            <w:hideMark/>
          </w:tcPr>
          <w:p w14:paraId="575076B5"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0,0129</w:t>
            </w:r>
          </w:p>
        </w:tc>
        <w:tc>
          <w:tcPr>
            <w:tcW w:w="1134" w:type="dxa"/>
            <w:tcBorders>
              <w:top w:val="nil"/>
              <w:left w:val="nil"/>
              <w:bottom w:val="single" w:sz="4" w:space="0" w:color="auto"/>
              <w:right w:val="single" w:sz="4" w:space="0" w:color="auto"/>
            </w:tcBorders>
            <w:shd w:val="clear" w:color="000000" w:fill="C6E0B4"/>
            <w:noWrap/>
            <w:hideMark/>
          </w:tcPr>
          <w:p w14:paraId="44E6E86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3.500.387</w:t>
            </w:r>
          </w:p>
        </w:tc>
        <w:tc>
          <w:tcPr>
            <w:tcW w:w="992" w:type="dxa"/>
            <w:tcBorders>
              <w:top w:val="nil"/>
              <w:left w:val="nil"/>
              <w:bottom w:val="single" w:sz="4" w:space="0" w:color="auto"/>
              <w:right w:val="single" w:sz="4" w:space="0" w:color="auto"/>
            </w:tcBorders>
            <w:shd w:val="clear" w:color="auto" w:fill="auto"/>
            <w:noWrap/>
            <w:hideMark/>
          </w:tcPr>
          <w:p w14:paraId="696D96E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4.031.160</w:t>
            </w:r>
          </w:p>
        </w:tc>
        <w:tc>
          <w:tcPr>
            <w:tcW w:w="567" w:type="dxa"/>
            <w:tcBorders>
              <w:top w:val="nil"/>
              <w:left w:val="nil"/>
              <w:bottom w:val="single" w:sz="4" w:space="0" w:color="auto"/>
              <w:right w:val="single" w:sz="4" w:space="0" w:color="auto"/>
            </w:tcBorders>
            <w:shd w:val="clear" w:color="auto" w:fill="auto"/>
            <w:noWrap/>
            <w:hideMark/>
          </w:tcPr>
          <w:p w14:paraId="2C43B2BA"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86,83</w:t>
            </w:r>
          </w:p>
        </w:tc>
        <w:tc>
          <w:tcPr>
            <w:tcW w:w="850" w:type="dxa"/>
            <w:tcBorders>
              <w:top w:val="nil"/>
              <w:left w:val="nil"/>
              <w:bottom w:val="single" w:sz="4" w:space="0" w:color="auto"/>
              <w:right w:val="single" w:sz="4" w:space="0" w:color="auto"/>
            </w:tcBorders>
            <w:shd w:val="clear" w:color="auto" w:fill="auto"/>
            <w:noWrap/>
            <w:hideMark/>
          </w:tcPr>
          <w:p w14:paraId="3C2C5E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3.150.349</w:t>
            </w:r>
          </w:p>
        </w:tc>
        <w:tc>
          <w:tcPr>
            <w:tcW w:w="709" w:type="dxa"/>
            <w:tcBorders>
              <w:top w:val="nil"/>
              <w:left w:val="nil"/>
              <w:bottom w:val="single" w:sz="4" w:space="0" w:color="auto"/>
              <w:right w:val="single" w:sz="8" w:space="0" w:color="auto"/>
            </w:tcBorders>
            <w:shd w:val="clear" w:color="auto" w:fill="auto"/>
            <w:noWrap/>
            <w:hideMark/>
          </w:tcPr>
          <w:p w14:paraId="0D44EC73"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350.039</w:t>
            </w:r>
          </w:p>
        </w:tc>
        <w:tc>
          <w:tcPr>
            <w:tcW w:w="851" w:type="dxa"/>
            <w:tcBorders>
              <w:top w:val="nil"/>
              <w:left w:val="single" w:sz="4" w:space="0" w:color="auto"/>
              <w:bottom w:val="single" w:sz="4" w:space="0" w:color="auto"/>
              <w:right w:val="single" w:sz="4" w:space="0" w:color="auto"/>
            </w:tcBorders>
            <w:shd w:val="clear" w:color="auto" w:fill="auto"/>
            <w:noWrap/>
            <w:hideMark/>
          </w:tcPr>
          <w:p w14:paraId="282FB7C5" w14:textId="052937DE"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27.471</w:t>
            </w:r>
          </w:p>
        </w:tc>
      </w:tr>
      <w:tr w:rsidR="005C332D" w:rsidRPr="003F6E51" w14:paraId="3FBB8229" w14:textId="77777777" w:rsidTr="00932C66">
        <w:trPr>
          <w:trHeight w:val="284"/>
        </w:trPr>
        <w:tc>
          <w:tcPr>
            <w:tcW w:w="416" w:type="dxa"/>
            <w:gridSpan w:val="2"/>
            <w:tcBorders>
              <w:top w:val="nil"/>
              <w:left w:val="single" w:sz="4" w:space="0" w:color="auto"/>
              <w:bottom w:val="single" w:sz="4" w:space="0" w:color="auto"/>
              <w:right w:val="nil"/>
            </w:tcBorders>
            <w:shd w:val="clear" w:color="auto" w:fill="auto"/>
            <w:noWrap/>
            <w:hideMark/>
          </w:tcPr>
          <w:p w14:paraId="0F1F13A7"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145</w:t>
            </w:r>
          </w:p>
        </w:tc>
        <w:tc>
          <w:tcPr>
            <w:tcW w:w="2213" w:type="dxa"/>
            <w:tcBorders>
              <w:top w:val="nil"/>
              <w:left w:val="single" w:sz="8" w:space="0" w:color="auto"/>
              <w:bottom w:val="nil"/>
              <w:right w:val="single" w:sz="8" w:space="0" w:color="auto"/>
            </w:tcBorders>
            <w:shd w:val="clear" w:color="000000" w:fill="FFFFFF"/>
            <w:noWrap/>
            <w:hideMark/>
          </w:tcPr>
          <w:p w14:paraId="3641ADBC" w14:textId="77777777" w:rsidR="003946C0" w:rsidRPr="005C332D" w:rsidRDefault="003946C0" w:rsidP="005C332D">
            <w:pPr>
              <w:spacing w:after="0" w:line="240" w:lineRule="auto"/>
              <w:contextualSpacing/>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BEOGRAD</w:t>
            </w:r>
          </w:p>
        </w:tc>
        <w:tc>
          <w:tcPr>
            <w:tcW w:w="850" w:type="dxa"/>
            <w:tcBorders>
              <w:top w:val="nil"/>
              <w:left w:val="nil"/>
              <w:bottom w:val="single" w:sz="4" w:space="0" w:color="auto"/>
              <w:right w:val="single" w:sz="4" w:space="0" w:color="auto"/>
            </w:tcBorders>
            <w:shd w:val="clear" w:color="000000" w:fill="FFFFFF"/>
            <w:noWrap/>
            <w:hideMark/>
          </w:tcPr>
          <w:p w14:paraId="10B2C464"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1694480</w:t>
            </w:r>
          </w:p>
        </w:tc>
        <w:tc>
          <w:tcPr>
            <w:tcW w:w="709" w:type="dxa"/>
            <w:tcBorders>
              <w:top w:val="nil"/>
              <w:left w:val="nil"/>
              <w:bottom w:val="nil"/>
              <w:right w:val="single" w:sz="8" w:space="0" w:color="auto"/>
            </w:tcBorders>
            <w:shd w:val="clear" w:color="000000" w:fill="FFFFFF"/>
            <w:noWrap/>
            <w:hideMark/>
          </w:tcPr>
          <w:p w14:paraId="3524E18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35,61</w:t>
            </w:r>
          </w:p>
        </w:tc>
        <w:tc>
          <w:tcPr>
            <w:tcW w:w="567" w:type="dxa"/>
            <w:tcBorders>
              <w:top w:val="nil"/>
              <w:left w:val="nil"/>
              <w:bottom w:val="single" w:sz="4" w:space="0" w:color="auto"/>
              <w:right w:val="single" w:sz="4" w:space="0" w:color="auto"/>
            </w:tcBorders>
            <w:shd w:val="clear" w:color="000000" w:fill="FFFFFF"/>
            <w:noWrap/>
            <w:hideMark/>
          </w:tcPr>
          <w:p w14:paraId="62EDEB63"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3234</w:t>
            </w:r>
          </w:p>
        </w:tc>
        <w:tc>
          <w:tcPr>
            <w:tcW w:w="709" w:type="dxa"/>
            <w:tcBorders>
              <w:top w:val="nil"/>
              <w:left w:val="nil"/>
              <w:bottom w:val="nil"/>
              <w:right w:val="single" w:sz="8" w:space="0" w:color="auto"/>
            </w:tcBorders>
            <w:shd w:val="clear" w:color="000000" w:fill="FFFFFF"/>
            <w:noWrap/>
            <w:hideMark/>
          </w:tcPr>
          <w:p w14:paraId="5C6C16E5"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6,04</w:t>
            </w:r>
          </w:p>
        </w:tc>
        <w:tc>
          <w:tcPr>
            <w:tcW w:w="850" w:type="dxa"/>
            <w:tcBorders>
              <w:top w:val="nil"/>
              <w:left w:val="nil"/>
              <w:bottom w:val="single" w:sz="4" w:space="0" w:color="auto"/>
              <w:right w:val="single" w:sz="4" w:space="0" w:color="auto"/>
            </w:tcBorders>
            <w:shd w:val="clear" w:color="000000" w:fill="FFFFFF"/>
            <w:noWrap/>
            <w:hideMark/>
          </w:tcPr>
          <w:p w14:paraId="39B7388B" w14:textId="77777777" w:rsidR="003946C0" w:rsidRPr="005C332D" w:rsidRDefault="003946C0" w:rsidP="005C332D">
            <w:pPr>
              <w:spacing w:after="0" w:line="240" w:lineRule="auto"/>
              <w:contextualSpacing/>
              <w:jc w:val="right"/>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w:t>
            </w:r>
          </w:p>
        </w:tc>
        <w:tc>
          <w:tcPr>
            <w:tcW w:w="709" w:type="dxa"/>
            <w:tcBorders>
              <w:top w:val="nil"/>
              <w:left w:val="nil"/>
              <w:bottom w:val="nil"/>
              <w:right w:val="nil"/>
            </w:tcBorders>
            <w:shd w:val="clear" w:color="auto" w:fill="auto"/>
            <w:noWrap/>
            <w:hideMark/>
          </w:tcPr>
          <w:p w14:paraId="4500EECF"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0,34</w:t>
            </w:r>
          </w:p>
        </w:tc>
        <w:tc>
          <w:tcPr>
            <w:tcW w:w="709" w:type="dxa"/>
            <w:tcBorders>
              <w:top w:val="nil"/>
              <w:left w:val="single" w:sz="8" w:space="0" w:color="auto"/>
              <w:bottom w:val="nil"/>
              <w:right w:val="single" w:sz="4" w:space="0" w:color="auto"/>
            </w:tcBorders>
            <w:shd w:val="clear" w:color="auto" w:fill="auto"/>
            <w:noWrap/>
            <w:hideMark/>
          </w:tcPr>
          <w:p w14:paraId="4FD64B86"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3,2</w:t>
            </w:r>
          </w:p>
        </w:tc>
        <w:tc>
          <w:tcPr>
            <w:tcW w:w="708" w:type="dxa"/>
            <w:tcBorders>
              <w:top w:val="nil"/>
              <w:left w:val="nil"/>
              <w:bottom w:val="single" w:sz="4" w:space="0" w:color="auto"/>
              <w:right w:val="nil"/>
            </w:tcBorders>
            <w:shd w:val="clear" w:color="auto" w:fill="auto"/>
            <w:noWrap/>
            <w:hideMark/>
          </w:tcPr>
          <w:p w14:paraId="6B1C22BA"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1,10</w:t>
            </w:r>
          </w:p>
        </w:tc>
        <w:tc>
          <w:tcPr>
            <w:tcW w:w="709" w:type="dxa"/>
            <w:tcBorders>
              <w:top w:val="single" w:sz="4" w:space="0" w:color="auto"/>
              <w:left w:val="single" w:sz="8" w:space="0" w:color="auto"/>
              <w:bottom w:val="nil"/>
              <w:right w:val="single" w:sz="4" w:space="0" w:color="auto"/>
            </w:tcBorders>
            <w:shd w:val="clear" w:color="auto" w:fill="auto"/>
            <w:noWrap/>
            <w:hideMark/>
          </w:tcPr>
          <w:p w14:paraId="316D2B9D" w14:textId="77777777" w:rsidR="003946C0" w:rsidRPr="005C332D" w:rsidRDefault="003946C0" w:rsidP="005C332D">
            <w:pPr>
              <w:spacing w:after="0" w:line="240" w:lineRule="auto"/>
              <w:contextualSpacing/>
              <w:jc w:val="center"/>
              <w:rPr>
                <w:rFonts w:ascii="Times New Roman" w:eastAsia="Times New Roman" w:hAnsi="Times New Roman" w:cs="Times New Roman"/>
                <w:color w:val="000000"/>
                <w:sz w:val="18"/>
                <w:szCs w:val="18"/>
                <w:lang w:val="en-US"/>
              </w:rPr>
            </w:pPr>
            <w:r w:rsidRPr="005C332D">
              <w:rPr>
                <w:rFonts w:ascii="Times New Roman" w:eastAsia="Times New Roman" w:hAnsi="Times New Roman" w:cs="Times New Roman"/>
                <w:color w:val="000000"/>
                <w:sz w:val="18"/>
                <w:szCs w:val="18"/>
                <w:lang w:val="en-US"/>
              </w:rPr>
              <w:t>500,00</w:t>
            </w:r>
          </w:p>
        </w:tc>
        <w:tc>
          <w:tcPr>
            <w:tcW w:w="851" w:type="dxa"/>
            <w:tcBorders>
              <w:top w:val="nil"/>
              <w:left w:val="nil"/>
              <w:bottom w:val="single" w:sz="4" w:space="0" w:color="auto"/>
              <w:right w:val="single" w:sz="4" w:space="0" w:color="auto"/>
            </w:tcBorders>
            <w:shd w:val="clear" w:color="auto" w:fill="auto"/>
            <w:noWrap/>
            <w:hideMark/>
          </w:tcPr>
          <w:p w14:paraId="442EEB0B"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0,0368</w:t>
            </w:r>
          </w:p>
        </w:tc>
        <w:tc>
          <w:tcPr>
            <w:tcW w:w="1134" w:type="dxa"/>
            <w:tcBorders>
              <w:top w:val="nil"/>
              <w:left w:val="nil"/>
              <w:bottom w:val="nil"/>
              <w:right w:val="single" w:sz="4" w:space="0" w:color="auto"/>
            </w:tcBorders>
            <w:shd w:val="clear" w:color="000000" w:fill="FFFF00"/>
            <w:noWrap/>
            <w:hideMark/>
          </w:tcPr>
          <w:p w14:paraId="56FBEA00" w14:textId="77777777" w:rsidR="003946C0" w:rsidRPr="005C332D" w:rsidRDefault="003946C0" w:rsidP="005C332D">
            <w:pPr>
              <w:spacing w:after="0" w:line="240" w:lineRule="auto"/>
              <w:contextualSpacing/>
              <w:jc w:val="right"/>
              <w:rPr>
                <w:rFonts w:ascii="Times New Roman" w:eastAsia="Times New Roman" w:hAnsi="Times New Roman" w:cs="Times New Roman"/>
                <w:color w:val="FF0000"/>
                <w:sz w:val="18"/>
                <w:szCs w:val="18"/>
                <w:lang w:val="en-US"/>
              </w:rPr>
            </w:pPr>
            <w:r w:rsidRPr="005C332D">
              <w:rPr>
                <w:rFonts w:ascii="Times New Roman" w:eastAsia="Times New Roman" w:hAnsi="Times New Roman" w:cs="Times New Roman"/>
                <w:color w:val="FF0000"/>
                <w:sz w:val="18"/>
                <w:szCs w:val="18"/>
                <w:lang w:val="en-US"/>
              </w:rPr>
              <w:t>9.974.269</w:t>
            </w:r>
          </w:p>
        </w:tc>
        <w:tc>
          <w:tcPr>
            <w:tcW w:w="992" w:type="dxa"/>
            <w:tcBorders>
              <w:top w:val="nil"/>
              <w:left w:val="nil"/>
              <w:bottom w:val="nil"/>
              <w:right w:val="single" w:sz="4" w:space="0" w:color="auto"/>
            </w:tcBorders>
            <w:shd w:val="clear" w:color="auto" w:fill="auto"/>
            <w:noWrap/>
            <w:hideMark/>
          </w:tcPr>
          <w:p w14:paraId="194CD626"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103.410.810</w:t>
            </w:r>
          </w:p>
        </w:tc>
        <w:tc>
          <w:tcPr>
            <w:tcW w:w="567" w:type="dxa"/>
            <w:tcBorders>
              <w:top w:val="nil"/>
              <w:left w:val="nil"/>
              <w:bottom w:val="single" w:sz="8" w:space="0" w:color="auto"/>
              <w:right w:val="single" w:sz="4" w:space="0" w:color="auto"/>
            </w:tcBorders>
            <w:shd w:val="clear" w:color="auto" w:fill="auto"/>
            <w:noWrap/>
            <w:hideMark/>
          </w:tcPr>
          <w:p w14:paraId="33C0229B"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9,65</w:t>
            </w:r>
          </w:p>
        </w:tc>
        <w:tc>
          <w:tcPr>
            <w:tcW w:w="850" w:type="dxa"/>
            <w:tcBorders>
              <w:top w:val="nil"/>
              <w:left w:val="nil"/>
              <w:bottom w:val="single" w:sz="4" w:space="0" w:color="auto"/>
              <w:right w:val="single" w:sz="4" w:space="0" w:color="auto"/>
            </w:tcBorders>
            <w:shd w:val="clear" w:color="auto" w:fill="auto"/>
            <w:noWrap/>
            <w:hideMark/>
          </w:tcPr>
          <w:p w14:paraId="6CFC73F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8.976.842</w:t>
            </w:r>
          </w:p>
        </w:tc>
        <w:tc>
          <w:tcPr>
            <w:tcW w:w="709" w:type="dxa"/>
            <w:tcBorders>
              <w:top w:val="nil"/>
              <w:left w:val="nil"/>
              <w:bottom w:val="single" w:sz="4" w:space="0" w:color="auto"/>
              <w:right w:val="single" w:sz="8" w:space="0" w:color="auto"/>
            </w:tcBorders>
            <w:shd w:val="clear" w:color="auto" w:fill="auto"/>
            <w:noWrap/>
            <w:hideMark/>
          </w:tcPr>
          <w:p w14:paraId="2BFAAF64"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997.427</w:t>
            </w:r>
          </w:p>
        </w:tc>
        <w:tc>
          <w:tcPr>
            <w:tcW w:w="851" w:type="dxa"/>
            <w:tcBorders>
              <w:top w:val="nil"/>
              <w:left w:val="single" w:sz="4" w:space="0" w:color="auto"/>
              <w:bottom w:val="single" w:sz="4" w:space="0" w:color="auto"/>
              <w:right w:val="single" w:sz="4" w:space="0" w:color="auto"/>
            </w:tcBorders>
            <w:shd w:val="clear" w:color="auto" w:fill="auto"/>
            <w:noWrap/>
            <w:hideMark/>
          </w:tcPr>
          <w:p w14:paraId="4B275A2E" w14:textId="1950FFCA"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5.298</w:t>
            </w:r>
          </w:p>
        </w:tc>
      </w:tr>
      <w:tr w:rsidR="005C332D" w:rsidRPr="003F6E51" w14:paraId="233ED796" w14:textId="77777777" w:rsidTr="00932C66">
        <w:trPr>
          <w:trHeight w:val="284"/>
        </w:trPr>
        <w:tc>
          <w:tcPr>
            <w:tcW w:w="416" w:type="dxa"/>
            <w:gridSpan w:val="2"/>
            <w:tcBorders>
              <w:top w:val="nil"/>
              <w:left w:val="nil"/>
              <w:bottom w:val="nil"/>
              <w:right w:val="nil"/>
            </w:tcBorders>
            <w:shd w:val="clear" w:color="auto" w:fill="auto"/>
            <w:noWrap/>
            <w:hideMark/>
          </w:tcPr>
          <w:p w14:paraId="177D2481"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p>
        </w:tc>
        <w:tc>
          <w:tcPr>
            <w:tcW w:w="2213" w:type="dxa"/>
            <w:tcBorders>
              <w:top w:val="single" w:sz="8" w:space="0" w:color="auto"/>
              <w:left w:val="single" w:sz="8" w:space="0" w:color="auto"/>
              <w:bottom w:val="single" w:sz="8" w:space="0" w:color="auto"/>
              <w:right w:val="single" w:sz="8" w:space="0" w:color="auto"/>
            </w:tcBorders>
            <w:shd w:val="clear" w:color="auto" w:fill="auto"/>
            <w:noWrap/>
            <w:hideMark/>
          </w:tcPr>
          <w:p w14:paraId="36EE38E3"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SUM</w:t>
            </w:r>
          </w:p>
        </w:tc>
        <w:tc>
          <w:tcPr>
            <w:tcW w:w="850" w:type="dxa"/>
            <w:tcBorders>
              <w:top w:val="single" w:sz="8" w:space="0" w:color="auto"/>
              <w:left w:val="nil"/>
              <w:bottom w:val="single" w:sz="8" w:space="0" w:color="auto"/>
              <w:right w:val="single" w:sz="8" w:space="0" w:color="auto"/>
            </w:tcBorders>
            <w:shd w:val="clear" w:color="auto" w:fill="auto"/>
            <w:noWrap/>
            <w:hideMark/>
          </w:tcPr>
          <w:p w14:paraId="6C093600" w14:textId="1FCA8EE4"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xml:space="preserve">6.899.126 </w:t>
            </w:r>
          </w:p>
        </w:tc>
        <w:tc>
          <w:tcPr>
            <w:tcW w:w="709" w:type="dxa"/>
            <w:tcBorders>
              <w:top w:val="single" w:sz="8" w:space="0" w:color="auto"/>
              <w:left w:val="nil"/>
              <w:bottom w:val="single" w:sz="8" w:space="0" w:color="auto"/>
              <w:right w:val="single" w:sz="8" w:space="0" w:color="auto"/>
            </w:tcBorders>
            <w:shd w:val="clear" w:color="auto" w:fill="auto"/>
            <w:noWrap/>
            <w:hideMark/>
          </w:tcPr>
          <w:p w14:paraId="3869A087"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w:t>
            </w:r>
          </w:p>
        </w:tc>
        <w:tc>
          <w:tcPr>
            <w:tcW w:w="567" w:type="dxa"/>
            <w:tcBorders>
              <w:top w:val="single" w:sz="8" w:space="0" w:color="auto"/>
              <w:left w:val="nil"/>
              <w:bottom w:val="single" w:sz="8" w:space="0" w:color="auto"/>
              <w:right w:val="single" w:sz="8" w:space="0" w:color="auto"/>
            </w:tcBorders>
            <w:shd w:val="clear" w:color="auto" w:fill="auto"/>
            <w:noWrap/>
            <w:hideMark/>
          </w:tcPr>
          <w:p w14:paraId="47401E8E"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77589</w:t>
            </w:r>
          </w:p>
        </w:tc>
        <w:tc>
          <w:tcPr>
            <w:tcW w:w="709" w:type="dxa"/>
            <w:tcBorders>
              <w:top w:val="single" w:sz="8" w:space="0" w:color="auto"/>
              <w:left w:val="nil"/>
              <w:bottom w:val="single" w:sz="8" w:space="0" w:color="auto"/>
              <w:right w:val="single" w:sz="8" w:space="0" w:color="auto"/>
            </w:tcBorders>
            <w:shd w:val="clear" w:color="auto" w:fill="auto"/>
            <w:noWrap/>
            <w:hideMark/>
          </w:tcPr>
          <w:p w14:paraId="01E0FA51"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w:t>
            </w:r>
          </w:p>
        </w:tc>
        <w:tc>
          <w:tcPr>
            <w:tcW w:w="850" w:type="dxa"/>
            <w:tcBorders>
              <w:top w:val="single" w:sz="8" w:space="0" w:color="auto"/>
              <w:left w:val="nil"/>
              <w:bottom w:val="single" w:sz="8" w:space="0" w:color="auto"/>
              <w:right w:val="single" w:sz="8" w:space="0" w:color="auto"/>
            </w:tcBorders>
            <w:shd w:val="clear" w:color="auto" w:fill="auto"/>
            <w:noWrap/>
            <w:hideMark/>
          </w:tcPr>
          <w:p w14:paraId="2EEFA8E7"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424</w:t>
            </w:r>
          </w:p>
        </w:tc>
        <w:tc>
          <w:tcPr>
            <w:tcW w:w="709" w:type="dxa"/>
            <w:tcBorders>
              <w:top w:val="single" w:sz="8" w:space="0" w:color="auto"/>
              <w:left w:val="nil"/>
              <w:bottom w:val="single" w:sz="8" w:space="0" w:color="auto"/>
              <w:right w:val="single" w:sz="8" w:space="0" w:color="auto"/>
            </w:tcBorders>
            <w:shd w:val="clear" w:color="auto" w:fill="auto"/>
            <w:noWrap/>
            <w:hideMark/>
          </w:tcPr>
          <w:p w14:paraId="3B2F7798"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w:t>
            </w:r>
          </w:p>
        </w:tc>
        <w:tc>
          <w:tcPr>
            <w:tcW w:w="709" w:type="dxa"/>
            <w:tcBorders>
              <w:top w:val="single" w:sz="8" w:space="0" w:color="auto"/>
              <w:left w:val="nil"/>
              <w:bottom w:val="single" w:sz="8" w:space="0" w:color="auto"/>
              <w:right w:val="single" w:sz="8" w:space="0" w:color="auto"/>
            </w:tcBorders>
            <w:shd w:val="clear" w:color="auto" w:fill="auto"/>
            <w:noWrap/>
            <w:hideMark/>
          </w:tcPr>
          <w:p w14:paraId="270BCC40"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420</w:t>
            </w:r>
          </w:p>
        </w:tc>
        <w:tc>
          <w:tcPr>
            <w:tcW w:w="708" w:type="dxa"/>
            <w:tcBorders>
              <w:top w:val="single" w:sz="8" w:space="0" w:color="auto"/>
              <w:left w:val="nil"/>
              <w:bottom w:val="single" w:sz="8" w:space="0" w:color="auto"/>
              <w:right w:val="single" w:sz="8" w:space="0" w:color="auto"/>
            </w:tcBorders>
            <w:shd w:val="clear" w:color="auto" w:fill="auto"/>
            <w:noWrap/>
            <w:hideMark/>
          </w:tcPr>
          <w:p w14:paraId="0AA7786A"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w:t>
            </w:r>
          </w:p>
        </w:tc>
        <w:tc>
          <w:tcPr>
            <w:tcW w:w="709" w:type="dxa"/>
            <w:tcBorders>
              <w:top w:val="single" w:sz="8" w:space="0" w:color="auto"/>
              <w:left w:val="nil"/>
              <w:bottom w:val="single" w:sz="8" w:space="0" w:color="auto"/>
              <w:right w:val="single" w:sz="8" w:space="0" w:color="auto"/>
            </w:tcBorders>
            <w:shd w:val="clear" w:color="auto" w:fill="auto"/>
            <w:noWrap/>
            <w:hideMark/>
          </w:tcPr>
          <w:p w14:paraId="55C320B8"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13585</w:t>
            </w:r>
          </w:p>
        </w:tc>
        <w:tc>
          <w:tcPr>
            <w:tcW w:w="851" w:type="dxa"/>
            <w:tcBorders>
              <w:top w:val="nil"/>
              <w:left w:val="single" w:sz="4" w:space="0" w:color="auto"/>
              <w:bottom w:val="single" w:sz="4" w:space="0" w:color="auto"/>
              <w:right w:val="single" w:sz="4" w:space="0" w:color="auto"/>
            </w:tcBorders>
            <w:shd w:val="clear" w:color="auto" w:fill="auto"/>
            <w:noWrap/>
            <w:hideMark/>
          </w:tcPr>
          <w:p w14:paraId="39CB251C" w14:textId="77777777" w:rsidR="003946C0" w:rsidRPr="005C332D" w:rsidRDefault="003946C0" w:rsidP="005C332D">
            <w:pPr>
              <w:spacing w:after="0" w:line="240" w:lineRule="auto"/>
              <w:contextualSpacing/>
              <w:jc w:val="center"/>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1,0000</w:t>
            </w:r>
          </w:p>
        </w:tc>
        <w:tc>
          <w:tcPr>
            <w:tcW w:w="1134" w:type="dxa"/>
            <w:tcBorders>
              <w:top w:val="single" w:sz="8" w:space="0" w:color="auto"/>
              <w:left w:val="single" w:sz="8" w:space="0" w:color="auto"/>
              <w:bottom w:val="single" w:sz="8" w:space="0" w:color="auto"/>
              <w:right w:val="single" w:sz="8" w:space="0" w:color="auto"/>
            </w:tcBorders>
            <w:shd w:val="clear" w:color="auto" w:fill="auto"/>
            <w:noWrap/>
            <w:hideMark/>
          </w:tcPr>
          <w:p w14:paraId="415B7D16" w14:textId="77777777" w:rsidR="003946C0" w:rsidRPr="005C332D" w:rsidRDefault="003946C0" w:rsidP="005C332D">
            <w:pPr>
              <w:spacing w:after="0" w:line="240" w:lineRule="auto"/>
              <w:contextualSpacing/>
              <w:jc w:val="right"/>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271.000.000</w:t>
            </w:r>
          </w:p>
        </w:tc>
        <w:tc>
          <w:tcPr>
            <w:tcW w:w="992" w:type="dxa"/>
            <w:tcBorders>
              <w:top w:val="single" w:sz="8" w:space="0" w:color="auto"/>
              <w:left w:val="nil"/>
              <w:bottom w:val="single" w:sz="8" w:space="0" w:color="auto"/>
              <w:right w:val="single" w:sz="8" w:space="0" w:color="auto"/>
            </w:tcBorders>
            <w:shd w:val="clear" w:color="auto" w:fill="auto"/>
            <w:noWrap/>
            <w:hideMark/>
          </w:tcPr>
          <w:p w14:paraId="6DDA8DA1" w14:textId="77777777" w:rsidR="003946C0" w:rsidRPr="005C332D" w:rsidRDefault="003946C0" w:rsidP="005C332D">
            <w:pPr>
              <w:spacing w:after="0" w:line="240" w:lineRule="auto"/>
              <w:contextualSpacing/>
              <w:jc w:val="right"/>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400.473.482</w:t>
            </w:r>
          </w:p>
        </w:tc>
        <w:tc>
          <w:tcPr>
            <w:tcW w:w="567" w:type="dxa"/>
            <w:tcBorders>
              <w:top w:val="nil"/>
              <w:left w:val="nil"/>
              <w:bottom w:val="nil"/>
              <w:right w:val="single" w:sz="8" w:space="0" w:color="auto"/>
            </w:tcBorders>
            <w:shd w:val="clear" w:color="auto" w:fill="auto"/>
            <w:noWrap/>
            <w:hideMark/>
          </w:tcPr>
          <w:p w14:paraId="7478551E" w14:textId="77777777" w:rsidR="003946C0" w:rsidRPr="005C332D" w:rsidRDefault="003946C0" w:rsidP="005C332D">
            <w:pPr>
              <w:spacing w:after="0" w:line="240" w:lineRule="auto"/>
              <w:contextualSpacing/>
              <w:jc w:val="right"/>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185,78635</w:t>
            </w:r>
          </w:p>
        </w:tc>
        <w:tc>
          <w:tcPr>
            <w:tcW w:w="850" w:type="dxa"/>
            <w:tcBorders>
              <w:top w:val="nil"/>
              <w:left w:val="single" w:sz="4" w:space="0" w:color="auto"/>
              <w:bottom w:val="single" w:sz="4" w:space="0" w:color="auto"/>
              <w:right w:val="single" w:sz="4" w:space="0" w:color="auto"/>
            </w:tcBorders>
            <w:shd w:val="clear" w:color="auto" w:fill="auto"/>
            <w:noWrap/>
            <w:hideMark/>
          </w:tcPr>
          <w:p w14:paraId="476654DD"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243.900.000</w:t>
            </w:r>
          </w:p>
        </w:tc>
        <w:tc>
          <w:tcPr>
            <w:tcW w:w="709" w:type="dxa"/>
            <w:tcBorders>
              <w:top w:val="nil"/>
              <w:left w:val="nil"/>
              <w:bottom w:val="single" w:sz="4" w:space="0" w:color="auto"/>
              <w:right w:val="single" w:sz="4" w:space="0" w:color="auto"/>
            </w:tcBorders>
            <w:shd w:val="clear" w:color="auto" w:fill="auto"/>
            <w:noWrap/>
            <w:hideMark/>
          </w:tcPr>
          <w:p w14:paraId="3BD26A97" w14:textId="77777777" w:rsidR="003946C0" w:rsidRPr="005C332D" w:rsidRDefault="003946C0" w:rsidP="005C332D">
            <w:pPr>
              <w:spacing w:after="0" w:line="240" w:lineRule="auto"/>
              <w:contextualSpacing/>
              <w:jc w:val="right"/>
              <w:rPr>
                <w:rFonts w:ascii="Times New Roman" w:eastAsia="Times New Roman" w:hAnsi="Times New Roman" w:cs="Times New Roman"/>
                <w:sz w:val="18"/>
                <w:szCs w:val="18"/>
                <w:lang w:val="en-US"/>
              </w:rPr>
            </w:pPr>
            <w:r w:rsidRPr="005C332D">
              <w:rPr>
                <w:rFonts w:ascii="Times New Roman" w:eastAsia="Times New Roman" w:hAnsi="Times New Roman" w:cs="Times New Roman"/>
                <w:sz w:val="18"/>
                <w:szCs w:val="18"/>
                <w:lang w:val="en-US"/>
              </w:rPr>
              <w:t>27.100.000</w:t>
            </w:r>
          </w:p>
        </w:tc>
        <w:tc>
          <w:tcPr>
            <w:tcW w:w="851" w:type="dxa"/>
            <w:tcBorders>
              <w:top w:val="nil"/>
              <w:left w:val="nil"/>
              <w:bottom w:val="nil"/>
              <w:right w:val="nil"/>
            </w:tcBorders>
            <w:shd w:val="clear" w:color="auto" w:fill="auto"/>
            <w:noWrap/>
            <w:hideMark/>
          </w:tcPr>
          <w:p w14:paraId="12500790" w14:textId="7777777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p>
        </w:tc>
      </w:tr>
      <w:tr w:rsidR="005C332D" w:rsidRPr="003F6E51" w14:paraId="61CEA408" w14:textId="77777777" w:rsidTr="005C332D">
        <w:trPr>
          <w:trHeight w:val="284"/>
        </w:trPr>
        <w:tc>
          <w:tcPr>
            <w:tcW w:w="416" w:type="dxa"/>
            <w:gridSpan w:val="2"/>
            <w:tcBorders>
              <w:top w:val="nil"/>
              <w:left w:val="nil"/>
              <w:bottom w:val="nil"/>
              <w:right w:val="nil"/>
            </w:tcBorders>
            <w:shd w:val="clear" w:color="auto" w:fill="auto"/>
            <w:noWrap/>
            <w:hideMark/>
          </w:tcPr>
          <w:p w14:paraId="3CE158C7" w14:textId="7777777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p>
        </w:tc>
        <w:tc>
          <w:tcPr>
            <w:tcW w:w="2213" w:type="dxa"/>
            <w:tcBorders>
              <w:top w:val="nil"/>
              <w:left w:val="single" w:sz="8" w:space="0" w:color="auto"/>
              <w:bottom w:val="single" w:sz="8" w:space="0" w:color="auto"/>
              <w:right w:val="single" w:sz="8" w:space="0" w:color="auto"/>
            </w:tcBorders>
            <w:shd w:val="clear" w:color="auto" w:fill="auto"/>
            <w:noWrap/>
            <w:hideMark/>
          </w:tcPr>
          <w:p w14:paraId="2C17A87B"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AVERAGE</w:t>
            </w:r>
          </w:p>
        </w:tc>
        <w:tc>
          <w:tcPr>
            <w:tcW w:w="850" w:type="dxa"/>
            <w:tcBorders>
              <w:top w:val="nil"/>
              <w:left w:val="nil"/>
              <w:bottom w:val="single" w:sz="8" w:space="0" w:color="auto"/>
              <w:right w:val="single" w:sz="8" w:space="0" w:color="auto"/>
            </w:tcBorders>
            <w:shd w:val="clear" w:color="auto" w:fill="auto"/>
            <w:noWrap/>
            <w:hideMark/>
          </w:tcPr>
          <w:p w14:paraId="22A73686" w14:textId="0A864805"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xml:space="preserve"> 47.580 </w:t>
            </w:r>
          </w:p>
        </w:tc>
        <w:tc>
          <w:tcPr>
            <w:tcW w:w="709" w:type="dxa"/>
            <w:tcBorders>
              <w:top w:val="nil"/>
              <w:left w:val="nil"/>
              <w:bottom w:val="single" w:sz="8" w:space="0" w:color="auto"/>
              <w:right w:val="single" w:sz="8" w:space="0" w:color="auto"/>
            </w:tcBorders>
            <w:shd w:val="clear" w:color="auto" w:fill="auto"/>
            <w:noWrap/>
            <w:hideMark/>
          </w:tcPr>
          <w:p w14:paraId="03E3833B"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w:t>
            </w:r>
          </w:p>
        </w:tc>
        <w:tc>
          <w:tcPr>
            <w:tcW w:w="567" w:type="dxa"/>
            <w:tcBorders>
              <w:top w:val="nil"/>
              <w:left w:val="nil"/>
              <w:bottom w:val="single" w:sz="8" w:space="0" w:color="auto"/>
              <w:right w:val="single" w:sz="8" w:space="0" w:color="auto"/>
            </w:tcBorders>
            <w:shd w:val="clear" w:color="auto" w:fill="auto"/>
            <w:noWrap/>
            <w:hideMark/>
          </w:tcPr>
          <w:p w14:paraId="4A2E2C06"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535,10</w:t>
            </w:r>
          </w:p>
        </w:tc>
        <w:tc>
          <w:tcPr>
            <w:tcW w:w="709" w:type="dxa"/>
            <w:tcBorders>
              <w:top w:val="nil"/>
              <w:left w:val="nil"/>
              <w:bottom w:val="single" w:sz="8" w:space="0" w:color="auto"/>
              <w:right w:val="single" w:sz="8" w:space="0" w:color="auto"/>
            </w:tcBorders>
            <w:shd w:val="clear" w:color="auto" w:fill="auto"/>
            <w:noWrap/>
            <w:hideMark/>
          </w:tcPr>
          <w:p w14:paraId="685BC7DB" w14:textId="77777777" w:rsidR="003946C0" w:rsidRPr="005C332D" w:rsidRDefault="003946C0" w:rsidP="005C332D">
            <w:pPr>
              <w:spacing w:after="0" w:line="240" w:lineRule="auto"/>
              <w:contextualSpacing/>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 </w:t>
            </w:r>
          </w:p>
        </w:tc>
        <w:tc>
          <w:tcPr>
            <w:tcW w:w="850" w:type="dxa"/>
            <w:tcBorders>
              <w:top w:val="nil"/>
              <w:left w:val="nil"/>
              <w:bottom w:val="single" w:sz="8" w:space="0" w:color="auto"/>
              <w:right w:val="single" w:sz="8" w:space="0" w:color="auto"/>
            </w:tcBorders>
            <w:shd w:val="clear" w:color="auto" w:fill="auto"/>
            <w:noWrap/>
            <w:hideMark/>
          </w:tcPr>
          <w:p w14:paraId="240F090F"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2,92</w:t>
            </w:r>
          </w:p>
        </w:tc>
        <w:tc>
          <w:tcPr>
            <w:tcW w:w="709" w:type="dxa"/>
            <w:tcBorders>
              <w:top w:val="nil"/>
              <w:left w:val="nil"/>
              <w:bottom w:val="single" w:sz="8" w:space="0" w:color="auto"/>
              <w:right w:val="single" w:sz="8" w:space="0" w:color="auto"/>
            </w:tcBorders>
            <w:shd w:val="clear" w:color="auto" w:fill="auto"/>
            <w:noWrap/>
            <w:hideMark/>
          </w:tcPr>
          <w:p w14:paraId="6FDB3886" w14:textId="77777777" w:rsidR="003946C0" w:rsidRPr="005C332D" w:rsidRDefault="003946C0" w:rsidP="005C332D">
            <w:pPr>
              <w:spacing w:after="0" w:line="240" w:lineRule="auto"/>
              <w:contextualSpacing/>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 </w:t>
            </w:r>
          </w:p>
        </w:tc>
        <w:tc>
          <w:tcPr>
            <w:tcW w:w="709" w:type="dxa"/>
            <w:tcBorders>
              <w:top w:val="nil"/>
              <w:left w:val="nil"/>
              <w:bottom w:val="single" w:sz="8" w:space="0" w:color="auto"/>
              <w:right w:val="single" w:sz="8" w:space="0" w:color="auto"/>
            </w:tcBorders>
            <w:shd w:val="clear" w:color="auto" w:fill="auto"/>
            <w:noWrap/>
            <w:hideMark/>
          </w:tcPr>
          <w:p w14:paraId="48144FBC"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2,90</w:t>
            </w:r>
          </w:p>
        </w:tc>
        <w:tc>
          <w:tcPr>
            <w:tcW w:w="708" w:type="dxa"/>
            <w:tcBorders>
              <w:top w:val="nil"/>
              <w:left w:val="nil"/>
              <w:bottom w:val="single" w:sz="8" w:space="0" w:color="auto"/>
              <w:right w:val="single" w:sz="8" w:space="0" w:color="auto"/>
            </w:tcBorders>
            <w:shd w:val="clear" w:color="auto" w:fill="auto"/>
            <w:noWrap/>
            <w:hideMark/>
          </w:tcPr>
          <w:p w14:paraId="4E43BE15" w14:textId="77777777" w:rsidR="003946C0" w:rsidRPr="005C332D" w:rsidRDefault="003946C0" w:rsidP="005C332D">
            <w:pPr>
              <w:spacing w:after="0" w:line="240" w:lineRule="auto"/>
              <w:contextualSpacing/>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 </w:t>
            </w:r>
          </w:p>
        </w:tc>
        <w:tc>
          <w:tcPr>
            <w:tcW w:w="709" w:type="dxa"/>
            <w:tcBorders>
              <w:top w:val="nil"/>
              <w:left w:val="nil"/>
              <w:bottom w:val="single" w:sz="8" w:space="0" w:color="auto"/>
              <w:right w:val="single" w:sz="8" w:space="0" w:color="auto"/>
            </w:tcBorders>
            <w:shd w:val="clear" w:color="auto" w:fill="auto"/>
            <w:noWrap/>
            <w:hideMark/>
          </w:tcPr>
          <w:p w14:paraId="17DFFCDB" w14:textId="77777777" w:rsidR="003946C0" w:rsidRPr="005C332D" w:rsidRDefault="003946C0" w:rsidP="005C332D">
            <w:pPr>
              <w:spacing w:after="0" w:line="240" w:lineRule="auto"/>
              <w:contextualSpacing/>
              <w:jc w:val="center"/>
              <w:rPr>
                <w:rFonts w:ascii="Times New Roman" w:eastAsia="Times New Roman" w:hAnsi="Times New Roman" w:cs="Times New Roman"/>
                <w:b/>
                <w:bCs/>
                <w:sz w:val="18"/>
                <w:szCs w:val="18"/>
                <w:lang w:val="en-US"/>
              </w:rPr>
            </w:pPr>
            <w:r w:rsidRPr="005C332D">
              <w:rPr>
                <w:rFonts w:ascii="Times New Roman" w:eastAsia="Times New Roman" w:hAnsi="Times New Roman" w:cs="Times New Roman"/>
                <w:b/>
                <w:bCs/>
                <w:sz w:val="18"/>
                <w:szCs w:val="18"/>
                <w:lang w:val="en-US"/>
              </w:rPr>
              <w:t>93,69</w:t>
            </w:r>
          </w:p>
        </w:tc>
        <w:tc>
          <w:tcPr>
            <w:tcW w:w="851" w:type="dxa"/>
            <w:tcBorders>
              <w:top w:val="single" w:sz="8" w:space="0" w:color="auto"/>
              <w:left w:val="nil"/>
              <w:bottom w:val="single" w:sz="8" w:space="0" w:color="auto"/>
              <w:right w:val="single" w:sz="8" w:space="0" w:color="auto"/>
            </w:tcBorders>
            <w:shd w:val="clear" w:color="auto" w:fill="auto"/>
            <w:noWrap/>
            <w:hideMark/>
          </w:tcPr>
          <w:p w14:paraId="06F40D24" w14:textId="77777777" w:rsidR="003946C0" w:rsidRPr="005C332D" w:rsidRDefault="003946C0" w:rsidP="005C332D">
            <w:pPr>
              <w:spacing w:after="0" w:line="240" w:lineRule="auto"/>
              <w:contextualSpacing/>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 </w:t>
            </w:r>
          </w:p>
        </w:tc>
        <w:tc>
          <w:tcPr>
            <w:tcW w:w="1134" w:type="dxa"/>
            <w:tcBorders>
              <w:top w:val="nil"/>
              <w:left w:val="nil"/>
              <w:bottom w:val="single" w:sz="8" w:space="0" w:color="auto"/>
              <w:right w:val="single" w:sz="8" w:space="0" w:color="auto"/>
            </w:tcBorders>
            <w:shd w:val="clear" w:color="auto" w:fill="auto"/>
            <w:noWrap/>
            <w:hideMark/>
          </w:tcPr>
          <w:p w14:paraId="5BA8DEAA" w14:textId="77777777" w:rsidR="003946C0" w:rsidRPr="005C332D" w:rsidRDefault="003946C0" w:rsidP="005C332D">
            <w:pPr>
              <w:spacing w:after="0" w:line="240" w:lineRule="auto"/>
              <w:contextualSpacing/>
              <w:jc w:val="right"/>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1.868.966</w:t>
            </w:r>
          </w:p>
        </w:tc>
        <w:tc>
          <w:tcPr>
            <w:tcW w:w="992" w:type="dxa"/>
            <w:tcBorders>
              <w:top w:val="nil"/>
              <w:left w:val="nil"/>
              <w:bottom w:val="single" w:sz="8" w:space="0" w:color="auto"/>
              <w:right w:val="single" w:sz="8" w:space="0" w:color="auto"/>
            </w:tcBorders>
            <w:shd w:val="clear" w:color="auto" w:fill="auto"/>
            <w:noWrap/>
            <w:hideMark/>
          </w:tcPr>
          <w:p w14:paraId="78730F9F" w14:textId="77777777" w:rsidR="003946C0" w:rsidRPr="005C332D" w:rsidRDefault="003946C0" w:rsidP="005C332D">
            <w:pPr>
              <w:spacing w:after="0" w:line="240" w:lineRule="auto"/>
              <w:contextualSpacing/>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 </w:t>
            </w:r>
          </w:p>
        </w:tc>
        <w:tc>
          <w:tcPr>
            <w:tcW w:w="567" w:type="dxa"/>
            <w:tcBorders>
              <w:top w:val="single" w:sz="8" w:space="0" w:color="auto"/>
              <w:left w:val="nil"/>
              <w:bottom w:val="single" w:sz="8" w:space="0" w:color="auto"/>
              <w:right w:val="single" w:sz="8" w:space="0" w:color="auto"/>
            </w:tcBorders>
            <w:shd w:val="clear" w:color="auto" w:fill="auto"/>
            <w:noWrap/>
            <w:hideMark/>
          </w:tcPr>
          <w:p w14:paraId="712B4E3B" w14:textId="77777777" w:rsidR="003946C0" w:rsidRPr="005C332D" w:rsidRDefault="003946C0" w:rsidP="005C332D">
            <w:pPr>
              <w:spacing w:after="0" w:line="240" w:lineRule="auto"/>
              <w:contextualSpacing/>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 </w:t>
            </w:r>
          </w:p>
        </w:tc>
        <w:tc>
          <w:tcPr>
            <w:tcW w:w="850" w:type="dxa"/>
            <w:tcBorders>
              <w:top w:val="single" w:sz="8" w:space="0" w:color="auto"/>
              <w:left w:val="nil"/>
              <w:bottom w:val="single" w:sz="8" w:space="0" w:color="auto"/>
              <w:right w:val="single" w:sz="8" w:space="0" w:color="auto"/>
            </w:tcBorders>
            <w:shd w:val="clear" w:color="auto" w:fill="auto"/>
            <w:noWrap/>
            <w:hideMark/>
          </w:tcPr>
          <w:p w14:paraId="256516DC" w14:textId="77777777" w:rsidR="003946C0" w:rsidRPr="005C332D" w:rsidRDefault="003946C0" w:rsidP="005C332D">
            <w:pPr>
              <w:spacing w:after="0" w:line="240" w:lineRule="auto"/>
              <w:contextualSpacing/>
              <w:rPr>
                <w:rFonts w:ascii="Times New Roman" w:eastAsia="Times New Roman" w:hAnsi="Times New Roman" w:cs="Times New Roman"/>
                <w:b/>
                <w:bCs/>
                <w:color w:val="FF0000"/>
                <w:sz w:val="18"/>
                <w:szCs w:val="18"/>
                <w:lang w:val="en-US"/>
              </w:rPr>
            </w:pPr>
            <w:r w:rsidRPr="005C332D">
              <w:rPr>
                <w:rFonts w:ascii="Times New Roman" w:eastAsia="Times New Roman" w:hAnsi="Times New Roman" w:cs="Times New Roman"/>
                <w:b/>
                <w:bCs/>
                <w:color w:val="FF0000"/>
                <w:sz w:val="18"/>
                <w:szCs w:val="18"/>
                <w:lang w:val="en-US"/>
              </w:rPr>
              <w:t> </w:t>
            </w:r>
          </w:p>
        </w:tc>
        <w:tc>
          <w:tcPr>
            <w:tcW w:w="709" w:type="dxa"/>
            <w:tcBorders>
              <w:top w:val="nil"/>
              <w:left w:val="nil"/>
              <w:bottom w:val="nil"/>
              <w:right w:val="nil"/>
            </w:tcBorders>
            <w:shd w:val="clear" w:color="auto" w:fill="auto"/>
            <w:noWrap/>
            <w:hideMark/>
          </w:tcPr>
          <w:p w14:paraId="322ABF47" w14:textId="7777777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p>
        </w:tc>
        <w:tc>
          <w:tcPr>
            <w:tcW w:w="851" w:type="dxa"/>
            <w:tcBorders>
              <w:top w:val="nil"/>
              <w:left w:val="nil"/>
              <w:bottom w:val="nil"/>
              <w:right w:val="nil"/>
            </w:tcBorders>
            <w:shd w:val="clear" w:color="auto" w:fill="auto"/>
            <w:noWrap/>
            <w:hideMark/>
          </w:tcPr>
          <w:p w14:paraId="2CF8D9F7" w14:textId="77777777" w:rsidR="003946C0" w:rsidRPr="005C332D" w:rsidRDefault="003946C0" w:rsidP="005C332D">
            <w:pPr>
              <w:spacing w:after="0" w:line="240" w:lineRule="auto"/>
              <w:contextualSpacing/>
              <w:rPr>
                <w:rFonts w:ascii="Times New Roman" w:eastAsia="Times New Roman" w:hAnsi="Times New Roman" w:cs="Times New Roman"/>
                <w:sz w:val="18"/>
                <w:szCs w:val="18"/>
                <w:lang w:val="en-US"/>
              </w:rPr>
            </w:pPr>
          </w:p>
        </w:tc>
      </w:tr>
    </w:tbl>
    <w:p w14:paraId="11818EB9" w14:textId="77777777" w:rsidR="003946C0" w:rsidRPr="006F115D" w:rsidRDefault="003946C0" w:rsidP="00EE695C">
      <w:pPr>
        <w:spacing w:after="0" w:line="240" w:lineRule="auto"/>
        <w:rPr>
          <w:rFonts w:ascii="Times New Roman" w:hAnsi="Times New Roman" w:cs="Times New Roman"/>
          <w:sz w:val="8"/>
        </w:rPr>
      </w:pPr>
    </w:p>
    <w:p w14:paraId="1AD07F7E" w14:textId="77777777" w:rsidR="00F63565" w:rsidRPr="006F115D" w:rsidRDefault="00F63565" w:rsidP="00EE695C">
      <w:pPr>
        <w:spacing w:after="0" w:line="240" w:lineRule="auto"/>
        <w:rPr>
          <w:rFonts w:ascii="Times New Roman" w:hAnsi="Times New Roman" w:cs="Times New Roman"/>
          <w:sz w:val="8"/>
        </w:rPr>
        <w:sectPr w:rsidR="00F63565" w:rsidRPr="006F115D" w:rsidSect="00932C66">
          <w:pgSz w:w="16837" w:h="11905" w:orient="landscape" w:code="9"/>
          <w:pgMar w:top="851" w:right="851" w:bottom="510" w:left="851" w:header="454" w:footer="284" w:gutter="0"/>
          <w:cols w:space="720"/>
          <w:docGrid w:linePitch="360"/>
        </w:sectPr>
      </w:pPr>
    </w:p>
    <w:p w14:paraId="5F9DA9EB" w14:textId="7E1B8021" w:rsidR="00E80739" w:rsidRPr="00665F55" w:rsidRDefault="00B008A0" w:rsidP="001F42AE">
      <w:pPr>
        <w:spacing w:after="0" w:line="240" w:lineRule="auto"/>
        <w:jc w:val="both"/>
        <w:rPr>
          <w:rFonts w:ascii="Times New Roman" w:hAnsi="Times New Roman" w:cs="Times New Roman"/>
          <w:b/>
          <w:bCs/>
        </w:rPr>
      </w:pPr>
      <w:r w:rsidRPr="00665F55">
        <w:rPr>
          <w:rFonts w:ascii="Times New Roman" w:hAnsi="Times New Roman" w:cs="Times New Roman"/>
          <w:b/>
          <w:bCs/>
        </w:rPr>
        <w:t>Formula</w:t>
      </w:r>
      <w:r w:rsidR="00EB3558" w:rsidRPr="00665F55">
        <w:rPr>
          <w:rFonts w:ascii="Times New Roman" w:hAnsi="Times New Roman" w:cs="Times New Roman"/>
          <w:b/>
          <w:bCs/>
        </w:rPr>
        <w:t xml:space="preserve"> evaluation </w:t>
      </w:r>
    </w:p>
    <w:p w14:paraId="0B256EC7" w14:textId="77777777" w:rsidR="00EB3558" w:rsidRPr="00665F55" w:rsidRDefault="00EB3558" w:rsidP="001F42AE">
      <w:pPr>
        <w:spacing w:after="0" w:line="240" w:lineRule="auto"/>
        <w:jc w:val="both"/>
        <w:rPr>
          <w:rFonts w:ascii="Times New Roman" w:hAnsi="Times New Roman" w:cs="Times New Roman"/>
        </w:rPr>
      </w:pPr>
    </w:p>
    <w:p w14:paraId="3E8C9801" w14:textId="4867E67B" w:rsidR="00E80739" w:rsidRPr="00665F55" w:rsidRDefault="00E80739" w:rsidP="001F42AE">
      <w:pPr>
        <w:spacing w:after="0" w:line="240" w:lineRule="auto"/>
        <w:jc w:val="both"/>
        <w:rPr>
          <w:rFonts w:ascii="Times New Roman" w:hAnsi="Times New Roman" w:cs="Times New Roman"/>
        </w:rPr>
      </w:pPr>
      <w:r w:rsidRPr="00665F55">
        <w:rPr>
          <w:rFonts w:ascii="Times New Roman" w:hAnsi="Times New Roman" w:cs="Times New Roman"/>
        </w:rPr>
        <w:t>In order to develop a robust approach for fair distribution of grant amounts in line with the development objective of the Project, a formula was set up that consider key spatial, economical, demographical and climate aspects of each LSG. For each aspect, one reliable index that can be obtained for each LSG is used. The below table provides the list of main input data and indicators used as well as sources of data:</w:t>
      </w:r>
    </w:p>
    <w:p w14:paraId="4DEE2D42" w14:textId="77777777" w:rsidR="00E80739" w:rsidRPr="00665F55" w:rsidRDefault="00E80739" w:rsidP="00E80739">
      <w:pPr>
        <w:spacing w:after="0" w:line="240" w:lineRule="auto"/>
        <w:jc w:val="both"/>
        <w:rPr>
          <w:rFonts w:ascii="Times New Roman" w:hAnsi="Times New Roman" w:cs="Times New Roman"/>
        </w:rPr>
      </w:pPr>
    </w:p>
    <w:tbl>
      <w:tblPr>
        <w:tblStyle w:val="TableGrid"/>
        <w:tblW w:w="0" w:type="auto"/>
        <w:tblLook w:val="04A0" w:firstRow="1" w:lastRow="0" w:firstColumn="1" w:lastColumn="0" w:noHBand="0" w:noVBand="1"/>
      </w:tblPr>
      <w:tblGrid>
        <w:gridCol w:w="3681"/>
        <w:gridCol w:w="5944"/>
      </w:tblGrid>
      <w:tr w:rsidR="00E80739" w:rsidRPr="001F42AE" w14:paraId="53ABF633" w14:textId="77777777" w:rsidTr="00665F55">
        <w:tc>
          <w:tcPr>
            <w:tcW w:w="3681" w:type="dxa"/>
            <w:shd w:val="clear" w:color="auto" w:fill="D9D9D9" w:themeFill="background1" w:themeFillShade="D9"/>
            <w:vAlign w:val="center"/>
          </w:tcPr>
          <w:p w14:paraId="2BB9C7F7" w14:textId="77777777" w:rsidR="00E80739" w:rsidRPr="00665F55" w:rsidRDefault="00E80739" w:rsidP="00BD438F">
            <w:pPr>
              <w:jc w:val="center"/>
              <w:rPr>
                <w:rFonts w:ascii="Times New Roman" w:hAnsi="Times New Roman" w:cs="Times New Roman"/>
              </w:rPr>
            </w:pPr>
            <w:r w:rsidRPr="00665F55">
              <w:rPr>
                <w:rFonts w:ascii="Times New Roman" w:hAnsi="Times New Roman" w:cs="Times New Roman"/>
              </w:rPr>
              <w:t>Indicator name</w:t>
            </w:r>
          </w:p>
        </w:tc>
        <w:tc>
          <w:tcPr>
            <w:tcW w:w="5944" w:type="dxa"/>
            <w:shd w:val="clear" w:color="auto" w:fill="D9D9D9" w:themeFill="background1" w:themeFillShade="D9"/>
          </w:tcPr>
          <w:p w14:paraId="1139061B" w14:textId="77777777" w:rsidR="00E80739" w:rsidRPr="00665F55" w:rsidRDefault="00E80739" w:rsidP="00BD438F">
            <w:pPr>
              <w:jc w:val="center"/>
              <w:rPr>
                <w:rFonts w:ascii="Times New Roman" w:hAnsi="Times New Roman" w:cs="Times New Roman"/>
                <w:i/>
                <w:iCs/>
              </w:rPr>
            </w:pPr>
            <w:r w:rsidRPr="00665F55">
              <w:rPr>
                <w:rFonts w:ascii="Times New Roman" w:hAnsi="Times New Roman" w:cs="Times New Roman"/>
                <w:i/>
                <w:iCs/>
              </w:rPr>
              <w:t>Source of data</w:t>
            </w:r>
          </w:p>
        </w:tc>
      </w:tr>
      <w:tr w:rsidR="00E80739" w:rsidRPr="002630A1" w14:paraId="518E2E28" w14:textId="77777777" w:rsidTr="00665F55">
        <w:tc>
          <w:tcPr>
            <w:tcW w:w="3681" w:type="dxa"/>
            <w:vAlign w:val="center"/>
          </w:tcPr>
          <w:p w14:paraId="0710EBCE" w14:textId="77777777" w:rsidR="00E80739" w:rsidRPr="00665F55" w:rsidRDefault="00E80739" w:rsidP="00E80739">
            <w:pPr>
              <w:jc w:val="both"/>
              <w:rPr>
                <w:rFonts w:ascii="Times New Roman" w:hAnsi="Times New Roman" w:cs="Times New Roman"/>
              </w:rPr>
            </w:pPr>
            <w:r w:rsidRPr="00665F55">
              <w:rPr>
                <w:rFonts w:ascii="Times New Roman" w:hAnsi="Times New Roman" w:cs="Times New Roman"/>
              </w:rPr>
              <w:t>LSGs number and names</w:t>
            </w:r>
          </w:p>
        </w:tc>
        <w:tc>
          <w:tcPr>
            <w:tcW w:w="5944" w:type="dxa"/>
          </w:tcPr>
          <w:p w14:paraId="2F32F92E" w14:textId="5904CE34" w:rsidR="00E80739" w:rsidRPr="00665F55" w:rsidRDefault="00E80739" w:rsidP="00E80739">
            <w:pPr>
              <w:jc w:val="both"/>
              <w:rPr>
                <w:rFonts w:ascii="Times New Roman" w:hAnsi="Times New Roman" w:cs="Times New Roman"/>
              </w:rPr>
            </w:pPr>
            <w:r w:rsidRPr="00665F55">
              <w:rPr>
                <w:rFonts w:ascii="Times New Roman" w:hAnsi="Times New Roman" w:cs="Times New Roman"/>
                <w:i/>
                <w:iCs/>
              </w:rPr>
              <w:t xml:space="preserve">Law on </w:t>
            </w:r>
            <w:r w:rsidR="001F42AE">
              <w:rPr>
                <w:rFonts w:ascii="Times New Roman" w:hAnsi="Times New Roman" w:cs="Times New Roman"/>
                <w:i/>
                <w:iCs/>
              </w:rPr>
              <w:t>T</w:t>
            </w:r>
            <w:r w:rsidRPr="00665F55">
              <w:rPr>
                <w:rFonts w:ascii="Times New Roman" w:hAnsi="Times New Roman" w:cs="Times New Roman"/>
                <w:i/>
                <w:iCs/>
              </w:rPr>
              <w:t xml:space="preserve">erritorial </w:t>
            </w:r>
            <w:r w:rsidR="001F42AE">
              <w:rPr>
                <w:rFonts w:ascii="Times New Roman" w:hAnsi="Times New Roman" w:cs="Times New Roman"/>
                <w:i/>
                <w:iCs/>
              </w:rPr>
              <w:t>O</w:t>
            </w:r>
            <w:r w:rsidR="001F42AE" w:rsidRPr="00665F55">
              <w:rPr>
                <w:rFonts w:ascii="Times New Roman" w:hAnsi="Times New Roman" w:cs="Times New Roman"/>
                <w:i/>
                <w:iCs/>
              </w:rPr>
              <w:t xml:space="preserve">rganization </w:t>
            </w:r>
            <w:r w:rsidRPr="00665F55">
              <w:rPr>
                <w:rFonts w:ascii="Times New Roman" w:hAnsi="Times New Roman" w:cs="Times New Roman"/>
                <w:i/>
                <w:iCs/>
              </w:rPr>
              <w:t>of the Republic of Serbia</w:t>
            </w:r>
            <w:r w:rsidRPr="00665F55">
              <w:rPr>
                <w:rFonts w:ascii="Times New Roman" w:hAnsi="Times New Roman" w:cs="Times New Roman"/>
              </w:rPr>
              <w:t xml:space="preserve"> (Official Gazette of the Republic of Serbia number 129/2007, 18/2016, 47/2018 and 9/2020)</w:t>
            </w:r>
            <w:r w:rsidR="0088771D" w:rsidRPr="00665F55">
              <w:rPr>
                <w:rStyle w:val="FootnoteReference"/>
                <w:rFonts w:ascii="Times New Roman" w:hAnsi="Times New Roman" w:cs="Times New Roman"/>
              </w:rPr>
              <w:footnoteReference w:id="17"/>
            </w:r>
            <w:r w:rsidRPr="00665F55">
              <w:rPr>
                <w:rFonts w:ascii="Times New Roman" w:hAnsi="Times New Roman" w:cs="Times New Roman"/>
              </w:rPr>
              <w:t xml:space="preserve">. </w:t>
            </w:r>
          </w:p>
        </w:tc>
      </w:tr>
      <w:tr w:rsidR="00E80739" w:rsidRPr="002630A1" w14:paraId="45F06947" w14:textId="77777777" w:rsidTr="00665F55">
        <w:tc>
          <w:tcPr>
            <w:tcW w:w="3681" w:type="dxa"/>
            <w:vAlign w:val="center"/>
          </w:tcPr>
          <w:p w14:paraId="568D8334" w14:textId="77777777" w:rsidR="00E80739" w:rsidRPr="00665F55" w:rsidRDefault="00E80739" w:rsidP="00BD438F">
            <w:pPr>
              <w:jc w:val="both"/>
              <w:rPr>
                <w:rFonts w:ascii="Times New Roman" w:hAnsi="Times New Roman" w:cs="Times New Roman"/>
              </w:rPr>
            </w:pPr>
            <w:r w:rsidRPr="00665F55">
              <w:rPr>
                <w:rFonts w:ascii="Times New Roman" w:hAnsi="Times New Roman" w:cs="Times New Roman"/>
              </w:rPr>
              <w:t xml:space="preserve">LSGs population </w:t>
            </w:r>
          </w:p>
          <w:p w14:paraId="0DEF5775" w14:textId="77777777" w:rsidR="00E80739" w:rsidRPr="00665F55" w:rsidRDefault="00E80739" w:rsidP="00BD438F">
            <w:pPr>
              <w:jc w:val="both"/>
              <w:rPr>
                <w:rFonts w:ascii="Times New Roman" w:hAnsi="Times New Roman" w:cs="Times New Roman"/>
              </w:rPr>
            </w:pPr>
            <w:r w:rsidRPr="00665F55">
              <w:rPr>
                <w:rFonts w:ascii="Times New Roman" w:hAnsi="Times New Roman" w:cs="Times New Roman"/>
              </w:rPr>
              <w:t>(Estimation for middle of 2020. year)</w:t>
            </w:r>
          </w:p>
        </w:tc>
        <w:tc>
          <w:tcPr>
            <w:tcW w:w="5944" w:type="dxa"/>
          </w:tcPr>
          <w:p w14:paraId="31FAD6C2" w14:textId="77777777" w:rsidR="00E80739" w:rsidRPr="00665F55" w:rsidRDefault="00E80739" w:rsidP="00BD438F">
            <w:pPr>
              <w:jc w:val="both"/>
              <w:rPr>
                <w:rFonts w:ascii="Times New Roman" w:hAnsi="Times New Roman" w:cs="Times New Roman"/>
                <w:b/>
                <w:bCs/>
                <w:i/>
                <w:iCs/>
              </w:rPr>
            </w:pPr>
            <w:r w:rsidRPr="00665F55">
              <w:rPr>
                <w:rFonts w:ascii="Times New Roman" w:hAnsi="Times New Roman" w:cs="Times New Roman"/>
                <w:b/>
                <w:bCs/>
                <w:i/>
                <w:iCs/>
              </w:rPr>
              <w:t>DEMOGRAFIC ASPECT</w:t>
            </w:r>
          </w:p>
          <w:p w14:paraId="7F0D8D3D" w14:textId="286776E9" w:rsidR="00E80739" w:rsidRPr="00665F55" w:rsidRDefault="00E80739" w:rsidP="00BD438F">
            <w:pPr>
              <w:jc w:val="both"/>
              <w:rPr>
                <w:rFonts w:ascii="Times New Roman" w:hAnsi="Times New Roman" w:cs="Times New Roman"/>
              </w:rPr>
            </w:pPr>
            <w:r w:rsidRPr="00665F55">
              <w:rPr>
                <w:rFonts w:ascii="Times New Roman" w:hAnsi="Times New Roman" w:cs="Times New Roman"/>
                <w:i/>
                <w:iCs/>
              </w:rPr>
              <w:t xml:space="preserve">Statistical </w:t>
            </w:r>
            <w:r w:rsidR="00FC208B" w:rsidRPr="00665F55">
              <w:rPr>
                <w:rFonts w:ascii="Times New Roman" w:hAnsi="Times New Roman" w:cs="Times New Roman"/>
                <w:i/>
                <w:iCs/>
              </w:rPr>
              <w:t xml:space="preserve">Yearbook </w:t>
            </w:r>
            <w:r w:rsidRPr="00665F55">
              <w:rPr>
                <w:rFonts w:ascii="Times New Roman" w:hAnsi="Times New Roman" w:cs="Times New Roman"/>
                <w:i/>
                <w:iCs/>
              </w:rPr>
              <w:t>of the Republic of Serbia for 2021.</w:t>
            </w:r>
            <w:r w:rsidRPr="00665F55">
              <w:rPr>
                <w:rFonts w:ascii="Times New Roman" w:hAnsi="Times New Roman" w:cs="Times New Roman"/>
              </w:rPr>
              <w:t>; Statistical office of the Republic of Serbia</w:t>
            </w:r>
            <w:r w:rsidR="0088771D" w:rsidRPr="00665F55">
              <w:rPr>
                <w:rStyle w:val="FootnoteReference"/>
                <w:rFonts w:ascii="Times New Roman" w:hAnsi="Times New Roman" w:cs="Times New Roman"/>
              </w:rPr>
              <w:footnoteReference w:id="18"/>
            </w:r>
          </w:p>
        </w:tc>
      </w:tr>
      <w:tr w:rsidR="00E80739" w:rsidRPr="002630A1" w14:paraId="25BF56B4" w14:textId="77777777" w:rsidTr="00665F55">
        <w:tc>
          <w:tcPr>
            <w:tcW w:w="3681" w:type="dxa"/>
            <w:vAlign w:val="center"/>
          </w:tcPr>
          <w:p w14:paraId="3303960C" w14:textId="77777777" w:rsidR="00E80739" w:rsidRPr="00665F55" w:rsidRDefault="00E80739" w:rsidP="00BD438F">
            <w:pPr>
              <w:jc w:val="both"/>
              <w:rPr>
                <w:rFonts w:ascii="Times New Roman" w:hAnsi="Times New Roman" w:cs="Times New Roman"/>
              </w:rPr>
            </w:pPr>
            <w:r w:rsidRPr="00665F55">
              <w:rPr>
                <w:rFonts w:ascii="Times New Roman" w:hAnsi="Times New Roman" w:cs="Times New Roman"/>
              </w:rPr>
              <w:t>LSGs area</w:t>
            </w:r>
          </w:p>
        </w:tc>
        <w:tc>
          <w:tcPr>
            <w:tcW w:w="5944" w:type="dxa"/>
          </w:tcPr>
          <w:p w14:paraId="2BA00840" w14:textId="77777777" w:rsidR="00E80739" w:rsidRPr="00665F55" w:rsidRDefault="00E80739" w:rsidP="00BD438F">
            <w:pPr>
              <w:jc w:val="both"/>
              <w:rPr>
                <w:rFonts w:ascii="Times New Roman" w:hAnsi="Times New Roman" w:cs="Times New Roman"/>
                <w:b/>
                <w:bCs/>
                <w:i/>
                <w:iCs/>
              </w:rPr>
            </w:pPr>
            <w:r w:rsidRPr="00665F55">
              <w:rPr>
                <w:rFonts w:ascii="Times New Roman" w:hAnsi="Times New Roman" w:cs="Times New Roman"/>
                <w:b/>
                <w:bCs/>
                <w:i/>
                <w:iCs/>
              </w:rPr>
              <w:t xml:space="preserve">SPATIAL ASPECT </w:t>
            </w:r>
          </w:p>
          <w:p w14:paraId="35695A70" w14:textId="24499034" w:rsidR="00E80739" w:rsidRPr="00665F55" w:rsidRDefault="00E80739" w:rsidP="00BD438F">
            <w:pPr>
              <w:jc w:val="both"/>
              <w:rPr>
                <w:rFonts w:ascii="Times New Roman" w:hAnsi="Times New Roman" w:cs="Times New Roman"/>
              </w:rPr>
            </w:pPr>
            <w:r w:rsidRPr="00665F55">
              <w:rPr>
                <w:rFonts w:ascii="Times New Roman" w:hAnsi="Times New Roman" w:cs="Times New Roman"/>
                <w:i/>
                <w:iCs/>
              </w:rPr>
              <w:t xml:space="preserve">Statistical </w:t>
            </w:r>
            <w:r w:rsidR="00FC208B" w:rsidRPr="00665F55">
              <w:rPr>
                <w:rFonts w:ascii="Times New Roman" w:hAnsi="Times New Roman" w:cs="Times New Roman"/>
                <w:i/>
                <w:iCs/>
              </w:rPr>
              <w:t>Y</w:t>
            </w:r>
            <w:r w:rsidRPr="00665F55">
              <w:rPr>
                <w:rFonts w:ascii="Times New Roman" w:hAnsi="Times New Roman" w:cs="Times New Roman"/>
                <w:i/>
                <w:iCs/>
              </w:rPr>
              <w:t>earbook of the Republic of Serbia for 2021.</w:t>
            </w:r>
            <w:r w:rsidRPr="00665F55">
              <w:rPr>
                <w:rFonts w:ascii="Times New Roman" w:hAnsi="Times New Roman" w:cs="Times New Roman"/>
              </w:rPr>
              <w:t>; Statistical office of the Republic of Serbia</w:t>
            </w:r>
          </w:p>
        </w:tc>
      </w:tr>
      <w:tr w:rsidR="00E80739" w:rsidRPr="002630A1" w14:paraId="292307B1" w14:textId="77777777" w:rsidTr="00665F55">
        <w:tc>
          <w:tcPr>
            <w:tcW w:w="3681" w:type="dxa"/>
            <w:vAlign w:val="center"/>
          </w:tcPr>
          <w:p w14:paraId="386DECF7" w14:textId="77777777" w:rsidR="00E80739" w:rsidRPr="00665F55" w:rsidRDefault="00E80739" w:rsidP="00BD438F">
            <w:pPr>
              <w:jc w:val="both"/>
              <w:rPr>
                <w:rFonts w:ascii="Times New Roman" w:hAnsi="Times New Roman" w:cs="Times New Roman"/>
              </w:rPr>
            </w:pPr>
            <w:r w:rsidRPr="00665F55">
              <w:rPr>
                <w:rFonts w:ascii="Times New Roman" w:hAnsi="Times New Roman" w:cs="Times New Roman"/>
              </w:rPr>
              <w:t>LSGs development class</w:t>
            </w:r>
          </w:p>
        </w:tc>
        <w:tc>
          <w:tcPr>
            <w:tcW w:w="5944" w:type="dxa"/>
          </w:tcPr>
          <w:p w14:paraId="6C2894B2" w14:textId="77777777" w:rsidR="00E80739" w:rsidRPr="00665F55" w:rsidRDefault="00E80739" w:rsidP="00BD438F">
            <w:pPr>
              <w:jc w:val="both"/>
              <w:rPr>
                <w:rFonts w:ascii="Times New Roman" w:hAnsi="Times New Roman" w:cs="Times New Roman"/>
                <w:b/>
                <w:bCs/>
                <w:i/>
                <w:iCs/>
              </w:rPr>
            </w:pPr>
            <w:r w:rsidRPr="00665F55">
              <w:rPr>
                <w:rFonts w:ascii="Times New Roman" w:hAnsi="Times New Roman" w:cs="Times New Roman"/>
                <w:b/>
                <w:bCs/>
                <w:i/>
                <w:iCs/>
              </w:rPr>
              <w:t>ECONOMIC ASPECT</w:t>
            </w:r>
          </w:p>
          <w:p w14:paraId="6BDD701D" w14:textId="2A066DB0" w:rsidR="00E80739" w:rsidRPr="00665F55" w:rsidRDefault="00E80739" w:rsidP="00BD438F">
            <w:pPr>
              <w:jc w:val="both"/>
              <w:rPr>
                <w:rFonts w:ascii="Times New Roman" w:hAnsi="Times New Roman" w:cs="Times New Roman"/>
              </w:rPr>
            </w:pPr>
            <w:r w:rsidRPr="00665F55">
              <w:rPr>
                <w:rFonts w:ascii="Times New Roman" w:hAnsi="Times New Roman" w:cs="Times New Roman"/>
                <w:i/>
                <w:iCs/>
              </w:rPr>
              <w:t xml:space="preserve">Decree on </w:t>
            </w:r>
            <w:r w:rsidR="00FC208B" w:rsidRPr="00665F55">
              <w:rPr>
                <w:rFonts w:ascii="Times New Roman" w:hAnsi="Times New Roman" w:cs="Times New Roman"/>
                <w:i/>
                <w:iCs/>
              </w:rPr>
              <w:t xml:space="preserve">the Establishing </w:t>
            </w:r>
            <w:r w:rsidRPr="00665F55">
              <w:rPr>
                <w:rFonts w:ascii="Times New Roman" w:hAnsi="Times New Roman" w:cs="Times New Roman"/>
                <w:i/>
                <w:iCs/>
              </w:rPr>
              <w:t xml:space="preserve">of </w:t>
            </w:r>
            <w:r w:rsidR="00FC208B" w:rsidRPr="00665F55">
              <w:rPr>
                <w:rFonts w:ascii="Times New Roman" w:hAnsi="Times New Roman" w:cs="Times New Roman"/>
                <w:i/>
                <w:iCs/>
              </w:rPr>
              <w:t>Uniform L</w:t>
            </w:r>
            <w:r w:rsidRPr="00665F55">
              <w:rPr>
                <w:rFonts w:ascii="Times New Roman" w:hAnsi="Times New Roman" w:cs="Times New Roman"/>
                <w:i/>
                <w:iCs/>
              </w:rPr>
              <w:t xml:space="preserve">ist of </w:t>
            </w:r>
            <w:r w:rsidR="00FC208B" w:rsidRPr="00665F55">
              <w:rPr>
                <w:rFonts w:ascii="Times New Roman" w:hAnsi="Times New Roman" w:cs="Times New Roman"/>
                <w:i/>
                <w:iCs/>
              </w:rPr>
              <w:t xml:space="preserve">Regional Development </w:t>
            </w:r>
            <w:r w:rsidRPr="00665F55">
              <w:rPr>
                <w:rFonts w:ascii="Times New Roman" w:hAnsi="Times New Roman" w:cs="Times New Roman"/>
                <w:i/>
                <w:iCs/>
              </w:rPr>
              <w:t xml:space="preserve">and </w:t>
            </w:r>
            <w:r w:rsidR="00FC208B" w:rsidRPr="00665F55">
              <w:rPr>
                <w:rFonts w:ascii="Times New Roman" w:hAnsi="Times New Roman" w:cs="Times New Roman"/>
                <w:i/>
                <w:iCs/>
              </w:rPr>
              <w:t xml:space="preserve">Local </w:t>
            </w:r>
            <w:r w:rsidRPr="00665F55">
              <w:rPr>
                <w:rFonts w:ascii="Times New Roman" w:hAnsi="Times New Roman" w:cs="Times New Roman"/>
                <w:i/>
                <w:iCs/>
              </w:rPr>
              <w:t xml:space="preserve">self-government </w:t>
            </w:r>
            <w:r w:rsidR="00FC208B" w:rsidRPr="00665F55">
              <w:rPr>
                <w:rFonts w:ascii="Times New Roman" w:hAnsi="Times New Roman" w:cs="Times New Roman"/>
                <w:i/>
                <w:iCs/>
              </w:rPr>
              <w:t xml:space="preserve">Units </w:t>
            </w:r>
            <w:r w:rsidRPr="00665F55">
              <w:rPr>
                <w:rFonts w:ascii="Times New Roman" w:hAnsi="Times New Roman" w:cs="Times New Roman"/>
                <w:i/>
                <w:iCs/>
              </w:rPr>
              <w:t>for 2014</w:t>
            </w:r>
            <w:r w:rsidRPr="00665F55">
              <w:rPr>
                <w:rFonts w:ascii="Times New Roman" w:hAnsi="Times New Roman" w:cs="Times New Roman"/>
              </w:rPr>
              <w:t xml:space="preserve"> (Official </w:t>
            </w:r>
            <w:r w:rsidR="00FC208B" w:rsidRPr="00665F55">
              <w:rPr>
                <w:rFonts w:ascii="Times New Roman" w:hAnsi="Times New Roman" w:cs="Times New Roman"/>
              </w:rPr>
              <w:t xml:space="preserve">Gazette </w:t>
            </w:r>
            <w:r w:rsidRPr="00665F55">
              <w:rPr>
                <w:rFonts w:ascii="Times New Roman" w:hAnsi="Times New Roman" w:cs="Times New Roman"/>
              </w:rPr>
              <w:t>of the Republic of Serbia no.104/2014)</w:t>
            </w:r>
            <w:r w:rsidR="0088771D" w:rsidRPr="00665F55">
              <w:rPr>
                <w:rStyle w:val="FootnoteReference"/>
                <w:rFonts w:ascii="Times New Roman" w:hAnsi="Times New Roman" w:cs="Times New Roman"/>
              </w:rPr>
              <w:footnoteReference w:id="19"/>
            </w:r>
          </w:p>
        </w:tc>
      </w:tr>
      <w:tr w:rsidR="00E80739" w:rsidRPr="002630A1" w14:paraId="2313050A" w14:textId="77777777" w:rsidTr="00665F55">
        <w:tc>
          <w:tcPr>
            <w:tcW w:w="3681" w:type="dxa"/>
            <w:vAlign w:val="center"/>
          </w:tcPr>
          <w:p w14:paraId="3FEACE38" w14:textId="77777777" w:rsidR="00E80739" w:rsidRPr="00665F55" w:rsidRDefault="00E80739" w:rsidP="00BD438F">
            <w:pPr>
              <w:jc w:val="both"/>
              <w:rPr>
                <w:rFonts w:ascii="Times New Roman" w:hAnsi="Times New Roman" w:cs="Times New Roman"/>
              </w:rPr>
            </w:pPr>
            <w:r w:rsidRPr="00665F55">
              <w:rPr>
                <w:rFonts w:ascii="Times New Roman" w:hAnsi="Times New Roman" w:cs="Times New Roman"/>
              </w:rPr>
              <w:t>Think hazard climate risks</w:t>
            </w:r>
          </w:p>
        </w:tc>
        <w:tc>
          <w:tcPr>
            <w:tcW w:w="5944" w:type="dxa"/>
          </w:tcPr>
          <w:p w14:paraId="2DF607AC" w14:textId="77777777" w:rsidR="00E80739" w:rsidRPr="00665F55" w:rsidRDefault="00E80739" w:rsidP="00BD438F">
            <w:pPr>
              <w:rPr>
                <w:rFonts w:ascii="Times New Roman" w:hAnsi="Times New Roman" w:cs="Times New Roman"/>
                <w:b/>
                <w:bCs/>
                <w:i/>
                <w:iCs/>
              </w:rPr>
            </w:pPr>
            <w:r w:rsidRPr="00665F55">
              <w:rPr>
                <w:rFonts w:ascii="Times New Roman" w:hAnsi="Times New Roman" w:cs="Times New Roman"/>
                <w:b/>
                <w:bCs/>
                <w:i/>
                <w:iCs/>
              </w:rPr>
              <w:t xml:space="preserve">CLIMATE ASPECT </w:t>
            </w:r>
          </w:p>
          <w:p w14:paraId="52911658" w14:textId="7E24CDE5" w:rsidR="00E80739" w:rsidRPr="00665F55" w:rsidRDefault="00E80739" w:rsidP="00BD438F">
            <w:pPr>
              <w:rPr>
                <w:rFonts w:ascii="Times New Roman" w:hAnsi="Times New Roman" w:cs="Times New Roman"/>
              </w:rPr>
            </w:pPr>
            <w:r w:rsidRPr="00665F55">
              <w:rPr>
                <w:rFonts w:ascii="Times New Roman" w:hAnsi="Times New Roman" w:cs="Times New Roman"/>
                <w:i/>
                <w:iCs/>
              </w:rPr>
              <w:t>Think Hazard</w:t>
            </w:r>
            <w:r w:rsidRPr="00665F55">
              <w:rPr>
                <w:rFonts w:ascii="Times New Roman" w:hAnsi="Times New Roman" w:cs="Times New Roman"/>
              </w:rPr>
              <w:t xml:space="preserve"> official site</w:t>
            </w:r>
            <w:r w:rsidR="0088771D" w:rsidRPr="00665F55">
              <w:rPr>
                <w:rStyle w:val="FootnoteReference"/>
                <w:rFonts w:ascii="Times New Roman" w:hAnsi="Times New Roman" w:cs="Times New Roman"/>
              </w:rPr>
              <w:footnoteReference w:id="20"/>
            </w:r>
            <w:r w:rsidRPr="00665F55">
              <w:rPr>
                <w:rFonts w:ascii="Times New Roman" w:hAnsi="Times New Roman" w:cs="Times New Roman"/>
              </w:rPr>
              <w:t xml:space="preserve"> </w:t>
            </w:r>
            <w:hyperlink r:id="rId79" w:history="1">
              <w:r w:rsidRPr="00665F55">
                <w:rPr>
                  <w:rStyle w:val="Hyperlink"/>
                  <w:rFonts w:ascii="Times New Roman" w:hAnsi="Times New Roman" w:cs="Times New Roman"/>
                  <w:shd w:val="clear" w:color="auto" w:fill="FFFFFF"/>
                </w:rPr>
                <w:t>GNU General Public License, Version 3, 29 June 2007</w:t>
              </w:r>
            </w:hyperlink>
            <w:r w:rsidRPr="00665F55">
              <w:rPr>
                <w:rStyle w:val="FootnoteReference"/>
                <w:rFonts w:ascii="Times New Roman" w:hAnsi="Times New Roman" w:cs="Times New Roman"/>
              </w:rPr>
              <w:t xml:space="preserve"> </w:t>
            </w:r>
          </w:p>
        </w:tc>
      </w:tr>
      <w:tr w:rsidR="00E80739" w14:paraId="0D3B8325" w14:textId="77777777" w:rsidTr="00665F55">
        <w:tc>
          <w:tcPr>
            <w:tcW w:w="3681" w:type="dxa"/>
            <w:vAlign w:val="center"/>
          </w:tcPr>
          <w:p w14:paraId="2BB506A8" w14:textId="77777777" w:rsidR="00E80739" w:rsidRPr="00665F55" w:rsidRDefault="00E80739" w:rsidP="00BD438F">
            <w:pPr>
              <w:jc w:val="both"/>
              <w:rPr>
                <w:rFonts w:ascii="Times New Roman" w:hAnsi="Times New Roman" w:cs="Times New Roman"/>
              </w:rPr>
            </w:pPr>
            <w:r w:rsidRPr="00665F55">
              <w:rPr>
                <w:rFonts w:ascii="Times New Roman" w:hAnsi="Times New Roman" w:cs="Times New Roman"/>
              </w:rPr>
              <w:t>Average expenditure on infrastructure per LSG</w:t>
            </w:r>
          </w:p>
        </w:tc>
        <w:tc>
          <w:tcPr>
            <w:tcW w:w="5944" w:type="dxa"/>
          </w:tcPr>
          <w:p w14:paraId="5ACD3372" w14:textId="77777777" w:rsidR="00E80739" w:rsidRPr="00665F55" w:rsidRDefault="00E80739" w:rsidP="00BD438F">
            <w:pPr>
              <w:rPr>
                <w:rFonts w:ascii="Times New Roman" w:hAnsi="Times New Roman" w:cs="Times New Roman"/>
                <w:i/>
                <w:iCs/>
              </w:rPr>
            </w:pPr>
            <w:r w:rsidRPr="00665F55">
              <w:rPr>
                <w:rFonts w:ascii="Times New Roman" w:hAnsi="Times New Roman" w:cs="Times New Roman"/>
                <w:i/>
                <w:iCs/>
              </w:rPr>
              <w:t xml:space="preserve">Ministry of Finance data </w:t>
            </w:r>
          </w:p>
        </w:tc>
      </w:tr>
    </w:tbl>
    <w:p w14:paraId="3F22D70B" w14:textId="77777777" w:rsidR="00E80739" w:rsidRPr="00665F55" w:rsidRDefault="00E80739" w:rsidP="00E80739">
      <w:pPr>
        <w:spacing w:after="0" w:line="240" w:lineRule="auto"/>
        <w:jc w:val="both"/>
        <w:rPr>
          <w:rFonts w:ascii="Times New Roman" w:hAnsi="Times New Roman" w:cs="Times New Roman"/>
        </w:rPr>
      </w:pPr>
    </w:p>
    <w:p w14:paraId="36A0881B" w14:textId="77777777" w:rsidR="00E80739" w:rsidRPr="00665F55" w:rsidRDefault="00E80739" w:rsidP="00E80739">
      <w:pPr>
        <w:spacing w:after="0" w:line="240" w:lineRule="auto"/>
        <w:jc w:val="both"/>
        <w:rPr>
          <w:rFonts w:ascii="Times New Roman" w:hAnsi="Times New Roman" w:cs="Times New Roman"/>
        </w:rPr>
      </w:pPr>
      <w:r w:rsidRPr="00665F55">
        <w:rPr>
          <w:rFonts w:ascii="Times New Roman" w:hAnsi="Times New Roman" w:cs="Times New Roman"/>
          <w:i/>
          <w:iCs/>
        </w:rPr>
        <w:t>LSGs number and names</w:t>
      </w:r>
    </w:p>
    <w:p w14:paraId="479235BF" w14:textId="03FD696F" w:rsidR="00E80739" w:rsidRPr="00665F55" w:rsidRDefault="00E80739" w:rsidP="00E80739">
      <w:pPr>
        <w:spacing w:after="0" w:line="240" w:lineRule="auto"/>
        <w:jc w:val="both"/>
        <w:rPr>
          <w:rFonts w:ascii="Times New Roman" w:hAnsi="Times New Roman" w:cs="Times New Roman"/>
        </w:rPr>
      </w:pPr>
      <w:r w:rsidRPr="00665F55">
        <w:rPr>
          <w:rFonts w:ascii="Times New Roman" w:hAnsi="Times New Roman" w:cs="Times New Roman"/>
        </w:rPr>
        <w:t xml:space="preserve">In accordance with Law on </w:t>
      </w:r>
      <w:r w:rsidR="00FC208B" w:rsidRPr="00665F55">
        <w:rPr>
          <w:rFonts w:ascii="Times New Roman" w:hAnsi="Times New Roman" w:cs="Times New Roman"/>
        </w:rPr>
        <w:t>Territorial O</w:t>
      </w:r>
      <w:r w:rsidRPr="00665F55">
        <w:rPr>
          <w:rFonts w:ascii="Times New Roman" w:hAnsi="Times New Roman" w:cs="Times New Roman"/>
        </w:rPr>
        <w:t xml:space="preserve">rganization of the Republic of Serbia, there are two types of </w:t>
      </w:r>
      <w:r w:rsidR="00FC208B" w:rsidRPr="00665F55">
        <w:rPr>
          <w:rFonts w:ascii="Times New Roman" w:hAnsi="Times New Roman" w:cs="Times New Roman"/>
        </w:rPr>
        <w:t>LSGs</w:t>
      </w:r>
      <w:r w:rsidRPr="00665F55">
        <w:rPr>
          <w:rFonts w:ascii="Times New Roman" w:hAnsi="Times New Roman" w:cs="Times New Roman"/>
        </w:rPr>
        <w:t xml:space="preserve">: cities, municipalities and City of Belgrade as unique administrative entity. </w:t>
      </w:r>
      <w:r w:rsidR="00FC208B" w:rsidRPr="00665F55">
        <w:rPr>
          <w:rFonts w:ascii="Times New Roman" w:hAnsi="Times New Roman" w:cs="Times New Roman"/>
        </w:rPr>
        <w:t xml:space="preserve">The </w:t>
      </w:r>
      <w:r w:rsidRPr="00665F55">
        <w:rPr>
          <w:rFonts w:ascii="Times New Roman" w:hAnsi="Times New Roman" w:cs="Times New Roman"/>
        </w:rPr>
        <w:t xml:space="preserve">LIID activities will cover 145 eligible LSGs: City of Belgrade (administrative area with 17 city municipalities), 27 cities and 117 municipalities. </w:t>
      </w:r>
    </w:p>
    <w:p w14:paraId="4F24B43B" w14:textId="77777777" w:rsidR="00E80739" w:rsidRPr="00665F55" w:rsidRDefault="00E80739" w:rsidP="00E80739">
      <w:pPr>
        <w:spacing w:after="0" w:line="240" w:lineRule="auto"/>
        <w:jc w:val="both"/>
        <w:rPr>
          <w:rFonts w:ascii="Times New Roman" w:hAnsi="Times New Roman" w:cs="Times New Roman"/>
        </w:rPr>
      </w:pPr>
    </w:p>
    <w:p w14:paraId="4E231F16" w14:textId="7D6EE7C4" w:rsidR="00E80739" w:rsidRPr="00665F55" w:rsidRDefault="00E80739" w:rsidP="00E80739">
      <w:pPr>
        <w:spacing w:after="0" w:line="240" w:lineRule="auto"/>
        <w:jc w:val="both"/>
        <w:rPr>
          <w:rFonts w:ascii="Times New Roman" w:hAnsi="Times New Roman" w:cs="Times New Roman"/>
          <w:i/>
          <w:iCs/>
        </w:rPr>
      </w:pPr>
      <w:r w:rsidRPr="00665F55">
        <w:rPr>
          <w:rFonts w:ascii="Times New Roman" w:hAnsi="Times New Roman" w:cs="Times New Roman"/>
          <w:i/>
          <w:iCs/>
        </w:rPr>
        <w:t>LSGs population</w:t>
      </w:r>
    </w:p>
    <w:p w14:paraId="346C7F29" w14:textId="03655C6F" w:rsidR="00E80739" w:rsidRPr="00665F55" w:rsidRDefault="00E80739" w:rsidP="00E80739">
      <w:pPr>
        <w:spacing w:after="0" w:line="240" w:lineRule="auto"/>
        <w:jc w:val="both"/>
        <w:rPr>
          <w:rFonts w:ascii="Times New Roman" w:hAnsi="Times New Roman" w:cs="Times New Roman"/>
        </w:rPr>
      </w:pPr>
      <w:r w:rsidRPr="00665F55">
        <w:rPr>
          <w:rFonts w:ascii="Times New Roman" w:hAnsi="Times New Roman" w:cs="Times New Roman"/>
        </w:rPr>
        <w:t>Census of the population was planned for 2021</w:t>
      </w:r>
      <w:r w:rsidR="00FC208B" w:rsidRPr="00665F55">
        <w:rPr>
          <w:rFonts w:ascii="Times New Roman" w:hAnsi="Times New Roman" w:cs="Times New Roman"/>
        </w:rPr>
        <w:t>,</w:t>
      </w:r>
      <w:r w:rsidRPr="00665F55">
        <w:rPr>
          <w:rFonts w:ascii="Times New Roman" w:hAnsi="Times New Roman" w:cs="Times New Roman"/>
        </w:rPr>
        <w:t xml:space="preserve"> but it has been postponed for 2022</w:t>
      </w:r>
      <w:r w:rsidR="00FC208B" w:rsidRPr="00665F55">
        <w:rPr>
          <w:rFonts w:ascii="Times New Roman" w:hAnsi="Times New Roman" w:cs="Times New Roman"/>
        </w:rPr>
        <w:t xml:space="preserve"> due to the Covid</w:t>
      </w:r>
      <w:r w:rsidR="001F42AE">
        <w:rPr>
          <w:rFonts w:ascii="Times New Roman" w:hAnsi="Times New Roman" w:cs="Times New Roman"/>
        </w:rPr>
        <w:t>-19</w:t>
      </w:r>
      <w:r w:rsidR="00FC208B" w:rsidRPr="00665F55">
        <w:rPr>
          <w:rFonts w:ascii="Times New Roman" w:hAnsi="Times New Roman" w:cs="Times New Roman"/>
        </w:rPr>
        <w:t xml:space="preserve"> pandemic</w:t>
      </w:r>
      <w:r w:rsidRPr="00665F55">
        <w:rPr>
          <w:rFonts w:ascii="Times New Roman" w:hAnsi="Times New Roman" w:cs="Times New Roman"/>
        </w:rPr>
        <w:t xml:space="preserve">. In line with </w:t>
      </w:r>
      <w:r w:rsidR="00FC208B" w:rsidRPr="00665F55">
        <w:rPr>
          <w:rFonts w:ascii="Times New Roman" w:hAnsi="Times New Roman" w:cs="Times New Roman"/>
        </w:rPr>
        <w:t xml:space="preserve">the </w:t>
      </w:r>
      <w:r w:rsidRPr="00665F55">
        <w:rPr>
          <w:rFonts w:ascii="Times New Roman" w:hAnsi="Times New Roman" w:cs="Times New Roman"/>
        </w:rPr>
        <w:t xml:space="preserve">mentioned (previous was conducted 2011. and data are obsolete), official estimations were made on population number for each LSG by </w:t>
      </w:r>
      <w:r w:rsidR="00FC208B" w:rsidRPr="00665F55">
        <w:rPr>
          <w:rFonts w:ascii="Times New Roman" w:hAnsi="Times New Roman" w:cs="Times New Roman"/>
        </w:rPr>
        <w:t>the S</w:t>
      </w:r>
      <w:r w:rsidRPr="00665F55">
        <w:rPr>
          <w:rFonts w:ascii="Times New Roman" w:hAnsi="Times New Roman" w:cs="Times New Roman"/>
        </w:rPr>
        <w:t xml:space="preserve">tatistical </w:t>
      </w:r>
      <w:r w:rsidR="00FC208B" w:rsidRPr="00665F55">
        <w:rPr>
          <w:rFonts w:ascii="Times New Roman" w:hAnsi="Times New Roman" w:cs="Times New Roman"/>
        </w:rPr>
        <w:t xml:space="preserve">Office </w:t>
      </w:r>
      <w:r w:rsidRPr="00665F55">
        <w:rPr>
          <w:rFonts w:ascii="Times New Roman" w:hAnsi="Times New Roman" w:cs="Times New Roman"/>
        </w:rPr>
        <w:t xml:space="preserve">of the Republic of Serbia (SORS). </w:t>
      </w:r>
    </w:p>
    <w:p w14:paraId="41571E83" w14:textId="77777777" w:rsidR="00E80739" w:rsidRPr="00665F55" w:rsidRDefault="00E80739" w:rsidP="00E80739">
      <w:pPr>
        <w:spacing w:after="0" w:line="240" w:lineRule="auto"/>
        <w:jc w:val="both"/>
        <w:rPr>
          <w:rFonts w:ascii="Times New Roman" w:hAnsi="Times New Roman" w:cs="Times New Roman"/>
        </w:rPr>
      </w:pPr>
    </w:p>
    <w:p w14:paraId="463A6088" w14:textId="77777777" w:rsidR="00E80739" w:rsidRPr="00665F55" w:rsidRDefault="00E80739" w:rsidP="00E80739">
      <w:pPr>
        <w:spacing w:after="0" w:line="240" w:lineRule="auto"/>
        <w:jc w:val="both"/>
        <w:rPr>
          <w:rFonts w:ascii="Times New Roman" w:hAnsi="Times New Roman" w:cs="Times New Roman"/>
          <w:i/>
          <w:iCs/>
        </w:rPr>
      </w:pPr>
      <w:r w:rsidRPr="00665F55">
        <w:rPr>
          <w:rFonts w:ascii="Times New Roman" w:hAnsi="Times New Roman" w:cs="Times New Roman"/>
          <w:i/>
          <w:iCs/>
        </w:rPr>
        <w:t>LSGs area</w:t>
      </w:r>
    </w:p>
    <w:p w14:paraId="48960C2F" w14:textId="55AA9D06" w:rsidR="00E80739" w:rsidRDefault="00E80739" w:rsidP="00E80739">
      <w:pPr>
        <w:spacing w:after="0" w:line="240" w:lineRule="auto"/>
        <w:jc w:val="both"/>
      </w:pPr>
      <w:r>
        <w:t xml:space="preserve">Administrative area of LSGs consist from smaller </w:t>
      </w:r>
      <w:r w:rsidR="00835C1A">
        <w:t>cadastre</w:t>
      </w:r>
      <w:r>
        <w:t xml:space="preserve"> municipalities. Records on </w:t>
      </w:r>
      <w:r w:rsidR="00835C1A">
        <w:t>cadastre</w:t>
      </w:r>
      <w:r>
        <w:t xml:space="preserve"> municipalities areas are kept by </w:t>
      </w:r>
      <w:r w:rsidR="00FC208B">
        <w:t xml:space="preserve">the </w:t>
      </w:r>
      <w:r>
        <w:t xml:space="preserve">Republic </w:t>
      </w:r>
      <w:r w:rsidR="00FC208B">
        <w:t xml:space="preserve">Geodesy Authority </w:t>
      </w:r>
      <w:r>
        <w:t xml:space="preserve">and are subject of revision in accordance with Law on State survey and </w:t>
      </w:r>
      <w:r w:rsidR="00835C1A">
        <w:t>Cadastre</w:t>
      </w:r>
      <w:r>
        <w:t xml:space="preserve">. Revisions are not often and latest data are published in official publications. Therefore, the official data from official Statistical Yearbook from the SORS is used. </w:t>
      </w:r>
    </w:p>
    <w:p w14:paraId="3F5E4B8E" w14:textId="77777777" w:rsidR="00E80739" w:rsidRDefault="00E80739" w:rsidP="00E80739">
      <w:pPr>
        <w:spacing w:after="0" w:line="240" w:lineRule="auto"/>
        <w:jc w:val="both"/>
      </w:pPr>
    </w:p>
    <w:p w14:paraId="1F855051" w14:textId="77777777" w:rsidR="00E80739" w:rsidRPr="00665F55" w:rsidRDefault="00E80739" w:rsidP="00E80739">
      <w:pPr>
        <w:spacing w:after="0" w:line="240" w:lineRule="auto"/>
        <w:jc w:val="both"/>
        <w:rPr>
          <w:rFonts w:ascii="Times New Roman" w:hAnsi="Times New Roman" w:cs="Times New Roman"/>
          <w:i/>
          <w:iCs/>
        </w:rPr>
      </w:pPr>
      <w:r w:rsidRPr="00665F55">
        <w:rPr>
          <w:rFonts w:ascii="Times New Roman" w:hAnsi="Times New Roman" w:cs="Times New Roman"/>
          <w:i/>
          <w:iCs/>
        </w:rPr>
        <w:t>LSGs development class</w:t>
      </w:r>
    </w:p>
    <w:p w14:paraId="58670313" w14:textId="110F5A51" w:rsidR="00E80739" w:rsidRPr="00665F55" w:rsidRDefault="00E80739" w:rsidP="00E80739">
      <w:pPr>
        <w:spacing w:after="0" w:line="240" w:lineRule="auto"/>
        <w:jc w:val="both"/>
        <w:rPr>
          <w:rFonts w:ascii="Times New Roman" w:hAnsi="Times New Roman" w:cs="Times New Roman"/>
        </w:rPr>
      </w:pPr>
      <w:r w:rsidRPr="00665F55">
        <w:rPr>
          <w:rFonts w:ascii="Times New Roman" w:hAnsi="Times New Roman" w:cs="Times New Roman"/>
        </w:rPr>
        <w:t xml:space="preserve">In line with regional disparities in </w:t>
      </w:r>
      <w:r w:rsidR="00FC208B" w:rsidRPr="00665F55">
        <w:rPr>
          <w:rFonts w:ascii="Times New Roman" w:hAnsi="Times New Roman" w:cs="Times New Roman"/>
        </w:rPr>
        <w:t xml:space="preserve">the </w:t>
      </w:r>
      <w:r w:rsidRPr="00665F55">
        <w:rPr>
          <w:rFonts w:ascii="Times New Roman" w:hAnsi="Times New Roman" w:cs="Times New Roman"/>
        </w:rPr>
        <w:t xml:space="preserve">Republic of Serbia, and needs for development support that should be given to least developed regions and LSGs, </w:t>
      </w:r>
      <w:r w:rsidR="00FC208B" w:rsidRPr="00665F55">
        <w:rPr>
          <w:rFonts w:ascii="Times New Roman" w:hAnsi="Times New Roman" w:cs="Times New Roman"/>
        </w:rPr>
        <w:t xml:space="preserve">a </w:t>
      </w:r>
      <w:r w:rsidRPr="00665F55">
        <w:rPr>
          <w:rFonts w:ascii="Times New Roman" w:hAnsi="Times New Roman" w:cs="Times New Roman"/>
        </w:rPr>
        <w:t>decree on development class</w:t>
      </w:r>
      <w:r w:rsidR="00FC208B" w:rsidRPr="00665F55">
        <w:rPr>
          <w:rFonts w:ascii="Times New Roman" w:hAnsi="Times New Roman" w:cs="Times New Roman"/>
        </w:rPr>
        <w:t>es</w:t>
      </w:r>
      <w:r w:rsidRPr="00665F55">
        <w:rPr>
          <w:rFonts w:ascii="Times New Roman" w:hAnsi="Times New Roman" w:cs="Times New Roman"/>
        </w:rPr>
        <w:t xml:space="preserve"> was adopted in </w:t>
      </w:r>
      <w:r w:rsidR="003A7B6D" w:rsidRPr="00665F55">
        <w:rPr>
          <w:rFonts w:ascii="Times New Roman" w:hAnsi="Times New Roman" w:cs="Times New Roman"/>
        </w:rPr>
        <w:t xml:space="preserve">year </w:t>
      </w:r>
      <w:r w:rsidRPr="00665F55">
        <w:rPr>
          <w:rFonts w:ascii="Times New Roman" w:hAnsi="Times New Roman" w:cs="Times New Roman"/>
        </w:rPr>
        <w:t>2014. Stated decree is dividing LSGs to 4</w:t>
      </w:r>
      <w:r w:rsidR="00FC208B" w:rsidRPr="00665F55">
        <w:rPr>
          <w:rFonts w:ascii="Times New Roman" w:hAnsi="Times New Roman" w:cs="Times New Roman"/>
        </w:rPr>
        <w:t xml:space="preserve"> (four)</w:t>
      </w:r>
      <w:r w:rsidRPr="00665F55">
        <w:rPr>
          <w:rFonts w:ascii="Times New Roman" w:hAnsi="Times New Roman" w:cs="Times New Roman"/>
        </w:rPr>
        <w:t xml:space="preserve"> class and one sub-class. First group of LSGs (20 in total) are </w:t>
      </w:r>
      <w:r w:rsidR="00FC208B" w:rsidRPr="00665F55">
        <w:rPr>
          <w:rFonts w:ascii="Times New Roman" w:hAnsi="Times New Roman" w:cs="Times New Roman"/>
        </w:rPr>
        <w:t xml:space="preserve">the </w:t>
      </w:r>
      <w:r w:rsidRPr="00665F55">
        <w:rPr>
          <w:rFonts w:ascii="Times New Roman" w:hAnsi="Times New Roman" w:cs="Times New Roman"/>
        </w:rPr>
        <w:t>one</w:t>
      </w:r>
      <w:r w:rsidR="00FC208B" w:rsidRPr="00665F55">
        <w:rPr>
          <w:rFonts w:ascii="Times New Roman" w:hAnsi="Times New Roman" w:cs="Times New Roman"/>
        </w:rPr>
        <w:t>s</w:t>
      </w:r>
      <w:r w:rsidRPr="00665F55">
        <w:rPr>
          <w:rFonts w:ascii="Times New Roman" w:hAnsi="Times New Roman" w:cs="Times New Roman"/>
        </w:rPr>
        <w:t xml:space="preserve"> that are having </w:t>
      </w:r>
      <w:r w:rsidR="00FC208B" w:rsidRPr="00665F55">
        <w:rPr>
          <w:rFonts w:ascii="Times New Roman" w:hAnsi="Times New Roman" w:cs="Times New Roman"/>
        </w:rPr>
        <w:t xml:space="preserve">the </w:t>
      </w:r>
      <w:r w:rsidRPr="00665F55">
        <w:rPr>
          <w:rFonts w:ascii="Times New Roman" w:hAnsi="Times New Roman" w:cs="Times New Roman"/>
        </w:rPr>
        <w:t xml:space="preserve">development rate above </w:t>
      </w:r>
      <w:r w:rsidR="00FC208B" w:rsidRPr="00665F55">
        <w:rPr>
          <w:rFonts w:ascii="Times New Roman" w:hAnsi="Times New Roman" w:cs="Times New Roman"/>
        </w:rPr>
        <w:t xml:space="preserve">the </w:t>
      </w:r>
      <w:r w:rsidRPr="00665F55">
        <w:rPr>
          <w:rFonts w:ascii="Times New Roman" w:hAnsi="Times New Roman" w:cs="Times New Roman"/>
        </w:rPr>
        <w:t>national average. Second group of LSGs (34 in total) are one</w:t>
      </w:r>
      <w:r w:rsidR="00FC208B" w:rsidRPr="00665F55">
        <w:rPr>
          <w:rFonts w:ascii="Times New Roman" w:hAnsi="Times New Roman" w:cs="Times New Roman"/>
        </w:rPr>
        <w:t>s</w:t>
      </w:r>
      <w:r w:rsidRPr="00665F55">
        <w:rPr>
          <w:rFonts w:ascii="Times New Roman" w:hAnsi="Times New Roman" w:cs="Times New Roman"/>
        </w:rPr>
        <w:t xml:space="preserve"> </w:t>
      </w:r>
      <w:r w:rsidR="00FC208B" w:rsidRPr="00665F55">
        <w:rPr>
          <w:rFonts w:ascii="Times New Roman" w:hAnsi="Times New Roman" w:cs="Times New Roman"/>
        </w:rPr>
        <w:t>with the</w:t>
      </w:r>
      <w:r w:rsidRPr="00665F55">
        <w:rPr>
          <w:rFonts w:ascii="Times New Roman" w:hAnsi="Times New Roman" w:cs="Times New Roman"/>
        </w:rPr>
        <w:t xml:space="preserve"> development rate in </w:t>
      </w:r>
      <w:r w:rsidR="00FC208B" w:rsidRPr="00665F55">
        <w:rPr>
          <w:rFonts w:ascii="Times New Roman" w:hAnsi="Times New Roman" w:cs="Times New Roman"/>
        </w:rPr>
        <w:t xml:space="preserve">the </w:t>
      </w:r>
      <w:r w:rsidRPr="00665F55">
        <w:rPr>
          <w:rFonts w:ascii="Times New Roman" w:hAnsi="Times New Roman" w:cs="Times New Roman"/>
        </w:rPr>
        <w:t>range from 80-100</w:t>
      </w:r>
      <w:r w:rsidR="00FC208B" w:rsidRPr="00665F55">
        <w:rPr>
          <w:rFonts w:ascii="Times New Roman" w:hAnsi="Times New Roman" w:cs="Times New Roman"/>
        </w:rPr>
        <w:t xml:space="preserve"> percent</w:t>
      </w:r>
      <w:r w:rsidRPr="00665F55">
        <w:rPr>
          <w:rFonts w:ascii="Times New Roman" w:hAnsi="Times New Roman" w:cs="Times New Roman"/>
        </w:rPr>
        <w:t xml:space="preserve"> of national average. Third group of LSGs (47) are one</w:t>
      </w:r>
      <w:r w:rsidR="00FC208B" w:rsidRPr="00665F55">
        <w:rPr>
          <w:rFonts w:ascii="Times New Roman" w:hAnsi="Times New Roman" w:cs="Times New Roman"/>
        </w:rPr>
        <w:t>s</w:t>
      </w:r>
      <w:r w:rsidRPr="00665F55">
        <w:rPr>
          <w:rFonts w:ascii="Times New Roman" w:hAnsi="Times New Roman" w:cs="Times New Roman"/>
        </w:rPr>
        <w:t xml:space="preserve"> </w:t>
      </w:r>
      <w:r w:rsidR="00FC208B" w:rsidRPr="00665F55">
        <w:rPr>
          <w:rFonts w:ascii="Times New Roman" w:hAnsi="Times New Roman" w:cs="Times New Roman"/>
        </w:rPr>
        <w:t>those with the</w:t>
      </w:r>
      <w:r w:rsidRPr="00665F55">
        <w:rPr>
          <w:rFonts w:ascii="Times New Roman" w:hAnsi="Times New Roman" w:cs="Times New Roman"/>
        </w:rPr>
        <w:t xml:space="preserve"> development range from 60-80</w:t>
      </w:r>
      <w:r w:rsidR="00FC208B" w:rsidRPr="00665F55">
        <w:rPr>
          <w:rFonts w:ascii="Times New Roman" w:hAnsi="Times New Roman" w:cs="Times New Roman"/>
        </w:rPr>
        <w:t xml:space="preserve"> percent</w:t>
      </w:r>
      <w:r w:rsidRPr="00665F55">
        <w:rPr>
          <w:rFonts w:ascii="Times New Roman" w:hAnsi="Times New Roman" w:cs="Times New Roman"/>
        </w:rPr>
        <w:t xml:space="preserve"> of </w:t>
      </w:r>
      <w:r w:rsidR="00FC208B" w:rsidRPr="00665F55">
        <w:rPr>
          <w:rFonts w:ascii="Times New Roman" w:hAnsi="Times New Roman" w:cs="Times New Roman"/>
        </w:rPr>
        <w:t xml:space="preserve">the </w:t>
      </w:r>
      <w:r w:rsidRPr="00665F55">
        <w:rPr>
          <w:rFonts w:ascii="Times New Roman" w:hAnsi="Times New Roman" w:cs="Times New Roman"/>
        </w:rPr>
        <w:t xml:space="preserve">national average. Fourth group of LSGs (44) are </w:t>
      </w:r>
      <w:r w:rsidR="00FC208B" w:rsidRPr="00665F55">
        <w:rPr>
          <w:rFonts w:ascii="Times New Roman" w:hAnsi="Times New Roman" w:cs="Times New Roman"/>
        </w:rPr>
        <w:t xml:space="preserve">the </w:t>
      </w:r>
      <w:r w:rsidRPr="00665F55">
        <w:rPr>
          <w:rFonts w:ascii="Times New Roman" w:hAnsi="Times New Roman" w:cs="Times New Roman"/>
        </w:rPr>
        <w:t>one</w:t>
      </w:r>
      <w:r w:rsidR="00FC208B" w:rsidRPr="00665F55">
        <w:rPr>
          <w:rFonts w:ascii="Times New Roman" w:hAnsi="Times New Roman" w:cs="Times New Roman"/>
        </w:rPr>
        <w:t>s</w:t>
      </w:r>
      <w:r w:rsidRPr="00665F55">
        <w:rPr>
          <w:rFonts w:ascii="Times New Roman" w:hAnsi="Times New Roman" w:cs="Times New Roman"/>
        </w:rPr>
        <w:t xml:space="preserve"> that are having development range under 60</w:t>
      </w:r>
      <w:r w:rsidR="00FC208B" w:rsidRPr="00665F55">
        <w:rPr>
          <w:rFonts w:ascii="Times New Roman" w:hAnsi="Times New Roman" w:cs="Times New Roman"/>
        </w:rPr>
        <w:t xml:space="preserve"> percent</w:t>
      </w:r>
      <w:r w:rsidRPr="00665F55">
        <w:rPr>
          <w:rFonts w:ascii="Times New Roman" w:hAnsi="Times New Roman" w:cs="Times New Roman"/>
        </w:rPr>
        <w:t xml:space="preserve"> of </w:t>
      </w:r>
      <w:r w:rsidR="00FC208B" w:rsidRPr="00665F55">
        <w:rPr>
          <w:rFonts w:ascii="Times New Roman" w:hAnsi="Times New Roman" w:cs="Times New Roman"/>
        </w:rPr>
        <w:t xml:space="preserve">the </w:t>
      </w:r>
      <w:r w:rsidRPr="00665F55">
        <w:rPr>
          <w:rFonts w:ascii="Times New Roman" w:hAnsi="Times New Roman" w:cs="Times New Roman"/>
        </w:rPr>
        <w:t>national average. In this group</w:t>
      </w:r>
      <w:r w:rsidR="00FC208B" w:rsidRPr="00665F55">
        <w:rPr>
          <w:rFonts w:ascii="Times New Roman" w:hAnsi="Times New Roman" w:cs="Times New Roman"/>
        </w:rPr>
        <w:t>,</w:t>
      </w:r>
      <w:r w:rsidRPr="00665F55">
        <w:rPr>
          <w:rFonts w:ascii="Times New Roman" w:hAnsi="Times New Roman" w:cs="Times New Roman"/>
        </w:rPr>
        <w:t xml:space="preserve"> 19 LSGs are having </w:t>
      </w:r>
      <w:r w:rsidR="00FC208B" w:rsidRPr="00665F55">
        <w:rPr>
          <w:rFonts w:ascii="Times New Roman" w:hAnsi="Times New Roman" w:cs="Times New Roman"/>
        </w:rPr>
        <w:t xml:space="preserve">a </w:t>
      </w:r>
      <w:r w:rsidRPr="00665F55">
        <w:rPr>
          <w:rFonts w:ascii="Times New Roman" w:hAnsi="Times New Roman" w:cs="Times New Roman"/>
        </w:rPr>
        <w:t>lower development range than 50</w:t>
      </w:r>
      <w:r w:rsidR="00FC208B" w:rsidRPr="00665F55">
        <w:rPr>
          <w:rFonts w:ascii="Times New Roman" w:hAnsi="Times New Roman" w:cs="Times New Roman"/>
        </w:rPr>
        <w:t xml:space="preserve"> percent</w:t>
      </w:r>
      <w:r w:rsidR="00FC208B" w:rsidRPr="00665F55" w:rsidDel="00FC208B">
        <w:rPr>
          <w:rFonts w:ascii="Times New Roman" w:hAnsi="Times New Roman" w:cs="Times New Roman"/>
        </w:rPr>
        <w:t xml:space="preserve"> </w:t>
      </w:r>
      <w:r w:rsidRPr="00665F55">
        <w:rPr>
          <w:rFonts w:ascii="Times New Roman" w:hAnsi="Times New Roman" w:cs="Times New Roman"/>
        </w:rPr>
        <w:t xml:space="preserve">of </w:t>
      </w:r>
      <w:r w:rsidR="00FC208B" w:rsidRPr="00665F55">
        <w:rPr>
          <w:rFonts w:ascii="Times New Roman" w:hAnsi="Times New Roman" w:cs="Times New Roman"/>
        </w:rPr>
        <w:t xml:space="preserve">the </w:t>
      </w:r>
      <w:r w:rsidRPr="00665F55">
        <w:rPr>
          <w:rFonts w:ascii="Times New Roman" w:hAnsi="Times New Roman" w:cs="Times New Roman"/>
        </w:rPr>
        <w:t xml:space="preserve">national average and they are forming </w:t>
      </w:r>
      <w:r w:rsidR="00FC208B" w:rsidRPr="00665F55">
        <w:rPr>
          <w:rFonts w:ascii="Times New Roman" w:hAnsi="Times New Roman" w:cs="Times New Roman"/>
        </w:rPr>
        <w:t xml:space="preserve">a </w:t>
      </w:r>
      <w:r w:rsidRPr="00665F55">
        <w:rPr>
          <w:rFonts w:ascii="Times New Roman" w:hAnsi="Times New Roman" w:cs="Times New Roman"/>
        </w:rPr>
        <w:t>sub-class of devastated LSGs.</w:t>
      </w:r>
    </w:p>
    <w:p w14:paraId="02EDCCF8" w14:textId="77777777" w:rsidR="00E80739" w:rsidRPr="00665F55" w:rsidRDefault="00E80739" w:rsidP="00E80739">
      <w:pPr>
        <w:spacing w:after="0" w:line="240" w:lineRule="auto"/>
        <w:jc w:val="both"/>
        <w:rPr>
          <w:rFonts w:ascii="Times New Roman" w:hAnsi="Times New Roman" w:cs="Times New Roman"/>
        </w:rPr>
      </w:pPr>
    </w:p>
    <w:p w14:paraId="77DCEA22" w14:textId="77777777" w:rsidR="00E80739" w:rsidRPr="00665F55" w:rsidRDefault="00E80739" w:rsidP="00E80739">
      <w:pPr>
        <w:spacing w:after="0" w:line="240" w:lineRule="auto"/>
        <w:jc w:val="both"/>
        <w:rPr>
          <w:rFonts w:ascii="Times New Roman" w:hAnsi="Times New Roman" w:cs="Times New Roman"/>
          <w:i/>
          <w:iCs/>
        </w:rPr>
      </w:pPr>
      <w:r w:rsidRPr="00665F55">
        <w:rPr>
          <w:rFonts w:ascii="Times New Roman" w:hAnsi="Times New Roman" w:cs="Times New Roman"/>
          <w:i/>
          <w:iCs/>
        </w:rPr>
        <w:t>Think hazard climate risks</w:t>
      </w:r>
    </w:p>
    <w:p w14:paraId="710F025A" w14:textId="403F4DB4" w:rsidR="00E80739" w:rsidRPr="00665F55" w:rsidRDefault="00E80739" w:rsidP="00E80739">
      <w:pPr>
        <w:spacing w:after="0" w:line="240" w:lineRule="auto"/>
        <w:jc w:val="both"/>
        <w:rPr>
          <w:rFonts w:ascii="Times New Roman" w:hAnsi="Times New Roman" w:cs="Times New Roman"/>
          <w:shd w:val="clear" w:color="auto" w:fill="FFFFFF"/>
        </w:rPr>
      </w:pPr>
      <w:r w:rsidRPr="00665F55">
        <w:rPr>
          <w:rStyle w:val="Emphasis"/>
          <w:rFonts w:ascii="Times New Roman" w:hAnsi="Times New Roman" w:cs="Times New Roman"/>
          <w:shd w:val="clear" w:color="auto" w:fill="FFFFFF"/>
        </w:rPr>
        <w:t>Think Hazard</w:t>
      </w:r>
      <w:r w:rsidRPr="00665F55">
        <w:rPr>
          <w:rFonts w:ascii="Times New Roman" w:hAnsi="Times New Roman" w:cs="Times New Roman"/>
          <w:i/>
          <w:iCs/>
          <w:shd w:val="clear" w:color="auto" w:fill="FFFFFF"/>
        </w:rPr>
        <w:t xml:space="preserve"> </w:t>
      </w:r>
      <w:r w:rsidRPr="00665F55">
        <w:rPr>
          <w:rFonts w:ascii="Times New Roman" w:hAnsi="Times New Roman" w:cs="Times New Roman"/>
          <w:shd w:val="clear" w:color="auto" w:fill="FFFFFF"/>
        </w:rPr>
        <w:t>tool highlights the likelihood of different natural hazards affecting project areas (very low, low, medium and high)</w:t>
      </w:r>
      <w:r w:rsidR="00FC208B" w:rsidRPr="00665F55">
        <w:rPr>
          <w:rFonts w:ascii="Times New Roman" w:hAnsi="Times New Roman" w:cs="Times New Roman"/>
          <w:shd w:val="clear" w:color="auto" w:fill="FFFFFF"/>
        </w:rPr>
        <w:t>,</w:t>
      </w:r>
      <w:r w:rsidRPr="00665F55">
        <w:rPr>
          <w:rFonts w:ascii="Times New Roman" w:hAnsi="Times New Roman" w:cs="Times New Roman"/>
          <w:shd w:val="clear" w:color="auto" w:fill="FFFFFF"/>
        </w:rPr>
        <w:t xml:space="preserve"> and provides guidance on how to reduce the impact of these hazards. The hazard levels provided are based on published hazard data, provided by a range of private, academic and public organizations. Values defined for </w:t>
      </w:r>
      <w:r w:rsidR="00FC208B" w:rsidRPr="00665F55">
        <w:rPr>
          <w:rFonts w:ascii="Times New Roman" w:hAnsi="Times New Roman" w:cs="Times New Roman"/>
          <w:shd w:val="clear" w:color="auto" w:fill="FFFFFF"/>
        </w:rPr>
        <w:t xml:space="preserve">the </w:t>
      </w:r>
      <w:r w:rsidRPr="00665F55">
        <w:rPr>
          <w:rFonts w:ascii="Times New Roman" w:hAnsi="Times New Roman" w:cs="Times New Roman"/>
          <w:shd w:val="clear" w:color="auto" w:fill="FFFFFF"/>
        </w:rPr>
        <w:t>LSGs in formula calculations are derivate from administrative district values</w:t>
      </w:r>
      <w:r w:rsidR="00FC208B" w:rsidRPr="00665F55">
        <w:rPr>
          <w:rFonts w:ascii="Times New Roman" w:hAnsi="Times New Roman" w:cs="Times New Roman"/>
          <w:shd w:val="clear" w:color="auto" w:fill="FFFFFF"/>
        </w:rPr>
        <w:t>,</w:t>
      </w:r>
      <w:r w:rsidRPr="00665F55">
        <w:rPr>
          <w:rFonts w:ascii="Times New Roman" w:hAnsi="Times New Roman" w:cs="Times New Roman"/>
          <w:shd w:val="clear" w:color="auto" w:fill="FFFFFF"/>
        </w:rPr>
        <w:t xml:space="preserve"> and they are </w:t>
      </w:r>
      <w:r w:rsidR="00FC208B" w:rsidRPr="00665F55">
        <w:rPr>
          <w:rFonts w:ascii="Times New Roman" w:hAnsi="Times New Roman" w:cs="Times New Roman"/>
          <w:shd w:val="clear" w:color="auto" w:fill="FFFFFF"/>
        </w:rPr>
        <w:t xml:space="preserve">an </w:t>
      </w:r>
      <w:r w:rsidRPr="00665F55">
        <w:rPr>
          <w:rFonts w:ascii="Times New Roman" w:hAnsi="Times New Roman" w:cs="Times New Roman"/>
          <w:shd w:val="clear" w:color="auto" w:fill="FFFFFF"/>
        </w:rPr>
        <w:t xml:space="preserve">approximation of potential hazard climate risks. </w:t>
      </w:r>
    </w:p>
    <w:p w14:paraId="67DA2C1B" w14:textId="77777777" w:rsidR="00E80739" w:rsidRDefault="00E80739" w:rsidP="00E80739">
      <w:pPr>
        <w:spacing w:after="0" w:line="240" w:lineRule="auto"/>
        <w:jc w:val="both"/>
        <w:rPr>
          <w:rFonts w:cstheme="minorHAnsi"/>
          <w:shd w:val="clear" w:color="auto" w:fill="FFFFFF"/>
        </w:rPr>
      </w:pPr>
    </w:p>
    <w:p w14:paraId="37DAF9ED" w14:textId="77777777" w:rsidR="00E80739" w:rsidRDefault="00E80739" w:rsidP="00E80739">
      <w:pPr>
        <w:spacing w:after="0" w:line="240" w:lineRule="auto"/>
        <w:jc w:val="both"/>
        <w:rPr>
          <w:rFonts w:cstheme="minorHAnsi"/>
          <w:shd w:val="clear" w:color="auto" w:fill="FFFFFF"/>
        </w:rPr>
      </w:pPr>
    </w:p>
    <w:p w14:paraId="66B2C513"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b/>
          <w:bCs/>
          <w:shd w:val="clear" w:color="auto" w:fill="FFFFFF"/>
        </w:rPr>
        <w:t xml:space="preserve">Methodology for calculation of grant amounts / formula </w:t>
      </w:r>
    </w:p>
    <w:p w14:paraId="733F4AC8"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5E24D58A"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Formula for calculation of grant amount (assigned transfer) is as follows:</w:t>
      </w:r>
    </w:p>
    <w:p w14:paraId="4620E4C7"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76F5715E"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1. step – Data on population for each LSG is weighted (normalized) with average value of population for 145 LSGs (</w:t>
      </w:r>
      <w:r w:rsidRPr="00665F55">
        <w:rPr>
          <w:rFonts w:ascii="Times New Roman" w:hAnsi="Times New Roman" w:cs="Times New Roman"/>
          <w:b/>
          <w:bCs/>
          <w:color w:val="FF0000"/>
          <w:shd w:val="clear" w:color="auto" w:fill="FFFFFF"/>
        </w:rPr>
        <w:t>47.580</w:t>
      </w:r>
      <w:r w:rsidRPr="00665F55">
        <w:rPr>
          <w:rFonts w:ascii="Times New Roman" w:hAnsi="Times New Roman" w:cs="Times New Roman"/>
          <w:shd w:val="clear" w:color="auto" w:fill="FFFFFF"/>
        </w:rPr>
        <w:t xml:space="preserve">) </w:t>
      </w:r>
    </w:p>
    <w:p w14:paraId="410B2380"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635DC52E"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2. step – Data on area for each LSG is weighted (normalized) with average value of areas for 145 LSGs (</w:t>
      </w:r>
      <w:r w:rsidRPr="00665F55">
        <w:rPr>
          <w:rFonts w:ascii="Times New Roman" w:hAnsi="Times New Roman" w:cs="Times New Roman"/>
          <w:b/>
          <w:bCs/>
          <w:color w:val="FF0000"/>
          <w:shd w:val="clear" w:color="auto" w:fill="FFFFFF"/>
        </w:rPr>
        <w:t>535sq.km.</w:t>
      </w:r>
      <w:r w:rsidRPr="00665F55">
        <w:rPr>
          <w:rFonts w:ascii="Times New Roman" w:hAnsi="Times New Roman" w:cs="Times New Roman"/>
          <w:shd w:val="clear" w:color="auto" w:fill="FFFFFF"/>
        </w:rPr>
        <w:t>)</w:t>
      </w:r>
    </w:p>
    <w:p w14:paraId="1F627431"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1F1046A8" w14:textId="1C7B6140"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3. step - Data on development class for each LSG is weighted (normalized) with average value of development class for 145 LSGs (</w:t>
      </w:r>
      <w:r w:rsidRPr="00665F55">
        <w:rPr>
          <w:rFonts w:ascii="Times New Roman" w:hAnsi="Times New Roman" w:cs="Times New Roman"/>
          <w:b/>
          <w:bCs/>
          <w:color w:val="FF0000"/>
          <w:shd w:val="clear" w:color="auto" w:fill="FFFFFF"/>
        </w:rPr>
        <w:t>2,92</w:t>
      </w:r>
      <w:r w:rsidRPr="00665F55">
        <w:rPr>
          <w:rFonts w:ascii="Times New Roman" w:hAnsi="Times New Roman" w:cs="Times New Roman"/>
          <w:shd w:val="clear" w:color="auto" w:fill="FFFFFF"/>
        </w:rPr>
        <w:t xml:space="preserve">); since one of main goals of </w:t>
      </w:r>
      <w:r w:rsidR="00FC208B" w:rsidRPr="00665F55">
        <w:rPr>
          <w:rFonts w:ascii="Times New Roman" w:hAnsi="Times New Roman" w:cs="Times New Roman"/>
          <w:shd w:val="clear" w:color="auto" w:fill="FFFFFF"/>
        </w:rPr>
        <w:t xml:space="preserve">the </w:t>
      </w:r>
      <w:r w:rsidRPr="00665F55">
        <w:rPr>
          <w:rFonts w:ascii="Times New Roman" w:hAnsi="Times New Roman" w:cs="Times New Roman"/>
          <w:shd w:val="clear" w:color="auto" w:fill="FFFFFF"/>
        </w:rPr>
        <w:t>LIID intervention is to help least developed LSGs, 5</w:t>
      </w:r>
      <w:r w:rsidRPr="00665F55">
        <w:rPr>
          <w:rFonts w:ascii="Times New Roman" w:hAnsi="Times New Roman" w:cs="Times New Roman"/>
          <w:shd w:val="clear" w:color="auto" w:fill="FFFFFF"/>
          <w:vertAlign w:val="superscript"/>
        </w:rPr>
        <w:t>th</w:t>
      </w:r>
      <w:r w:rsidRPr="00665F55">
        <w:rPr>
          <w:rFonts w:ascii="Times New Roman" w:hAnsi="Times New Roman" w:cs="Times New Roman"/>
          <w:shd w:val="clear" w:color="auto" w:fill="FFFFFF"/>
        </w:rPr>
        <w:t xml:space="preserve"> development class was assigned to sub-class of devastated LSGs</w:t>
      </w:r>
      <w:r w:rsidR="00FC208B" w:rsidRPr="00665F55">
        <w:rPr>
          <w:rFonts w:ascii="Times New Roman" w:hAnsi="Times New Roman" w:cs="Times New Roman"/>
          <w:shd w:val="clear" w:color="auto" w:fill="FFFFFF"/>
        </w:rPr>
        <w:t>,</w:t>
      </w:r>
      <w:r w:rsidRPr="00665F55">
        <w:rPr>
          <w:rFonts w:ascii="Times New Roman" w:hAnsi="Times New Roman" w:cs="Times New Roman"/>
          <w:shd w:val="clear" w:color="auto" w:fill="FFFFFF"/>
        </w:rPr>
        <w:t xml:space="preserve"> and in line with stated values they entered calculation. </w:t>
      </w:r>
    </w:p>
    <w:p w14:paraId="4E73601D"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3B3B2482"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4. step – Data on climate risks for each LSG is weighted (normalized) with average value of climate risk class for 145 LSGs (</w:t>
      </w:r>
      <w:r w:rsidRPr="00665F55">
        <w:rPr>
          <w:rFonts w:ascii="Times New Roman" w:hAnsi="Times New Roman" w:cs="Times New Roman"/>
          <w:b/>
          <w:bCs/>
          <w:color w:val="FF0000"/>
          <w:shd w:val="clear" w:color="auto" w:fill="FFFFFF"/>
        </w:rPr>
        <w:t>2,9</w:t>
      </w:r>
      <w:r w:rsidRPr="00665F55">
        <w:rPr>
          <w:rFonts w:ascii="Times New Roman" w:hAnsi="Times New Roman" w:cs="Times New Roman"/>
          <w:shd w:val="clear" w:color="auto" w:fill="FFFFFF"/>
        </w:rPr>
        <w:t>).</w:t>
      </w:r>
    </w:p>
    <w:p w14:paraId="66F45F3F"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47F6F3CA"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5. step – Calculation of SUM coefficient (weighted sum) per LSG: </w:t>
      </w:r>
    </w:p>
    <w:p w14:paraId="67F3688B"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(Normalized value for population) multiplies (value of Population indicator </w:t>
      </w:r>
      <w:r w:rsidRPr="00665F55">
        <w:rPr>
          <w:rFonts w:ascii="Times New Roman" w:hAnsi="Times New Roman" w:cs="Times New Roman"/>
          <w:color w:val="FF0000"/>
          <w:shd w:val="clear" w:color="auto" w:fill="FFFFFF"/>
        </w:rPr>
        <w:t>35%</w:t>
      </w:r>
      <w:r w:rsidRPr="00665F55">
        <w:rPr>
          <w:rFonts w:ascii="Times New Roman" w:hAnsi="Times New Roman" w:cs="Times New Roman"/>
          <w:shd w:val="clear" w:color="auto" w:fill="FFFFFF"/>
        </w:rPr>
        <w:t xml:space="preserve">) plus (Normalized value for area) multiplies (value of area indicator </w:t>
      </w:r>
      <w:r w:rsidRPr="00665F55">
        <w:rPr>
          <w:rFonts w:ascii="Times New Roman" w:hAnsi="Times New Roman" w:cs="Times New Roman"/>
          <w:color w:val="FF0000"/>
          <w:shd w:val="clear" w:color="auto" w:fill="FFFFFF"/>
        </w:rPr>
        <w:t>25%</w:t>
      </w:r>
      <w:r w:rsidRPr="00665F55">
        <w:rPr>
          <w:rFonts w:ascii="Times New Roman" w:hAnsi="Times New Roman" w:cs="Times New Roman"/>
          <w:shd w:val="clear" w:color="auto" w:fill="FFFFFF"/>
        </w:rPr>
        <w:t xml:space="preserve">) plus (Normalized value for development class) multiplies (value of development class indicator </w:t>
      </w:r>
      <w:r w:rsidRPr="00665F55">
        <w:rPr>
          <w:rFonts w:ascii="Times New Roman" w:hAnsi="Times New Roman" w:cs="Times New Roman"/>
          <w:color w:val="FF0000"/>
          <w:shd w:val="clear" w:color="auto" w:fill="FFFFFF"/>
        </w:rPr>
        <w:t>35%</w:t>
      </w:r>
      <w:r w:rsidRPr="00665F55">
        <w:rPr>
          <w:rFonts w:ascii="Times New Roman" w:hAnsi="Times New Roman" w:cs="Times New Roman"/>
          <w:shd w:val="clear" w:color="auto" w:fill="FFFFFF"/>
        </w:rPr>
        <w:t xml:space="preserve">) plus (Normalized value for climate index class) multiplies (value of climate index class indicator </w:t>
      </w:r>
      <w:r w:rsidRPr="00665F55">
        <w:rPr>
          <w:rFonts w:ascii="Times New Roman" w:hAnsi="Times New Roman" w:cs="Times New Roman"/>
          <w:color w:val="FF0000"/>
          <w:shd w:val="clear" w:color="auto" w:fill="FFFFFF"/>
        </w:rPr>
        <w:t>5%</w:t>
      </w:r>
      <w:r w:rsidRPr="00665F55">
        <w:rPr>
          <w:rFonts w:ascii="Times New Roman" w:hAnsi="Times New Roman" w:cs="Times New Roman"/>
          <w:shd w:val="clear" w:color="auto" w:fill="FFFFFF"/>
        </w:rPr>
        <w:t>).</w:t>
      </w:r>
    </w:p>
    <w:p w14:paraId="7FFE865E"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6275B73D"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6. step – Calculation of multiplayer coefficient per LSG: Data on weighted sum for each LSG is normalized with average value of weighted sum for 145 LSGs (</w:t>
      </w:r>
      <w:r w:rsidRPr="00665F55">
        <w:rPr>
          <w:rFonts w:ascii="Times New Roman" w:hAnsi="Times New Roman" w:cs="Times New Roman"/>
          <w:b/>
          <w:bCs/>
          <w:color w:val="FF0000"/>
          <w:shd w:val="clear" w:color="auto" w:fill="FFFFFF"/>
        </w:rPr>
        <w:t>93,69</w:t>
      </w:r>
      <w:r w:rsidRPr="00665F55">
        <w:rPr>
          <w:rFonts w:ascii="Times New Roman" w:hAnsi="Times New Roman" w:cs="Times New Roman"/>
          <w:shd w:val="clear" w:color="auto" w:fill="FFFFFF"/>
        </w:rPr>
        <w:t>)</w:t>
      </w:r>
    </w:p>
    <w:p w14:paraId="590378FF"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7545C6AB" w14:textId="77777777"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7. step – Calculation of assigned transfer for each LSG: total available grant amount multiplies multiplayer coefficient</w:t>
      </w:r>
    </w:p>
    <w:p w14:paraId="10E38DE1"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04C698AE" w14:textId="15088C6D"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w:t>
      </w:r>
      <w:r w:rsidR="00835C1A" w:rsidRPr="00665F55">
        <w:rPr>
          <w:rFonts w:ascii="Times New Roman" w:hAnsi="Times New Roman" w:cs="Times New Roman"/>
          <w:shd w:val="clear" w:color="auto" w:fill="FFFFFF"/>
        </w:rPr>
        <w:t>Additional</w:t>
      </w:r>
      <w:r w:rsidRPr="00665F55">
        <w:rPr>
          <w:rFonts w:ascii="Times New Roman" w:hAnsi="Times New Roman" w:cs="Times New Roman"/>
          <w:shd w:val="clear" w:color="auto" w:fill="FFFFFF"/>
        </w:rPr>
        <w:t xml:space="preserve"> fine tuning - 8. step – reserving 10 percent for contingencies per each LSG. Meaning final initial value of investments should not be more than 90% of assigned sum.)</w:t>
      </w:r>
    </w:p>
    <w:p w14:paraId="51DBF791"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7EB563E4" w14:textId="77777777" w:rsidR="00E80739" w:rsidRPr="00665F55" w:rsidRDefault="00E80739" w:rsidP="00E80739">
      <w:pPr>
        <w:spacing w:after="0" w:line="240" w:lineRule="auto"/>
        <w:jc w:val="both"/>
        <w:rPr>
          <w:rFonts w:ascii="Times New Roman" w:hAnsi="Times New Roman" w:cs="Times New Roman"/>
          <w:b/>
          <w:bCs/>
          <w:shd w:val="clear" w:color="auto" w:fill="FFFFFF"/>
        </w:rPr>
      </w:pPr>
    </w:p>
    <w:p w14:paraId="0FC62974" w14:textId="77777777" w:rsidR="00E80739" w:rsidRPr="00665F55" w:rsidRDefault="00E80739" w:rsidP="00E80739">
      <w:pPr>
        <w:spacing w:after="0" w:line="240" w:lineRule="auto"/>
        <w:jc w:val="both"/>
        <w:rPr>
          <w:rFonts w:ascii="Times New Roman" w:hAnsi="Times New Roman" w:cs="Times New Roman"/>
          <w:b/>
          <w:bCs/>
          <w:shd w:val="clear" w:color="auto" w:fill="FFFFFF"/>
        </w:rPr>
      </w:pPr>
      <w:r w:rsidRPr="00665F55">
        <w:rPr>
          <w:rFonts w:ascii="Times New Roman" w:hAnsi="Times New Roman" w:cs="Times New Roman"/>
          <w:b/>
          <w:bCs/>
          <w:shd w:val="clear" w:color="auto" w:fill="FFFFFF"/>
        </w:rPr>
        <w:t xml:space="preserve">SENSITIVITY ANALYSIS </w:t>
      </w:r>
    </w:p>
    <w:p w14:paraId="4030F1ED"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30BDE013" w14:textId="156DCB78" w:rsidR="00E80739" w:rsidRPr="00665F55" w:rsidRDefault="00E80739" w:rsidP="00E80739">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Formula has been revisited several times to include inputs form various stakeholders. </w:t>
      </w:r>
      <w:r w:rsidR="009C3B24" w:rsidRPr="00665F55">
        <w:rPr>
          <w:rFonts w:ascii="Times New Roman" w:hAnsi="Times New Roman" w:cs="Times New Roman"/>
          <w:shd w:val="clear" w:color="auto" w:fill="FFFFFF"/>
        </w:rPr>
        <w:t>Weights</w:t>
      </w:r>
      <w:r w:rsidRPr="00665F55">
        <w:rPr>
          <w:rFonts w:ascii="Times New Roman" w:hAnsi="Times New Roman" w:cs="Times New Roman"/>
          <w:shd w:val="clear" w:color="auto" w:fill="FFFFFF"/>
        </w:rPr>
        <w:t xml:space="preserve"> for each indicator have been tested for reality and fairness in iterative process. Based on those sensitivity tests, the following distribution of weights among indicators is considered to provide the best grant distribution among LSGs:</w:t>
      </w:r>
    </w:p>
    <w:p w14:paraId="7F49FD9C" w14:textId="16E7DD40" w:rsidR="00E80739" w:rsidRPr="00665F55" w:rsidRDefault="00E80739" w:rsidP="00665F55">
      <w:pPr>
        <w:pStyle w:val="ListParagraph"/>
        <w:numPr>
          <w:ilvl w:val="0"/>
          <w:numId w:val="707"/>
        </w:num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Population </w:t>
      </w:r>
      <w:r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35%</w:t>
      </w:r>
    </w:p>
    <w:p w14:paraId="5493392A" w14:textId="191F40DD" w:rsidR="00E80739" w:rsidRPr="00665F55" w:rsidRDefault="00E80739" w:rsidP="00665F55">
      <w:pPr>
        <w:pStyle w:val="ListParagraph"/>
        <w:numPr>
          <w:ilvl w:val="0"/>
          <w:numId w:val="707"/>
        </w:num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Area </w:t>
      </w:r>
      <w:r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25%</w:t>
      </w:r>
    </w:p>
    <w:p w14:paraId="2F04E4E3" w14:textId="38D419DC" w:rsidR="00E80739" w:rsidRPr="00665F55" w:rsidRDefault="00E80739" w:rsidP="00665F55">
      <w:pPr>
        <w:pStyle w:val="ListParagraph"/>
        <w:numPr>
          <w:ilvl w:val="0"/>
          <w:numId w:val="707"/>
        </w:num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Development class</w:t>
      </w:r>
      <w:r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35%</w:t>
      </w:r>
    </w:p>
    <w:p w14:paraId="69CDB021" w14:textId="157AA1C3" w:rsidR="00E80739" w:rsidRPr="00665F55" w:rsidRDefault="00E80739" w:rsidP="00665F55">
      <w:pPr>
        <w:pStyle w:val="ListParagraph"/>
        <w:numPr>
          <w:ilvl w:val="0"/>
          <w:numId w:val="707"/>
        </w:num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Climate </w:t>
      </w:r>
      <w:r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00FC208B" w:rsidRPr="00665F55">
        <w:rPr>
          <w:rFonts w:ascii="Times New Roman" w:hAnsi="Times New Roman" w:cs="Times New Roman"/>
          <w:shd w:val="clear" w:color="auto" w:fill="FFFFFF"/>
        </w:rPr>
        <w:tab/>
      </w:r>
      <w:r w:rsidRPr="00665F55">
        <w:rPr>
          <w:rFonts w:ascii="Times New Roman" w:hAnsi="Times New Roman" w:cs="Times New Roman"/>
          <w:shd w:val="clear" w:color="auto" w:fill="FFFFFF"/>
        </w:rPr>
        <w:t>5%</w:t>
      </w:r>
    </w:p>
    <w:p w14:paraId="12EACFC3" w14:textId="77777777" w:rsidR="00E80739" w:rsidRPr="00665F55" w:rsidRDefault="00E80739" w:rsidP="00E80739">
      <w:pPr>
        <w:spacing w:after="0" w:line="240" w:lineRule="auto"/>
        <w:jc w:val="both"/>
        <w:rPr>
          <w:rFonts w:ascii="Times New Roman" w:hAnsi="Times New Roman" w:cs="Times New Roman"/>
          <w:b/>
          <w:bCs/>
          <w:shd w:val="clear" w:color="auto" w:fill="FFFFFF"/>
        </w:rPr>
      </w:pPr>
    </w:p>
    <w:p w14:paraId="55312349" w14:textId="77777777" w:rsidR="00E80739" w:rsidRPr="00665F55" w:rsidRDefault="00E80739" w:rsidP="00E80739">
      <w:pPr>
        <w:spacing w:after="0" w:line="240" w:lineRule="auto"/>
        <w:jc w:val="both"/>
        <w:rPr>
          <w:rFonts w:ascii="Times New Roman" w:hAnsi="Times New Roman" w:cs="Times New Roman"/>
          <w:b/>
          <w:bCs/>
          <w:shd w:val="clear" w:color="auto" w:fill="FFFFFF"/>
        </w:rPr>
      </w:pPr>
    </w:p>
    <w:p w14:paraId="5923913E" w14:textId="77777777" w:rsidR="00E80739" w:rsidRPr="00665F55" w:rsidRDefault="00E80739" w:rsidP="00E80739">
      <w:pPr>
        <w:spacing w:after="0" w:line="240" w:lineRule="auto"/>
        <w:jc w:val="both"/>
        <w:rPr>
          <w:rFonts w:ascii="Times New Roman" w:hAnsi="Times New Roman" w:cs="Times New Roman"/>
          <w:b/>
          <w:bCs/>
          <w:shd w:val="clear" w:color="auto" w:fill="FFFFFF"/>
        </w:rPr>
      </w:pPr>
      <w:r w:rsidRPr="00665F55">
        <w:rPr>
          <w:rFonts w:ascii="Times New Roman" w:hAnsi="Times New Roman" w:cs="Times New Roman"/>
          <w:b/>
          <w:bCs/>
          <w:shd w:val="clear" w:color="auto" w:fill="FFFFFF"/>
        </w:rPr>
        <w:t xml:space="preserve">Distribution of grant amount per LSGs </w:t>
      </w:r>
    </w:p>
    <w:p w14:paraId="4487DCAD" w14:textId="77777777" w:rsidR="00E80739" w:rsidRPr="00665F55" w:rsidRDefault="00E80739" w:rsidP="00E80739">
      <w:pPr>
        <w:spacing w:after="0" w:line="240" w:lineRule="auto"/>
        <w:jc w:val="both"/>
        <w:rPr>
          <w:rFonts w:ascii="Times New Roman" w:hAnsi="Times New Roman" w:cs="Times New Roman"/>
          <w:b/>
          <w:bCs/>
          <w:shd w:val="clear" w:color="auto" w:fill="FFFFFF"/>
        </w:rPr>
      </w:pPr>
    </w:p>
    <w:p w14:paraId="6FE33E85" w14:textId="77777777" w:rsidR="007D0097" w:rsidRPr="005948DE" w:rsidRDefault="007D0097" w:rsidP="007D0097">
      <w:pPr>
        <w:spacing w:after="120" w:line="276" w:lineRule="auto"/>
        <w:jc w:val="both"/>
        <w:rPr>
          <w:rFonts w:ascii="Times New Roman" w:hAnsi="Times New Roman" w:cs="Times New Roman"/>
          <w:b/>
          <w:bCs/>
          <w:color w:val="000000" w:themeColor="text1"/>
          <w:lang w:val="en-US"/>
        </w:rPr>
      </w:pPr>
      <w:r w:rsidRPr="005948DE">
        <w:rPr>
          <w:rFonts w:ascii="Times New Roman" w:hAnsi="Times New Roman" w:cs="Times New Roman"/>
          <w:color w:val="000000" w:themeColor="text1"/>
          <w:lang w:val="en-US"/>
        </w:rPr>
        <w:t xml:space="preserve">To assess if the formula is properly prioritizing devastated regions but also gives enough weight to population, climate and area parameters, the distribution of assigned sums per LSGs was analyzed. </w:t>
      </w:r>
    </w:p>
    <w:p w14:paraId="7BE25E7D" w14:textId="77777777" w:rsidR="007D0097" w:rsidRDefault="007D0097" w:rsidP="007D0097">
      <w:pPr>
        <w:spacing w:after="120" w:line="276" w:lineRule="auto"/>
        <w:jc w:val="both"/>
        <w:rPr>
          <w:rFonts w:ascii="Times New Roman" w:hAnsi="Times New Roman" w:cs="Times New Roman"/>
          <w:b/>
          <w:bCs/>
          <w:color w:val="000000" w:themeColor="text1"/>
          <w:lang w:val="en-US"/>
        </w:rPr>
      </w:pPr>
    </w:p>
    <w:tbl>
      <w:tblPr>
        <w:tblStyle w:val="TableGrid"/>
        <w:tblW w:w="0" w:type="auto"/>
        <w:tblInd w:w="2056" w:type="dxa"/>
        <w:tblLook w:val="04A0" w:firstRow="1" w:lastRow="0" w:firstColumn="1" w:lastColumn="0" w:noHBand="0" w:noVBand="1"/>
      </w:tblPr>
      <w:tblGrid>
        <w:gridCol w:w="1980"/>
        <w:gridCol w:w="1701"/>
        <w:gridCol w:w="2184"/>
      </w:tblGrid>
      <w:tr w:rsidR="007D0097" w:rsidRPr="009B2723" w14:paraId="011255E5" w14:textId="77777777" w:rsidTr="004378E4">
        <w:tc>
          <w:tcPr>
            <w:tcW w:w="1980" w:type="dxa"/>
          </w:tcPr>
          <w:p w14:paraId="023C5325" w14:textId="77777777" w:rsidR="007D0097"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Amount range</w:t>
            </w:r>
          </w:p>
          <w:p w14:paraId="364FCA16" w14:textId="0C1E51FF" w:rsidR="0046528E" w:rsidRPr="009B2723" w:rsidRDefault="0046528E" w:rsidP="004378E4">
            <w:pPr>
              <w:spacing w:after="120" w:line="276" w:lineRule="auto"/>
              <w:jc w:val="both"/>
              <w:rPr>
                <w:rFonts w:ascii="Times New Roman" w:hAnsi="Times New Roman" w:cs="Times New Roman"/>
                <w:b/>
                <w:bCs/>
                <w:color w:val="000000" w:themeColor="text1"/>
                <w:lang w:val="en-US"/>
              </w:rPr>
            </w:pPr>
          </w:p>
        </w:tc>
        <w:tc>
          <w:tcPr>
            <w:tcW w:w="1701" w:type="dxa"/>
          </w:tcPr>
          <w:p w14:paraId="2E087E64"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Number of LSGs</w:t>
            </w:r>
          </w:p>
        </w:tc>
        <w:tc>
          <w:tcPr>
            <w:tcW w:w="2184" w:type="dxa"/>
          </w:tcPr>
          <w:p w14:paraId="16E59859"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Total amount</w:t>
            </w:r>
          </w:p>
        </w:tc>
      </w:tr>
      <w:tr w:rsidR="007D0097" w:rsidRPr="009B2723" w14:paraId="542F94CC" w14:textId="77777777" w:rsidTr="004378E4">
        <w:tc>
          <w:tcPr>
            <w:tcW w:w="1980" w:type="dxa"/>
          </w:tcPr>
          <w:p w14:paraId="3775D136"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Under 1 mil €</w:t>
            </w:r>
          </w:p>
        </w:tc>
        <w:tc>
          <w:tcPr>
            <w:tcW w:w="1701" w:type="dxa"/>
          </w:tcPr>
          <w:p w14:paraId="3DE7E61A" w14:textId="45C242EC" w:rsidR="007D0097" w:rsidRPr="009B2723" w:rsidRDefault="001402B4" w:rsidP="004378E4">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7</w:t>
            </w:r>
            <w:r w:rsidR="007D0097" w:rsidRPr="009B2723">
              <w:rPr>
                <w:rFonts w:ascii="Times New Roman" w:hAnsi="Times New Roman" w:cs="Times New Roman"/>
                <w:b/>
                <w:bCs/>
                <w:color w:val="000000" w:themeColor="text1"/>
                <w:lang w:val="en-US"/>
              </w:rPr>
              <w:t xml:space="preserve"> </w:t>
            </w:r>
          </w:p>
        </w:tc>
        <w:tc>
          <w:tcPr>
            <w:tcW w:w="2184" w:type="dxa"/>
          </w:tcPr>
          <w:p w14:paraId="04733E74" w14:textId="488E41AF" w:rsidR="007D0097" w:rsidRPr="009B2723" w:rsidRDefault="00C34D38" w:rsidP="004378E4">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5.665.520</w:t>
            </w:r>
            <w:r w:rsidR="007D0097" w:rsidRPr="009B2723">
              <w:rPr>
                <w:rFonts w:ascii="Times New Roman" w:hAnsi="Times New Roman" w:cs="Times New Roman"/>
                <w:b/>
                <w:bCs/>
                <w:color w:val="000000" w:themeColor="text1"/>
                <w:lang w:val="en-US"/>
              </w:rPr>
              <w:t xml:space="preserve"> </w:t>
            </w:r>
          </w:p>
        </w:tc>
      </w:tr>
      <w:tr w:rsidR="007D0097" w:rsidRPr="009B2723" w14:paraId="3A625E1D" w14:textId="77777777" w:rsidTr="004378E4">
        <w:tc>
          <w:tcPr>
            <w:tcW w:w="1980" w:type="dxa"/>
          </w:tcPr>
          <w:p w14:paraId="406C39D7"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1-1,5 mil €</w:t>
            </w:r>
          </w:p>
        </w:tc>
        <w:tc>
          <w:tcPr>
            <w:tcW w:w="1701" w:type="dxa"/>
          </w:tcPr>
          <w:p w14:paraId="12F3BDE2" w14:textId="147AAA46" w:rsidR="007D0097" w:rsidRPr="009B2723" w:rsidRDefault="001402B4" w:rsidP="004378E4">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43</w:t>
            </w:r>
          </w:p>
        </w:tc>
        <w:tc>
          <w:tcPr>
            <w:tcW w:w="2184" w:type="dxa"/>
          </w:tcPr>
          <w:p w14:paraId="2BC8333C" w14:textId="40E2EEC9" w:rsidR="007D0097" w:rsidRPr="009B2723" w:rsidRDefault="00C34D38" w:rsidP="004378E4">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55.305.736</w:t>
            </w:r>
          </w:p>
        </w:tc>
      </w:tr>
      <w:tr w:rsidR="007D0097" w:rsidRPr="009B2723" w14:paraId="1E314331" w14:textId="77777777" w:rsidTr="004378E4">
        <w:tc>
          <w:tcPr>
            <w:tcW w:w="1980" w:type="dxa"/>
          </w:tcPr>
          <w:p w14:paraId="6AC145CA"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1,5-2,5 mil €</w:t>
            </w:r>
          </w:p>
        </w:tc>
        <w:tc>
          <w:tcPr>
            <w:tcW w:w="1701" w:type="dxa"/>
          </w:tcPr>
          <w:p w14:paraId="139F4C9F" w14:textId="5CEF6711" w:rsidR="007D0097" w:rsidRPr="009B2723" w:rsidRDefault="001402B4" w:rsidP="004378E4">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76</w:t>
            </w:r>
          </w:p>
        </w:tc>
        <w:tc>
          <w:tcPr>
            <w:tcW w:w="2184" w:type="dxa"/>
          </w:tcPr>
          <w:p w14:paraId="614B3B5D" w14:textId="6751CD0B"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w:t>
            </w:r>
            <w:r w:rsidR="00C34D38">
              <w:rPr>
                <w:rFonts w:ascii="Times New Roman" w:hAnsi="Times New Roman" w:cs="Times New Roman"/>
                <w:b/>
                <w:bCs/>
                <w:color w:val="000000" w:themeColor="text1"/>
                <w:lang w:val="en-US"/>
              </w:rPr>
              <w:t>41.012.351</w:t>
            </w:r>
          </w:p>
        </w:tc>
      </w:tr>
      <w:tr w:rsidR="007D0097" w:rsidRPr="009B2723" w14:paraId="1EE2886E" w14:textId="77777777" w:rsidTr="004378E4">
        <w:tc>
          <w:tcPr>
            <w:tcW w:w="1980" w:type="dxa"/>
          </w:tcPr>
          <w:p w14:paraId="62EB718F"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2,5 mil € - 5 mil €</w:t>
            </w:r>
          </w:p>
        </w:tc>
        <w:tc>
          <w:tcPr>
            <w:tcW w:w="1701" w:type="dxa"/>
          </w:tcPr>
          <w:p w14:paraId="7D707514" w14:textId="4833FEFB"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w:t>
            </w:r>
            <w:r w:rsidR="001402B4">
              <w:rPr>
                <w:rFonts w:ascii="Times New Roman" w:hAnsi="Times New Roman" w:cs="Times New Roman"/>
                <w:b/>
                <w:bCs/>
                <w:color w:val="000000" w:themeColor="text1"/>
                <w:lang w:val="en-US"/>
              </w:rPr>
              <w:t>7</w:t>
            </w:r>
          </w:p>
        </w:tc>
        <w:tc>
          <w:tcPr>
            <w:tcW w:w="2184" w:type="dxa"/>
          </w:tcPr>
          <w:p w14:paraId="5E488350" w14:textId="0DC9B0D0" w:rsidR="007D0097" w:rsidRPr="009B2723" w:rsidRDefault="00C34D38" w:rsidP="004378E4">
            <w:pPr>
              <w:spacing w:after="120" w:line="276" w:lineRule="auto"/>
              <w:jc w:val="both"/>
              <w:rPr>
                <w:rFonts w:ascii="Times New Roman" w:hAnsi="Times New Roman" w:cs="Times New Roman"/>
                <w:b/>
                <w:bCs/>
                <w:color w:val="000000" w:themeColor="text1"/>
                <w:lang w:val="en-US"/>
              </w:rPr>
            </w:pPr>
            <w:r>
              <w:rPr>
                <w:rFonts w:ascii="Times New Roman" w:hAnsi="Times New Roman" w:cs="Times New Roman"/>
                <w:b/>
                <w:bCs/>
                <w:color w:val="000000" w:themeColor="text1"/>
                <w:lang w:val="en-US"/>
              </w:rPr>
              <w:t>52.726.676</w:t>
            </w:r>
          </w:p>
        </w:tc>
      </w:tr>
      <w:tr w:rsidR="007D0097" w:rsidRPr="009B2723" w14:paraId="7434A9C8" w14:textId="77777777" w:rsidTr="004378E4">
        <w:tc>
          <w:tcPr>
            <w:tcW w:w="1980" w:type="dxa"/>
          </w:tcPr>
          <w:p w14:paraId="73989ACE"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Above 5 mil €</w:t>
            </w:r>
          </w:p>
        </w:tc>
        <w:tc>
          <w:tcPr>
            <w:tcW w:w="1701" w:type="dxa"/>
          </w:tcPr>
          <w:p w14:paraId="4077CF8A"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2</w:t>
            </w:r>
          </w:p>
        </w:tc>
        <w:tc>
          <w:tcPr>
            <w:tcW w:w="2184" w:type="dxa"/>
          </w:tcPr>
          <w:p w14:paraId="4F61C0F7" w14:textId="0D90D5EF"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w:t>
            </w:r>
            <w:r w:rsidR="00C34D38">
              <w:rPr>
                <w:rFonts w:ascii="Times New Roman" w:hAnsi="Times New Roman" w:cs="Times New Roman"/>
                <w:b/>
                <w:bCs/>
                <w:color w:val="000000" w:themeColor="text1"/>
                <w:lang w:val="en-US"/>
              </w:rPr>
              <w:t>6.289.717</w:t>
            </w:r>
          </w:p>
        </w:tc>
      </w:tr>
      <w:tr w:rsidR="007D0097" w:rsidRPr="009B2723" w14:paraId="7C9E3BED" w14:textId="77777777" w:rsidTr="004378E4">
        <w:tc>
          <w:tcPr>
            <w:tcW w:w="1980" w:type="dxa"/>
          </w:tcPr>
          <w:p w14:paraId="236246A2"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p>
        </w:tc>
        <w:tc>
          <w:tcPr>
            <w:tcW w:w="1701" w:type="dxa"/>
          </w:tcPr>
          <w:p w14:paraId="0C3C7AC3"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145</w:t>
            </w:r>
          </w:p>
        </w:tc>
        <w:tc>
          <w:tcPr>
            <w:tcW w:w="2184" w:type="dxa"/>
          </w:tcPr>
          <w:p w14:paraId="073E5061" w14:textId="77777777" w:rsidR="007D0097" w:rsidRPr="009B2723" w:rsidRDefault="007D0097" w:rsidP="004378E4">
            <w:pPr>
              <w:spacing w:after="120" w:line="276" w:lineRule="auto"/>
              <w:jc w:val="both"/>
              <w:rPr>
                <w:rFonts w:ascii="Times New Roman" w:hAnsi="Times New Roman" w:cs="Times New Roman"/>
                <w:b/>
                <w:bCs/>
                <w:color w:val="000000" w:themeColor="text1"/>
                <w:lang w:val="en-US"/>
              </w:rPr>
            </w:pPr>
            <w:r w:rsidRPr="009B2723">
              <w:rPr>
                <w:rFonts w:ascii="Times New Roman" w:hAnsi="Times New Roman" w:cs="Times New Roman"/>
                <w:b/>
                <w:bCs/>
                <w:color w:val="000000" w:themeColor="text1"/>
                <w:lang w:val="en-US"/>
              </w:rPr>
              <w:t xml:space="preserve">240.000.000 </w:t>
            </w:r>
          </w:p>
        </w:tc>
      </w:tr>
    </w:tbl>
    <w:p w14:paraId="5D6DF71F" w14:textId="77777777" w:rsidR="007D0097" w:rsidRDefault="007D0097" w:rsidP="007D0097">
      <w:pPr>
        <w:spacing w:after="120" w:line="276" w:lineRule="auto"/>
        <w:jc w:val="both"/>
        <w:rPr>
          <w:rFonts w:ascii="Times New Roman" w:hAnsi="Times New Roman" w:cs="Times New Roman"/>
          <w:b/>
          <w:bCs/>
          <w:color w:val="000000" w:themeColor="text1"/>
          <w:lang w:val="en-US"/>
        </w:rPr>
      </w:pPr>
    </w:p>
    <w:p w14:paraId="5EAE3C32" w14:textId="77777777" w:rsidR="007D0097" w:rsidRPr="005948DE" w:rsidRDefault="007D0097" w:rsidP="007D0097">
      <w:pPr>
        <w:spacing w:after="120" w:line="276" w:lineRule="auto"/>
        <w:jc w:val="both"/>
        <w:rPr>
          <w:rFonts w:ascii="Times New Roman" w:hAnsi="Times New Roman" w:cs="Times New Roman"/>
          <w:b/>
          <w:bCs/>
          <w:color w:val="000000" w:themeColor="text1"/>
          <w:lang w:val="en-US"/>
        </w:rPr>
      </w:pPr>
    </w:p>
    <w:p w14:paraId="5D48457F" w14:textId="0BF2B082" w:rsidR="007D0097" w:rsidRPr="008E0F38" w:rsidRDefault="007D0097" w:rsidP="007D0097">
      <w:pPr>
        <w:spacing w:after="120" w:line="276" w:lineRule="auto"/>
        <w:jc w:val="both"/>
        <w:rPr>
          <w:rFonts w:ascii="Times New Roman" w:hAnsi="Times New Roman" w:cs="Times New Roman"/>
          <w:color w:val="000000" w:themeColor="text1"/>
          <w:lang w:val="en-US"/>
        </w:rPr>
      </w:pPr>
      <w:r w:rsidRPr="000E5FC9">
        <w:rPr>
          <w:rFonts w:ascii="Times New Roman" w:hAnsi="Times New Roman" w:cs="Times New Roman"/>
          <w:color w:val="000000" w:themeColor="text1"/>
          <w:lang w:val="en-US"/>
        </w:rPr>
        <w:t>First group of (</w:t>
      </w:r>
      <w:r w:rsidR="00C34D38" w:rsidRPr="008E0F38">
        <w:rPr>
          <w:rFonts w:ascii="Times New Roman" w:hAnsi="Times New Roman" w:cs="Times New Roman"/>
          <w:color w:val="000000" w:themeColor="text1"/>
          <w:lang w:val="en-US"/>
        </w:rPr>
        <w:t>7</w:t>
      </w:r>
      <w:r w:rsidRPr="008E0F38">
        <w:rPr>
          <w:rFonts w:ascii="Times New Roman" w:hAnsi="Times New Roman" w:cs="Times New Roman"/>
          <w:color w:val="000000" w:themeColor="text1"/>
          <w:lang w:val="en-US"/>
        </w:rPr>
        <w:t xml:space="preserve">) </w:t>
      </w:r>
      <w:r w:rsidR="006057FA" w:rsidRPr="00A900A4">
        <w:rPr>
          <w:rFonts w:ascii="Times New Roman" w:hAnsi="Times New Roman" w:cs="Times New Roman"/>
          <w:color w:val="000000" w:themeColor="text1"/>
          <w:lang w:val="en-US"/>
        </w:rPr>
        <w:t>seven</w:t>
      </w:r>
      <w:r w:rsidRPr="008E0F38">
        <w:rPr>
          <w:rFonts w:ascii="Times New Roman" w:hAnsi="Times New Roman" w:cs="Times New Roman"/>
          <w:color w:val="000000" w:themeColor="text1"/>
          <w:lang w:val="en-US"/>
        </w:rPr>
        <w:t xml:space="preserve"> LSG, does not have devastated,</w:t>
      </w:r>
      <w:r w:rsidR="006057FA" w:rsidRPr="00A900A4">
        <w:rPr>
          <w:rFonts w:ascii="Times New Roman" w:hAnsi="Times New Roman" w:cs="Times New Roman"/>
          <w:color w:val="000000" w:themeColor="text1"/>
          <w:lang w:val="en-US"/>
        </w:rPr>
        <w:t xml:space="preserve"> 3</w:t>
      </w:r>
      <w:r w:rsidR="006057FA" w:rsidRPr="00A900A4">
        <w:rPr>
          <w:rFonts w:ascii="Times New Roman" w:hAnsi="Times New Roman" w:cs="Times New Roman"/>
          <w:color w:val="000000" w:themeColor="text1"/>
          <w:vertAlign w:val="superscript"/>
          <w:lang w:val="en-US"/>
        </w:rPr>
        <w:t>rd</w:t>
      </w:r>
      <w:r w:rsidR="006057FA" w:rsidRPr="00A900A4">
        <w:rPr>
          <w:rFonts w:ascii="Times New Roman" w:hAnsi="Times New Roman" w:cs="Times New Roman"/>
          <w:color w:val="000000" w:themeColor="text1"/>
          <w:lang w:val="en-US"/>
        </w:rPr>
        <w:t xml:space="preserve"> </w:t>
      </w:r>
      <w:r w:rsidR="00E0617B" w:rsidRPr="00E0617B">
        <w:rPr>
          <w:rFonts w:ascii="Times New Roman" w:hAnsi="Times New Roman" w:cs="Times New Roman"/>
          <w:color w:val="000000" w:themeColor="text1"/>
          <w:lang w:val="en-US"/>
        </w:rPr>
        <w:t xml:space="preserve">and </w:t>
      </w:r>
      <w:r w:rsidR="00E0617B" w:rsidRPr="000E5FC9">
        <w:rPr>
          <w:rFonts w:ascii="Times New Roman" w:hAnsi="Times New Roman" w:cs="Times New Roman"/>
          <w:color w:val="000000" w:themeColor="text1"/>
          <w:lang w:val="en-US"/>
        </w:rPr>
        <w:t>4</w:t>
      </w:r>
      <w:r w:rsidRPr="008E0F38">
        <w:rPr>
          <w:rFonts w:ascii="Times New Roman" w:hAnsi="Times New Roman" w:cs="Times New Roman"/>
          <w:color w:val="000000" w:themeColor="text1"/>
          <w:vertAlign w:val="superscript"/>
          <w:lang w:val="en-US"/>
        </w:rPr>
        <w:t>th</w:t>
      </w:r>
      <w:r w:rsidRPr="008E0F38">
        <w:rPr>
          <w:rFonts w:ascii="Times New Roman" w:hAnsi="Times New Roman" w:cs="Times New Roman"/>
          <w:color w:val="000000" w:themeColor="text1"/>
          <w:lang w:val="en-US"/>
        </w:rPr>
        <w:t xml:space="preserve"> development class LSGs. </w:t>
      </w:r>
      <w:r w:rsidR="006057FA" w:rsidRPr="00A900A4">
        <w:rPr>
          <w:rFonts w:ascii="Times New Roman" w:hAnsi="Times New Roman" w:cs="Times New Roman"/>
          <w:color w:val="000000" w:themeColor="text1"/>
          <w:lang w:val="en-US"/>
        </w:rPr>
        <w:t xml:space="preserve"> 4</w:t>
      </w:r>
      <w:r w:rsidRPr="000E5FC9">
        <w:rPr>
          <w:rFonts w:ascii="Times New Roman" w:hAnsi="Times New Roman" w:cs="Times New Roman"/>
          <w:color w:val="000000" w:themeColor="text1"/>
          <w:lang w:val="en-US"/>
        </w:rPr>
        <w:t xml:space="preserve"> (</w:t>
      </w:r>
      <w:r w:rsidR="006057FA" w:rsidRPr="00A900A4">
        <w:rPr>
          <w:rFonts w:ascii="Times New Roman" w:hAnsi="Times New Roman" w:cs="Times New Roman"/>
          <w:color w:val="000000" w:themeColor="text1"/>
          <w:lang w:val="en-US"/>
        </w:rPr>
        <w:t>four</w:t>
      </w:r>
      <w:r w:rsidRPr="000E5FC9">
        <w:rPr>
          <w:rFonts w:ascii="Times New Roman" w:hAnsi="Times New Roman" w:cs="Times New Roman"/>
          <w:color w:val="000000" w:themeColor="text1"/>
          <w:lang w:val="en-US"/>
        </w:rPr>
        <w:t>) LSGs from 2</w:t>
      </w:r>
      <w:r w:rsidRPr="008E0F38">
        <w:rPr>
          <w:rFonts w:ascii="Times New Roman" w:hAnsi="Times New Roman" w:cs="Times New Roman"/>
          <w:color w:val="000000" w:themeColor="text1"/>
          <w:vertAlign w:val="superscript"/>
          <w:lang w:val="en-US"/>
        </w:rPr>
        <w:t>nd</w:t>
      </w:r>
      <w:r w:rsidRPr="008E0F38">
        <w:rPr>
          <w:rFonts w:ascii="Times New Roman" w:hAnsi="Times New Roman" w:cs="Times New Roman"/>
          <w:color w:val="000000" w:themeColor="text1"/>
          <w:lang w:val="en-US"/>
        </w:rPr>
        <w:t xml:space="preserve"> development class group and </w:t>
      </w:r>
      <w:r w:rsidR="006057FA" w:rsidRPr="00A900A4">
        <w:rPr>
          <w:rFonts w:ascii="Times New Roman" w:hAnsi="Times New Roman" w:cs="Times New Roman"/>
          <w:color w:val="000000" w:themeColor="text1"/>
          <w:lang w:val="en-US"/>
        </w:rPr>
        <w:t>3</w:t>
      </w:r>
      <w:r w:rsidRPr="008E0F38">
        <w:rPr>
          <w:rFonts w:ascii="Times New Roman" w:hAnsi="Times New Roman" w:cs="Times New Roman"/>
          <w:color w:val="000000" w:themeColor="text1"/>
          <w:lang w:val="en-US"/>
        </w:rPr>
        <w:t xml:space="preserve"> (</w:t>
      </w:r>
      <w:r w:rsidR="006057FA" w:rsidRPr="00A900A4">
        <w:rPr>
          <w:rFonts w:ascii="Times New Roman" w:hAnsi="Times New Roman" w:cs="Times New Roman"/>
          <w:color w:val="000000" w:themeColor="text1"/>
          <w:lang w:val="en-US"/>
        </w:rPr>
        <w:t>three</w:t>
      </w:r>
      <w:r w:rsidRPr="008E0F38">
        <w:rPr>
          <w:rFonts w:ascii="Times New Roman" w:hAnsi="Times New Roman" w:cs="Times New Roman"/>
          <w:color w:val="000000" w:themeColor="text1"/>
          <w:lang w:val="en-US"/>
        </w:rPr>
        <w:t>) LSGs from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group. Most of LSGs have small area and/or belong to higher development class rank.</w:t>
      </w:r>
    </w:p>
    <w:p w14:paraId="389EF23A" w14:textId="55CEB927" w:rsidR="007D0097" w:rsidRPr="008E0F38" w:rsidRDefault="007D0097" w:rsidP="007D0097">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 xml:space="preserve">Second group of </w:t>
      </w:r>
      <w:r w:rsidR="006057FA" w:rsidRPr="00A900A4">
        <w:rPr>
          <w:rFonts w:ascii="Times New Roman" w:hAnsi="Times New Roman" w:cs="Times New Roman"/>
          <w:color w:val="000000" w:themeColor="text1"/>
          <w:lang w:val="en-US"/>
        </w:rPr>
        <w:t>43</w:t>
      </w:r>
      <w:r w:rsidRPr="008E0F38">
        <w:rPr>
          <w:rFonts w:ascii="Times New Roman" w:hAnsi="Times New Roman" w:cs="Times New Roman"/>
          <w:color w:val="000000" w:themeColor="text1"/>
          <w:lang w:val="en-US"/>
        </w:rPr>
        <w:t xml:space="preserve"> (</w:t>
      </w:r>
      <w:r w:rsidR="006057FA" w:rsidRPr="00A900A4">
        <w:rPr>
          <w:rFonts w:ascii="Times New Roman" w:hAnsi="Times New Roman" w:cs="Times New Roman"/>
          <w:color w:val="000000" w:themeColor="text1"/>
          <w:lang w:val="en-US"/>
        </w:rPr>
        <w:t>forty-three</w:t>
      </w:r>
      <w:r w:rsidRPr="008E0F38">
        <w:rPr>
          <w:rFonts w:ascii="Times New Roman" w:hAnsi="Times New Roman" w:cs="Times New Roman"/>
          <w:color w:val="000000" w:themeColor="text1"/>
          <w:lang w:val="en-US"/>
        </w:rPr>
        <w:t xml:space="preserve">) </w:t>
      </w:r>
      <w:r w:rsidR="006057FA" w:rsidRPr="00A900A4">
        <w:rPr>
          <w:rFonts w:ascii="Times New Roman" w:hAnsi="Times New Roman" w:cs="Times New Roman"/>
          <w:color w:val="000000" w:themeColor="text1"/>
          <w:lang w:val="en-US"/>
        </w:rPr>
        <w:t xml:space="preserve">does not contain </w:t>
      </w:r>
      <w:r w:rsidR="008E0F38" w:rsidRPr="008E0F38">
        <w:rPr>
          <w:rFonts w:ascii="Times New Roman" w:hAnsi="Times New Roman" w:cs="Times New Roman"/>
          <w:color w:val="000000" w:themeColor="text1"/>
          <w:lang w:val="en-US"/>
        </w:rPr>
        <w:t>devastated</w:t>
      </w:r>
      <w:r w:rsidR="006057FA" w:rsidRPr="00A900A4">
        <w:rPr>
          <w:rFonts w:ascii="Times New Roman" w:hAnsi="Times New Roman" w:cs="Times New Roman"/>
          <w:color w:val="000000" w:themeColor="text1"/>
          <w:lang w:val="en-US"/>
        </w:rPr>
        <w:t xml:space="preserve"> 5th development class while 9 (nine) </w:t>
      </w:r>
      <w:r w:rsidRPr="000E5FC9">
        <w:rPr>
          <w:rFonts w:ascii="Times New Roman" w:hAnsi="Times New Roman" w:cs="Times New Roman"/>
          <w:color w:val="000000" w:themeColor="text1"/>
          <w:lang w:val="en-US"/>
        </w:rPr>
        <w:t xml:space="preserve">LSGs </w:t>
      </w:r>
      <w:r w:rsidR="006057FA" w:rsidRPr="00A900A4">
        <w:rPr>
          <w:rFonts w:ascii="Times New Roman" w:hAnsi="Times New Roman" w:cs="Times New Roman"/>
          <w:color w:val="000000" w:themeColor="text1"/>
          <w:lang w:val="en-US"/>
        </w:rPr>
        <w:t xml:space="preserve">are with development index 4 th . </w:t>
      </w:r>
      <w:r w:rsidRPr="008E0F38">
        <w:rPr>
          <w:rFonts w:ascii="Times New Roman" w:hAnsi="Times New Roman" w:cs="Times New Roman"/>
          <w:color w:val="000000" w:themeColor="text1"/>
          <w:lang w:val="en-US"/>
        </w:rPr>
        <w:t xml:space="preserve">There are </w:t>
      </w:r>
      <w:r w:rsidR="006057FA" w:rsidRPr="00A900A4">
        <w:rPr>
          <w:rFonts w:ascii="Times New Roman" w:hAnsi="Times New Roman" w:cs="Times New Roman"/>
          <w:color w:val="000000" w:themeColor="text1"/>
          <w:lang w:val="en-US"/>
        </w:rPr>
        <w:t>20</w:t>
      </w:r>
      <w:r w:rsidRPr="008E0F38">
        <w:rPr>
          <w:rFonts w:ascii="Times New Roman" w:hAnsi="Times New Roman" w:cs="Times New Roman"/>
          <w:color w:val="000000" w:themeColor="text1"/>
          <w:lang w:val="en-US"/>
        </w:rPr>
        <w:t xml:space="preserve"> (</w:t>
      </w:r>
      <w:r w:rsidR="006057FA" w:rsidRPr="00A900A4">
        <w:rPr>
          <w:rFonts w:ascii="Times New Roman" w:hAnsi="Times New Roman" w:cs="Times New Roman"/>
          <w:color w:val="000000" w:themeColor="text1"/>
          <w:lang w:val="en-US"/>
        </w:rPr>
        <w:t>twenty</w:t>
      </w:r>
      <w:r w:rsidRPr="000E5FC9">
        <w:rPr>
          <w:rFonts w:ascii="Times New Roman" w:hAnsi="Times New Roman" w:cs="Times New Roman"/>
          <w:color w:val="000000" w:themeColor="text1"/>
          <w:lang w:val="en-US"/>
        </w:rPr>
        <w:t xml:space="preserve">) LSGs from </w:t>
      </w:r>
      <w:r w:rsidR="006057FA" w:rsidRPr="00A900A4">
        <w:rPr>
          <w:rFonts w:ascii="Times New Roman" w:hAnsi="Times New Roman" w:cs="Times New Roman"/>
          <w:color w:val="000000" w:themeColor="text1"/>
          <w:lang w:val="en-US"/>
        </w:rPr>
        <w:t>3rd</w:t>
      </w:r>
      <w:r w:rsidR="006057FA" w:rsidRPr="000E5FC9">
        <w:rPr>
          <w:rFonts w:ascii="Times New Roman" w:hAnsi="Times New Roman" w:cs="Times New Roman"/>
          <w:color w:val="000000" w:themeColor="text1"/>
          <w:lang w:val="en-US"/>
        </w:rPr>
        <w:t xml:space="preserve"> </w:t>
      </w:r>
      <w:r w:rsidRPr="008E0F38">
        <w:rPr>
          <w:rFonts w:ascii="Times New Roman" w:hAnsi="Times New Roman" w:cs="Times New Roman"/>
          <w:color w:val="000000" w:themeColor="text1"/>
          <w:lang w:val="en-US"/>
        </w:rPr>
        <w:t xml:space="preserve">development class group, </w:t>
      </w:r>
      <w:r w:rsidR="00DA2299" w:rsidRPr="00A900A4">
        <w:rPr>
          <w:rFonts w:ascii="Times New Roman" w:hAnsi="Times New Roman" w:cs="Times New Roman"/>
          <w:color w:val="000000" w:themeColor="text1"/>
          <w:lang w:val="en-US"/>
        </w:rPr>
        <w:t>11</w:t>
      </w:r>
      <w:r w:rsidRPr="000E5FC9">
        <w:rPr>
          <w:rFonts w:ascii="Times New Roman" w:hAnsi="Times New Roman" w:cs="Times New Roman"/>
          <w:color w:val="000000" w:themeColor="text1"/>
          <w:lang w:val="en-US"/>
        </w:rPr>
        <w:t xml:space="preserve"> </w:t>
      </w:r>
      <w:r w:rsidRPr="008E0F38">
        <w:rPr>
          <w:rFonts w:ascii="Times New Roman" w:hAnsi="Times New Roman" w:cs="Times New Roman"/>
          <w:color w:val="000000" w:themeColor="text1"/>
          <w:lang w:val="en-US"/>
        </w:rPr>
        <w:t>(</w:t>
      </w:r>
      <w:r w:rsidR="00DA2299" w:rsidRPr="00A900A4">
        <w:rPr>
          <w:rFonts w:ascii="Times New Roman" w:hAnsi="Times New Roman" w:cs="Times New Roman"/>
          <w:color w:val="000000" w:themeColor="text1"/>
          <w:lang w:val="en-US"/>
        </w:rPr>
        <w:t>eleven)</w:t>
      </w:r>
      <w:r w:rsidRPr="000E5FC9">
        <w:rPr>
          <w:rFonts w:ascii="Times New Roman" w:hAnsi="Times New Roman" w:cs="Times New Roman"/>
          <w:color w:val="000000" w:themeColor="text1"/>
          <w:lang w:val="en-US"/>
        </w:rPr>
        <w:t xml:space="preserve"> LSGs from 2</w:t>
      </w:r>
      <w:r w:rsidRPr="008E0F38">
        <w:rPr>
          <w:rFonts w:ascii="Times New Roman" w:hAnsi="Times New Roman" w:cs="Times New Roman"/>
          <w:color w:val="000000" w:themeColor="text1"/>
          <w:vertAlign w:val="superscript"/>
          <w:lang w:val="en-US"/>
        </w:rPr>
        <w:t>nd</w:t>
      </w:r>
      <w:r w:rsidRPr="008E0F38">
        <w:rPr>
          <w:rFonts w:ascii="Times New Roman" w:hAnsi="Times New Roman" w:cs="Times New Roman"/>
          <w:color w:val="000000" w:themeColor="text1"/>
          <w:lang w:val="en-US"/>
        </w:rPr>
        <w:t xml:space="preserve"> development class group and </w:t>
      </w:r>
      <w:r w:rsidR="000E5FC9" w:rsidRPr="00A900A4">
        <w:rPr>
          <w:rFonts w:ascii="Times New Roman" w:hAnsi="Times New Roman" w:cs="Times New Roman"/>
          <w:color w:val="000000" w:themeColor="text1"/>
          <w:lang w:val="en-US"/>
        </w:rPr>
        <w:t>3</w:t>
      </w:r>
      <w:r w:rsidRPr="008E0F38">
        <w:rPr>
          <w:rFonts w:ascii="Times New Roman" w:hAnsi="Times New Roman" w:cs="Times New Roman"/>
          <w:color w:val="000000" w:themeColor="text1"/>
          <w:lang w:val="en-US"/>
        </w:rPr>
        <w:t xml:space="preserve"> (three) LSGs from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group. These group covers smaller LSGs or those with medium development index. </w:t>
      </w:r>
    </w:p>
    <w:p w14:paraId="44BF73C9" w14:textId="3B8EF8B8" w:rsidR="007D0097" w:rsidRPr="008E0F38" w:rsidRDefault="007D0097" w:rsidP="007D0097">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Third group of</w:t>
      </w:r>
      <w:r w:rsidR="008E0F38">
        <w:rPr>
          <w:rFonts w:ascii="Times New Roman" w:hAnsi="Times New Roman" w:cs="Times New Roman"/>
          <w:color w:val="000000" w:themeColor="text1"/>
          <w:lang w:val="en-US"/>
        </w:rPr>
        <w:t xml:space="preserve"> 76</w:t>
      </w:r>
      <w:r w:rsidRPr="008E0F38">
        <w:rPr>
          <w:rFonts w:ascii="Times New Roman" w:hAnsi="Times New Roman" w:cs="Times New Roman"/>
          <w:color w:val="000000" w:themeColor="text1"/>
          <w:lang w:val="en-US"/>
        </w:rPr>
        <w:t xml:space="preserve"> (</w:t>
      </w:r>
      <w:r w:rsidR="008E0F38">
        <w:rPr>
          <w:rFonts w:ascii="Times New Roman" w:hAnsi="Times New Roman" w:cs="Times New Roman"/>
          <w:color w:val="000000" w:themeColor="text1"/>
          <w:lang w:val="en-US"/>
        </w:rPr>
        <w:t>seventy -six</w:t>
      </w:r>
      <w:r w:rsidRPr="008E0F38">
        <w:rPr>
          <w:rFonts w:ascii="Times New Roman" w:hAnsi="Times New Roman" w:cs="Times New Roman"/>
          <w:color w:val="000000" w:themeColor="text1"/>
          <w:lang w:val="en-US"/>
        </w:rPr>
        <w:t>) LSGs contains 1</w:t>
      </w:r>
      <w:r w:rsidR="008E0F38">
        <w:rPr>
          <w:rFonts w:ascii="Times New Roman" w:hAnsi="Times New Roman" w:cs="Times New Roman"/>
          <w:color w:val="000000" w:themeColor="text1"/>
          <w:lang w:val="en-US"/>
        </w:rPr>
        <w:t>8</w:t>
      </w:r>
      <w:r w:rsidRPr="008E0F38">
        <w:rPr>
          <w:rFonts w:ascii="Times New Roman" w:hAnsi="Times New Roman" w:cs="Times New Roman"/>
          <w:color w:val="000000" w:themeColor="text1"/>
          <w:lang w:val="en-US"/>
        </w:rPr>
        <w:t xml:space="preserve"> (</w:t>
      </w:r>
      <w:r w:rsidR="00E0617B">
        <w:rPr>
          <w:rFonts w:ascii="Times New Roman" w:hAnsi="Times New Roman" w:cs="Times New Roman"/>
          <w:color w:val="000000" w:themeColor="text1"/>
          <w:lang w:val="en-US"/>
        </w:rPr>
        <w:t>eighteen</w:t>
      </w:r>
      <w:r w:rsidRPr="008E0F38">
        <w:rPr>
          <w:rFonts w:ascii="Times New Roman" w:hAnsi="Times New Roman" w:cs="Times New Roman"/>
          <w:color w:val="000000" w:themeColor="text1"/>
          <w:lang w:val="en-US"/>
        </w:rPr>
        <w:t>) devastated LSGs</w:t>
      </w:r>
      <w:r w:rsidR="008E0F38">
        <w:rPr>
          <w:rFonts w:ascii="Times New Roman" w:hAnsi="Times New Roman" w:cs="Times New Roman"/>
          <w:color w:val="000000" w:themeColor="text1"/>
          <w:lang w:val="en-US"/>
        </w:rPr>
        <w:t xml:space="preserve"> with development index 5</w:t>
      </w:r>
      <w:r w:rsidRPr="008E0F38">
        <w:rPr>
          <w:rFonts w:ascii="Times New Roman" w:hAnsi="Times New Roman" w:cs="Times New Roman"/>
          <w:color w:val="000000" w:themeColor="text1"/>
          <w:lang w:val="en-US"/>
        </w:rPr>
        <w:t>, 1</w:t>
      </w:r>
      <w:r w:rsidR="008E0F38">
        <w:rPr>
          <w:rFonts w:ascii="Times New Roman" w:hAnsi="Times New Roman" w:cs="Times New Roman"/>
          <w:color w:val="000000" w:themeColor="text1"/>
          <w:lang w:val="en-US"/>
        </w:rPr>
        <w:t>5</w:t>
      </w:r>
      <w:r w:rsidRPr="008E0F38">
        <w:rPr>
          <w:rFonts w:ascii="Times New Roman" w:hAnsi="Times New Roman" w:cs="Times New Roman"/>
          <w:color w:val="000000" w:themeColor="text1"/>
          <w:lang w:val="en-US"/>
        </w:rPr>
        <w:t xml:space="preserve"> (</w:t>
      </w:r>
      <w:r w:rsidR="008E0F38">
        <w:rPr>
          <w:rFonts w:ascii="Times New Roman" w:hAnsi="Times New Roman" w:cs="Times New Roman"/>
          <w:color w:val="000000" w:themeColor="text1"/>
          <w:lang w:val="en-US"/>
        </w:rPr>
        <w:t>fifteen</w:t>
      </w:r>
      <w:r w:rsidRPr="008E0F38">
        <w:rPr>
          <w:rFonts w:ascii="Times New Roman" w:hAnsi="Times New Roman" w:cs="Times New Roman"/>
          <w:color w:val="000000" w:themeColor="text1"/>
          <w:lang w:val="en-US"/>
        </w:rPr>
        <w:t xml:space="preserve">) LSGs </w:t>
      </w:r>
      <w:r w:rsidR="008E0F38">
        <w:rPr>
          <w:rFonts w:ascii="Times New Roman" w:hAnsi="Times New Roman" w:cs="Times New Roman"/>
          <w:color w:val="000000" w:themeColor="text1"/>
          <w:lang w:val="en-US"/>
        </w:rPr>
        <w:t xml:space="preserve">are </w:t>
      </w:r>
      <w:r w:rsidRPr="008E0F38">
        <w:rPr>
          <w:rFonts w:ascii="Times New Roman" w:hAnsi="Times New Roman" w:cs="Times New Roman"/>
          <w:color w:val="000000" w:themeColor="text1"/>
          <w:lang w:val="en-US"/>
        </w:rPr>
        <w:t>from 4</w:t>
      </w:r>
      <w:r w:rsidRPr="008E0F38">
        <w:rPr>
          <w:rFonts w:ascii="Times New Roman" w:hAnsi="Times New Roman" w:cs="Times New Roman"/>
          <w:color w:val="000000" w:themeColor="text1"/>
          <w:vertAlign w:val="superscript"/>
          <w:lang w:val="en-US"/>
        </w:rPr>
        <w:t>th</w:t>
      </w:r>
      <w:r w:rsidRPr="008E0F38">
        <w:rPr>
          <w:rFonts w:ascii="Times New Roman" w:hAnsi="Times New Roman" w:cs="Times New Roman"/>
          <w:color w:val="000000" w:themeColor="text1"/>
          <w:lang w:val="en-US"/>
        </w:rPr>
        <w:t xml:space="preserve"> development class group, </w:t>
      </w:r>
      <w:r w:rsidR="008E0F38">
        <w:rPr>
          <w:rFonts w:ascii="Times New Roman" w:hAnsi="Times New Roman" w:cs="Times New Roman"/>
          <w:color w:val="000000" w:themeColor="text1"/>
          <w:lang w:val="en-US"/>
        </w:rPr>
        <w:t>24</w:t>
      </w:r>
      <w:r w:rsidRPr="008E0F38">
        <w:rPr>
          <w:rFonts w:ascii="Times New Roman" w:hAnsi="Times New Roman" w:cs="Times New Roman"/>
          <w:color w:val="000000" w:themeColor="text1"/>
          <w:lang w:val="en-US"/>
        </w:rPr>
        <w:t xml:space="preserve"> (</w:t>
      </w:r>
      <w:r w:rsidR="00E0617B">
        <w:rPr>
          <w:rFonts w:ascii="Times New Roman" w:hAnsi="Times New Roman" w:cs="Times New Roman"/>
          <w:color w:val="000000" w:themeColor="text1"/>
          <w:lang w:val="en-US"/>
        </w:rPr>
        <w:t>twenty-four</w:t>
      </w:r>
      <w:r w:rsidRPr="008E0F38">
        <w:rPr>
          <w:rFonts w:ascii="Times New Roman" w:hAnsi="Times New Roman" w:cs="Times New Roman"/>
          <w:color w:val="000000" w:themeColor="text1"/>
          <w:lang w:val="en-US"/>
        </w:rPr>
        <w:t>) LSGs from 3</w:t>
      </w:r>
      <w:r w:rsidRPr="008E0F38">
        <w:rPr>
          <w:rFonts w:ascii="Times New Roman" w:hAnsi="Times New Roman" w:cs="Times New Roman"/>
          <w:color w:val="000000" w:themeColor="text1"/>
          <w:vertAlign w:val="superscript"/>
          <w:lang w:val="en-US"/>
        </w:rPr>
        <w:t>rd</w:t>
      </w:r>
      <w:r w:rsidRPr="008E0F38">
        <w:rPr>
          <w:rFonts w:ascii="Times New Roman" w:hAnsi="Times New Roman" w:cs="Times New Roman"/>
          <w:color w:val="000000" w:themeColor="text1"/>
          <w:lang w:val="en-US"/>
        </w:rPr>
        <w:t xml:space="preserve"> development class group, </w:t>
      </w:r>
      <w:r w:rsidR="008E0F38">
        <w:rPr>
          <w:rFonts w:ascii="Times New Roman" w:hAnsi="Times New Roman" w:cs="Times New Roman"/>
          <w:color w:val="000000" w:themeColor="text1"/>
          <w:lang w:val="en-US"/>
        </w:rPr>
        <w:t>12</w:t>
      </w:r>
      <w:r w:rsidRPr="008E0F38">
        <w:rPr>
          <w:rFonts w:ascii="Times New Roman" w:hAnsi="Times New Roman" w:cs="Times New Roman"/>
          <w:color w:val="000000" w:themeColor="text1"/>
          <w:lang w:val="en-US"/>
        </w:rPr>
        <w:t>(</w:t>
      </w:r>
      <w:r w:rsidR="00E0617B">
        <w:rPr>
          <w:rFonts w:ascii="Times New Roman" w:hAnsi="Times New Roman" w:cs="Times New Roman"/>
          <w:color w:val="000000" w:themeColor="text1"/>
          <w:lang w:val="en-US"/>
        </w:rPr>
        <w:t>twelve</w:t>
      </w:r>
      <w:r w:rsidRPr="008E0F38">
        <w:rPr>
          <w:rFonts w:ascii="Times New Roman" w:hAnsi="Times New Roman" w:cs="Times New Roman"/>
          <w:color w:val="000000" w:themeColor="text1"/>
          <w:lang w:val="en-US"/>
        </w:rPr>
        <w:t>) LSGs from 2</w:t>
      </w:r>
      <w:r w:rsidRPr="008E0F38">
        <w:rPr>
          <w:rFonts w:ascii="Times New Roman" w:hAnsi="Times New Roman" w:cs="Times New Roman"/>
          <w:color w:val="000000" w:themeColor="text1"/>
          <w:vertAlign w:val="superscript"/>
          <w:lang w:val="en-US"/>
        </w:rPr>
        <w:t>nd</w:t>
      </w:r>
      <w:r w:rsidRPr="008E0F38">
        <w:rPr>
          <w:rFonts w:ascii="Times New Roman" w:hAnsi="Times New Roman" w:cs="Times New Roman"/>
          <w:color w:val="000000" w:themeColor="text1"/>
          <w:lang w:val="en-US"/>
        </w:rPr>
        <w:t xml:space="preserve"> development class group and </w:t>
      </w:r>
      <w:r w:rsidR="008E0F38">
        <w:rPr>
          <w:rFonts w:ascii="Times New Roman" w:hAnsi="Times New Roman" w:cs="Times New Roman"/>
          <w:color w:val="000000" w:themeColor="text1"/>
          <w:lang w:val="en-US"/>
        </w:rPr>
        <w:t>7</w:t>
      </w:r>
      <w:r w:rsidRPr="008E0F38">
        <w:rPr>
          <w:rFonts w:ascii="Times New Roman" w:hAnsi="Times New Roman" w:cs="Times New Roman"/>
          <w:color w:val="000000" w:themeColor="text1"/>
          <w:lang w:val="en-US"/>
        </w:rPr>
        <w:t xml:space="preserve"> (seven) LSGs from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group. This group consists of the biggest number of devastated LSGs and LSGs with lower development class. </w:t>
      </w:r>
    </w:p>
    <w:p w14:paraId="7FC9C241" w14:textId="70D03F56" w:rsidR="007D0097" w:rsidRPr="008E0F38" w:rsidRDefault="007D0097" w:rsidP="007D0097">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 xml:space="preserve">Forth group of </w:t>
      </w:r>
      <w:r w:rsidR="008E0F38">
        <w:rPr>
          <w:rFonts w:ascii="Times New Roman" w:hAnsi="Times New Roman" w:cs="Times New Roman"/>
          <w:color w:val="000000" w:themeColor="text1"/>
          <w:lang w:val="en-US"/>
        </w:rPr>
        <w:t>17</w:t>
      </w:r>
      <w:r w:rsidRPr="008E0F38">
        <w:rPr>
          <w:rFonts w:ascii="Times New Roman" w:hAnsi="Times New Roman" w:cs="Times New Roman"/>
          <w:color w:val="000000" w:themeColor="text1"/>
          <w:lang w:val="en-US"/>
        </w:rPr>
        <w:t xml:space="preserve"> (</w:t>
      </w:r>
      <w:r w:rsidR="008E0F38">
        <w:rPr>
          <w:rFonts w:ascii="Times New Roman" w:hAnsi="Times New Roman" w:cs="Times New Roman"/>
          <w:color w:val="000000" w:themeColor="text1"/>
          <w:lang w:val="en-US"/>
        </w:rPr>
        <w:t>seventeen</w:t>
      </w:r>
      <w:r w:rsidRPr="008E0F38">
        <w:rPr>
          <w:rFonts w:ascii="Times New Roman" w:hAnsi="Times New Roman" w:cs="Times New Roman"/>
          <w:color w:val="000000" w:themeColor="text1"/>
          <w:lang w:val="en-US"/>
        </w:rPr>
        <w:t xml:space="preserve">) LSGs contains </w:t>
      </w:r>
      <w:r w:rsidR="008E0F38">
        <w:rPr>
          <w:rFonts w:ascii="Times New Roman" w:hAnsi="Times New Roman" w:cs="Times New Roman"/>
          <w:color w:val="000000" w:themeColor="text1"/>
          <w:lang w:val="en-US"/>
        </w:rPr>
        <w:t>1</w:t>
      </w:r>
      <w:r w:rsidRPr="008E0F38">
        <w:rPr>
          <w:rFonts w:ascii="Times New Roman" w:hAnsi="Times New Roman" w:cs="Times New Roman"/>
          <w:color w:val="000000" w:themeColor="text1"/>
          <w:lang w:val="en-US"/>
        </w:rPr>
        <w:t xml:space="preserve"> (</w:t>
      </w:r>
      <w:r w:rsidR="008E0F38">
        <w:rPr>
          <w:rFonts w:ascii="Times New Roman" w:hAnsi="Times New Roman" w:cs="Times New Roman"/>
          <w:color w:val="000000" w:themeColor="text1"/>
          <w:lang w:val="en-US"/>
        </w:rPr>
        <w:t>one</w:t>
      </w:r>
      <w:r w:rsidRPr="008E0F38">
        <w:rPr>
          <w:rFonts w:ascii="Times New Roman" w:hAnsi="Times New Roman" w:cs="Times New Roman"/>
          <w:color w:val="000000" w:themeColor="text1"/>
          <w:lang w:val="en-US"/>
        </w:rPr>
        <w:t>) LSG from</w:t>
      </w:r>
      <w:r w:rsidR="00E0617B">
        <w:rPr>
          <w:rFonts w:ascii="Times New Roman" w:hAnsi="Times New Roman" w:cs="Times New Roman"/>
          <w:color w:val="000000" w:themeColor="text1"/>
          <w:lang w:val="en-US"/>
        </w:rPr>
        <w:t xml:space="preserve"> 5th </w:t>
      </w:r>
      <w:r w:rsidRPr="008E0F38">
        <w:rPr>
          <w:rFonts w:ascii="Times New Roman" w:hAnsi="Times New Roman" w:cs="Times New Roman"/>
          <w:color w:val="000000" w:themeColor="text1"/>
          <w:lang w:val="en-US"/>
        </w:rPr>
        <w:t xml:space="preserve"> </w:t>
      </w:r>
      <w:r w:rsidR="008E0F38">
        <w:rPr>
          <w:rFonts w:ascii="Times New Roman" w:hAnsi="Times New Roman" w:cs="Times New Roman"/>
          <w:color w:val="000000" w:themeColor="text1"/>
          <w:vertAlign w:val="superscript"/>
          <w:lang w:val="en-US"/>
        </w:rPr>
        <w:t xml:space="preserve"> </w:t>
      </w:r>
      <w:r w:rsidRPr="008E0F38">
        <w:rPr>
          <w:rFonts w:ascii="Times New Roman" w:hAnsi="Times New Roman" w:cs="Times New Roman"/>
          <w:color w:val="000000" w:themeColor="text1"/>
          <w:lang w:val="en-US"/>
        </w:rPr>
        <w:t xml:space="preserve"> development class group, </w:t>
      </w:r>
      <w:r w:rsidR="008E0F38">
        <w:rPr>
          <w:rFonts w:ascii="Times New Roman" w:hAnsi="Times New Roman" w:cs="Times New Roman"/>
          <w:color w:val="000000" w:themeColor="text1"/>
          <w:lang w:val="en-US"/>
        </w:rPr>
        <w:t>1</w:t>
      </w:r>
      <w:r w:rsidRPr="008E0F38">
        <w:rPr>
          <w:rFonts w:ascii="Times New Roman" w:hAnsi="Times New Roman" w:cs="Times New Roman"/>
          <w:color w:val="000000" w:themeColor="text1"/>
          <w:lang w:val="en-US"/>
        </w:rPr>
        <w:t xml:space="preserve"> (</w:t>
      </w:r>
      <w:r w:rsidR="008E0F38">
        <w:rPr>
          <w:rFonts w:ascii="Times New Roman" w:hAnsi="Times New Roman" w:cs="Times New Roman"/>
          <w:color w:val="000000" w:themeColor="text1"/>
          <w:lang w:val="en-US"/>
        </w:rPr>
        <w:t>one</w:t>
      </w:r>
      <w:r w:rsidRPr="008E0F38">
        <w:rPr>
          <w:rFonts w:ascii="Times New Roman" w:hAnsi="Times New Roman" w:cs="Times New Roman"/>
          <w:color w:val="000000" w:themeColor="text1"/>
          <w:lang w:val="en-US"/>
        </w:rPr>
        <w:t xml:space="preserve">) LSG from </w:t>
      </w:r>
      <w:r w:rsidR="008E0F38">
        <w:rPr>
          <w:rFonts w:ascii="Times New Roman" w:hAnsi="Times New Roman" w:cs="Times New Roman"/>
          <w:color w:val="000000" w:themeColor="text1"/>
          <w:lang w:val="en-US"/>
        </w:rPr>
        <w:t>4</w:t>
      </w:r>
      <w:r w:rsidR="008E0F38">
        <w:rPr>
          <w:rFonts w:ascii="Times New Roman" w:hAnsi="Times New Roman" w:cs="Times New Roman"/>
          <w:color w:val="000000" w:themeColor="text1"/>
          <w:vertAlign w:val="superscript"/>
          <w:lang w:val="en-US"/>
        </w:rPr>
        <w:t>th</w:t>
      </w:r>
      <w:r w:rsidRPr="008E0F38">
        <w:rPr>
          <w:rFonts w:ascii="Times New Roman" w:hAnsi="Times New Roman" w:cs="Times New Roman"/>
          <w:color w:val="000000" w:themeColor="text1"/>
          <w:lang w:val="en-US"/>
        </w:rPr>
        <w:t xml:space="preserve"> development class group and </w:t>
      </w:r>
      <w:r w:rsidR="008E0F38">
        <w:rPr>
          <w:rFonts w:ascii="Times New Roman" w:hAnsi="Times New Roman" w:cs="Times New Roman"/>
          <w:color w:val="000000" w:themeColor="text1"/>
          <w:lang w:val="en-US"/>
        </w:rPr>
        <w:t>3</w:t>
      </w:r>
      <w:r w:rsidRPr="008E0F38">
        <w:rPr>
          <w:rFonts w:ascii="Times New Roman" w:hAnsi="Times New Roman" w:cs="Times New Roman"/>
          <w:color w:val="000000" w:themeColor="text1"/>
          <w:lang w:val="en-US"/>
        </w:rPr>
        <w:t xml:space="preserve"> (three) LSGs from </w:t>
      </w:r>
      <w:r w:rsidR="008E0F38">
        <w:rPr>
          <w:rFonts w:ascii="Times New Roman" w:hAnsi="Times New Roman" w:cs="Times New Roman"/>
          <w:color w:val="000000" w:themeColor="text1"/>
          <w:lang w:val="en-US"/>
        </w:rPr>
        <w:t>3</w:t>
      </w:r>
      <w:r w:rsidR="008E0F38">
        <w:rPr>
          <w:rFonts w:ascii="Times New Roman" w:hAnsi="Times New Roman" w:cs="Times New Roman"/>
          <w:color w:val="000000" w:themeColor="text1"/>
          <w:vertAlign w:val="superscript"/>
          <w:lang w:val="en-US"/>
        </w:rPr>
        <w:t>rd</w:t>
      </w:r>
      <w:r w:rsidRPr="008E0F38">
        <w:rPr>
          <w:rFonts w:ascii="Times New Roman" w:hAnsi="Times New Roman" w:cs="Times New Roman"/>
          <w:color w:val="000000" w:themeColor="text1"/>
          <w:lang w:val="en-US"/>
        </w:rPr>
        <w:t xml:space="preserve"> development class group</w:t>
      </w:r>
      <w:r w:rsidR="008E0F38">
        <w:rPr>
          <w:rFonts w:ascii="Times New Roman" w:hAnsi="Times New Roman" w:cs="Times New Roman"/>
          <w:color w:val="000000" w:themeColor="text1"/>
          <w:lang w:val="en-US"/>
        </w:rPr>
        <w:t>, 7 (seven) LSGs from Category 2</w:t>
      </w:r>
      <w:r w:rsidR="008E0F38" w:rsidRPr="00A900A4">
        <w:rPr>
          <w:rFonts w:ascii="Times New Roman" w:hAnsi="Times New Roman" w:cs="Times New Roman"/>
          <w:color w:val="000000" w:themeColor="text1"/>
          <w:vertAlign w:val="superscript"/>
          <w:lang w:val="en-US"/>
        </w:rPr>
        <w:t>nd</w:t>
      </w:r>
      <w:r w:rsidR="008E0F38">
        <w:rPr>
          <w:rFonts w:ascii="Times New Roman" w:hAnsi="Times New Roman" w:cs="Times New Roman"/>
          <w:color w:val="000000" w:themeColor="text1"/>
          <w:lang w:val="en-US"/>
        </w:rPr>
        <w:t xml:space="preserve"> and 5 (five) LSGs from 1</w:t>
      </w:r>
      <w:r w:rsidR="008E0F38" w:rsidRPr="00A900A4">
        <w:rPr>
          <w:rFonts w:ascii="Times New Roman" w:hAnsi="Times New Roman" w:cs="Times New Roman"/>
          <w:color w:val="000000" w:themeColor="text1"/>
          <w:vertAlign w:val="superscript"/>
          <w:lang w:val="en-US"/>
        </w:rPr>
        <w:t>st</w:t>
      </w:r>
      <w:r w:rsidR="008E0F38">
        <w:rPr>
          <w:rFonts w:ascii="Times New Roman" w:hAnsi="Times New Roman" w:cs="Times New Roman"/>
          <w:color w:val="000000" w:themeColor="text1"/>
          <w:lang w:val="en-US"/>
        </w:rPr>
        <w:t xml:space="preserve"> development class</w:t>
      </w:r>
      <w:r w:rsidRPr="008E0F38">
        <w:rPr>
          <w:rFonts w:ascii="Times New Roman" w:hAnsi="Times New Roman" w:cs="Times New Roman"/>
          <w:color w:val="000000" w:themeColor="text1"/>
          <w:lang w:val="en-US"/>
        </w:rPr>
        <w:t xml:space="preserve">. Here the majority of LSGs are well developed populated LSGs. </w:t>
      </w:r>
    </w:p>
    <w:p w14:paraId="7A2E2874" w14:textId="77777777" w:rsidR="007D0097" w:rsidRDefault="007D0097" w:rsidP="007D0097">
      <w:pPr>
        <w:spacing w:after="120" w:line="276" w:lineRule="auto"/>
        <w:jc w:val="both"/>
        <w:rPr>
          <w:rFonts w:ascii="Times New Roman" w:hAnsi="Times New Roman" w:cs="Times New Roman"/>
          <w:color w:val="000000" w:themeColor="text1"/>
          <w:lang w:val="en-US"/>
        </w:rPr>
      </w:pPr>
      <w:r w:rsidRPr="008E0F38">
        <w:rPr>
          <w:rFonts w:ascii="Times New Roman" w:hAnsi="Times New Roman" w:cs="Times New Roman"/>
          <w:color w:val="000000" w:themeColor="text1"/>
          <w:lang w:val="en-US"/>
        </w:rPr>
        <w:t>Fifth group consist only from Novi Sad and Belgrade (1</w:t>
      </w:r>
      <w:r w:rsidRPr="008E0F38">
        <w:rPr>
          <w:rFonts w:ascii="Times New Roman" w:hAnsi="Times New Roman" w:cs="Times New Roman"/>
          <w:color w:val="000000" w:themeColor="text1"/>
          <w:vertAlign w:val="superscript"/>
          <w:lang w:val="en-US"/>
        </w:rPr>
        <w:t>st</w:t>
      </w:r>
      <w:r w:rsidRPr="008E0F38">
        <w:rPr>
          <w:rFonts w:ascii="Times New Roman" w:hAnsi="Times New Roman" w:cs="Times New Roman"/>
          <w:color w:val="000000" w:themeColor="text1"/>
          <w:lang w:val="en-US"/>
        </w:rPr>
        <w:t xml:space="preserve"> development class LSG</w:t>
      </w:r>
      <w:r w:rsidRPr="00E0617B">
        <w:rPr>
          <w:rFonts w:ascii="Times New Roman" w:hAnsi="Times New Roman" w:cs="Times New Roman"/>
          <w:color w:val="000000" w:themeColor="text1"/>
          <w:lang w:val="en-US"/>
        </w:rPr>
        <w:t>s).</w:t>
      </w:r>
    </w:p>
    <w:p w14:paraId="0EAF06BB" w14:textId="77777777" w:rsidR="00E80739" w:rsidRPr="00665F55" w:rsidRDefault="00E80739" w:rsidP="00E80739">
      <w:pPr>
        <w:spacing w:after="0" w:line="240" w:lineRule="auto"/>
        <w:jc w:val="both"/>
        <w:rPr>
          <w:rFonts w:ascii="Times New Roman" w:hAnsi="Times New Roman" w:cs="Times New Roman"/>
          <w:shd w:val="clear" w:color="auto" w:fill="FFFFFF"/>
        </w:rPr>
      </w:pPr>
    </w:p>
    <w:p w14:paraId="6BA1E875" w14:textId="77777777" w:rsidR="00E80739" w:rsidRDefault="00E80739" w:rsidP="00E80739">
      <w:pPr>
        <w:spacing w:after="0" w:line="240" w:lineRule="auto"/>
        <w:jc w:val="center"/>
        <w:rPr>
          <w:rFonts w:cstheme="minorHAnsi"/>
          <w:shd w:val="clear" w:color="auto" w:fill="FFFFFF"/>
        </w:rPr>
      </w:pPr>
      <w:r>
        <w:rPr>
          <w:noProof/>
          <w:lang w:val="en-US"/>
        </w:rPr>
        <w:drawing>
          <wp:inline distT="0" distB="0" distL="0" distR="0" wp14:anchorId="35F88731" wp14:editId="5D882D59">
            <wp:extent cx="4767308" cy="2974020"/>
            <wp:effectExtent l="0" t="0" r="8255" b="10795"/>
            <wp:docPr id="3" name="Chart 3">
              <a:extLst xmlns:a="http://schemas.openxmlformats.org/drawingml/2006/main">
                <a:ext uri="{FF2B5EF4-FFF2-40B4-BE49-F238E27FC236}">
                  <a16:creationId xmlns:a16="http://schemas.microsoft.com/office/drawing/2014/main" id="{8EC7E0A7-DE4A-4455-8C9B-0D66BF661A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D5FB702" w14:textId="77777777" w:rsidR="00E80739" w:rsidRDefault="00E80739" w:rsidP="00E80739">
      <w:pPr>
        <w:spacing w:after="0" w:line="240" w:lineRule="auto"/>
        <w:jc w:val="both"/>
        <w:rPr>
          <w:rFonts w:cstheme="minorHAnsi"/>
          <w:shd w:val="clear" w:color="auto" w:fill="FFFFFF"/>
        </w:rPr>
      </w:pPr>
    </w:p>
    <w:p w14:paraId="1BFC8DC9" w14:textId="77777777" w:rsidR="00E80739" w:rsidRDefault="00E80739" w:rsidP="00E80739">
      <w:pPr>
        <w:spacing w:after="0" w:line="240" w:lineRule="auto"/>
        <w:jc w:val="both"/>
        <w:rPr>
          <w:rFonts w:cstheme="minorHAnsi"/>
          <w:color w:val="FF0000"/>
          <w:shd w:val="clear" w:color="auto" w:fill="FFFFFF"/>
        </w:rPr>
      </w:pPr>
    </w:p>
    <w:p w14:paraId="42D82B7D" w14:textId="77777777" w:rsidR="00E80739" w:rsidRPr="00665F55" w:rsidRDefault="00E80739" w:rsidP="00E80739">
      <w:pPr>
        <w:spacing w:after="0" w:line="240" w:lineRule="auto"/>
        <w:jc w:val="both"/>
        <w:rPr>
          <w:rFonts w:ascii="Times New Roman" w:hAnsi="Times New Roman" w:cs="Times New Roman"/>
          <w:b/>
          <w:bCs/>
          <w:shd w:val="clear" w:color="auto" w:fill="FFFFFF"/>
        </w:rPr>
      </w:pPr>
      <w:r>
        <w:rPr>
          <w:rFonts w:cstheme="minorHAnsi"/>
          <w:color w:val="FF0000"/>
          <w:shd w:val="clear" w:color="auto" w:fill="FFFFFF"/>
        </w:rPr>
        <w:t xml:space="preserve"> </w:t>
      </w:r>
      <w:r w:rsidRPr="00665F55">
        <w:rPr>
          <w:rFonts w:ascii="Times New Roman" w:hAnsi="Times New Roman" w:cs="Times New Roman"/>
          <w:b/>
          <w:bCs/>
          <w:shd w:val="clear" w:color="auto" w:fill="FFFFFF"/>
        </w:rPr>
        <w:t>Comparison of grant amounts against current infrastructure expenditures per LSGs</w:t>
      </w:r>
    </w:p>
    <w:p w14:paraId="7A094195" w14:textId="77777777" w:rsidR="00E80739" w:rsidRPr="00665F55" w:rsidRDefault="00E80739" w:rsidP="00E80739">
      <w:pPr>
        <w:spacing w:after="0" w:line="240" w:lineRule="auto"/>
        <w:jc w:val="both"/>
        <w:rPr>
          <w:rFonts w:ascii="Times New Roman" w:hAnsi="Times New Roman" w:cs="Times New Roman"/>
          <w:b/>
          <w:bCs/>
          <w:shd w:val="clear" w:color="auto" w:fill="FFFFFF"/>
        </w:rPr>
      </w:pPr>
    </w:p>
    <w:p w14:paraId="5025F5E7" w14:textId="1C98AE39" w:rsidR="00E80739" w:rsidRPr="00C307B0" w:rsidRDefault="00E80739" w:rsidP="001F42AE">
      <w:pPr>
        <w:spacing w:after="0" w:line="240" w:lineRule="auto"/>
        <w:jc w:val="both"/>
        <w:rPr>
          <w:rFonts w:ascii="Times New Roman" w:hAnsi="Times New Roman" w:cs="Times New Roman"/>
          <w:shd w:val="clear" w:color="auto" w:fill="FFFFFF"/>
        </w:rPr>
      </w:pPr>
      <w:r w:rsidRPr="00665F55">
        <w:rPr>
          <w:rFonts w:ascii="Times New Roman" w:hAnsi="Times New Roman" w:cs="Times New Roman"/>
          <w:shd w:val="clear" w:color="auto" w:fill="FFFFFF"/>
        </w:rPr>
        <w:t xml:space="preserve">To better understand potential impact on absorption capacity of </w:t>
      </w:r>
      <w:r w:rsidR="00FC208B" w:rsidRPr="00665F55">
        <w:rPr>
          <w:rFonts w:ascii="Times New Roman" w:hAnsi="Times New Roman" w:cs="Times New Roman"/>
          <w:shd w:val="clear" w:color="auto" w:fill="FFFFFF"/>
        </w:rPr>
        <w:t xml:space="preserve">the </w:t>
      </w:r>
      <w:r w:rsidRPr="00665F55">
        <w:rPr>
          <w:rFonts w:ascii="Times New Roman" w:hAnsi="Times New Roman" w:cs="Times New Roman"/>
          <w:shd w:val="clear" w:color="auto" w:fill="FFFFFF"/>
        </w:rPr>
        <w:t xml:space="preserve">LSGs and to identify those LSGs that might need additional support from the start, assigned grant sum was compared to </w:t>
      </w:r>
      <w:r w:rsidR="00FC208B" w:rsidRPr="00665F55">
        <w:rPr>
          <w:rFonts w:ascii="Times New Roman" w:hAnsi="Times New Roman" w:cs="Times New Roman"/>
          <w:shd w:val="clear" w:color="auto" w:fill="FFFFFF"/>
        </w:rPr>
        <w:t xml:space="preserve">the </w:t>
      </w:r>
      <w:r w:rsidRPr="00665F55">
        <w:rPr>
          <w:rFonts w:ascii="Times New Roman" w:hAnsi="Times New Roman" w:cs="Times New Roman"/>
          <w:shd w:val="clear" w:color="auto" w:fill="FFFFFF"/>
        </w:rPr>
        <w:t xml:space="preserve">average expenditure on infrastructure development in 2018 and 2019 for each LSG. For each LSG is calculated what percentage of average annual expenditure would be </w:t>
      </w:r>
      <w:r w:rsidRPr="00C307B0">
        <w:rPr>
          <w:rFonts w:ascii="Times New Roman" w:hAnsi="Times New Roman" w:cs="Times New Roman"/>
          <w:shd w:val="clear" w:color="auto" w:fill="FFFFFF"/>
        </w:rPr>
        <w:t xml:space="preserve">covered by assigned sum. Following the calculation, the LSGs have been grouped into those that would receive: </w:t>
      </w:r>
    </w:p>
    <w:p w14:paraId="5B5773A9" w14:textId="77777777"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less than 20 percent of their average annual infrastructure expenditures (only two LSGs – City of Belgrade and City of Novi Sad)</w:t>
      </w:r>
    </w:p>
    <w:p w14:paraId="44FD04F1" w14:textId="5DEA1CFB"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between 20</w:t>
      </w:r>
      <w:r w:rsidR="00FC208B" w:rsidRPr="00C307B0">
        <w:rPr>
          <w:rFonts w:ascii="Times New Roman" w:hAnsi="Times New Roman" w:cs="Times New Roman"/>
          <w:shd w:val="clear" w:color="auto" w:fill="FFFFFF"/>
        </w:rPr>
        <w:t xml:space="preserve"> </w:t>
      </w:r>
      <w:r w:rsidR="00FC208B" w:rsidRPr="00C307B0">
        <w:rPr>
          <w:rFonts w:ascii="Times New Roman" w:hAnsi="Times New Roman" w:cs="Times New Roman"/>
        </w:rPr>
        <w:t>percent</w:t>
      </w:r>
      <w:r w:rsidR="00FC208B" w:rsidRPr="00C307B0" w:rsidDel="00FC208B">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-50</w:t>
      </w:r>
      <w:r w:rsidR="00FC208B" w:rsidRPr="00C307B0">
        <w:rPr>
          <w:rFonts w:ascii="Times New Roman" w:hAnsi="Times New Roman" w:cs="Times New Roman"/>
        </w:rPr>
        <w:t xml:space="preserve"> percent</w:t>
      </w:r>
      <w:r w:rsidRPr="00C307B0">
        <w:rPr>
          <w:rFonts w:ascii="Times New Roman" w:hAnsi="Times New Roman" w:cs="Times New Roman"/>
          <w:shd w:val="clear" w:color="auto" w:fill="FFFFFF"/>
        </w:rPr>
        <w:t xml:space="preserve"> of their average annual public expenditure. </w:t>
      </w:r>
    </w:p>
    <w:p w14:paraId="39B376A1" w14:textId="76293991"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between 50</w:t>
      </w:r>
      <w:r w:rsidR="00FC208B" w:rsidRPr="00C307B0">
        <w:rPr>
          <w:rFonts w:ascii="Times New Roman" w:hAnsi="Times New Roman" w:cs="Times New Roman"/>
        </w:rPr>
        <w:t xml:space="preserve"> percent</w:t>
      </w:r>
      <w:r w:rsidR="00FC208B" w:rsidRPr="00C307B0" w:rsidDel="00FC208B">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 xml:space="preserve">-100 </w:t>
      </w:r>
      <w:r w:rsidR="00FC208B" w:rsidRPr="00C307B0">
        <w:rPr>
          <w:rFonts w:ascii="Times New Roman" w:hAnsi="Times New Roman" w:cs="Times New Roman"/>
        </w:rPr>
        <w:t>percent</w:t>
      </w:r>
      <w:r w:rsidR="00FC208B" w:rsidRPr="00C307B0" w:rsidDel="00FC208B">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 xml:space="preserve">of their average annual public expenditure. </w:t>
      </w:r>
    </w:p>
    <w:p w14:paraId="34DAD99A" w14:textId="269265B1"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between 100</w:t>
      </w:r>
      <w:r w:rsidR="00FC208B" w:rsidRPr="00C307B0">
        <w:rPr>
          <w:rFonts w:ascii="Times New Roman" w:hAnsi="Times New Roman" w:cs="Times New Roman"/>
          <w:shd w:val="clear" w:color="auto" w:fill="FFFFFF"/>
        </w:rPr>
        <w:t xml:space="preserve"> </w:t>
      </w:r>
      <w:r w:rsidR="00FC208B" w:rsidRPr="00C307B0">
        <w:rPr>
          <w:rFonts w:ascii="Times New Roman" w:hAnsi="Times New Roman" w:cs="Times New Roman"/>
        </w:rPr>
        <w:t>percent</w:t>
      </w:r>
      <w:r w:rsidR="00FC208B" w:rsidRPr="00C307B0">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 xml:space="preserve">-200 </w:t>
      </w:r>
      <w:r w:rsidR="00FC208B" w:rsidRPr="00C307B0">
        <w:rPr>
          <w:rFonts w:ascii="Times New Roman" w:hAnsi="Times New Roman" w:cs="Times New Roman"/>
        </w:rPr>
        <w:t>percent</w:t>
      </w:r>
      <w:r w:rsidRPr="00C307B0">
        <w:rPr>
          <w:rFonts w:ascii="Times New Roman" w:hAnsi="Times New Roman" w:cs="Times New Roman"/>
          <w:shd w:val="clear" w:color="auto" w:fill="FFFFFF"/>
        </w:rPr>
        <w:t xml:space="preserve"> of their average annual public expenditure. That is, those that would get up to twice compared to annual expenditure. </w:t>
      </w:r>
    </w:p>
    <w:p w14:paraId="4ADABDFD" w14:textId="5953EE12"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2 to 3 times of their annual public expenditure (200</w:t>
      </w:r>
      <w:r w:rsidR="00FC208B" w:rsidRPr="00C307B0">
        <w:rPr>
          <w:rFonts w:ascii="Times New Roman" w:hAnsi="Times New Roman" w:cs="Times New Roman"/>
          <w:shd w:val="clear" w:color="auto" w:fill="FFFFFF"/>
        </w:rPr>
        <w:t xml:space="preserve"> </w:t>
      </w:r>
      <w:r w:rsidR="00FC208B" w:rsidRPr="00C307B0">
        <w:rPr>
          <w:rFonts w:ascii="Times New Roman" w:hAnsi="Times New Roman" w:cs="Times New Roman"/>
        </w:rPr>
        <w:t>percent</w:t>
      </w:r>
      <w:r w:rsidR="00FC208B" w:rsidRPr="00C307B0">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-300</w:t>
      </w:r>
      <w:r w:rsidR="00FC208B" w:rsidRPr="00C307B0">
        <w:rPr>
          <w:rFonts w:ascii="Times New Roman" w:hAnsi="Times New Roman" w:cs="Times New Roman"/>
        </w:rPr>
        <w:t xml:space="preserve"> percent</w:t>
      </w:r>
      <w:r w:rsidRPr="00C307B0">
        <w:rPr>
          <w:rFonts w:ascii="Times New Roman" w:hAnsi="Times New Roman" w:cs="Times New Roman"/>
          <w:shd w:val="clear" w:color="auto" w:fill="FFFFFF"/>
        </w:rPr>
        <w:t xml:space="preserve">); </w:t>
      </w:r>
    </w:p>
    <w:p w14:paraId="44B772F8" w14:textId="03E12047"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3 to 4 times of their annual public expenditure (300</w:t>
      </w:r>
      <w:r w:rsidR="00FC208B" w:rsidRPr="00C307B0">
        <w:rPr>
          <w:rFonts w:ascii="Times New Roman" w:hAnsi="Times New Roman" w:cs="Times New Roman"/>
        </w:rPr>
        <w:t xml:space="preserve"> percent</w:t>
      </w:r>
      <w:r w:rsidR="00FC208B" w:rsidRPr="00C307B0">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-400</w:t>
      </w:r>
      <w:r w:rsidR="00FC208B" w:rsidRPr="00C307B0">
        <w:rPr>
          <w:rFonts w:ascii="Times New Roman" w:hAnsi="Times New Roman" w:cs="Times New Roman"/>
        </w:rPr>
        <w:t xml:space="preserve"> percent</w:t>
      </w:r>
      <w:r w:rsidRPr="00C307B0">
        <w:rPr>
          <w:rFonts w:ascii="Times New Roman" w:hAnsi="Times New Roman" w:cs="Times New Roman"/>
          <w:shd w:val="clear" w:color="auto" w:fill="FFFFFF"/>
        </w:rPr>
        <w:t xml:space="preserve">); </w:t>
      </w:r>
    </w:p>
    <w:p w14:paraId="4CC268B0" w14:textId="6EA0014E"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4 to 6 times of their annual public expenditure (400</w:t>
      </w:r>
      <w:r w:rsidR="00FC208B" w:rsidRPr="00C307B0">
        <w:rPr>
          <w:rFonts w:ascii="Times New Roman" w:hAnsi="Times New Roman" w:cs="Times New Roman"/>
        </w:rPr>
        <w:t xml:space="preserve"> percent</w:t>
      </w:r>
      <w:r w:rsidR="00FC208B" w:rsidRPr="00C307B0">
        <w:rPr>
          <w:rFonts w:ascii="Times New Roman" w:hAnsi="Times New Roman" w:cs="Times New Roman"/>
          <w:shd w:val="clear" w:color="auto" w:fill="FFFFFF"/>
        </w:rPr>
        <w:t xml:space="preserve"> </w:t>
      </w:r>
      <w:r w:rsidRPr="00C307B0">
        <w:rPr>
          <w:rFonts w:ascii="Times New Roman" w:hAnsi="Times New Roman" w:cs="Times New Roman"/>
          <w:shd w:val="clear" w:color="auto" w:fill="FFFFFF"/>
        </w:rPr>
        <w:t>-600</w:t>
      </w:r>
      <w:r w:rsidR="00FC208B" w:rsidRPr="00C307B0">
        <w:rPr>
          <w:rFonts w:ascii="Times New Roman" w:hAnsi="Times New Roman" w:cs="Times New Roman"/>
        </w:rPr>
        <w:t xml:space="preserve"> percent</w:t>
      </w:r>
      <w:r w:rsidRPr="00C307B0">
        <w:rPr>
          <w:rFonts w:ascii="Times New Roman" w:hAnsi="Times New Roman" w:cs="Times New Roman"/>
          <w:shd w:val="clear" w:color="auto" w:fill="FFFFFF"/>
        </w:rPr>
        <w:t xml:space="preserve">); and </w:t>
      </w:r>
    </w:p>
    <w:p w14:paraId="5937048C" w14:textId="77777777" w:rsidR="00E80739" w:rsidRPr="00C307B0" w:rsidRDefault="00E80739" w:rsidP="001F42AE">
      <w:pPr>
        <w:pStyle w:val="ListParagraph"/>
        <w:numPr>
          <w:ilvl w:val="0"/>
          <w:numId w:val="570"/>
        </w:numPr>
        <w:spacing w:after="0" w:line="240" w:lineRule="auto"/>
        <w:jc w:val="both"/>
        <w:rPr>
          <w:rFonts w:ascii="Times New Roman" w:hAnsi="Times New Roman" w:cs="Times New Roman"/>
          <w:shd w:val="clear" w:color="auto" w:fill="FFFFFF"/>
        </w:rPr>
      </w:pPr>
      <w:r w:rsidRPr="00C307B0">
        <w:rPr>
          <w:rFonts w:ascii="Times New Roman" w:hAnsi="Times New Roman" w:cs="Times New Roman"/>
          <w:shd w:val="clear" w:color="auto" w:fill="FFFFFF"/>
        </w:rPr>
        <w:t xml:space="preserve">6 times or more of what the LSG spent annually (table below). </w:t>
      </w:r>
    </w:p>
    <w:p w14:paraId="2EB65C2E" w14:textId="77777777" w:rsidR="00E80739" w:rsidRPr="00C307B0" w:rsidRDefault="00E80739" w:rsidP="00FC208B">
      <w:pPr>
        <w:spacing w:after="0" w:line="240" w:lineRule="auto"/>
        <w:jc w:val="both"/>
        <w:rPr>
          <w:rFonts w:ascii="Times New Roman" w:hAnsi="Times New Roman" w:cs="Times New Roman"/>
          <w:shd w:val="clear" w:color="auto" w:fill="FFFFFF"/>
        </w:rPr>
      </w:pPr>
    </w:p>
    <w:p w14:paraId="26FB2EBE" w14:textId="77777777" w:rsidR="00C03FFD" w:rsidRPr="006F115D" w:rsidRDefault="00C03FFD" w:rsidP="00E80739">
      <w:pPr>
        <w:spacing w:after="0" w:line="240" w:lineRule="auto"/>
        <w:jc w:val="center"/>
        <w:rPr>
          <w:rFonts w:ascii="Times New Roman" w:hAnsi="Times New Roman" w:cs="Times New Roman"/>
          <w:shd w:val="clear" w:color="auto" w:fill="FFFFFF"/>
        </w:rPr>
      </w:pPr>
    </w:p>
    <w:p w14:paraId="5937E56A" w14:textId="77777777" w:rsidR="00C03FFD" w:rsidRPr="006F115D" w:rsidRDefault="00C03FFD" w:rsidP="00E80739">
      <w:pPr>
        <w:spacing w:after="0" w:line="240" w:lineRule="auto"/>
        <w:jc w:val="center"/>
        <w:rPr>
          <w:rFonts w:ascii="Times New Roman" w:hAnsi="Times New Roman" w:cs="Times New Roman"/>
          <w:shd w:val="clear" w:color="auto" w:fill="FFFFFF"/>
        </w:rPr>
      </w:pPr>
    </w:p>
    <w:tbl>
      <w:tblPr>
        <w:tblStyle w:val="TableGrid"/>
        <w:tblW w:w="0" w:type="auto"/>
        <w:jc w:val="center"/>
        <w:tblLook w:val="04A0" w:firstRow="1" w:lastRow="0" w:firstColumn="1" w:lastColumn="0" w:noHBand="0" w:noVBand="1"/>
      </w:tblPr>
      <w:tblGrid>
        <w:gridCol w:w="2689"/>
        <w:gridCol w:w="1134"/>
        <w:gridCol w:w="4819"/>
      </w:tblGrid>
      <w:tr w:rsidR="00C03FFD" w:rsidRPr="00C307B0" w14:paraId="3A8F7052" w14:textId="77777777" w:rsidTr="004378E4">
        <w:trPr>
          <w:jc w:val="center"/>
        </w:trPr>
        <w:tc>
          <w:tcPr>
            <w:tcW w:w="2689" w:type="dxa"/>
          </w:tcPr>
          <w:p w14:paraId="1722E420"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Ratio of grant and current infrastructure expenditure (2018/2019) in %</w:t>
            </w:r>
          </w:p>
        </w:tc>
        <w:tc>
          <w:tcPr>
            <w:tcW w:w="1134" w:type="dxa"/>
            <w:vAlign w:val="center"/>
          </w:tcPr>
          <w:p w14:paraId="30965473"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Number of LSGs</w:t>
            </w:r>
          </w:p>
        </w:tc>
        <w:tc>
          <w:tcPr>
            <w:tcW w:w="4819" w:type="dxa"/>
            <w:vAlign w:val="center"/>
          </w:tcPr>
          <w:p w14:paraId="12329BCB"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LSGs name</w:t>
            </w:r>
          </w:p>
        </w:tc>
      </w:tr>
      <w:tr w:rsidR="00C03FFD" w:rsidRPr="00C307B0" w14:paraId="19FDC891" w14:textId="77777777" w:rsidTr="004378E4">
        <w:trPr>
          <w:jc w:val="center"/>
        </w:trPr>
        <w:tc>
          <w:tcPr>
            <w:tcW w:w="2689" w:type="dxa"/>
            <w:vAlign w:val="center"/>
          </w:tcPr>
          <w:p w14:paraId="2BD4CEC2"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Less than 20%</w:t>
            </w:r>
          </w:p>
        </w:tc>
        <w:tc>
          <w:tcPr>
            <w:tcW w:w="1134" w:type="dxa"/>
            <w:vAlign w:val="center"/>
          </w:tcPr>
          <w:p w14:paraId="1E0CC192" w14:textId="001AC553" w:rsidR="00C03FFD" w:rsidRPr="00C307B0" w:rsidRDefault="00A637DC" w:rsidP="004378E4">
            <w:pPr>
              <w:jc w:val="center"/>
              <w:rPr>
                <w:shd w:val="clear" w:color="auto" w:fill="FFFFFF"/>
              </w:rPr>
            </w:pPr>
            <w:r>
              <w:rPr>
                <w:shd w:val="clear" w:color="auto" w:fill="FFFFFF"/>
              </w:rPr>
              <w:t>2</w:t>
            </w:r>
          </w:p>
        </w:tc>
        <w:tc>
          <w:tcPr>
            <w:tcW w:w="4819" w:type="dxa"/>
          </w:tcPr>
          <w:p w14:paraId="6A6AB063" w14:textId="1E10B707" w:rsidR="00C03FFD" w:rsidRPr="00C307B0" w:rsidRDefault="00C03FFD" w:rsidP="004378E4">
            <w:pPr>
              <w:jc w:val="both"/>
              <w:rPr>
                <w:shd w:val="clear" w:color="auto" w:fill="FFFFFF"/>
              </w:rPr>
            </w:pPr>
            <w:r w:rsidRPr="00C307B0">
              <w:rPr>
                <w:shd w:val="clear" w:color="auto" w:fill="FFFFFF"/>
              </w:rPr>
              <w:t xml:space="preserve">City of </w:t>
            </w:r>
            <w:r w:rsidR="00835C1A" w:rsidRPr="00C307B0">
              <w:rPr>
                <w:shd w:val="clear" w:color="auto" w:fill="FFFFFF"/>
              </w:rPr>
              <w:t>Belgrade, City</w:t>
            </w:r>
            <w:r w:rsidRPr="00C307B0">
              <w:rPr>
                <w:shd w:val="clear" w:color="auto" w:fill="FFFFFF"/>
              </w:rPr>
              <w:t xml:space="preserve"> of Novi Sad</w:t>
            </w:r>
          </w:p>
        </w:tc>
      </w:tr>
      <w:tr w:rsidR="00C03FFD" w:rsidRPr="00C307B0" w14:paraId="2A39509D" w14:textId="77777777" w:rsidTr="004378E4">
        <w:trPr>
          <w:jc w:val="center"/>
        </w:trPr>
        <w:tc>
          <w:tcPr>
            <w:tcW w:w="2689" w:type="dxa"/>
            <w:vAlign w:val="center"/>
          </w:tcPr>
          <w:p w14:paraId="38042D28"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20-50%</w:t>
            </w:r>
          </w:p>
        </w:tc>
        <w:tc>
          <w:tcPr>
            <w:tcW w:w="1134" w:type="dxa"/>
            <w:vAlign w:val="center"/>
          </w:tcPr>
          <w:p w14:paraId="13452024" w14:textId="024A5207" w:rsidR="00C03FFD" w:rsidRPr="00C307B0" w:rsidRDefault="00C03FFD" w:rsidP="004378E4">
            <w:pPr>
              <w:jc w:val="center"/>
              <w:rPr>
                <w:shd w:val="clear" w:color="auto" w:fill="FFFFFF"/>
              </w:rPr>
            </w:pPr>
            <w:r w:rsidRPr="00C307B0">
              <w:rPr>
                <w:shd w:val="clear" w:color="auto" w:fill="FFFFFF"/>
              </w:rPr>
              <w:t>1</w:t>
            </w:r>
            <w:r w:rsidR="00A637DC">
              <w:rPr>
                <w:shd w:val="clear" w:color="auto" w:fill="FFFFFF"/>
              </w:rPr>
              <w:t>0</w:t>
            </w:r>
          </w:p>
        </w:tc>
        <w:tc>
          <w:tcPr>
            <w:tcW w:w="4819" w:type="dxa"/>
          </w:tcPr>
          <w:p w14:paraId="5DEEB8ED" w14:textId="7839872B" w:rsidR="00C03FFD" w:rsidRPr="00C307B0" w:rsidRDefault="00A637DC" w:rsidP="004378E4">
            <w:pPr>
              <w:jc w:val="both"/>
              <w:rPr>
                <w:shd w:val="clear" w:color="auto" w:fill="FFFFFF"/>
              </w:rPr>
            </w:pPr>
            <w:r>
              <w:rPr>
                <w:shd w:val="clear" w:color="auto" w:fill="FFFFFF"/>
              </w:rPr>
              <w:t xml:space="preserve">Cajetina, </w:t>
            </w:r>
            <w:r w:rsidR="00C03FFD" w:rsidRPr="00C307B0">
              <w:rPr>
                <w:shd w:val="clear" w:color="auto" w:fill="FFFFFF"/>
              </w:rPr>
              <w:t xml:space="preserve">Subotica, Kikinda, Pozarevac, Nis, Indjija, Backa Topola, Ub, Lajkovac, Stara Pazova, </w:t>
            </w:r>
          </w:p>
        </w:tc>
      </w:tr>
      <w:tr w:rsidR="00C03FFD" w:rsidRPr="00C307B0" w14:paraId="0B6B46E0" w14:textId="77777777" w:rsidTr="004378E4">
        <w:trPr>
          <w:jc w:val="center"/>
        </w:trPr>
        <w:tc>
          <w:tcPr>
            <w:tcW w:w="2689" w:type="dxa"/>
            <w:vAlign w:val="center"/>
          </w:tcPr>
          <w:p w14:paraId="73D65BD1"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50-100%</w:t>
            </w:r>
          </w:p>
        </w:tc>
        <w:tc>
          <w:tcPr>
            <w:tcW w:w="1134" w:type="dxa"/>
            <w:vAlign w:val="center"/>
          </w:tcPr>
          <w:p w14:paraId="018D5764" w14:textId="52037867" w:rsidR="00C03FFD" w:rsidRPr="00C307B0" w:rsidRDefault="005003E1" w:rsidP="004378E4">
            <w:pPr>
              <w:jc w:val="center"/>
              <w:rPr>
                <w:shd w:val="clear" w:color="auto" w:fill="FFFFFF"/>
              </w:rPr>
            </w:pPr>
            <w:r>
              <w:rPr>
                <w:shd w:val="clear" w:color="auto" w:fill="FFFFFF"/>
              </w:rPr>
              <w:t>37</w:t>
            </w:r>
          </w:p>
        </w:tc>
        <w:tc>
          <w:tcPr>
            <w:tcW w:w="4819" w:type="dxa"/>
          </w:tcPr>
          <w:p w14:paraId="265E518D" w14:textId="15F21AF1" w:rsidR="00C03FFD" w:rsidRPr="00C307B0" w:rsidRDefault="00E856B9" w:rsidP="004378E4">
            <w:pPr>
              <w:jc w:val="both"/>
              <w:rPr>
                <w:shd w:val="clear" w:color="auto" w:fill="FFFFFF"/>
              </w:rPr>
            </w:pPr>
            <w:r w:rsidRPr="00E856B9">
              <w:rPr>
                <w:shd w:val="clear" w:color="auto" w:fill="FFFFFF"/>
              </w:rPr>
              <w:t>Kula, Žitište, Bačka Palanka, Pančevo, Vranje, Temerin, Užice, Kragujevac, Bor, Novi Pazar, Gornji Milanovac, Ruma, Čačak, Sremska Mitrovica, Pirot, Valjevo, Vrnjačka Banja, Svilajnac, Aranđelovac, Bač, Opovo, Smederevo, Irig, Sombor, Pećinci, Paraćin, Šabac, Kanjiža, Apatin, Zrenjanin, Kruševac, Senta, Bela Crkva, Odžaci, Kraljevo, Vlasotince, Kladovo</w:t>
            </w:r>
            <w:r w:rsidRPr="00E856B9" w:rsidDel="005003E1">
              <w:rPr>
                <w:shd w:val="clear" w:color="auto" w:fill="FFFFFF"/>
              </w:rPr>
              <w:t xml:space="preserve"> </w:t>
            </w:r>
          </w:p>
        </w:tc>
      </w:tr>
      <w:tr w:rsidR="00C03FFD" w:rsidRPr="00C307B0" w14:paraId="75D01A74" w14:textId="77777777" w:rsidTr="004378E4">
        <w:trPr>
          <w:jc w:val="center"/>
        </w:trPr>
        <w:tc>
          <w:tcPr>
            <w:tcW w:w="2689" w:type="dxa"/>
            <w:vAlign w:val="center"/>
          </w:tcPr>
          <w:p w14:paraId="2D8AA447"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100-200%</w:t>
            </w:r>
          </w:p>
        </w:tc>
        <w:tc>
          <w:tcPr>
            <w:tcW w:w="1134" w:type="dxa"/>
            <w:vAlign w:val="center"/>
          </w:tcPr>
          <w:p w14:paraId="3ACD1006" w14:textId="04004F52" w:rsidR="00C03FFD" w:rsidRPr="00C307B0" w:rsidRDefault="00176E9C" w:rsidP="004378E4">
            <w:pPr>
              <w:jc w:val="center"/>
              <w:rPr>
                <w:shd w:val="clear" w:color="auto" w:fill="FFFFFF"/>
              </w:rPr>
            </w:pPr>
            <w:r>
              <w:rPr>
                <w:shd w:val="clear" w:color="auto" w:fill="FFFFFF"/>
              </w:rPr>
              <w:t>54</w:t>
            </w:r>
          </w:p>
        </w:tc>
        <w:tc>
          <w:tcPr>
            <w:tcW w:w="4819" w:type="dxa"/>
          </w:tcPr>
          <w:p w14:paraId="67EC784D" w14:textId="48291CEE" w:rsidR="00C03FFD" w:rsidRPr="00BB28C3" w:rsidRDefault="00BB28C3" w:rsidP="004378E4">
            <w:pPr>
              <w:jc w:val="both"/>
              <w:rPr>
                <w:shd w:val="clear" w:color="auto" w:fill="FFFFFF"/>
              </w:rPr>
            </w:pPr>
            <w:r w:rsidRPr="00A900A4">
              <w:rPr>
                <w:shd w:val="clear" w:color="auto" w:fill="FFFFFF"/>
              </w:rPr>
              <w:t xml:space="preserve">Bački Petrovac, Nova Varoš, Sokobanja, Beočin, Kovin, Aleksandrovac, Raška, </w:t>
            </w:r>
            <w:r w:rsidRPr="00A900A4">
              <w:rPr>
                <w:highlight w:val="yellow"/>
                <w:shd w:val="clear" w:color="auto" w:fill="FFFFFF"/>
              </w:rPr>
              <w:t>Tutin</w:t>
            </w:r>
            <w:r w:rsidRPr="00A900A4">
              <w:rPr>
                <w:shd w:val="clear" w:color="auto" w:fill="FFFFFF"/>
              </w:rPr>
              <w:t xml:space="preserve">, Novi Kneževac, Novi Bečej, </w:t>
            </w:r>
            <w:r w:rsidRPr="00A900A4">
              <w:rPr>
                <w:highlight w:val="yellow"/>
                <w:shd w:val="clear" w:color="auto" w:fill="FFFFFF"/>
              </w:rPr>
              <w:t>Mali Zvornik,</w:t>
            </w:r>
            <w:r w:rsidRPr="00A900A4">
              <w:rPr>
                <w:shd w:val="clear" w:color="auto" w:fill="FFFFFF"/>
              </w:rPr>
              <w:t xml:space="preserve"> </w:t>
            </w:r>
            <w:r w:rsidRPr="00A900A4">
              <w:rPr>
                <w:highlight w:val="yellow"/>
                <w:shd w:val="clear" w:color="auto" w:fill="FFFFFF"/>
              </w:rPr>
              <w:t>Preševo</w:t>
            </w:r>
            <w:r w:rsidRPr="00A900A4">
              <w:rPr>
                <w:shd w:val="clear" w:color="auto" w:fill="FFFFFF"/>
              </w:rPr>
              <w:t xml:space="preserve">, Vršac, Ada, Mali Iđoš, </w:t>
            </w:r>
            <w:r w:rsidRPr="00A900A4">
              <w:rPr>
                <w:highlight w:val="yellow"/>
                <w:shd w:val="clear" w:color="auto" w:fill="FFFFFF"/>
              </w:rPr>
              <w:t>Bujanovac,</w:t>
            </w:r>
            <w:r w:rsidRPr="00A900A4">
              <w:rPr>
                <w:shd w:val="clear" w:color="auto" w:fill="FFFFFF"/>
              </w:rPr>
              <w:t xml:space="preserve"> Bečej, Ljubovija, Leskovac, Kovačica, Veliko Gradište, Sremski Karlovci, Ćuprija, Topola, Velika Plana, Plandište, Majdanpek, Loznica, Priboj, Petrovac, Negotin, Nova Crnja, Arilje, Šid, Požega, Titel, Aleksinac, Doljevac, Knić, Srbobran, Vrbas, Krupanj, Sjenica, S</w:t>
            </w:r>
            <w:r w:rsidRPr="00A900A4">
              <w:rPr>
                <w:highlight w:val="yellow"/>
                <w:shd w:val="clear" w:color="auto" w:fill="FFFFFF"/>
              </w:rPr>
              <w:t>urdulica</w:t>
            </w:r>
            <w:r w:rsidRPr="00A900A4">
              <w:rPr>
                <w:shd w:val="clear" w:color="auto" w:fill="FFFFFF"/>
              </w:rPr>
              <w:t xml:space="preserve">, Trstenik, </w:t>
            </w:r>
            <w:r w:rsidRPr="00A900A4">
              <w:rPr>
                <w:highlight w:val="yellow"/>
                <w:shd w:val="clear" w:color="auto" w:fill="FFFFFF"/>
              </w:rPr>
              <w:t>Bojnik,</w:t>
            </w:r>
            <w:r w:rsidRPr="00A900A4">
              <w:rPr>
                <w:shd w:val="clear" w:color="auto" w:fill="FFFFFF"/>
              </w:rPr>
              <w:t xml:space="preserve"> Žabalj, Jagodina, Dimitrovgrad, Boljevac, Zaječar, </w:t>
            </w:r>
            <w:r w:rsidRPr="00A900A4">
              <w:rPr>
                <w:highlight w:val="yellow"/>
                <w:shd w:val="clear" w:color="auto" w:fill="FFFFFF"/>
              </w:rPr>
              <w:t>Bela Palanka</w:t>
            </w:r>
            <w:r w:rsidRPr="00A900A4">
              <w:rPr>
                <w:shd w:val="clear" w:color="auto" w:fill="FFFFFF"/>
              </w:rPr>
              <w:t xml:space="preserve">, Prokuplje, </w:t>
            </w:r>
            <w:r w:rsidRPr="00A900A4">
              <w:rPr>
                <w:highlight w:val="yellow"/>
                <w:shd w:val="clear" w:color="auto" w:fill="FFFFFF"/>
              </w:rPr>
              <w:t>Vladičin Han</w:t>
            </w:r>
            <w:r w:rsidRPr="00A900A4" w:rsidDel="00176E9C">
              <w:rPr>
                <w:shd w:val="clear" w:color="auto" w:fill="FFFFFF"/>
              </w:rPr>
              <w:t xml:space="preserve"> </w:t>
            </w:r>
          </w:p>
        </w:tc>
      </w:tr>
      <w:tr w:rsidR="00C03FFD" w:rsidRPr="00C307B0" w14:paraId="64B01352" w14:textId="77777777" w:rsidTr="004378E4">
        <w:trPr>
          <w:jc w:val="center"/>
        </w:trPr>
        <w:tc>
          <w:tcPr>
            <w:tcW w:w="2689" w:type="dxa"/>
            <w:vAlign w:val="center"/>
          </w:tcPr>
          <w:p w14:paraId="4B93D757"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200-300%</w:t>
            </w:r>
          </w:p>
        </w:tc>
        <w:tc>
          <w:tcPr>
            <w:tcW w:w="1134" w:type="dxa"/>
            <w:vAlign w:val="center"/>
          </w:tcPr>
          <w:p w14:paraId="01B9008C" w14:textId="6C47AA9A" w:rsidR="00C03FFD" w:rsidRPr="00C307B0" w:rsidRDefault="00071E1E" w:rsidP="004378E4">
            <w:pPr>
              <w:jc w:val="center"/>
              <w:rPr>
                <w:shd w:val="clear" w:color="auto" w:fill="FFFFFF"/>
              </w:rPr>
            </w:pPr>
            <w:r>
              <w:rPr>
                <w:shd w:val="clear" w:color="auto" w:fill="FFFFFF"/>
              </w:rPr>
              <w:t>22</w:t>
            </w:r>
          </w:p>
        </w:tc>
        <w:tc>
          <w:tcPr>
            <w:tcW w:w="4819" w:type="dxa"/>
          </w:tcPr>
          <w:p w14:paraId="3156A977" w14:textId="5E953C30" w:rsidR="00C03FFD" w:rsidRPr="00C307B0" w:rsidRDefault="005B7AD2" w:rsidP="004378E4">
            <w:pPr>
              <w:jc w:val="both"/>
              <w:rPr>
                <w:shd w:val="clear" w:color="auto" w:fill="FFFFFF"/>
              </w:rPr>
            </w:pPr>
            <w:r w:rsidRPr="005B7AD2">
              <w:rPr>
                <w:shd w:val="clear" w:color="auto" w:fill="FFFFFF"/>
              </w:rPr>
              <w:t xml:space="preserve">Alibunar, Bogatić, Malo Crniće, Brus, </w:t>
            </w:r>
            <w:r w:rsidRPr="00A900A4">
              <w:rPr>
                <w:highlight w:val="yellow"/>
                <w:shd w:val="clear" w:color="auto" w:fill="FFFFFF"/>
              </w:rPr>
              <w:t>Žitorađa</w:t>
            </w:r>
            <w:r w:rsidRPr="005B7AD2">
              <w:rPr>
                <w:shd w:val="clear" w:color="auto" w:fill="FFFFFF"/>
              </w:rPr>
              <w:t xml:space="preserve">, Knjaževac, Mionica, Rača, Varvarin, </w:t>
            </w:r>
            <w:r w:rsidRPr="00A900A4">
              <w:rPr>
                <w:highlight w:val="yellow"/>
                <w:shd w:val="clear" w:color="auto" w:fill="FFFFFF"/>
              </w:rPr>
              <w:t>Prijepolje</w:t>
            </w:r>
            <w:r w:rsidRPr="005B7AD2">
              <w:rPr>
                <w:shd w:val="clear" w:color="auto" w:fill="FFFFFF"/>
              </w:rPr>
              <w:t xml:space="preserve">, </w:t>
            </w:r>
            <w:r w:rsidRPr="00A900A4">
              <w:rPr>
                <w:highlight w:val="yellow"/>
                <w:shd w:val="clear" w:color="auto" w:fill="FFFFFF"/>
              </w:rPr>
              <w:t>Golubac,</w:t>
            </w:r>
            <w:r w:rsidRPr="005B7AD2">
              <w:rPr>
                <w:shd w:val="clear" w:color="auto" w:fill="FFFFFF"/>
              </w:rPr>
              <w:t xml:space="preserve"> Čoka, Kučevo, Despotovac, Koceljeva, Lapovo, </w:t>
            </w:r>
            <w:r w:rsidRPr="00A900A4">
              <w:rPr>
                <w:highlight w:val="yellow"/>
                <w:shd w:val="clear" w:color="auto" w:fill="FFFFFF"/>
              </w:rPr>
              <w:t>Trgovište,</w:t>
            </w:r>
            <w:r w:rsidRPr="005B7AD2">
              <w:rPr>
                <w:shd w:val="clear" w:color="auto" w:fill="FFFFFF"/>
              </w:rPr>
              <w:t xml:space="preserve"> Ražanj, Lučani, </w:t>
            </w:r>
            <w:r w:rsidRPr="00A900A4">
              <w:rPr>
                <w:highlight w:val="yellow"/>
                <w:shd w:val="clear" w:color="auto" w:fill="FFFFFF"/>
              </w:rPr>
              <w:t>Medveđa</w:t>
            </w:r>
            <w:r w:rsidRPr="005B7AD2">
              <w:rPr>
                <w:shd w:val="clear" w:color="auto" w:fill="FFFFFF"/>
              </w:rPr>
              <w:t>, Batočina, Bajina Bašta</w:t>
            </w:r>
          </w:p>
        </w:tc>
      </w:tr>
      <w:tr w:rsidR="00C03FFD" w:rsidRPr="00C307B0" w14:paraId="19A3B408" w14:textId="77777777" w:rsidTr="004378E4">
        <w:trPr>
          <w:jc w:val="center"/>
        </w:trPr>
        <w:tc>
          <w:tcPr>
            <w:tcW w:w="2689" w:type="dxa"/>
            <w:vAlign w:val="center"/>
          </w:tcPr>
          <w:p w14:paraId="51E22082"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300-400%</w:t>
            </w:r>
          </w:p>
        </w:tc>
        <w:tc>
          <w:tcPr>
            <w:tcW w:w="1134" w:type="dxa"/>
            <w:vAlign w:val="center"/>
          </w:tcPr>
          <w:p w14:paraId="6B05EE65" w14:textId="1E32DDA6" w:rsidR="00C03FFD" w:rsidRPr="00C307B0" w:rsidRDefault="00AE4A2F" w:rsidP="004378E4">
            <w:pPr>
              <w:jc w:val="center"/>
              <w:rPr>
                <w:shd w:val="clear" w:color="auto" w:fill="FFFFFF"/>
              </w:rPr>
            </w:pPr>
            <w:r>
              <w:rPr>
                <w:shd w:val="clear" w:color="auto" w:fill="FFFFFF"/>
              </w:rPr>
              <w:t>6</w:t>
            </w:r>
          </w:p>
        </w:tc>
        <w:tc>
          <w:tcPr>
            <w:tcW w:w="4819" w:type="dxa"/>
          </w:tcPr>
          <w:p w14:paraId="5D978A5B" w14:textId="0BBB9CCA" w:rsidR="00C03FFD" w:rsidRPr="00C307B0" w:rsidRDefault="00AE4A2F" w:rsidP="004378E4">
            <w:pPr>
              <w:jc w:val="both"/>
              <w:rPr>
                <w:shd w:val="clear" w:color="auto" w:fill="FFFFFF"/>
              </w:rPr>
            </w:pPr>
            <w:r w:rsidRPr="00AE4A2F">
              <w:rPr>
                <w:shd w:val="clear" w:color="auto" w:fill="FFFFFF"/>
              </w:rPr>
              <w:t>Ivanjica, Sečanj, Žabari, Osečina, Vladimirci, Žagubica</w:t>
            </w:r>
          </w:p>
        </w:tc>
      </w:tr>
      <w:tr w:rsidR="00C03FFD" w:rsidRPr="00C307B0" w14:paraId="6980AB8C" w14:textId="77777777" w:rsidTr="004378E4">
        <w:trPr>
          <w:jc w:val="center"/>
        </w:trPr>
        <w:tc>
          <w:tcPr>
            <w:tcW w:w="2689" w:type="dxa"/>
            <w:vAlign w:val="center"/>
          </w:tcPr>
          <w:p w14:paraId="383E4AC2"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400-600%</w:t>
            </w:r>
          </w:p>
        </w:tc>
        <w:tc>
          <w:tcPr>
            <w:tcW w:w="1134" w:type="dxa"/>
            <w:vAlign w:val="center"/>
          </w:tcPr>
          <w:p w14:paraId="48C6C2A0" w14:textId="377A96CF" w:rsidR="00C03FFD" w:rsidRPr="00C307B0" w:rsidRDefault="00AE4A2F" w:rsidP="004378E4">
            <w:pPr>
              <w:jc w:val="center"/>
              <w:rPr>
                <w:shd w:val="clear" w:color="auto" w:fill="FFFFFF"/>
              </w:rPr>
            </w:pPr>
            <w:r>
              <w:rPr>
                <w:shd w:val="clear" w:color="auto" w:fill="FFFFFF"/>
              </w:rPr>
              <w:t>7</w:t>
            </w:r>
          </w:p>
        </w:tc>
        <w:tc>
          <w:tcPr>
            <w:tcW w:w="4819" w:type="dxa"/>
          </w:tcPr>
          <w:p w14:paraId="10C4D088" w14:textId="7867DB25" w:rsidR="00C03FFD" w:rsidRPr="00C307B0" w:rsidRDefault="00C03FFD" w:rsidP="004378E4">
            <w:pPr>
              <w:jc w:val="both"/>
              <w:rPr>
                <w:rFonts w:cstheme="minorHAnsi"/>
                <w:shd w:val="clear" w:color="auto" w:fill="FFFFFF"/>
              </w:rPr>
            </w:pPr>
            <w:r w:rsidRPr="00A900A4">
              <w:rPr>
                <w:highlight w:val="yellow"/>
                <w:shd w:val="clear" w:color="auto" w:fill="FFFFFF"/>
              </w:rPr>
              <w:t>Babusnica,</w:t>
            </w:r>
            <w:r w:rsidRPr="00C307B0">
              <w:rPr>
                <w:shd w:val="clear" w:color="auto" w:fill="FFFFFF"/>
              </w:rPr>
              <w:t xml:space="preserve"> Kosjeric, </w:t>
            </w:r>
            <w:r w:rsidRPr="00C307B0">
              <w:rPr>
                <w:rFonts w:cstheme="minorHAnsi"/>
                <w:shd w:val="clear" w:color="auto" w:fill="FFFFFF"/>
              </w:rPr>
              <w:t xml:space="preserve">Cicevac, Ljig, </w:t>
            </w:r>
            <w:r w:rsidRPr="00A900A4">
              <w:rPr>
                <w:rFonts w:cstheme="minorHAnsi"/>
                <w:highlight w:val="yellow"/>
                <w:shd w:val="clear" w:color="auto" w:fill="FFFFFF"/>
              </w:rPr>
              <w:t>Svrljig</w:t>
            </w:r>
            <w:r w:rsidR="00AE4A2F" w:rsidRPr="00A900A4">
              <w:rPr>
                <w:rFonts w:cstheme="minorHAnsi"/>
                <w:highlight w:val="yellow"/>
                <w:shd w:val="clear" w:color="auto" w:fill="FFFFFF"/>
              </w:rPr>
              <w:t>, Kursumlija</w:t>
            </w:r>
            <w:r w:rsidR="00AE4A2F">
              <w:rPr>
                <w:rFonts w:cstheme="minorHAnsi"/>
                <w:shd w:val="clear" w:color="auto" w:fill="FFFFFF"/>
              </w:rPr>
              <w:t>, Gadzin Han</w:t>
            </w:r>
          </w:p>
        </w:tc>
      </w:tr>
      <w:tr w:rsidR="00C03FFD" w:rsidRPr="00C307B0" w14:paraId="6FD29019" w14:textId="77777777" w:rsidTr="004378E4">
        <w:trPr>
          <w:jc w:val="center"/>
        </w:trPr>
        <w:tc>
          <w:tcPr>
            <w:tcW w:w="2689" w:type="dxa"/>
            <w:vAlign w:val="center"/>
          </w:tcPr>
          <w:p w14:paraId="08421844" w14:textId="77777777" w:rsidR="00C03FFD" w:rsidRPr="00C307B0" w:rsidRDefault="00C03FFD" w:rsidP="004378E4">
            <w:pPr>
              <w:jc w:val="center"/>
              <w:rPr>
                <w:rFonts w:cstheme="minorHAnsi"/>
                <w:shd w:val="clear" w:color="auto" w:fill="FFFFFF"/>
              </w:rPr>
            </w:pPr>
            <w:r w:rsidRPr="00C307B0">
              <w:rPr>
                <w:rFonts w:cstheme="minorHAnsi"/>
                <w:shd w:val="clear" w:color="auto" w:fill="FFFFFF"/>
              </w:rPr>
              <w:t>&gt;600%</w:t>
            </w:r>
          </w:p>
        </w:tc>
        <w:tc>
          <w:tcPr>
            <w:tcW w:w="1134" w:type="dxa"/>
            <w:vAlign w:val="center"/>
          </w:tcPr>
          <w:p w14:paraId="6AA9AC96" w14:textId="434F05F7" w:rsidR="00C03FFD" w:rsidRPr="00C307B0" w:rsidRDefault="00AE4A2F" w:rsidP="004378E4">
            <w:pPr>
              <w:jc w:val="center"/>
              <w:rPr>
                <w:shd w:val="clear" w:color="auto" w:fill="FFFFFF"/>
              </w:rPr>
            </w:pPr>
            <w:r>
              <w:rPr>
                <w:shd w:val="clear" w:color="auto" w:fill="FFFFFF"/>
              </w:rPr>
              <w:t>7</w:t>
            </w:r>
          </w:p>
        </w:tc>
        <w:tc>
          <w:tcPr>
            <w:tcW w:w="4819" w:type="dxa"/>
          </w:tcPr>
          <w:p w14:paraId="0AFB9011" w14:textId="112AFFF4" w:rsidR="00C03FFD" w:rsidRPr="00C307B0" w:rsidRDefault="00C03FFD" w:rsidP="004378E4">
            <w:pPr>
              <w:jc w:val="both"/>
              <w:rPr>
                <w:rFonts w:cstheme="minorHAnsi"/>
                <w:shd w:val="clear" w:color="auto" w:fill="FFFFFF"/>
              </w:rPr>
            </w:pPr>
            <w:r w:rsidRPr="00C307B0">
              <w:rPr>
                <w:rFonts w:cstheme="minorHAnsi"/>
                <w:shd w:val="clear" w:color="auto" w:fill="FFFFFF"/>
              </w:rPr>
              <w:t xml:space="preserve">Crna Trava, </w:t>
            </w:r>
            <w:r w:rsidRPr="00A900A4">
              <w:rPr>
                <w:rFonts w:cstheme="minorHAnsi"/>
                <w:highlight w:val="yellow"/>
                <w:shd w:val="clear" w:color="auto" w:fill="FFFFFF"/>
              </w:rPr>
              <w:t>Merosina,</w:t>
            </w:r>
            <w:r w:rsidRPr="00C307B0">
              <w:rPr>
                <w:rFonts w:cstheme="minorHAnsi"/>
                <w:shd w:val="clear" w:color="auto" w:fill="FFFFFF"/>
              </w:rPr>
              <w:t xml:space="preserve"> Smederevska Palanka</w:t>
            </w:r>
            <w:r w:rsidR="00835C1A" w:rsidRPr="00C307B0">
              <w:rPr>
                <w:rFonts w:cstheme="minorHAnsi"/>
                <w:shd w:val="clear" w:color="auto" w:fill="FFFFFF"/>
              </w:rPr>
              <w:t xml:space="preserve">, </w:t>
            </w:r>
            <w:r w:rsidRPr="00A900A4">
              <w:rPr>
                <w:rFonts w:cstheme="minorHAnsi"/>
                <w:highlight w:val="yellow"/>
                <w:shd w:val="clear" w:color="auto" w:fill="FFFFFF"/>
              </w:rPr>
              <w:t>Bosilegrad</w:t>
            </w:r>
            <w:r w:rsidR="00835C1A" w:rsidRPr="00C307B0">
              <w:rPr>
                <w:rFonts w:cstheme="minorHAnsi"/>
                <w:shd w:val="clear" w:color="auto" w:fill="FFFFFF"/>
              </w:rPr>
              <w:t xml:space="preserve">, </w:t>
            </w:r>
            <w:r w:rsidRPr="00C307B0">
              <w:rPr>
                <w:rFonts w:cstheme="minorHAnsi"/>
                <w:shd w:val="clear" w:color="auto" w:fill="FFFFFF"/>
              </w:rPr>
              <w:t>Rekovac</w:t>
            </w:r>
            <w:r w:rsidR="00835C1A" w:rsidRPr="00C307B0">
              <w:rPr>
                <w:rFonts w:cstheme="minorHAnsi"/>
                <w:shd w:val="clear" w:color="auto" w:fill="FFFFFF"/>
              </w:rPr>
              <w:t xml:space="preserve">, </w:t>
            </w:r>
            <w:r w:rsidRPr="00C307B0">
              <w:rPr>
                <w:rFonts w:cstheme="minorHAnsi"/>
                <w:shd w:val="clear" w:color="auto" w:fill="FFFFFF"/>
              </w:rPr>
              <w:t>Blace</w:t>
            </w:r>
            <w:r w:rsidR="00AE4A2F">
              <w:rPr>
                <w:rFonts w:cstheme="minorHAnsi"/>
                <w:shd w:val="clear" w:color="auto" w:fill="FFFFFF"/>
              </w:rPr>
              <w:t xml:space="preserve">, </w:t>
            </w:r>
            <w:r w:rsidR="00AE4A2F" w:rsidRPr="00A900A4">
              <w:rPr>
                <w:rFonts w:cstheme="minorHAnsi"/>
                <w:highlight w:val="yellow"/>
                <w:shd w:val="clear" w:color="auto" w:fill="FFFFFF"/>
              </w:rPr>
              <w:t>Lebane</w:t>
            </w:r>
          </w:p>
        </w:tc>
      </w:tr>
      <w:tr w:rsidR="00C03FFD" w:rsidRPr="00C307B0" w14:paraId="3B2FB31F" w14:textId="77777777" w:rsidTr="004378E4">
        <w:trPr>
          <w:jc w:val="center"/>
        </w:trPr>
        <w:tc>
          <w:tcPr>
            <w:tcW w:w="2689" w:type="dxa"/>
          </w:tcPr>
          <w:p w14:paraId="7BEF0A8F" w14:textId="77777777" w:rsidR="00C03FFD" w:rsidRPr="00C307B0" w:rsidRDefault="00C03FFD" w:rsidP="004378E4">
            <w:pPr>
              <w:jc w:val="center"/>
              <w:rPr>
                <w:rFonts w:cstheme="minorHAnsi"/>
                <w:shd w:val="clear" w:color="auto" w:fill="FFFFFF"/>
              </w:rPr>
            </w:pPr>
          </w:p>
        </w:tc>
        <w:tc>
          <w:tcPr>
            <w:tcW w:w="1134" w:type="dxa"/>
            <w:vAlign w:val="center"/>
          </w:tcPr>
          <w:p w14:paraId="1C751D57" w14:textId="77777777" w:rsidR="00C03FFD" w:rsidRPr="00C307B0" w:rsidRDefault="00C03FFD" w:rsidP="004378E4">
            <w:pPr>
              <w:jc w:val="center"/>
              <w:rPr>
                <w:rFonts w:cstheme="minorHAnsi"/>
                <w:b/>
                <w:bCs/>
                <w:shd w:val="clear" w:color="auto" w:fill="FFFFFF"/>
              </w:rPr>
            </w:pPr>
            <w:r w:rsidRPr="00C307B0">
              <w:rPr>
                <w:rFonts w:cstheme="minorHAnsi"/>
                <w:b/>
                <w:bCs/>
                <w:shd w:val="clear" w:color="auto" w:fill="FFFFFF"/>
              </w:rPr>
              <w:t>145</w:t>
            </w:r>
          </w:p>
        </w:tc>
        <w:tc>
          <w:tcPr>
            <w:tcW w:w="4819" w:type="dxa"/>
          </w:tcPr>
          <w:p w14:paraId="53F36327" w14:textId="77777777" w:rsidR="00C03FFD" w:rsidRPr="00C307B0" w:rsidRDefault="00C03FFD" w:rsidP="004378E4">
            <w:pPr>
              <w:jc w:val="both"/>
              <w:rPr>
                <w:rFonts w:cstheme="minorHAnsi"/>
                <w:shd w:val="clear" w:color="auto" w:fill="FFFFFF"/>
              </w:rPr>
            </w:pPr>
          </w:p>
        </w:tc>
      </w:tr>
    </w:tbl>
    <w:p w14:paraId="08D0311B" w14:textId="72F986F0" w:rsidR="00E80739" w:rsidRPr="00665F55" w:rsidRDefault="007C2615" w:rsidP="00E80739">
      <w:pPr>
        <w:spacing w:after="0" w:line="240" w:lineRule="auto"/>
        <w:jc w:val="center"/>
        <w:rPr>
          <w:rFonts w:ascii="Times New Roman" w:hAnsi="Times New Roman" w:cs="Times New Roman"/>
          <w:shd w:val="clear" w:color="auto" w:fill="FFFFFF"/>
        </w:rPr>
      </w:pPr>
      <w:r w:rsidRPr="006F115D">
        <w:rPr>
          <w:rFonts w:ascii="Times New Roman" w:hAnsi="Times New Roman" w:cs="Times New Roman"/>
          <w:shd w:val="clear" w:color="auto" w:fill="FFFFFF"/>
        </w:rPr>
        <w:t>H</w:t>
      </w:r>
      <w:r w:rsidR="00E80739" w:rsidRPr="006F115D">
        <w:rPr>
          <w:rFonts w:ascii="Times New Roman" w:hAnsi="Times New Roman" w:cs="Times New Roman"/>
          <w:shd w:val="clear" w:color="auto" w:fill="FFFFFF"/>
        </w:rPr>
        <w:t>ighlighted</w:t>
      </w:r>
      <w:r w:rsidR="00E80739" w:rsidRPr="00C307B0">
        <w:rPr>
          <w:rFonts w:ascii="Times New Roman" w:hAnsi="Times New Roman" w:cs="Times New Roman"/>
          <w:shd w:val="clear" w:color="auto" w:fill="FFFFFF"/>
        </w:rPr>
        <w:t xml:space="preserve"> are LSGs from 5</w:t>
      </w:r>
      <w:r w:rsidR="00E80739" w:rsidRPr="00C307B0">
        <w:rPr>
          <w:rFonts w:ascii="Times New Roman" w:hAnsi="Times New Roman" w:cs="Times New Roman"/>
          <w:shd w:val="clear" w:color="auto" w:fill="FFFFFF"/>
          <w:vertAlign w:val="superscript"/>
        </w:rPr>
        <w:t>th</w:t>
      </w:r>
      <w:r w:rsidR="00E80739" w:rsidRPr="00C307B0">
        <w:rPr>
          <w:rFonts w:ascii="Times New Roman" w:hAnsi="Times New Roman" w:cs="Times New Roman"/>
          <w:shd w:val="clear" w:color="auto" w:fill="FFFFFF"/>
        </w:rPr>
        <w:t xml:space="preserve"> group </w:t>
      </w:r>
      <w:r w:rsidR="009C3B24" w:rsidRPr="00C307B0">
        <w:rPr>
          <w:rFonts w:ascii="Times New Roman" w:hAnsi="Times New Roman" w:cs="Times New Roman"/>
          <w:shd w:val="clear" w:color="auto" w:fill="FFFFFF"/>
        </w:rPr>
        <w:t>of</w:t>
      </w:r>
      <w:r w:rsidR="00E80739" w:rsidRPr="00C307B0">
        <w:rPr>
          <w:rFonts w:ascii="Times New Roman" w:hAnsi="Times New Roman" w:cs="Times New Roman"/>
          <w:shd w:val="clear" w:color="auto" w:fill="FFFFFF"/>
        </w:rPr>
        <w:t xml:space="preserve"> development class</w:t>
      </w:r>
      <w:r w:rsidR="00E80739" w:rsidRPr="00665F55">
        <w:rPr>
          <w:rFonts w:ascii="Times New Roman" w:hAnsi="Times New Roman" w:cs="Times New Roman"/>
          <w:shd w:val="clear" w:color="auto" w:fill="FFFFFF"/>
        </w:rPr>
        <w:t xml:space="preserve"> (devastated)</w:t>
      </w:r>
    </w:p>
    <w:p w14:paraId="42D06CE4" w14:textId="77777777" w:rsidR="005C4EB4" w:rsidRPr="006B72B5" w:rsidRDefault="005C4EB4" w:rsidP="00D01979">
      <w:pPr>
        <w:spacing w:line="276" w:lineRule="auto"/>
        <w:rPr>
          <w:rFonts w:ascii="Times New Roman" w:hAnsi="Times New Roman" w:cs="Times New Roman"/>
        </w:rPr>
      </w:pPr>
    </w:p>
    <w:p w14:paraId="340007A0" w14:textId="77777777" w:rsidR="00B65CD0" w:rsidRPr="006B72B5" w:rsidRDefault="00B65CD0" w:rsidP="00D01979">
      <w:pPr>
        <w:spacing w:line="276" w:lineRule="auto"/>
        <w:rPr>
          <w:rFonts w:ascii="Times New Roman" w:hAnsi="Times New Roman" w:cs="Times New Roman"/>
        </w:rPr>
      </w:pPr>
    </w:p>
    <w:p w14:paraId="0031590D" w14:textId="77777777" w:rsidR="00B65CD0" w:rsidRPr="006B72B5" w:rsidRDefault="00B65CD0" w:rsidP="00D01979">
      <w:pPr>
        <w:spacing w:line="276" w:lineRule="auto"/>
        <w:rPr>
          <w:rFonts w:ascii="Times New Roman" w:hAnsi="Times New Roman" w:cs="Times New Roman"/>
        </w:rPr>
      </w:pPr>
    </w:p>
    <w:p w14:paraId="0031E5A0" w14:textId="1542CA73" w:rsidR="00B65CD0" w:rsidRPr="006B72B5" w:rsidRDefault="00B65CD0" w:rsidP="00D01979">
      <w:pPr>
        <w:spacing w:line="276" w:lineRule="auto"/>
        <w:rPr>
          <w:rFonts w:ascii="Times New Roman" w:hAnsi="Times New Roman" w:cs="Times New Roman"/>
        </w:rPr>
      </w:pPr>
      <w:r w:rsidRPr="006B72B5">
        <w:rPr>
          <w:rFonts w:ascii="Times New Roman" w:hAnsi="Times New Roman" w:cs="Times New Roman"/>
        </w:rPr>
        <w:br w:type="page"/>
      </w:r>
    </w:p>
    <w:p w14:paraId="1EBD2FA5" w14:textId="49BB42D9" w:rsidR="00B65CD0" w:rsidRPr="00D01979" w:rsidRDefault="00B65CD0">
      <w:pPr>
        <w:pStyle w:val="Heading1"/>
        <w:tabs>
          <w:tab w:val="left" w:pos="284"/>
        </w:tabs>
        <w:spacing w:before="0" w:after="120" w:line="276" w:lineRule="auto"/>
        <w:jc w:val="both"/>
        <w:rPr>
          <w:rFonts w:ascii="Times New Roman" w:hAnsi="Times New Roman" w:cs="Times New Roman"/>
          <w:smallCaps w:val="0"/>
          <w:color w:val="auto"/>
          <w:sz w:val="28"/>
          <w:szCs w:val="30"/>
        </w:rPr>
      </w:pPr>
      <w:bookmarkStart w:id="717" w:name="_Toc93342340"/>
      <w:r w:rsidRPr="00D01979">
        <w:rPr>
          <w:rFonts w:ascii="Times New Roman" w:hAnsi="Times New Roman" w:cs="Times New Roman"/>
          <w:smallCaps w:val="0"/>
          <w:color w:val="auto"/>
          <w:sz w:val="28"/>
          <w:szCs w:val="30"/>
        </w:rPr>
        <w:t>Annex 1</w:t>
      </w:r>
      <w:r w:rsidR="00E2669C">
        <w:rPr>
          <w:rFonts w:ascii="Times New Roman" w:hAnsi="Times New Roman" w:cs="Times New Roman"/>
          <w:smallCaps w:val="0"/>
          <w:color w:val="auto"/>
          <w:sz w:val="28"/>
          <w:szCs w:val="30"/>
        </w:rPr>
        <w:t>1</w:t>
      </w:r>
      <w:r w:rsidRPr="00D01979">
        <w:rPr>
          <w:rFonts w:ascii="Times New Roman" w:hAnsi="Times New Roman" w:cs="Times New Roman"/>
          <w:smallCaps w:val="0"/>
          <w:color w:val="auto"/>
          <w:sz w:val="28"/>
          <w:szCs w:val="30"/>
        </w:rPr>
        <w:t>:</w:t>
      </w:r>
      <w:r w:rsidR="00921B17">
        <w:rPr>
          <w:rFonts w:ascii="Times New Roman" w:hAnsi="Times New Roman" w:cs="Times New Roman"/>
          <w:smallCaps w:val="0"/>
          <w:color w:val="auto"/>
          <w:sz w:val="28"/>
          <w:szCs w:val="30"/>
        </w:rPr>
        <w:t xml:space="preserve"> </w:t>
      </w:r>
      <w:r w:rsidR="0004513D">
        <w:rPr>
          <w:rFonts w:ascii="Times New Roman" w:hAnsi="Times New Roman" w:cs="Times New Roman"/>
          <w:smallCaps w:val="0"/>
          <w:color w:val="auto"/>
          <w:sz w:val="28"/>
          <w:szCs w:val="30"/>
        </w:rPr>
        <w:t xml:space="preserve">WB </w:t>
      </w:r>
      <w:r w:rsidRPr="00D01979">
        <w:rPr>
          <w:rFonts w:ascii="Times New Roman" w:hAnsi="Times New Roman" w:cs="Times New Roman"/>
          <w:smallCaps w:val="0"/>
          <w:color w:val="auto"/>
          <w:sz w:val="28"/>
          <w:szCs w:val="30"/>
        </w:rPr>
        <w:t>Exclusion List</w:t>
      </w:r>
      <w:bookmarkEnd w:id="717"/>
    </w:p>
    <w:p w14:paraId="66DE446F" w14:textId="24E39955" w:rsidR="0004513D" w:rsidRPr="00AE7925" w:rsidRDefault="00FC208B" w:rsidP="0004513D">
      <w:pPr>
        <w:jc w:val="both"/>
        <w:rPr>
          <w:rFonts w:ascii="Times New Roman" w:hAnsi="Times New Roman" w:cs="Times New Roman"/>
        </w:rPr>
      </w:pPr>
      <w:r>
        <w:rPr>
          <w:rFonts w:ascii="Times New Roman" w:hAnsi="Times New Roman" w:cs="Times New Roman"/>
        </w:rPr>
        <w:t xml:space="preserve">The </w:t>
      </w:r>
      <w:r w:rsidR="0004513D">
        <w:rPr>
          <w:rFonts w:ascii="Times New Roman" w:hAnsi="Times New Roman" w:cs="Times New Roman"/>
        </w:rPr>
        <w:t>W</w:t>
      </w:r>
      <w:r>
        <w:rPr>
          <w:rFonts w:ascii="Times New Roman" w:hAnsi="Times New Roman" w:cs="Times New Roman"/>
        </w:rPr>
        <w:t xml:space="preserve">orld </w:t>
      </w:r>
      <w:r w:rsidR="0004513D">
        <w:rPr>
          <w:rFonts w:ascii="Times New Roman" w:hAnsi="Times New Roman" w:cs="Times New Roman"/>
        </w:rPr>
        <w:t>B</w:t>
      </w:r>
      <w:r>
        <w:rPr>
          <w:rFonts w:ascii="Times New Roman" w:hAnsi="Times New Roman" w:cs="Times New Roman"/>
        </w:rPr>
        <w:t>ank</w:t>
      </w:r>
      <w:r w:rsidR="0004513D">
        <w:rPr>
          <w:rFonts w:ascii="Times New Roman" w:hAnsi="Times New Roman" w:cs="Times New Roman"/>
        </w:rPr>
        <w:t xml:space="preserve"> </w:t>
      </w:r>
      <w:r w:rsidR="0004513D" w:rsidRPr="00AE7925">
        <w:rPr>
          <w:rFonts w:ascii="Times New Roman" w:hAnsi="Times New Roman" w:cs="Times New Roman"/>
        </w:rPr>
        <w:t>does not finance the following projects:</w:t>
      </w:r>
    </w:p>
    <w:p w14:paraId="77F44DC2"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any product or activity deemed illegal under host country laws or regulations or international conventions and agreements, or subject to international bans, such as pharmaceuticals, pesticides/herbicides, ozone depleting substances, PCB's, wildlife or products regulated under the Convention on International Trade in Endangered Species of Wild Fauna and Flora (CITES).</w:t>
      </w:r>
    </w:p>
    <w:p w14:paraId="7257F9D8"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weapons and munitions.</w:t>
      </w:r>
      <w:r w:rsidRPr="00AE7925">
        <w:rPr>
          <w:rFonts w:ascii="Times New Roman" w:hAnsi="Times New Roman" w:cs="Times New Roman"/>
          <w:vertAlign w:val="superscript"/>
        </w:rPr>
        <w:t xml:space="preserve"> </w:t>
      </w:r>
      <w:r w:rsidRPr="00AE7925">
        <w:rPr>
          <w:rStyle w:val="FootnoteReference"/>
          <w:rFonts w:ascii="Times New Roman" w:hAnsi="Times New Roman" w:cs="Times New Roman"/>
        </w:rPr>
        <w:footnoteReference w:id="21"/>
      </w:r>
    </w:p>
    <w:p w14:paraId="3418C2BD"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alcoholic beverages (excluding beer and wine).</w:t>
      </w:r>
      <w:r w:rsidRPr="00AE7925">
        <w:rPr>
          <w:rFonts w:ascii="Times New Roman" w:hAnsi="Times New Roman" w:cs="Times New Roman"/>
          <w:vertAlign w:val="superscript"/>
        </w:rPr>
        <w:t>1</w:t>
      </w:r>
    </w:p>
    <w:p w14:paraId="34F39C76"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tobacco.</w:t>
      </w:r>
      <w:r w:rsidRPr="00AE7925">
        <w:rPr>
          <w:rFonts w:ascii="Times New Roman" w:hAnsi="Times New Roman" w:cs="Times New Roman"/>
          <w:vertAlign w:val="superscript"/>
        </w:rPr>
        <w:t>1</w:t>
      </w:r>
    </w:p>
    <w:p w14:paraId="00C61F81"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Gambling, casinos and equivalent enterprises.</w:t>
      </w:r>
      <w:r w:rsidRPr="00AE7925">
        <w:rPr>
          <w:rFonts w:ascii="Times New Roman" w:hAnsi="Times New Roman" w:cs="Times New Roman"/>
          <w:vertAlign w:val="superscript"/>
        </w:rPr>
        <w:t>1</w:t>
      </w:r>
    </w:p>
    <w:p w14:paraId="4BB35A06"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radioactive materials. This does not apply to the purchase of medical equipment, quality control (measurement) equipment and any equipment where IFC considers the radioactive source to be trivial and/or adequately shielded.</w:t>
      </w:r>
    </w:p>
    <w:p w14:paraId="3A9180EE"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unbounded asbestos fibers. This does not apply to purchase and use of bonded asbestos cement sheeting where the asbestos content is less than 20%.</w:t>
      </w:r>
    </w:p>
    <w:p w14:paraId="7B0C0D37" w14:textId="77777777" w:rsidR="0004513D" w:rsidRPr="00AE7925" w:rsidRDefault="0004513D" w:rsidP="00D01979">
      <w:pPr>
        <w:pStyle w:val="ListParagraph"/>
        <w:numPr>
          <w:ilvl w:val="0"/>
          <w:numId w:val="497"/>
        </w:numPr>
        <w:spacing w:after="0" w:line="240" w:lineRule="auto"/>
        <w:ind w:left="426"/>
        <w:contextualSpacing w:val="0"/>
        <w:jc w:val="both"/>
        <w:rPr>
          <w:rFonts w:ascii="Times New Roman" w:hAnsi="Times New Roman" w:cs="Times New Roman"/>
        </w:rPr>
      </w:pPr>
      <w:r w:rsidRPr="00AE7925">
        <w:rPr>
          <w:rFonts w:ascii="Times New Roman" w:hAnsi="Times New Roman" w:cs="Times New Roman"/>
        </w:rPr>
        <w:t>Drift net fishing in the marine environment using nets in excess of 2.5 km. in length.</w:t>
      </w:r>
    </w:p>
    <w:p w14:paraId="4A9EFF65" w14:textId="77777777" w:rsidR="0004513D" w:rsidRPr="00AE7925" w:rsidRDefault="0004513D" w:rsidP="0004513D">
      <w:pPr>
        <w:ind w:left="66"/>
        <w:jc w:val="both"/>
        <w:rPr>
          <w:rFonts w:ascii="Times New Roman" w:hAnsi="Times New Roman" w:cs="Times New Roman"/>
        </w:rPr>
      </w:pPr>
      <w:r w:rsidRPr="00AE7925">
        <w:rPr>
          <w:rFonts w:ascii="Times New Roman" w:hAnsi="Times New Roman" w:cs="Times New Roman"/>
        </w:rPr>
        <w:t>A reasonableness test will be applied when the activities of the project company would have a significant development impact but circumstances of the country require adjustment to the Exclusion List.</w:t>
      </w:r>
    </w:p>
    <w:p w14:paraId="50B8A11A" w14:textId="77777777" w:rsidR="0004513D" w:rsidRPr="00AE7925" w:rsidRDefault="0004513D" w:rsidP="0004513D">
      <w:pPr>
        <w:jc w:val="both"/>
        <w:rPr>
          <w:rFonts w:ascii="Times New Roman" w:hAnsi="Times New Roman" w:cs="Times New Roman"/>
        </w:rPr>
      </w:pPr>
      <w:r w:rsidRPr="00AE7925">
        <w:rPr>
          <w:rFonts w:ascii="Times New Roman" w:hAnsi="Times New Roman" w:cs="Times New Roman"/>
        </w:rPr>
        <w:t xml:space="preserve">All </w:t>
      </w:r>
      <w:r w:rsidRPr="00AE7925">
        <w:rPr>
          <w:rFonts w:ascii="Times New Roman" w:hAnsi="Times New Roman" w:cs="Times New Roman"/>
          <w:b/>
        </w:rPr>
        <w:t>financial intermediaries (FIs)</w:t>
      </w:r>
      <w:r w:rsidRPr="00AE7925">
        <w:rPr>
          <w:rFonts w:ascii="Times New Roman" w:hAnsi="Times New Roman" w:cs="Times New Roman"/>
        </w:rPr>
        <w:t>, except those engaged in activities specified below*, must apply the following exclusions, in addition to IFC's Exclusion List:</w:t>
      </w:r>
    </w:p>
    <w:p w14:paraId="5609535C"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activities involving harmful or exploitative forms of forced labor/harmful child labor.</w:t>
      </w:r>
      <w:r w:rsidRPr="00D01979">
        <w:rPr>
          <w:rFonts w:ascii="Times New Roman" w:hAnsi="Times New Roman" w:cs="Times New Roman"/>
        </w:rPr>
        <w:t>3</w:t>
      </w:r>
    </w:p>
    <w:p w14:paraId="3ECFE65C"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Commercial logging operations for use in primary tropical moist forest.</w:t>
      </w:r>
    </w:p>
    <w:p w14:paraId="48C52D84"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trade in wood or other forestry products other than from sustainably managed forests.</w:t>
      </w:r>
    </w:p>
    <w:p w14:paraId="4F6FEF7A" w14:textId="5EF3C2D9" w:rsidR="0004513D" w:rsidRPr="00AE7925" w:rsidRDefault="0004513D" w:rsidP="0004513D">
      <w:pPr>
        <w:tabs>
          <w:tab w:val="left" w:pos="284"/>
        </w:tabs>
        <w:ind w:left="284" w:hanging="284"/>
        <w:jc w:val="both"/>
        <w:rPr>
          <w:rFonts w:ascii="Times New Roman" w:hAnsi="Times New Roman" w:cs="Times New Roman"/>
        </w:rPr>
      </w:pPr>
      <w:r>
        <w:rPr>
          <w:rFonts w:ascii="Times New Roman" w:hAnsi="Times New Roman" w:cs="Times New Roman"/>
        </w:rPr>
        <w:t>*</w:t>
      </w:r>
      <w:r w:rsidRPr="00AE7925">
        <w:rPr>
          <w:rFonts w:ascii="Times New Roman" w:hAnsi="Times New Roman" w:cs="Times New Roman"/>
        </w:rPr>
        <w:t xml:space="preserve">When investing in </w:t>
      </w:r>
      <w:r w:rsidRPr="00AE7925">
        <w:rPr>
          <w:rFonts w:ascii="Times New Roman" w:hAnsi="Times New Roman" w:cs="Times New Roman"/>
          <w:b/>
        </w:rPr>
        <w:t xml:space="preserve">microfinance </w:t>
      </w:r>
      <w:r w:rsidRPr="00AE7925">
        <w:rPr>
          <w:rFonts w:ascii="Times New Roman" w:hAnsi="Times New Roman" w:cs="Times New Roman"/>
        </w:rPr>
        <w:t>activities, FIs will apply the following items in addition to the IFC Exclusion</w:t>
      </w:r>
      <w:r>
        <w:rPr>
          <w:rFonts w:ascii="Times New Roman" w:hAnsi="Times New Roman" w:cs="Times New Roman"/>
        </w:rPr>
        <w:t xml:space="preserve"> </w:t>
      </w:r>
      <w:r w:rsidRPr="00AE7925">
        <w:rPr>
          <w:rFonts w:ascii="Times New Roman" w:hAnsi="Times New Roman" w:cs="Times New Roman"/>
        </w:rPr>
        <w:t>List:</w:t>
      </w:r>
    </w:p>
    <w:p w14:paraId="144302F3"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or activities involving harmful or exploitative forms of forced labor</w:t>
      </w:r>
      <w:r w:rsidRPr="00D01979">
        <w:footnoteReference w:id="22"/>
      </w:r>
      <w:r w:rsidRPr="00AE7925">
        <w:rPr>
          <w:rFonts w:ascii="Times New Roman" w:hAnsi="Times New Roman" w:cs="Times New Roman"/>
        </w:rPr>
        <w:t>/harmful child labor</w:t>
      </w:r>
      <w:r w:rsidRPr="00D01979">
        <w:footnoteReference w:id="23"/>
      </w:r>
      <w:r w:rsidRPr="00AE7925">
        <w:rPr>
          <w:rFonts w:ascii="Times New Roman" w:hAnsi="Times New Roman" w:cs="Times New Roman"/>
        </w:rPr>
        <w:t>.</w:t>
      </w:r>
    </w:p>
    <w:p w14:paraId="69D4DFC5" w14:textId="77777777" w:rsidR="0004513D" w:rsidRPr="00AE7925"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AE7925">
        <w:rPr>
          <w:rFonts w:ascii="Times New Roman" w:hAnsi="Times New Roman" w:cs="Times New Roman"/>
        </w:rPr>
        <w:t>Production, trade, storage, or transport of significant volumes of hazardous chemicals, or commercial scale usage of hazardous chemicals. Hazardous chemicals include gasoline, kerosene, and other petroleum products.</w:t>
      </w:r>
    </w:p>
    <w:p w14:paraId="06878815" w14:textId="77777777" w:rsidR="0004513D" w:rsidRDefault="0004513D" w:rsidP="00D01979">
      <w:pPr>
        <w:pStyle w:val="ListParagraph"/>
        <w:numPr>
          <w:ilvl w:val="0"/>
          <w:numId w:val="497"/>
        </w:numPr>
        <w:spacing w:after="0" w:line="240" w:lineRule="auto"/>
        <w:ind w:left="425" w:hanging="357"/>
        <w:contextualSpacing w:val="0"/>
        <w:jc w:val="both"/>
        <w:rPr>
          <w:rFonts w:ascii="Times New Roman" w:hAnsi="Times New Roman" w:cs="Times New Roman"/>
        </w:rPr>
      </w:pPr>
      <w:r w:rsidRPr="0004513D">
        <w:rPr>
          <w:rFonts w:ascii="Times New Roman" w:hAnsi="Times New Roman" w:cs="Times New Roman"/>
        </w:rPr>
        <w:t>Production or activities that impinge on the lands owned, or claimed under adjudication, by Indigenous Peoples, without full documented consent of such peoples.</w:t>
      </w:r>
    </w:p>
    <w:p w14:paraId="66A8B2B5" w14:textId="6A8EE22B" w:rsidR="0004513D" w:rsidRPr="0004513D" w:rsidRDefault="0004513D" w:rsidP="00D01979">
      <w:pPr>
        <w:pStyle w:val="ListParagraph"/>
        <w:numPr>
          <w:ilvl w:val="0"/>
          <w:numId w:val="498"/>
        </w:numPr>
        <w:tabs>
          <w:tab w:val="left" w:pos="284"/>
        </w:tabs>
        <w:spacing w:after="120" w:line="360" w:lineRule="auto"/>
        <w:ind w:left="284" w:hanging="284"/>
        <w:contextualSpacing w:val="0"/>
        <w:jc w:val="both"/>
        <w:rPr>
          <w:rFonts w:ascii="Times New Roman" w:hAnsi="Times New Roman" w:cs="Times New Roman"/>
        </w:rPr>
      </w:pPr>
      <w:r w:rsidRPr="0004513D">
        <w:rPr>
          <w:rFonts w:ascii="Times New Roman" w:hAnsi="Times New Roman" w:cs="Times New Roman"/>
        </w:rPr>
        <w:t>*</w:t>
      </w:r>
      <w:r w:rsidRPr="0004513D">
        <w:rPr>
          <w:rFonts w:ascii="Times New Roman" w:hAnsi="Times New Roman" w:cs="Times New Roman"/>
        </w:rPr>
        <w:tab/>
      </w:r>
      <w:r w:rsidRPr="0004513D">
        <w:rPr>
          <w:rFonts w:ascii="Times New Roman" w:hAnsi="Times New Roman" w:cs="Times New Roman"/>
          <w:b/>
        </w:rPr>
        <w:t>Trade finance projects</w:t>
      </w:r>
      <w:r w:rsidRPr="0004513D">
        <w:rPr>
          <w:rFonts w:ascii="Times New Roman" w:hAnsi="Times New Roman" w:cs="Times New Roman"/>
        </w:rPr>
        <w:t>, given the nature of the transactions, FIs will apply the following items in addition to the IFC Exclusion List.</w:t>
      </w:r>
    </w:p>
    <w:p w14:paraId="70DCC010" w14:textId="77777777" w:rsidR="0004513D" w:rsidRPr="00AE7925" w:rsidRDefault="0004513D" w:rsidP="0004513D">
      <w:pPr>
        <w:pStyle w:val="ListParagraph"/>
        <w:numPr>
          <w:ilvl w:val="0"/>
          <w:numId w:val="498"/>
        </w:numPr>
        <w:spacing w:after="0" w:line="276" w:lineRule="auto"/>
        <w:ind w:left="425" w:hanging="357"/>
        <w:contextualSpacing w:val="0"/>
        <w:jc w:val="both"/>
        <w:rPr>
          <w:rFonts w:ascii="Times New Roman" w:hAnsi="Times New Roman" w:cs="Times New Roman"/>
        </w:rPr>
      </w:pPr>
      <w:r w:rsidRPr="00F67C45">
        <w:rPr>
          <w:rFonts w:ascii="Times New Roman" w:hAnsi="Times New Roman" w:cs="Times New Roman"/>
        </w:rPr>
        <w:t>Production or activities involving harmful or exploitative forms of forced labor</w:t>
      </w:r>
      <w:r w:rsidRPr="00F67C45">
        <w:rPr>
          <w:rFonts w:ascii="Times New Roman" w:hAnsi="Times New Roman" w:cs="Times New Roman"/>
          <w:vertAlign w:val="superscript"/>
        </w:rPr>
        <w:t>2</w:t>
      </w:r>
      <w:r w:rsidRPr="00F67C45">
        <w:rPr>
          <w:rFonts w:ascii="Times New Roman" w:hAnsi="Times New Roman" w:cs="Times New Roman"/>
        </w:rPr>
        <w:t>/harmful child labor.</w:t>
      </w:r>
      <w:r w:rsidRPr="00F67C45">
        <w:rPr>
          <w:rFonts w:ascii="Times New Roman" w:hAnsi="Times New Roman" w:cs="Times New Roman"/>
          <w:vertAlign w:val="superscript"/>
        </w:rPr>
        <w:t>3</w:t>
      </w:r>
      <w:bookmarkStart w:id="718" w:name="_Annex_2:_Screening"/>
      <w:bookmarkEnd w:id="718"/>
    </w:p>
    <w:p w14:paraId="256DE7B5" w14:textId="1B48EE51" w:rsidR="001B1A82" w:rsidRDefault="001B1A82">
      <w:pPr>
        <w:rPr>
          <w:rFonts w:ascii="Times New Roman" w:eastAsiaTheme="majorEastAsia" w:hAnsi="Times New Roman" w:cs="Times New Roman"/>
          <w:b/>
          <w:bCs/>
          <w:sz w:val="28"/>
          <w:szCs w:val="30"/>
        </w:rPr>
      </w:pPr>
      <w:r>
        <w:rPr>
          <w:rFonts w:ascii="Times New Roman" w:eastAsiaTheme="majorEastAsia" w:hAnsi="Times New Roman" w:cs="Times New Roman"/>
          <w:b/>
          <w:bCs/>
          <w:sz w:val="28"/>
          <w:szCs w:val="30"/>
        </w:rPr>
        <w:br w:type="page"/>
      </w:r>
    </w:p>
    <w:p w14:paraId="13E275BB" w14:textId="2A312FA1" w:rsidR="001B1A82" w:rsidRPr="00D01979" w:rsidRDefault="001B1A82" w:rsidP="001B1A82">
      <w:pPr>
        <w:pStyle w:val="Heading1"/>
        <w:tabs>
          <w:tab w:val="left" w:pos="284"/>
        </w:tabs>
        <w:spacing w:before="0" w:after="120" w:line="276" w:lineRule="auto"/>
        <w:jc w:val="both"/>
        <w:rPr>
          <w:rFonts w:ascii="Times New Roman" w:hAnsi="Times New Roman" w:cs="Times New Roman"/>
          <w:smallCaps w:val="0"/>
          <w:color w:val="auto"/>
          <w:sz w:val="28"/>
          <w:szCs w:val="30"/>
        </w:rPr>
      </w:pPr>
      <w:r w:rsidRPr="00D01979">
        <w:rPr>
          <w:rFonts w:ascii="Times New Roman" w:hAnsi="Times New Roman" w:cs="Times New Roman"/>
          <w:smallCaps w:val="0"/>
          <w:color w:val="auto"/>
          <w:sz w:val="28"/>
          <w:szCs w:val="30"/>
        </w:rPr>
        <w:t>Annex 1</w:t>
      </w:r>
      <w:r>
        <w:rPr>
          <w:rFonts w:ascii="Times New Roman" w:hAnsi="Times New Roman" w:cs="Times New Roman"/>
          <w:smallCaps w:val="0"/>
          <w:color w:val="auto"/>
          <w:sz w:val="28"/>
          <w:szCs w:val="30"/>
        </w:rPr>
        <w:t>2</w:t>
      </w:r>
      <w:r w:rsidRPr="00D01979">
        <w:rPr>
          <w:rFonts w:ascii="Times New Roman" w:hAnsi="Times New Roman" w:cs="Times New Roman"/>
          <w:smallCaps w:val="0"/>
          <w:color w:val="auto"/>
          <w:sz w:val="28"/>
          <w:szCs w:val="30"/>
        </w:rPr>
        <w:t>:</w:t>
      </w:r>
      <w:r>
        <w:rPr>
          <w:rFonts w:ascii="Times New Roman" w:hAnsi="Times New Roman" w:cs="Times New Roman"/>
          <w:smallCaps w:val="0"/>
          <w:color w:val="auto"/>
          <w:sz w:val="28"/>
          <w:szCs w:val="30"/>
        </w:rPr>
        <w:t xml:space="preserve"> </w:t>
      </w:r>
      <w:r>
        <w:rPr>
          <w:rFonts w:ascii="Times New Roman" w:hAnsi="Times New Roman" w:cs="Times New Roman"/>
          <w:sz w:val="28"/>
          <w:szCs w:val="30"/>
        </w:rPr>
        <w:t>Grant Summary Report Template</w:t>
      </w:r>
    </w:p>
    <w:tbl>
      <w:tblPr>
        <w:tblW w:w="4903" w:type="pct"/>
        <w:tblLayout w:type="fixed"/>
        <w:tblLook w:val="04A0" w:firstRow="1" w:lastRow="0" w:firstColumn="1" w:lastColumn="0" w:noHBand="0" w:noVBand="1"/>
      </w:tblPr>
      <w:tblGrid>
        <w:gridCol w:w="394"/>
        <w:gridCol w:w="895"/>
        <w:gridCol w:w="1393"/>
        <w:gridCol w:w="1276"/>
        <w:gridCol w:w="1084"/>
        <w:gridCol w:w="781"/>
        <w:gridCol w:w="885"/>
        <w:gridCol w:w="1276"/>
        <w:gridCol w:w="1180"/>
        <w:gridCol w:w="1080"/>
      </w:tblGrid>
      <w:tr w:rsidR="001B1A82" w:rsidRPr="00B45BDA" w14:paraId="21C5D193" w14:textId="77777777" w:rsidTr="009E654F">
        <w:trPr>
          <w:trHeight w:val="300"/>
        </w:trPr>
        <w:tc>
          <w:tcPr>
            <w:tcW w:w="192" w:type="pct"/>
            <w:tcBorders>
              <w:top w:val="nil"/>
              <w:left w:val="nil"/>
              <w:bottom w:val="nil"/>
              <w:right w:val="nil"/>
            </w:tcBorders>
            <w:shd w:val="clear" w:color="auto" w:fill="auto"/>
            <w:noWrap/>
            <w:vAlign w:val="center"/>
            <w:hideMark/>
          </w:tcPr>
          <w:p w14:paraId="1CE39CE3" w14:textId="77777777" w:rsidR="001B1A82" w:rsidRPr="00B45BDA" w:rsidRDefault="001B1A82" w:rsidP="009E654F">
            <w:pPr>
              <w:spacing w:after="0" w:line="240" w:lineRule="auto"/>
              <w:rPr>
                <w:rFonts w:ascii="Times New Roman" w:eastAsia="Times New Roman" w:hAnsi="Times New Roman" w:cs="Times New Roman"/>
                <w:sz w:val="24"/>
                <w:szCs w:val="24"/>
                <w:lang w:val="en-US"/>
              </w:rPr>
            </w:pPr>
          </w:p>
        </w:tc>
        <w:tc>
          <w:tcPr>
            <w:tcW w:w="437" w:type="pct"/>
            <w:tcBorders>
              <w:top w:val="nil"/>
              <w:left w:val="nil"/>
              <w:bottom w:val="nil"/>
              <w:right w:val="nil"/>
            </w:tcBorders>
            <w:shd w:val="clear" w:color="auto" w:fill="auto"/>
            <w:noWrap/>
            <w:vAlign w:val="center"/>
            <w:hideMark/>
          </w:tcPr>
          <w:p w14:paraId="63066F41"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08E6F2B3"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1EF96797"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center"/>
            <w:hideMark/>
          </w:tcPr>
          <w:p w14:paraId="6107C5EC"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center"/>
            <w:hideMark/>
          </w:tcPr>
          <w:p w14:paraId="0240E62D"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center"/>
            <w:hideMark/>
          </w:tcPr>
          <w:p w14:paraId="0ECAEDFE"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1A18F21C"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center"/>
            <w:hideMark/>
          </w:tcPr>
          <w:p w14:paraId="4A0CD591"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center"/>
            <w:hideMark/>
          </w:tcPr>
          <w:p w14:paraId="6969FAC2"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r>
      <w:tr w:rsidR="001B1A82" w:rsidRPr="00B45BDA" w14:paraId="1FB81560" w14:textId="77777777" w:rsidTr="009E654F">
        <w:trPr>
          <w:trHeight w:val="390"/>
        </w:trPr>
        <w:tc>
          <w:tcPr>
            <w:tcW w:w="5000" w:type="pct"/>
            <w:gridSpan w:val="10"/>
            <w:tcBorders>
              <w:top w:val="nil"/>
              <w:left w:val="nil"/>
              <w:bottom w:val="nil"/>
              <w:right w:val="nil"/>
            </w:tcBorders>
            <w:shd w:val="clear" w:color="auto" w:fill="auto"/>
            <w:noWrap/>
            <w:vAlign w:val="center"/>
            <w:hideMark/>
          </w:tcPr>
          <w:p w14:paraId="3D05B9DD" w14:textId="77777777" w:rsidR="001B1A82" w:rsidRPr="00B45BDA" w:rsidRDefault="001B1A82" w:rsidP="009E654F">
            <w:pPr>
              <w:spacing w:after="0" w:line="240" w:lineRule="auto"/>
              <w:jc w:val="center"/>
              <w:rPr>
                <w:rFonts w:ascii="Times New Roman" w:eastAsia="Times New Roman" w:hAnsi="Times New Roman" w:cs="Times New Roman"/>
                <w:b/>
                <w:bCs/>
                <w:sz w:val="28"/>
                <w:szCs w:val="28"/>
                <w:lang w:val="en-US"/>
              </w:rPr>
            </w:pPr>
            <w:r w:rsidRPr="00B45BDA">
              <w:rPr>
                <w:rFonts w:ascii="Times New Roman" w:eastAsia="Times New Roman" w:hAnsi="Times New Roman" w:cs="Times New Roman"/>
                <w:b/>
                <w:bCs/>
                <w:sz w:val="28"/>
                <w:szCs w:val="28"/>
                <w:lang w:val="en-US"/>
              </w:rPr>
              <w:t xml:space="preserve">IBRD Loan </w:t>
            </w:r>
            <w:r w:rsidRPr="00B45BDA">
              <w:rPr>
                <w:rFonts w:ascii="Times New Roman" w:eastAsia="Times New Roman" w:hAnsi="Times New Roman" w:cs="Times New Roman"/>
                <w:b/>
                <w:bCs/>
                <w:i/>
                <w:iCs/>
                <w:sz w:val="28"/>
                <w:szCs w:val="28"/>
                <w:lang w:val="en-US"/>
              </w:rPr>
              <w:t>XXXXX</w:t>
            </w:r>
            <w:r w:rsidRPr="00B45BDA">
              <w:rPr>
                <w:rFonts w:ascii="Times New Roman" w:eastAsia="Times New Roman" w:hAnsi="Times New Roman" w:cs="Times New Roman"/>
                <w:b/>
                <w:bCs/>
                <w:sz w:val="28"/>
                <w:szCs w:val="28"/>
                <w:lang w:val="en-US"/>
              </w:rPr>
              <w:t xml:space="preserve"> YF - </w:t>
            </w:r>
          </w:p>
        </w:tc>
      </w:tr>
      <w:tr w:rsidR="001B1A82" w:rsidRPr="00B45BDA" w14:paraId="746F7BA8" w14:textId="77777777" w:rsidTr="009E654F">
        <w:trPr>
          <w:trHeight w:val="660"/>
        </w:trPr>
        <w:tc>
          <w:tcPr>
            <w:tcW w:w="5000" w:type="pct"/>
            <w:gridSpan w:val="10"/>
            <w:tcBorders>
              <w:top w:val="nil"/>
              <w:left w:val="nil"/>
              <w:bottom w:val="nil"/>
              <w:right w:val="nil"/>
            </w:tcBorders>
            <w:shd w:val="clear" w:color="auto" w:fill="auto"/>
            <w:noWrap/>
            <w:vAlign w:val="center"/>
            <w:hideMark/>
          </w:tcPr>
          <w:p w14:paraId="7418BF4A" w14:textId="77777777" w:rsidR="001B1A82" w:rsidRPr="00B45BDA" w:rsidRDefault="001B1A82" w:rsidP="009E654F">
            <w:pPr>
              <w:spacing w:after="0" w:line="240" w:lineRule="auto"/>
              <w:jc w:val="center"/>
              <w:rPr>
                <w:rFonts w:ascii="Times New Roman" w:eastAsia="Times New Roman" w:hAnsi="Times New Roman" w:cs="Times New Roman"/>
                <w:b/>
                <w:bCs/>
                <w:sz w:val="52"/>
                <w:szCs w:val="52"/>
                <w:lang w:val="en-US"/>
              </w:rPr>
            </w:pPr>
            <w:r w:rsidRPr="00B45BDA">
              <w:rPr>
                <w:rFonts w:ascii="Times New Roman" w:eastAsia="Times New Roman" w:hAnsi="Times New Roman" w:cs="Times New Roman"/>
                <w:b/>
                <w:bCs/>
                <w:sz w:val="52"/>
                <w:szCs w:val="52"/>
                <w:lang w:val="en-US"/>
              </w:rPr>
              <w:t>Grant Summary Report</w:t>
            </w:r>
          </w:p>
        </w:tc>
      </w:tr>
      <w:tr w:rsidR="001B1A82" w:rsidRPr="00B45BDA" w14:paraId="23B75878" w14:textId="77777777" w:rsidTr="009E654F">
        <w:trPr>
          <w:trHeight w:val="300"/>
        </w:trPr>
        <w:tc>
          <w:tcPr>
            <w:tcW w:w="192" w:type="pct"/>
            <w:tcBorders>
              <w:top w:val="nil"/>
              <w:left w:val="nil"/>
              <w:bottom w:val="nil"/>
              <w:right w:val="nil"/>
            </w:tcBorders>
            <w:shd w:val="clear" w:color="auto" w:fill="auto"/>
            <w:noWrap/>
            <w:vAlign w:val="center"/>
            <w:hideMark/>
          </w:tcPr>
          <w:p w14:paraId="73E7CCF2" w14:textId="77777777" w:rsidR="001B1A82" w:rsidRPr="00B45BDA" w:rsidRDefault="001B1A82" w:rsidP="009E654F">
            <w:pPr>
              <w:spacing w:after="0" w:line="240" w:lineRule="auto"/>
              <w:jc w:val="center"/>
              <w:rPr>
                <w:rFonts w:ascii="Times New Roman" w:eastAsia="Times New Roman" w:hAnsi="Times New Roman" w:cs="Times New Roman"/>
                <w:b/>
                <w:bCs/>
                <w:sz w:val="52"/>
                <w:szCs w:val="52"/>
                <w:lang w:val="en-US"/>
              </w:rPr>
            </w:pPr>
          </w:p>
        </w:tc>
        <w:tc>
          <w:tcPr>
            <w:tcW w:w="437" w:type="pct"/>
            <w:tcBorders>
              <w:top w:val="nil"/>
              <w:left w:val="nil"/>
              <w:bottom w:val="nil"/>
              <w:right w:val="nil"/>
            </w:tcBorders>
            <w:shd w:val="clear" w:color="auto" w:fill="auto"/>
            <w:noWrap/>
            <w:vAlign w:val="center"/>
            <w:hideMark/>
          </w:tcPr>
          <w:p w14:paraId="1EAE55EE"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2123423C"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60B0C92B"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center"/>
            <w:hideMark/>
          </w:tcPr>
          <w:p w14:paraId="79225A7F"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center"/>
            <w:hideMark/>
          </w:tcPr>
          <w:p w14:paraId="35F6BF36"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center"/>
            <w:hideMark/>
          </w:tcPr>
          <w:p w14:paraId="561244DF"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15E8F914"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center"/>
            <w:hideMark/>
          </w:tcPr>
          <w:p w14:paraId="25A8347B"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center"/>
            <w:hideMark/>
          </w:tcPr>
          <w:p w14:paraId="40F21FB6"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r>
      <w:tr w:rsidR="001B1A82" w:rsidRPr="00B45BDA" w14:paraId="1429378C" w14:textId="77777777" w:rsidTr="009E654F">
        <w:trPr>
          <w:trHeight w:val="300"/>
        </w:trPr>
        <w:tc>
          <w:tcPr>
            <w:tcW w:w="5000" w:type="pct"/>
            <w:gridSpan w:val="10"/>
            <w:tcBorders>
              <w:top w:val="nil"/>
              <w:left w:val="nil"/>
              <w:bottom w:val="nil"/>
              <w:right w:val="nil"/>
            </w:tcBorders>
            <w:shd w:val="clear" w:color="auto" w:fill="auto"/>
            <w:noWrap/>
            <w:vAlign w:val="center"/>
            <w:hideMark/>
          </w:tcPr>
          <w:p w14:paraId="4BC9B4C8"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For the period from ______________ until ______________ (Q1/Q2/Q3/Q4 YYYY)</w:t>
            </w:r>
          </w:p>
        </w:tc>
      </w:tr>
      <w:tr w:rsidR="001B1A82" w:rsidRPr="00B45BDA" w14:paraId="3AFFE607" w14:textId="77777777" w:rsidTr="009E654F">
        <w:trPr>
          <w:trHeight w:val="300"/>
        </w:trPr>
        <w:tc>
          <w:tcPr>
            <w:tcW w:w="192" w:type="pct"/>
            <w:tcBorders>
              <w:top w:val="nil"/>
              <w:left w:val="nil"/>
              <w:bottom w:val="nil"/>
              <w:right w:val="nil"/>
            </w:tcBorders>
            <w:shd w:val="clear" w:color="auto" w:fill="auto"/>
            <w:noWrap/>
            <w:vAlign w:val="center"/>
            <w:hideMark/>
          </w:tcPr>
          <w:p w14:paraId="0C44B600"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p>
        </w:tc>
        <w:tc>
          <w:tcPr>
            <w:tcW w:w="437" w:type="pct"/>
            <w:tcBorders>
              <w:top w:val="nil"/>
              <w:left w:val="nil"/>
              <w:bottom w:val="nil"/>
              <w:right w:val="nil"/>
            </w:tcBorders>
            <w:shd w:val="clear" w:color="auto" w:fill="auto"/>
            <w:noWrap/>
            <w:vAlign w:val="center"/>
            <w:hideMark/>
          </w:tcPr>
          <w:p w14:paraId="4306E40F"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7A67E6EB"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7F12AC8B"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center"/>
            <w:hideMark/>
          </w:tcPr>
          <w:p w14:paraId="0A725559"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center"/>
            <w:hideMark/>
          </w:tcPr>
          <w:p w14:paraId="5F40ECC1"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center"/>
            <w:hideMark/>
          </w:tcPr>
          <w:p w14:paraId="58C79582"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7BBF7D8E"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center"/>
            <w:hideMark/>
          </w:tcPr>
          <w:p w14:paraId="7C40AEE9"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center"/>
            <w:hideMark/>
          </w:tcPr>
          <w:p w14:paraId="58832A70"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r>
      <w:tr w:rsidR="001B1A82" w:rsidRPr="00B45BDA" w14:paraId="7751CA48" w14:textId="77777777" w:rsidTr="009E654F">
        <w:trPr>
          <w:trHeight w:val="315"/>
        </w:trPr>
        <w:tc>
          <w:tcPr>
            <w:tcW w:w="192" w:type="pct"/>
            <w:tcBorders>
              <w:top w:val="nil"/>
              <w:left w:val="nil"/>
              <w:bottom w:val="nil"/>
              <w:right w:val="nil"/>
            </w:tcBorders>
            <w:shd w:val="clear" w:color="auto" w:fill="auto"/>
            <w:noWrap/>
            <w:vAlign w:val="center"/>
            <w:hideMark/>
          </w:tcPr>
          <w:p w14:paraId="06285E22"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437" w:type="pct"/>
            <w:tcBorders>
              <w:top w:val="nil"/>
              <w:left w:val="nil"/>
              <w:bottom w:val="nil"/>
              <w:right w:val="nil"/>
            </w:tcBorders>
            <w:shd w:val="clear" w:color="auto" w:fill="auto"/>
            <w:noWrap/>
            <w:vAlign w:val="center"/>
            <w:hideMark/>
          </w:tcPr>
          <w:p w14:paraId="55AFEBAF"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58F16E4A"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4121054B"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center"/>
            <w:hideMark/>
          </w:tcPr>
          <w:p w14:paraId="2AD4E41E"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center"/>
            <w:hideMark/>
          </w:tcPr>
          <w:p w14:paraId="44400C85"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center"/>
            <w:hideMark/>
          </w:tcPr>
          <w:p w14:paraId="682D17F1"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24FC5949"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center"/>
            <w:hideMark/>
          </w:tcPr>
          <w:p w14:paraId="7FFA0C19" w14:textId="77777777" w:rsidR="001B1A82" w:rsidRPr="00B45BDA" w:rsidRDefault="001B1A82" w:rsidP="009E654F">
            <w:pPr>
              <w:spacing w:after="0" w:line="240" w:lineRule="auto"/>
              <w:jc w:val="center"/>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center"/>
            <w:hideMark/>
          </w:tcPr>
          <w:p w14:paraId="36AF1F55"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in RSD</w:t>
            </w:r>
          </w:p>
        </w:tc>
      </w:tr>
      <w:tr w:rsidR="001B1A82" w:rsidRPr="00B45BDA" w14:paraId="2B818397" w14:textId="77777777" w:rsidTr="009E654F">
        <w:trPr>
          <w:trHeight w:val="1725"/>
        </w:trPr>
        <w:tc>
          <w:tcPr>
            <w:tcW w:w="192"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17CA1429" w14:textId="77777777" w:rsidR="001B1A82" w:rsidRPr="00B45BDA" w:rsidRDefault="001B1A82" w:rsidP="009E654F">
            <w:pPr>
              <w:spacing w:after="0" w:line="240" w:lineRule="auto"/>
              <w:jc w:val="center"/>
              <w:rPr>
                <w:rFonts w:ascii="Times New Roman" w:eastAsia="Times New Roman" w:hAnsi="Times New Roman" w:cs="Times New Roman"/>
                <w:b/>
                <w:bCs/>
                <w:color w:val="000000"/>
                <w:lang w:val="en-US"/>
              </w:rPr>
            </w:pPr>
            <w:r w:rsidRPr="00B45BDA">
              <w:rPr>
                <w:rFonts w:ascii="Times New Roman" w:eastAsia="Times New Roman" w:hAnsi="Times New Roman" w:cs="Times New Roman"/>
                <w:b/>
                <w:bCs/>
                <w:color w:val="000000"/>
                <w:lang w:val="en-US"/>
              </w:rPr>
              <w:t>No.</w:t>
            </w:r>
          </w:p>
        </w:tc>
        <w:tc>
          <w:tcPr>
            <w:tcW w:w="437" w:type="pct"/>
            <w:tcBorders>
              <w:top w:val="single" w:sz="8" w:space="0" w:color="auto"/>
              <w:left w:val="nil"/>
              <w:bottom w:val="single" w:sz="8" w:space="0" w:color="auto"/>
              <w:right w:val="single" w:sz="4" w:space="0" w:color="auto"/>
            </w:tcBorders>
            <w:shd w:val="clear" w:color="auto" w:fill="auto"/>
            <w:vAlign w:val="center"/>
            <w:hideMark/>
          </w:tcPr>
          <w:p w14:paraId="3E7420DE" w14:textId="77777777" w:rsidR="001B1A82" w:rsidRPr="00B45BDA" w:rsidRDefault="001B1A82" w:rsidP="009E654F">
            <w:pPr>
              <w:spacing w:after="0" w:line="240" w:lineRule="auto"/>
              <w:jc w:val="center"/>
              <w:rPr>
                <w:rFonts w:ascii="Times New Roman" w:eastAsia="Times New Roman" w:hAnsi="Times New Roman" w:cs="Times New Roman"/>
                <w:b/>
                <w:bCs/>
                <w:color w:val="000000"/>
                <w:lang w:val="en-US"/>
              </w:rPr>
            </w:pPr>
            <w:r w:rsidRPr="00B45BDA">
              <w:rPr>
                <w:rFonts w:ascii="Times New Roman" w:eastAsia="Times New Roman" w:hAnsi="Times New Roman" w:cs="Times New Roman"/>
                <w:b/>
                <w:bCs/>
                <w:color w:val="000000"/>
                <w:lang w:val="en-US"/>
              </w:rPr>
              <w:t>Grant Reference (Name, Acronim)</w:t>
            </w:r>
          </w:p>
        </w:tc>
        <w:tc>
          <w:tcPr>
            <w:tcW w:w="680" w:type="pct"/>
            <w:tcBorders>
              <w:top w:val="single" w:sz="8" w:space="0" w:color="auto"/>
              <w:left w:val="nil"/>
              <w:bottom w:val="single" w:sz="8" w:space="0" w:color="auto"/>
              <w:right w:val="single" w:sz="4" w:space="0" w:color="auto"/>
            </w:tcBorders>
            <w:shd w:val="clear" w:color="auto" w:fill="auto"/>
            <w:vAlign w:val="center"/>
            <w:hideMark/>
          </w:tcPr>
          <w:p w14:paraId="081DB26E" w14:textId="77777777" w:rsidR="001B1A82" w:rsidRPr="00B45BDA" w:rsidRDefault="001B1A82" w:rsidP="009E654F">
            <w:pPr>
              <w:spacing w:after="0" w:line="240" w:lineRule="auto"/>
              <w:jc w:val="center"/>
              <w:rPr>
                <w:rFonts w:ascii="Times New Roman" w:eastAsia="Times New Roman" w:hAnsi="Times New Roman" w:cs="Times New Roman"/>
                <w:b/>
                <w:bCs/>
                <w:color w:val="000000"/>
                <w:lang w:val="en-US"/>
              </w:rPr>
            </w:pPr>
            <w:r w:rsidRPr="00B45BDA">
              <w:rPr>
                <w:rFonts w:ascii="Times New Roman" w:eastAsia="Times New Roman" w:hAnsi="Times New Roman" w:cs="Times New Roman"/>
                <w:b/>
                <w:bCs/>
                <w:color w:val="000000"/>
                <w:lang w:val="en-US"/>
              </w:rPr>
              <w:t>Grant Recipient</w:t>
            </w:r>
          </w:p>
        </w:tc>
        <w:tc>
          <w:tcPr>
            <w:tcW w:w="623" w:type="pct"/>
            <w:tcBorders>
              <w:top w:val="single" w:sz="8" w:space="0" w:color="auto"/>
              <w:left w:val="nil"/>
              <w:bottom w:val="single" w:sz="8" w:space="0" w:color="auto"/>
              <w:right w:val="single" w:sz="4" w:space="0" w:color="auto"/>
            </w:tcBorders>
            <w:shd w:val="clear" w:color="auto" w:fill="auto"/>
            <w:vAlign w:val="center"/>
            <w:hideMark/>
          </w:tcPr>
          <w:p w14:paraId="7652C7E7"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Grant Contract No.</w:t>
            </w:r>
          </w:p>
        </w:tc>
        <w:tc>
          <w:tcPr>
            <w:tcW w:w="529" w:type="pct"/>
            <w:tcBorders>
              <w:top w:val="single" w:sz="8" w:space="0" w:color="auto"/>
              <w:left w:val="nil"/>
              <w:bottom w:val="single" w:sz="8" w:space="0" w:color="auto"/>
              <w:right w:val="single" w:sz="4" w:space="0" w:color="auto"/>
            </w:tcBorders>
            <w:shd w:val="clear" w:color="auto" w:fill="auto"/>
            <w:vAlign w:val="center"/>
            <w:hideMark/>
          </w:tcPr>
          <w:p w14:paraId="60CBCD9F"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Date of Grant Agreement</w:t>
            </w:r>
          </w:p>
        </w:tc>
        <w:tc>
          <w:tcPr>
            <w:tcW w:w="381" w:type="pct"/>
            <w:tcBorders>
              <w:top w:val="single" w:sz="8" w:space="0" w:color="auto"/>
              <w:left w:val="nil"/>
              <w:bottom w:val="single" w:sz="8" w:space="0" w:color="auto"/>
              <w:right w:val="single" w:sz="4" w:space="0" w:color="auto"/>
            </w:tcBorders>
            <w:shd w:val="clear" w:color="auto" w:fill="auto"/>
            <w:vAlign w:val="center"/>
            <w:hideMark/>
          </w:tcPr>
          <w:p w14:paraId="059C2B66"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Grant amount in Currency</w:t>
            </w:r>
          </w:p>
        </w:tc>
        <w:tc>
          <w:tcPr>
            <w:tcW w:w="432" w:type="pct"/>
            <w:tcBorders>
              <w:top w:val="single" w:sz="8" w:space="0" w:color="auto"/>
              <w:left w:val="nil"/>
              <w:bottom w:val="single" w:sz="8" w:space="0" w:color="auto"/>
              <w:right w:val="single" w:sz="4" w:space="0" w:color="auto"/>
            </w:tcBorders>
            <w:shd w:val="clear" w:color="auto" w:fill="auto"/>
            <w:vAlign w:val="center"/>
            <w:hideMark/>
          </w:tcPr>
          <w:p w14:paraId="5339AB57"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Disbursed to date</w:t>
            </w:r>
          </w:p>
        </w:tc>
        <w:tc>
          <w:tcPr>
            <w:tcW w:w="623" w:type="pct"/>
            <w:tcBorders>
              <w:top w:val="single" w:sz="8" w:space="0" w:color="auto"/>
              <w:left w:val="nil"/>
              <w:bottom w:val="single" w:sz="8" w:space="0" w:color="auto"/>
              <w:right w:val="single" w:sz="4" w:space="0" w:color="auto"/>
            </w:tcBorders>
            <w:shd w:val="clear" w:color="auto" w:fill="auto"/>
            <w:vAlign w:val="center"/>
            <w:hideMark/>
          </w:tcPr>
          <w:p w14:paraId="666F06CA"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Documented and Verified in this period (out of disbursed)               in this period</w:t>
            </w:r>
          </w:p>
        </w:tc>
        <w:tc>
          <w:tcPr>
            <w:tcW w:w="576" w:type="pct"/>
            <w:tcBorders>
              <w:top w:val="single" w:sz="8" w:space="0" w:color="auto"/>
              <w:left w:val="nil"/>
              <w:bottom w:val="single" w:sz="8" w:space="0" w:color="auto"/>
              <w:right w:val="single" w:sz="4" w:space="0" w:color="auto"/>
            </w:tcBorders>
            <w:shd w:val="clear" w:color="auto" w:fill="auto"/>
            <w:vAlign w:val="center"/>
            <w:hideMark/>
          </w:tcPr>
          <w:p w14:paraId="4C645996"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Cumulative</w:t>
            </w:r>
            <w:r w:rsidRPr="00B45BDA">
              <w:rPr>
                <w:rFonts w:ascii="Times New Roman" w:eastAsia="Times New Roman" w:hAnsi="Times New Roman" w:cs="Times New Roman"/>
                <w:b/>
                <w:bCs/>
                <w:lang w:val="en-US"/>
              </w:rPr>
              <w:br/>
              <w:t>Documented and Verified by the end of this period (out of disbursed)</w:t>
            </w:r>
          </w:p>
        </w:tc>
        <w:tc>
          <w:tcPr>
            <w:tcW w:w="527" w:type="pct"/>
            <w:tcBorders>
              <w:top w:val="single" w:sz="8" w:space="0" w:color="auto"/>
              <w:left w:val="nil"/>
              <w:bottom w:val="single" w:sz="8" w:space="0" w:color="auto"/>
              <w:right w:val="single" w:sz="8" w:space="0" w:color="auto"/>
            </w:tcBorders>
            <w:shd w:val="clear" w:color="auto" w:fill="auto"/>
            <w:vAlign w:val="center"/>
            <w:hideMark/>
          </w:tcPr>
          <w:p w14:paraId="40CDA00A"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Remaining balance out of disbursed (to be documented)</w:t>
            </w:r>
          </w:p>
        </w:tc>
      </w:tr>
      <w:tr w:rsidR="001B1A82" w:rsidRPr="00B45BDA" w14:paraId="3AFDB1A7" w14:textId="77777777" w:rsidTr="009E654F">
        <w:trPr>
          <w:trHeight w:val="510"/>
        </w:trPr>
        <w:tc>
          <w:tcPr>
            <w:tcW w:w="192" w:type="pct"/>
            <w:tcBorders>
              <w:top w:val="nil"/>
              <w:left w:val="single" w:sz="8" w:space="0" w:color="auto"/>
              <w:bottom w:val="single" w:sz="4" w:space="0" w:color="auto"/>
              <w:right w:val="single" w:sz="4" w:space="0" w:color="auto"/>
            </w:tcBorders>
            <w:shd w:val="clear" w:color="auto" w:fill="auto"/>
            <w:noWrap/>
            <w:vAlign w:val="center"/>
            <w:hideMark/>
          </w:tcPr>
          <w:p w14:paraId="22A1F72C"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437" w:type="pct"/>
            <w:tcBorders>
              <w:top w:val="nil"/>
              <w:left w:val="nil"/>
              <w:bottom w:val="single" w:sz="4" w:space="0" w:color="auto"/>
              <w:right w:val="single" w:sz="4" w:space="0" w:color="auto"/>
            </w:tcBorders>
            <w:shd w:val="clear" w:color="auto" w:fill="auto"/>
            <w:vAlign w:val="center"/>
            <w:hideMark/>
          </w:tcPr>
          <w:p w14:paraId="3A94191E"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680" w:type="pct"/>
            <w:tcBorders>
              <w:top w:val="nil"/>
              <w:left w:val="nil"/>
              <w:bottom w:val="single" w:sz="4" w:space="0" w:color="auto"/>
              <w:right w:val="single" w:sz="4" w:space="0" w:color="auto"/>
            </w:tcBorders>
            <w:shd w:val="clear" w:color="auto" w:fill="auto"/>
            <w:vAlign w:val="center"/>
            <w:hideMark/>
          </w:tcPr>
          <w:p w14:paraId="5E946E56"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623" w:type="pct"/>
            <w:tcBorders>
              <w:top w:val="nil"/>
              <w:left w:val="nil"/>
              <w:bottom w:val="single" w:sz="4" w:space="0" w:color="auto"/>
              <w:right w:val="single" w:sz="4" w:space="0" w:color="auto"/>
            </w:tcBorders>
            <w:shd w:val="clear" w:color="auto" w:fill="auto"/>
            <w:noWrap/>
            <w:vAlign w:val="center"/>
            <w:hideMark/>
          </w:tcPr>
          <w:p w14:paraId="7F59BC4B"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529" w:type="pct"/>
            <w:tcBorders>
              <w:top w:val="nil"/>
              <w:left w:val="nil"/>
              <w:bottom w:val="single" w:sz="4" w:space="0" w:color="auto"/>
              <w:right w:val="single" w:sz="4" w:space="0" w:color="auto"/>
            </w:tcBorders>
            <w:shd w:val="clear" w:color="auto" w:fill="auto"/>
            <w:noWrap/>
            <w:vAlign w:val="center"/>
            <w:hideMark/>
          </w:tcPr>
          <w:p w14:paraId="30998E65"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381" w:type="pct"/>
            <w:tcBorders>
              <w:top w:val="nil"/>
              <w:left w:val="nil"/>
              <w:bottom w:val="single" w:sz="4" w:space="0" w:color="auto"/>
              <w:right w:val="single" w:sz="4" w:space="0" w:color="auto"/>
            </w:tcBorders>
            <w:shd w:val="clear" w:color="auto" w:fill="auto"/>
            <w:noWrap/>
            <w:vAlign w:val="center"/>
            <w:hideMark/>
          </w:tcPr>
          <w:p w14:paraId="0DF889FE" w14:textId="77777777" w:rsidR="001B1A82" w:rsidRPr="00B45BDA" w:rsidRDefault="001B1A82" w:rsidP="009E654F">
            <w:pPr>
              <w:spacing w:after="0" w:line="240" w:lineRule="auto"/>
              <w:jc w:val="center"/>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14:paraId="12D28BD3" w14:textId="77777777" w:rsidR="001B1A82" w:rsidRPr="00B45BDA" w:rsidRDefault="001B1A82" w:rsidP="009E654F">
            <w:pPr>
              <w:spacing w:after="0" w:line="240" w:lineRule="auto"/>
              <w:jc w:val="center"/>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 </w:t>
            </w:r>
          </w:p>
        </w:tc>
        <w:tc>
          <w:tcPr>
            <w:tcW w:w="623" w:type="pct"/>
            <w:tcBorders>
              <w:top w:val="nil"/>
              <w:left w:val="nil"/>
              <w:bottom w:val="single" w:sz="4" w:space="0" w:color="auto"/>
              <w:right w:val="single" w:sz="4" w:space="0" w:color="auto"/>
            </w:tcBorders>
            <w:shd w:val="clear" w:color="auto" w:fill="auto"/>
            <w:noWrap/>
            <w:vAlign w:val="center"/>
            <w:hideMark/>
          </w:tcPr>
          <w:p w14:paraId="324ADA1F" w14:textId="77777777" w:rsidR="001B1A82" w:rsidRPr="00B45BDA" w:rsidRDefault="001B1A82" w:rsidP="009E654F">
            <w:pPr>
              <w:spacing w:after="0" w:line="240" w:lineRule="auto"/>
              <w:jc w:val="center"/>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576" w:type="pct"/>
            <w:tcBorders>
              <w:top w:val="nil"/>
              <w:left w:val="nil"/>
              <w:bottom w:val="single" w:sz="4" w:space="0" w:color="auto"/>
              <w:right w:val="single" w:sz="4" w:space="0" w:color="auto"/>
            </w:tcBorders>
            <w:shd w:val="clear" w:color="auto" w:fill="auto"/>
            <w:noWrap/>
            <w:vAlign w:val="center"/>
            <w:hideMark/>
          </w:tcPr>
          <w:p w14:paraId="7C9EA123" w14:textId="77777777" w:rsidR="001B1A82" w:rsidRPr="00B45BDA" w:rsidRDefault="001B1A82" w:rsidP="009E654F">
            <w:pPr>
              <w:spacing w:after="0" w:line="240" w:lineRule="auto"/>
              <w:jc w:val="center"/>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527" w:type="pct"/>
            <w:tcBorders>
              <w:top w:val="nil"/>
              <w:left w:val="nil"/>
              <w:bottom w:val="single" w:sz="4" w:space="0" w:color="auto"/>
              <w:right w:val="single" w:sz="8" w:space="0" w:color="auto"/>
            </w:tcBorders>
            <w:shd w:val="clear" w:color="auto" w:fill="auto"/>
            <w:noWrap/>
            <w:vAlign w:val="center"/>
            <w:hideMark/>
          </w:tcPr>
          <w:p w14:paraId="6C98BFA9" w14:textId="77777777" w:rsidR="001B1A82" w:rsidRPr="00B45BDA" w:rsidRDefault="001B1A82" w:rsidP="009E654F">
            <w:pPr>
              <w:spacing w:after="0" w:line="240" w:lineRule="auto"/>
              <w:jc w:val="center"/>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r>
      <w:tr w:rsidR="001B1A82" w:rsidRPr="00B45BDA" w14:paraId="17E964D8" w14:textId="77777777" w:rsidTr="009E654F">
        <w:trPr>
          <w:trHeight w:val="285"/>
        </w:trPr>
        <w:tc>
          <w:tcPr>
            <w:tcW w:w="192" w:type="pct"/>
            <w:tcBorders>
              <w:top w:val="nil"/>
              <w:left w:val="single" w:sz="8" w:space="0" w:color="auto"/>
              <w:bottom w:val="single" w:sz="4" w:space="0" w:color="auto"/>
              <w:right w:val="single" w:sz="4" w:space="0" w:color="auto"/>
            </w:tcBorders>
            <w:shd w:val="clear" w:color="auto" w:fill="auto"/>
            <w:noWrap/>
            <w:vAlign w:val="center"/>
            <w:hideMark/>
          </w:tcPr>
          <w:p w14:paraId="319525DE"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437" w:type="pct"/>
            <w:tcBorders>
              <w:top w:val="nil"/>
              <w:left w:val="nil"/>
              <w:bottom w:val="single" w:sz="4" w:space="0" w:color="auto"/>
              <w:right w:val="single" w:sz="4" w:space="0" w:color="auto"/>
            </w:tcBorders>
            <w:shd w:val="clear" w:color="auto" w:fill="auto"/>
            <w:vAlign w:val="center"/>
            <w:hideMark/>
          </w:tcPr>
          <w:p w14:paraId="41DA7317"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680" w:type="pct"/>
            <w:tcBorders>
              <w:top w:val="nil"/>
              <w:left w:val="nil"/>
              <w:bottom w:val="single" w:sz="4" w:space="0" w:color="auto"/>
              <w:right w:val="single" w:sz="4" w:space="0" w:color="auto"/>
            </w:tcBorders>
            <w:shd w:val="clear" w:color="auto" w:fill="auto"/>
            <w:vAlign w:val="center"/>
            <w:hideMark/>
          </w:tcPr>
          <w:p w14:paraId="747E1118"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623" w:type="pct"/>
            <w:tcBorders>
              <w:top w:val="nil"/>
              <w:left w:val="nil"/>
              <w:bottom w:val="single" w:sz="4" w:space="0" w:color="auto"/>
              <w:right w:val="single" w:sz="4" w:space="0" w:color="auto"/>
            </w:tcBorders>
            <w:shd w:val="clear" w:color="auto" w:fill="auto"/>
            <w:vAlign w:val="center"/>
            <w:hideMark/>
          </w:tcPr>
          <w:p w14:paraId="2362BA76"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529" w:type="pct"/>
            <w:tcBorders>
              <w:top w:val="nil"/>
              <w:left w:val="nil"/>
              <w:bottom w:val="single" w:sz="4" w:space="0" w:color="auto"/>
              <w:right w:val="single" w:sz="4" w:space="0" w:color="auto"/>
            </w:tcBorders>
            <w:shd w:val="clear" w:color="000000" w:fill="FFFFFF"/>
            <w:noWrap/>
            <w:vAlign w:val="center"/>
            <w:hideMark/>
          </w:tcPr>
          <w:p w14:paraId="1D97F458"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381" w:type="pct"/>
            <w:tcBorders>
              <w:top w:val="nil"/>
              <w:left w:val="nil"/>
              <w:bottom w:val="single" w:sz="4" w:space="0" w:color="auto"/>
              <w:right w:val="single" w:sz="4" w:space="0" w:color="auto"/>
            </w:tcBorders>
            <w:shd w:val="clear" w:color="auto" w:fill="auto"/>
            <w:noWrap/>
            <w:vAlign w:val="center"/>
            <w:hideMark/>
          </w:tcPr>
          <w:p w14:paraId="6985A5A3"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432" w:type="pct"/>
            <w:tcBorders>
              <w:top w:val="nil"/>
              <w:left w:val="nil"/>
              <w:bottom w:val="single" w:sz="4" w:space="0" w:color="auto"/>
              <w:right w:val="single" w:sz="4" w:space="0" w:color="auto"/>
            </w:tcBorders>
            <w:shd w:val="clear" w:color="auto" w:fill="auto"/>
            <w:noWrap/>
            <w:vAlign w:val="center"/>
            <w:hideMark/>
          </w:tcPr>
          <w:p w14:paraId="47305DF8" w14:textId="77777777" w:rsidR="001B1A82" w:rsidRPr="00B45BDA" w:rsidRDefault="001B1A82" w:rsidP="009E654F">
            <w:pPr>
              <w:spacing w:after="0" w:line="240" w:lineRule="auto"/>
              <w:jc w:val="center"/>
              <w:rPr>
                <w:rFonts w:ascii="Times New Roman" w:eastAsia="Times New Roman" w:hAnsi="Times New Roman" w:cs="Times New Roman"/>
                <w:b/>
                <w:bCs/>
                <w:color w:val="000000"/>
                <w:lang w:val="en-US"/>
              </w:rPr>
            </w:pPr>
            <w:r w:rsidRPr="00B45BDA">
              <w:rPr>
                <w:rFonts w:ascii="Times New Roman" w:eastAsia="Times New Roman" w:hAnsi="Times New Roman" w:cs="Times New Roman"/>
                <w:b/>
                <w:bCs/>
                <w:color w:val="000000"/>
                <w:lang w:val="en-US"/>
              </w:rPr>
              <w:t> </w:t>
            </w:r>
          </w:p>
        </w:tc>
        <w:tc>
          <w:tcPr>
            <w:tcW w:w="623" w:type="pct"/>
            <w:tcBorders>
              <w:top w:val="nil"/>
              <w:left w:val="nil"/>
              <w:bottom w:val="single" w:sz="4" w:space="0" w:color="auto"/>
              <w:right w:val="single" w:sz="4" w:space="0" w:color="auto"/>
            </w:tcBorders>
            <w:shd w:val="clear" w:color="auto" w:fill="auto"/>
            <w:noWrap/>
            <w:vAlign w:val="center"/>
            <w:hideMark/>
          </w:tcPr>
          <w:p w14:paraId="2591C152"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576" w:type="pct"/>
            <w:tcBorders>
              <w:top w:val="nil"/>
              <w:left w:val="nil"/>
              <w:bottom w:val="single" w:sz="4" w:space="0" w:color="auto"/>
              <w:right w:val="single" w:sz="4" w:space="0" w:color="auto"/>
            </w:tcBorders>
            <w:shd w:val="clear" w:color="auto" w:fill="auto"/>
            <w:noWrap/>
            <w:vAlign w:val="center"/>
            <w:hideMark/>
          </w:tcPr>
          <w:p w14:paraId="63B2328A"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527" w:type="pct"/>
            <w:tcBorders>
              <w:top w:val="nil"/>
              <w:left w:val="nil"/>
              <w:bottom w:val="single" w:sz="4" w:space="0" w:color="auto"/>
              <w:right w:val="single" w:sz="8" w:space="0" w:color="auto"/>
            </w:tcBorders>
            <w:shd w:val="clear" w:color="auto" w:fill="auto"/>
            <w:noWrap/>
            <w:vAlign w:val="center"/>
            <w:hideMark/>
          </w:tcPr>
          <w:p w14:paraId="4649CA79"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r>
      <w:tr w:rsidR="001B1A82" w:rsidRPr="00B45BDA" w14:paraId="3E6BDB3D" w14:textId="77777777" w:rsidTr="009E654F">
        <w:trPr>
          <w:trHeight w:val="285"/>
        </w:trPr>
        <w:tc>
          <w:tcPr>
            <w:tcW w:w="192" w:type="pct"/>
            <w:tcBorders>
              <w:top w:val="nil"/>
              <w:left w:val="single" w:sz="8" w:space="0" w:color="auto"/>
              <w:bottom w:val="single" w:sz="4" w:space="0" w:color="auto"/>
              <w:right w:val="single" w:sz="4" w:space="0" w:color="auto"/>
            </w:tcBorders>
            <w:shd w:val="clear" w:color="auto" w:fill="auto"/>
            <w:noWrap/>
            <w:vAlign w:val="center"/>
            <w:hideMark/>
          </w:tcPr>
          <w:p w14:paraId="6FCE609F"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437" w:type="pct"/>
            <w:tcBorders>
              <w:top w:val="nil"/>
              <w:left w:val="nil"/>
              <w:bottom w:val="single" w:sz="4" w:space="0" w:color="auto"/>
              <w:right w:val="single" w:sz="4" w:space="0" w:color="auto"/>
            </w:tcBorders>
            <w:shd w:val="clear" w:color="auto" w:fill="auto"/>
            <w:vAlign w:val="center"/>
            <w:hideMark/>
          </w:tcPr>
          <w:p w14:paraId="5B5DAFC4"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680" w:type="pct"/>
            <w:tcBorders>
              <w:top w:val="nil"/>
              <w:left w:val="nil"/>
              <w:bottom w:val="single" w:sz="4" w:space="0" w:color="auto"/>
              <w:right w:val="single" w:sz="4" w:space="0" w:color="auto"/>
            </w:tcBorders>
            <w:shd w:val="clear" w:color="auto" w:fill="auto"/>
            <w:vAlign w:val="center"/>
            <w:hideMark/>
          </w:tcPr>
          <w:p w14:paraId="342CE3B8"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623" w:type="pct"/>
            <w:tcBorders>
              <w:top w:val="nil"/>
              <w:left w:val="nil"/>
              <w:bottom w:val="single" w:sz="4" w:space="0" w:color="auto"/>
              <w:right w:val="single" w:sz="4" w:space="0" w:color="auto"/>
            </w:tcBorders>
            <w:shd w:val="clear" w:color="auto" w:fill="auto"/>
            <w:vAlign w:val="center"/>
            <w:hideMark/>
          </w:tcPr>
          <w:p w14:paraId="3928EACD"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529" w:type="pct"/>
            <w:tcBorders>
              <w:top w:val="nil"/>
              <w:left w:val="nil"/>
              <w:bottom w:val="single" w:sz="4" w:space="0" w:color="auto"/>
              <w:right w:val="single" w:sz="4" w:space="0" w:color="auto"/>
            </w:tcBorders>
            <w:shd w:val="clear" w:color="000000" w:fill="FFFFFF"/>
            <w:noWrap/>
            <w:vAlign w:val="center"/>
            <w:hideMark/>
          </w:tcPr>
          <w:p w14:paraId="71C495F5"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381" w:type="pct"/>
            <w:tcBorders>
              <w:top w:val="nil"/>
              <w:left w:val="nil"/>
              <w:bottom w:val="single" w:sz="4" w:space="0" w:color="auto"/>
              <w:right w:val="single" w:sz="4" w:space="0" w:color="auto"/>
            </w:tcBorders>
            <w:shd w:val="clear" w:color="auto" w:fill="auto"/>
            <w:noWrap/>
            <w:vAlign w:val="center"/>
            <w:hideMark/>
          </w:tcPr>
          <w:p w14:paraId="1DB9CFE4"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432" w:type="pct"/>
            <w:tcBorders>
              <w:top w:val="nil"/>
              <w:left w:val="nil"/>
              <w:bottom w:val="single" w:sz="4" w:space="0" w:color="auto"/>
              <w:right w:val="single" w:sz="4" w:space="0" w:color="auto"/>
            </w:tcBorders>
            <w:shd w:val="clear" w:color="auto" w:fill="auto"/>
            <w:noWrap/>
            <w:vAlign w:val="center"/>
            <w:hideMark/>
          </w:tcPr>
          <w:p w14:paraId="7C692947" w14:textId="77777777" w:rsidR="001B1A82" w:rsidRPr="00B45BDA" w:rsidRDefault="001B1A82" w:rsidP="009E654F">
            <w:pPr>
              <w:spacing w:after="0" w:line="240" w:lineRule="auto"/>
              <w:jc w:val="center"/>
              <w:rPr>
                <w:rFonts w:ascii="Times New Roman" w:eastAsia="Times New Roman" w:hAnsi="Times New Roman" w:cs="Times New Roman"/>
                <w:b/>
                <w:bCs/>
                <w:color w:val="000000"/>
                <w:lang w:val="en-US"/>
              </w:rPr>
            </w:pPr>
            <w:r w:rsidRPr="00B45BDA">
              <w:rPr>
                <w:rFonts w:ascii="Times New Roman" w:eastAsia="Times New Roman" w:hAnsi="Times New Roman" w:cs="Times New Roman"/>
                <w:b/>
                <w:bCs/>
                <w:color w:val="000000"/>
                <w:lang w:val="en-US"/>
              </w:rPr>
              <w:t> </w:t>
            </w:r>
          </w:p>
        </w:tc>
        <w:tc>
          <w:tcPr>
            <w:tcW w:w="623" w:type="pct"/>
            <w:tcBorders>
              <w:top w:val="nil"/>
              <w:left w:val="nil"/>
              <w:bottom w:val="single" w:sz="4" w:space="0" w:color="auto"/>
              <w:right w:val="single" w:sz="4" w:space="0" w:color="auto"/>
            </w:tcBorders>
            <w:shd w:val="clear" w:color="auto" w:fill="auto"/>
            <w:noWrap/>
            <w:vAlign w:val="center"/>
            <w:hideMark/>
          </w:tcPr>
          <w:p w14:paraId="6961859F"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576" w:type="pct"/>
            <w:tcBorders>
              <w:top w:val="nil"/>
              <w:left w:val="nil"/>
              <w:bottom w:val="single" w:sz="4" w:space="0" w:color="auto"/>
              <w:right w:val="single" w:sz="4" w:space="0" w:color="auto"/>
            </w:tcBorders>
            <w:shd w:val="clear" w:color="auto" w:fill="auto"/>
            <w:noWrap/>
            <w:vAlign w:val="center"/>
            <w:hideMark/>
          </w:tcPr>
          <w:p w14:paraId="5D501647"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c>
          <w:tcPr>
            <w:tcW w:w="527" w:type="pct"/>
            <w:tcBorders>
              <w:top w:val="nil"/>
              <w:left w:val="nil"/>
              <w:bottom w:val="single" w:sz="4" w:space="0" w:color="auto"/>
              <w:right w:val="single" w:sz="8" w:space="0" w:color="auto"/>
            </w:tcBorders>
            <w:shd w:val="clear" w:color="auto" w:fill="auto"/>
            <w:noWrap/>
            <w:vAlign w:val="center"/>
            <w:hideMark/>
          </w:tcPr>
          <w:p w14:paraId="647382C0" w14:textId="77777777" w:rsidR="001B1A82" w:rsidRPr="00B45BDA" w:rsidRDefault="001B1A82" w:rsidP="009E654F">
            <w:pPr>
              <w:spacing w:after="0" w:line="240" w:lineRule="auto"/>
              <w:jc w:val="center"/>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 </w:t>
            </w:r>
          </w:p>
        </w:tc>
      </w:tr>
      <w:tr w:rsidR="001B1A82" w:rsidRPr="00B45BDA" w14:paraId="38A6883B" w14:textId="77777777" w:rsidTr="009E654F">
        <w:trPr>
          <w:trHeight w:val="315"/>
        </w:trPr>
        <w:tc>
          <w:tcPr>
            <w:tcW w:w="192" w:type="pct"/>
            <w:tcBorders>
              <w:top w:val="nil"/>
              <w:left w:val="single" w:sz="8" w:space="0" w:color="auto"/>
              <w:bottom w:val="single" w:sz="8" w:space="0" w:color="auto"/>
              <w:right w:val="single" w:sz="4" w:space="0" w:color="auto"/>
            </w:tcBorders>
            <w:shd w:val="clear" w:color="auto" w:fill="auto"/>
            <w:noWrap/>
            <w:vAlign w:val="center"/>
            <w:hideMark/>
          </w:tcPr>
          <w:p w14:paraId="4AC684AF"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437" w:type="pct"/>
            <w:tcBorders>
              <w:top w:val="nil"/>
              <w:left w:val="nil"/>
              <w:bottom w:val="single" w:sz="8" w:space="0" w:color="auto"/>
              <w:right w:val="single" w:sz="4" w:space="0" w:color="auto"/>
            </w:tcBorders>
            <w:shd w:val="clear" w:color="auto" w:fill="auto"/>
            <w:noWrap/>
            <w:vAlign w:val="center"/>
            <w:hideMark/>
          </w:tcPr>
          <w:p w14:paraId="3CDCF907"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680" w:type="pct"/>
            <w:tcBorders>
              <w:top w:val="nil"/>
              <w:left w:val="nil"/>
              <w:bottom w:val="single" w:sz="8" w:space="0" w:color="auto"/>
              <w:right w:val="single" w:sz="4" w:space="0" w:color="auto"/>
            </w:tcBorders>
            <w:shd w:val="clear" w:color="auto" w:fill="auto"/>
            <w:noWrap/>
            <w:vAlign w:val="center"/>
            <w:hideMark/>
          </w:tcPr>
          <w:p w14:paraId="044A5804"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623" w:type="pct"/>
            <w:tcBorders>
              <w:top w:val="nil"/>
              <w:left w:val="nil"/>
              <w:bottom w:val="single" w:sz="8" w:space="0" w:color="auto"/>
              <w:right w:val="single" w:sz="4" w:space="0" w:color="auto"/>
            </w:tcBorders>
            <w:shd w:val="clear" w:color="auto" w:fill="auto"/>
            <w:noWrap/>
            <w:vAlign w:val="center"/>
            <w:hideMark/>
          </w:tcPr>
          <w:p w14:paraId="331F3618"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529" w:type="pct"/>
            <w:tcBorders>
              <w:top w:val="nil"/>
              <w:left w:val="nil"/>
              <w:bottom w:val="single" w:sz="8" w:space="0" w:color="auto"/>
              <w:right w:val="single" w:sz="4" w:space="0" w:color="auto"/>
            </w:tcBorders>
            <w:shd w:val="clear" w:color="auto" w:fill="auto"/>
            <w:noWrap/>
            <w:vAlign w:val="center"/>
            <w:hideMark/>
          </w:tcPr>
          <w:p w14:paraId="4F6B09BD"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381" w:type="pct"/>
            <w:tcBorders>
              <w:top w:val="nil"/>
              <w:left w:val="nil"/>
              <w:bottom w:val="single" w:sz="8" w:space="0" w:color="auto"/>
              <w:right w:val="single" w:sz="4" w:space="0" w:color="auto"/>
            </w:tcBorders>
            <w:shd w:val="clear" w:color="auto" w:fill="auto"/>
            <w:noWrap/>
            <w:vAlign w:val="center"/>
            <w:hideMark/>
          </w:tcPr>
          <w:p w14:paraId="58617B63"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432" w:type="pct"/>
            <w:tcBorders>
              <w:top w:val="nil"/>
              <w:left w:val="nil"/>
              <w:bottom w:val="single" w:sz="8" w:space="0" w:color="auto"/>
              <w:right w:val="single" w:sz="4" w:space="0" w:color="auto"/>
            </w:tcBorders>
            <w:shd w:val="clear" w:color="auto" w:fill="auto"/>
            <w:noWrap/>
            <w:vAlign w:val="center"/>
            <w:hideMark/>
          </w:tcPr>
          <w:p w14:paraId="2EC77C1A"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623" w:type="pct"/>
            <w:tcBorders>
              <w:top w:val="nil"/>
              <w:left w:val="nil"/>
              <w:bottom w:val="single" w:sz="8" w:space="0" w:color="auto"/>
              <w:right w:val="single" w:sz="4" w:space="0" w:color="auto"/>
            </w:tcBorders>
            <w:shd w:val="clear" w:color="auto" w:fill="auto"/>
            <w:noWrap/>
            <w:vAlign w:val="center"/>
            <w:hideMark/>
          </w:tcPr>
          <w:p w14:paraId="35F0C3F1"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576" w:type="pct"/>
            <w:tcBorders>
              <w:top w:val="nil"/>
              <w:left w:val="nil"/>
              <w:bottom w:val="single" w:sz="8" w:space="0" w:color="auto"/>
              <w:right w:val="single" w:sz="4" w:space="0" w:color="auto"/>
            </w:tcBorders>
            <w:shd w:val="clear" w:color="auto" w:fill="auto"/>
            <w:noWrap/>
            <w:vAlign w:val="center"/>
            <w:hideMark/>
          </w:tcPr>
          <w:p w14:paraId="7099CDDD"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c>
          <w:tcPr>
            <w:tcW w:w="527" w:type="pct"/>
            <w:tcBorders>
              <w:top w:val="nil"/>
              <w:left w:val="nil"/>
              <w:bottom w:val="single" w:sz="8" w:space="0" w:color="auto"/>
              <w:right w:val="single" w:sz="8" w:space="0" w:color="auto"/>
            </w:tcBorders>
            <w:shd w:val="clear" w:color="auto" w:fill="auto"/>
            <w:noWrap/>
            <w:vAlign w:val="center"/>
            <w:hideMark/>
          </w:tcPr>
          <w:p w14:paraId="577B84E7" w14:textId="77777777" w:rsidR="001B1A82" w:rsidRPr="00B45BDA" w:rsidRDefault="001B1A82" w:rsidP="009E654F">
            <w:pPr>
              <w:spacing w:after="0" w:line="240" w:lineRule="auto"/>
              <w:rPr>
                <w:rFonts w:ascii="Times New Roman" w:eastAsia="Times New Roman" w:hAnsi="Times New Roman" w:cs="Times New Roman"/>
                <w:lang w:val="en-US"/>
              </w:rPr>
            </w:pPr>
            <w:r w:rsidRPr="00B45BDA">
              <w:rPr>
                <w:rFonts w:ascii="Times New Roman" w:eastAsia="Times New Roman" w:hAnsi="Times New Roman" w:cs="Times New Roman"/>
                <w:lang w:val="en-US"/>
              </w:rPr>
              <w:t> </w:t>
            </w:r>
          </w:p>
        </w:tc>
      </w:tr>
      <w:tr w:rsidR="001B1A82" w:rsidRPr="00B45BDA" w14:paraId="3B343879" w14:textId="77777777" w:rsidTr="009E654F">
        <w:trPr>
          <w:trHeight w:val="540"/>
        </w:trPr>
        <w:tc>
          <w:tcPr>
            <w:tcW w:w="192" w:type="pct"/>
            <w:tcBorders>
              <w:top w:val="nil"/>
              <w:left w:val="nil"/>
              <w:bottom w:val="nil"/>
              <w:right w:val="nil"/>
            </w:tcBorders>
            <w:shd w:val="clear" w:color="auto" w:fill="auto"/>
            <w:noWrap/>
            <w:vAlign w:val="center"/>
            <w:hideMark/>
          </w:tcPr>
          <w:p w14:paraId="67C51201" w14:textId="77777777" w:rsidR="001B1A82" w:rsidRPr="00B45BDA" w:rsidRDefault="001B1A82" w:rsidP="009E654F">
            <w:pPr>
              <w:spacing w:after="0" w:line="240" w:lineRule="auto"/>
              <w:rPr>
                <w:rFonts w:ascii="Times New Roman" w:eastAsia="Times New Roman" w:hAnsi="Times New Roman" w:cs="Times New Roman"/>
                <w:lang w:val="en-US"/>
              </w:rPr>
            </w:pPr>
          </w:p>
        </w:tc>
        <w:tc>
          <w:tcPr>
            <w:tcW w:w="437" w:type="pct"/>
            <w:tcBorders>
              <w:top w:val="nil"/>
              <w:left w:val="nil"/>
              <w:bottom w:val="nil"/>
              <w:right w:val="nil"/>
            </w:tcBorders>
            <w:shd w:val="clear" w:color="auto" w:fill="auto"/>
            <w:noWrap/>
            <w:vAlign w:val="center"/>
            <w:hideMark/>
          </w:tcPr>
          <w:p w14:paraId="0E5090A6"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43C9F371" w14:textId="77777777" w:rsidR="001B1A82" w:rsidRPr="00B45BDA" w:rsidRDefault="001B1A82" w:rsidP="009E654F">
            <w:pPr>
              <w:spacing w:after="0" w:line="240" w:lineRule="auto"/>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TOTAL</w:t>
            </w:r>
          </w:p>
        </w:tc>
        <w:tc>
          <w:tcPr>
            <w:tcW w:w="623" w:type="pct"/>
            <w:tcBorders>
              <w:top w:val="nil"/>
              <w:left w:val="nil"/>
              <w:bottom w:val="nil"/>
              <w:right w:val="nil"/>
            </w:tcBorders>
            <w:shd w:val="clear" w:color="auto" w:fill="auto"/>
            <w:noWrap/>
            <w:vAlign w:val="center"/>
            <w:hideMark/>
          </w:tcPr>
          <w:p w14:paraId="358D064D" w14:textId="77777777" w:rsidR="001B1A82" w:rsidRPr="00B45BDA" w:rsidRDefault="001B1A82" w:rsidP="009E654F">
            <w:pPr>
              <w:spacing w:after="0" w:line="240" w:lineRule="auto"/>
              <w:rPr>
                <w:rFonts w:ascii="Times New Roman" w:eastAsia="Times New Roman" w:hAnsi="Times New Roman" w:cs="Times New Roman"/>
                <w:b/>
                <w:bCs/>
                <w:lang w:val="en-US"/>
              </w:rPr>
            </w:pPr>
          </w:p>
        </w:tc>
        <w:tc>
          <w:tcPr>
            <w:tcW w:w="529" w:type="pct"/>
            <w:tcBorders>
              <w:top w:val="nil"/>
              <w:left w:val="nil"/>
              <w:bottom w:val="nil"/>
              <w:right w:val="nil"/>
            </w:tcBorders>
            <w:shd w:val="clear" w:color="auto" w:fill="auto"/>
            <w:noWrap/>
            <w:vAlign w:val="center"/>
            <w:hideMark/>
          </w:tcPr>
          <w:p w14:paraId="7E37800D"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381" w:type="pct"/>
            <w:tcBorders>
              <w:top w:val="nil"/>
              <w:left w:val="single" w:sz="8" w:space="0" w:color="auto"/>
              <w:bottom w:val="single" w:sz="8" w:space="0" w:color="auto"/>
              <w:right w:val="nil"/>
            </w:tcBorders>
            <w:shd w:val="clear" w:color="auto" w:fill="auto"/>
            <w:noWrap/>
            <w:vAlign w:val="center"/>
            <w:hideMark/>
          </w:tcPr>
          <w:p w14:paraId="323868E3" w14:textId="77777777" w:rsidR="001B1A82" w:rsidRPr="00B45BDA" w:rsidRDefault="001B1A82" w:rsidP="009E654F">
            <w:pPr>
              <w:spacing w:after="0" w:line="240" w:lineRule="auto"/>
              <w:jc w:val="right"/>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0.00 din.</w:t>
            </w:r>
          </w:p>
        </w:tc>
        <w:tc>
          <w:tcPr>
            <w:tcW w:w="432" w:type="pct"/>
            <w:tcBorders>
              <w:top w:val="nil"/>
              <w:left w:val="single" w:sz="8" w:space="0" w:color="auto"/>
              <w:bottom w:val="single" w:sz="8" w:space="0" w:color="auto"/>
              <w:right w:val="single" w:sz="8" w:space="0" w:color="auto"/>
            </w:tcBorders>
            <w:shd w:val="clear" w:color="auto" w:fill="auto"/>
            <w:noWrap/>
            <w:vAlign w:val="center"/>
            <w:hideMark/>
          </w:tcPr>
          <w:p w14:paraId="391C912D" w14:textId="77777777" w:rsidR="001B1A82" w:rsidRPr="00B45BDA" w:rsidRDefault="001B1A82" w:rsidP="009E654F">
            <w:pPr>
              <w:spacing w:after="0" w:line="240" w:lineRule="auto"/>
              <w:jc w:val="right"/>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0.00 din.</w:t>
            </w:r>
          </w:p>
        </w:tc>
        <w:tc>
          <w:tcPr>
            <w:tcW w:w="623" w:type="pct"/>
            <w:tcBorders>
              <w:top w:val="nil"/>
              <w:left w:val="nil"/>
              <w:bottom w:val="single" w:sz="8" w:space="0" w:color="auto"/>
              <w:right w:val="nil"/>
            </w:tcBorders>
            <w:shd w:val="clear" w:color="auto" w:fill="auto"/>
            <w:noWrap/>
            <w:vAlign w:val="center"/>
            <w:hideMark/>
          </w:tcPr>
          <w:p w14:paraId="17FA347B" w14:textId="77777777" w:rsidR="001B1A82" w:rsidRPr="00B45BDA" w:rsidRDefault="001B1A82" w:rsidP="009E654F">
            <w:pPr>
              <w:spacing w:after="0" w:line="240" w:lineRule="auto"/>
              <w:jc w:val="right"/>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0.00 din.</w:t>
            </w:r>
          </w:p>
        </w:tc>
        <w:tc>
          <w:tcPr>
            <w:tcW w:w="576" w:type="pct"/>
            <w:tcBorders>
              <w:top w:val="nil"/>
              <w:left w:val="single" w:sz="8" w:space="0" w:color="auto"/>
              <w:bottom w:val="single" w:sz="8" w:space="0" w:color="auto"/>
              <w:right w:val="single" w:sz="8" w:space="0" w:color="auto"/>
            </w:tcBorders>
            <w:shd w:val="clear" w:color="auto" w:fill="auto"/>
            <w:noWrap/>
            <w:vAlign w:val="center"/>
            <w:hideMark/>
          </w:tcPr>
          <w:p w14:paraId="74BC10F2" w14:textId="77777777" w:rsidR="001B1A82" w:rsidRPr="00B45BDA" w:rsidRDefault="001B1A82" w:rsidP="009E654F">
            <w:pPr>
              <w:spacing w:after="0" w:line="240" w:lineRule="auto"/>
              <w:jc w:val="right"/>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0.00 din.</w:t>
            </w:r>
          </w:p>
        </w:tc>
        <w:tc>
          <w:tcPr>
            <w:tcW w:w="527" w:type="pct"/>
            <w:tcBorders>
              <w:top w:val="nil"/>
              <w:left w:val="nil"/>
              <w:bottom w:val="single" w:sz="8" w:space="0" w:color="auto"/>
              <w:right w:val="single" w:sz="8" w:space="0" w:color="auto"/>
            </w:tcBorders>
            <w:shd w:val="clear" w:color="auto" w:fill="auto"/>
            <w:noWrap/>
            <w:vAlign w:val="center"/>
            <w:hideMark/>
          </w:tcPr>
          <w:p w14:paraId="6DE311F1" w14:textId="77777777" w:rsidR="001B1A82" w:rsidRPr="00B45BDA" w:rsidRDefault="001B1A82" w:rsidP="009E654F">
            <w:pPr>
              <w:spacing w:after="0" w:line="240" w:lineRule="auto"/>
              <w:jc w:val="right"/>
              <w:rPr>
                <w:rFonts w:ascii="Times New Roman" w:eastAsia="Times New Roman" w:hAnsi="Times New Roman" w:cs="Times New Roman"/>
                <w:b/>
                <w:bCs/>
                <w:lang w:val="en-US"/>
              </w:rPr>
            </w:pPr>
            <w:r w:rsidRPr="00B45BDA">
              <w:rPr>
                <w:rFonts w:ascii="Times New Roman" w:eastAsia="Times New Roman" w:hAnsi="Times New Roman" w:cs="Times New Roman"/>
                <w:b/>
                <w:bCs/>
                <w:lang w:val="en-US"/>
              </w:rPr>
              <w:t>0.00 din.</w:t>
            </w:r>
          </w:p>
        </w:tc>
      </w:tr>
      <w:tr w:rsidR="001B1A82" w:rsidRPr="00B45BDA" w14:paraId="2203021F" w14:textId="77777777" w:rsidTr="009E654F">
        <w:trPr>
          <w:trHeight w:val="300"/>
        </w:trPr>
        <w:tc>
          <w:tcPr>
            <w:tcW w:w="192" w:type="pct"/>
            <w:tcBorders>
              <w:top w:val="nil"/>
              <w:left w:val="nil"/>
              <w:bottom w:val="nil"/>
              <w:right w:val="nil"/>
            </w:tcBorders>
            <w:shd w:val="clear" w:color="auto" w:fill="auto"/>
            <w:noWrap/>
            <w:vAlign w:val="center"/>
            <w:hideMark/>
          </w:tcPr>
          <w:p w14:paraId="5D673F6A" w14:textId="77777777" w:rsidR="001B1A82" w:rsidRPr="00B45BDA" w:rsidRDefault="001B1A82" w:rsidP="009E654F">
            <w:pPr>
              <w:spacing w:after="0" w:line="240" w:lineRule="auto"/>
              <w:jc w:val="right"/>
              <w:rPr>
                <w:rFonts w:ascii="Times New Roman" w:eastAsia="Times New Roman" w:hAnsi="Times New Roman" w:cs="Times New Roman"/>
                <w:b/>
                <w:bCs/>
                <w:lang w:val="en-US"/>
              </w:rPr>
            </w:pPr>
          </w:p>
        </w:tc>
        <w:tc>
          <w:tcPr>
            <w:tcW w:w="437" w:type="pct"/>
            <w:tcBorders>
              <w:top w:val="nil"/>
              <w:left w:val="nil"/>
              <w:bottom w:val="nil"/>
              <w:right w:val="nil"/>
            </w:tcBorders>
            <w:shd w:val="clear" w:color="auto" w:fill="auto"/>
            <w:noWrap/>
            <w:vAlign w:val="center"/>
            <w:hideMark/>
          </w:tcPr>
          <w:p w14:paraId="5CF8ADF5"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4B3671C9"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02B80770"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center"/>
            <w:hideMark/>
          </w:tcPr>
          <w:p w14:paraId="6901F7E0"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center"/>
            <w:hideMark/>
          </w:tcPr>
          <w:p w14:paraId="0B8F4251"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center"/>
            <w:hideMark/>
          </w:tcPr>
          <w:p w14:paraId="11EFE429"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3B10BE5B"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center"/>
            <w:hideMark/>
          </w:tcPr>
          <w:p w14:paraId="0C636B26"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center"/>
            <w:hideMark/>
          </w:tcPr>
          <w:p w14:paraId="5D124C39"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r>
      <w:tr w:rsidR="001B1A82" w:rsidRPr="00B45BDA" w14:paraId="73C68E0F" w14:textId="77777777" w:rsidTr="009E654F">
        <w:trPr>
          <w:trHeight w:val="300"/>
        </w:trPr>
        <w:tc>
          <w:tcPr>
            <w:tcW w:w="192" w:type="pct"/>
            <w:tcBorders>
              <w:top w:val="nil"/>
              <w:left w:val="nil"/>
              <w:bottom w:val="nil"/>
              <w:right w:val="nil"/>
            </w:tcBorders>
            <w:shd w:val="clear" w:color="auto" w:fill="auto"/>
            <w:noWrap/>
            <w:vAlign w:val="center"/>
            <w:hideMark/>
          </w:tcPr>
          <w:p w14:paraId="687529D0"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7" w:type="pct"/>
            <w:tcBorders>
              <w:top w:val="nil"/>
              <w:left w:val="nil"/>
              <w:bottom w:val="nil"/>
              <w:right w:val="nil"/>
            </w:tcBorders>
            <w:shd w:val="clear" w:color="auto" w:fill="auto"/>
            <w:noWrap/>
            <w:vAlign w:val="center"/>
            <w:hideMark/>
          </w:tcPr>
          <w:p w14:paraId="71D2067F"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Date:</w:t>
            </w:r>
          </w:p>
        </w:tc>
        <w:tc>
          <w:tcPr>
            <w:tcW w:w="680" w:type="pct"/>
            <w:tcBorders>
              <w:top w:val="nil"/>
              <w:left w:val="nil"/>
              <w:bottom w:val="nil"/>
              <w:right w:val="nil"/>
            </w:tcBorders>
            <w:shd w:val="clear" w:color="auto" w:fill="auto"/>
            <w:noWrap/>
            <w:vAlign w:val="bottom"/>
            <w:hideMark/>
          </w:tcPr>
          <w:p w14:paraId="21503298" w14:textId="77777777" w:rsidR="001B1A82" w:rsidRPr="00B45BDA" w:rsidRDefault="001B1A82" w:rsidP="009E654F">
            <w:pPr>
              <w:spacing w:after="0" w:line="240" w:lineRule="auto"/>
              <w:rPr>
                <w:rFonts w:ascii="Times New Roman" w:eastAsia="Times New Roman" w:hAnsi="Times New Roman" w:cs="Times New Roman"/>
                <w:color w:val="000000"/>
                <w:lang w:val="en-US"/>
              </w:rPr>
            </w:pPr>
          </w:p>
        </w:tc>
        <w:tc>
          <w:tcPr>
            <w:tcW w:w="623" w:type="pct"/>
            <w:tcBorders>
              <w:top w:val="nil"/>
              <w:left w:val="nil"/>
              <w:bottom w:val="nil"/>
              <w:right w:val="nil"/>
            </w:tcBorders>
            <w:shd w:val="clear" w:color="auto" w:fill="auto"/>
            <w:noWrap/>
            <w:vAlign w:val="bottom"/>
            <w:hideMark/>
          </w:tcPr>
          <w:p w14:paraId="1CB1BFD2"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bottom"/>
            <w:hideMark/>
          </w:tcPr>
          <w:p w14:paraId="6A18A385"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bottom"/>
            <w:hideMark/>
          </w:tcPr>
          <w:p w14:paraId="4E46030D"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bottom"/>
            <w:hideMark/>
          </w:tcPr>
          <w:p w14:paraId="6EEFEC7A"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bottom"/>
            <w:hideMark/>
          </w:tcPr>
          <w:p w14:paraId="054FED99"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bottom"/>
            <w:hideMark/>
          </w:tcPr>
          <w:p w14:paraId="665AC200"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bottom"/>
            <w:hideMark/>
          </w:tcPr>
          <w:p w14:paraId="42D1556A"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r>
      <w:tr w:rsidR="001B1A82" w:rsidRPr="00B45BDA" w14:paraId="327278CD" w14:textId="77777777" w:rsidTr="009E654F">
        <w:trPr>
          <w:trHeight w:val="300"/>
        </w:trPr>
        <w:tc>
          <w:tcPr>
            <w:tcW w:w="192" w:type="pct"/>
            <w:tcBorders>
              <w:top w:val="nil"/>
              <w:left w:val="nil"/>
              <w:bottom w:val="nil"/>
              <w:right w:val="nil"/>
            </w:tcBorders>
            <w:shd w:val="clear" w:color="auto" w:fill="auto"/>
            <w:noWrap/>
            <w:vAlign w:val="center"/>
            <w:hideMark/>
          </w:tcPr>
          <w:p w14:paraId="2344CB63"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7" w:type="pct"/>
            <w:tcBorders>
              <w:top w:val="nil"/>
              <w:left w:val="nil"/>
              <w:bottom w:val="nil"/>
              <w:right w:val="nil"/>
            </w:tcBorders>
            <w:shd w:val="clear" w:color="auto" w:fill="auto"/>
            <w:noWrap/>
            <w:vAlign w:val="center"/>
            <w:hideMark/>
          </w:tcPr>
          <w:p w14:paraId="213B6B36"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bottom"/>
            <w:hideMark/>
          </w:tcPr>
          <w:p w14:paraId="7F8CACB6"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bottom"/>
            <w:hideMark/>
          </w:tcPr>
          <w:p w14:paraId="52CAC7DD"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bottom"/>
            <w:hideMark/>
          </w:tcPr>
          <w:p w14:paraId="48624BF7"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bottom"/>
            <w:hideMark/>
          </w:tcPr>
          <w:p w14:paraId="7E092508"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bottom"/>
            <w:hideMark/>
          </w:tcPr>
          <w:p w14:paraId="3FDEB019"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bottom"/>
            <w:hideMark/>
          </w:tcPr>
          <w:p w14:paraId="5D16833A"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bottom"/>
            <w:hideMark/>
          </w:tcPr>
          <w:p w14:paraId="43B5213C"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bottom"/>
            <w:hideMark/>
          </w:tcPr>
          <w:p w14:paraId="16C8DA7C"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r>
      <w:tr w:rsidR="001B1A82" w:rsidRPr="00B45BDA" w14:paraId="58FCB9E7" w14:textId="77777777" w:rsidTr="009E654F">
        <w:trPr>
          <w:trHeight w:val="300"/>
        </w:trPr>
        <w:tc>
          <w:tcPr>
            <w:tcW w:w="192" w:type="pct"/>
            <w:tcBorders>
              <w:top w:val="nil"/>
              <w:left w:val="nil"/>
              <w:bottom w:val="nil"/>
              <w:right w:val="nil"/>
            </w:tcBorders>
            <w:shd w:val="clear" w:color="auto" w:fill="auto"/>
            <w:noWrap/>
            <w:vAlign w:val="center"/>
            <w:hideMark/>
          </w:tcPr>
          <w:p w14:paraId="6C911B53"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1117" w:type="pct"/>
            <w:gridSpan w:val="2"/>
            <w:tcBorders>
              <w:top w:val="nil"/>
              <w:left w:val="nil"/>
              <w:bottom w:val="nil"/>
              <w:right w:val="nil"/>
            </w:tcBorders>
            <w:shd w:val="clear" w:color="auto" w:fill="auto"/>
            <w:noWrap/>
            <w:vAlign w:val="center"/>
            <w:hideMark/>
          </w:tcPr>
          <w:p w14:paraId="15D22A9A"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Prepared by: _____________________________</w:t>
            </w:r>
          </w:p>
        </w:tc>
        <w:tc>
          <w:tcPr>
            <w:tcW w:w="1533" w:type="pct"/>
            <w:gridSpan w:val="3"/>
            <w:tcBorders>
              <w:top w:val="nil"/>
              <w:left w:val="nil"/>
              <w:bottom w:val="nil"/>
              <w:right w:val="nil"/>
            </w:tcBorders>
            <w:shd w:val="clear" w:color="auto" w:fill="auto"/>
            <w:noWrap/>
            <w:vAlign w:val="bottom"/>
            <w:hideMark/>
          </w:tcPr>
          <w:p w14:paraId="3AB91BB4"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Controlled by:_________________________________________</w:t>
            </w:r>
          </w:p>
        </w:tc>
        <w:tc>
          <w:tcPr>
            <w:tcW w:w="432" w:type="pct"/>
            <w:tcBorders>
              <w:top w:val="nil"/>
              <w:left w:val="nil"/>
              <w:bottom w:val="nil"/>
              <w:right w:val="nil"/>
            </w:tcBorders>
            <w:shd w:val="clear" w:color="auto" w:fill="auto"/>
            <w:noWrap/>
            <w:vAlign w:val="center"/>
            <w:hideMark/>
          </w:tcPr>
          <w:p w14:paraId="6A68A659" w14:textId="77777777" w:rsidR="001B1A82" w:rsidRPr="00B45BDA" w:rsidRDefault="001B1A82" w:rsidP="009E654F">
            <w:pPr>
              <w:spacing w:after="0" w:line="240" w:lineRule="auto"/>
              <w:rPr>
                <w:rFonts w:ascii="Times New Roman" w:eastAsia="Times New Roman" w:hAnsi="Times New Roman" w:cs="Times New Roman"/>
                <w:color w:val="000000"/>
                <w:lang w:val="en-US"/>
              </w:rPr>
            </w:pPr>
          </w:p>
        </w:tc>
        <w:tc>
          <w:tcPr>
            <w:tcW w:w="1199" w:type="pct"/>
            <w:gridSpan w:val="2"/>
            <w:tcBorders>
              <w:top w:val="nil"/>
              <w:left w:val="nil"/>
              <w:bottom w:val="nil"/>
              <w:right w:val="nil"/>
            </w:tcBorders>
            <w:shd w:val="clear" w:color="auto" w:fill="auto"/>
            <w:noWrap/>
            <w:vAlign w:val="center"/>
            <w:hideMark/>
          </w:tcPr>
          <w:p w14:paraId="4BC29BFE"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Approved by: ________________________</w:t>
            </w:r>
          </w:p>
        </w:tc>
        <w:tc>
          <w:tcPr>
            <w:tcW w:w="527" w:type="pct"/>
            <w:tcBorders>
              <w:top w:val="nil"/>
              <w:left w:val="nil"/>
              <w:bottom w:val="nil"/>
              <w:right w:val="nil"/>
            </w:tcBorders>
            <w:shd w:val="clear" w:color="auto" w:fill="auto"/>
            <w:noWrap/>
            <w:vAlign w:val="bottom"/>
            <w:hideMark/>
          </w:tcPr>
          <w:p w14:paraId="03E73C30" w14:textId="77777777" w:rsidR="001B1A82" w:rsidRPr="00B45BDA" w:rsidRDefault="001B1A82" w:rsidP="009E654F">
            <w:pPr>
              <w:spacing w:after="0" w:line="240" w:lineRule="auto"/>
              <w:rPr>
                <w:rFonts w:ascii="Times New Roman" w:eastAsia="Times New Roman" w:hAnsi="Times New Roman" w:cs="Times New Roman"/>
                <w:color w:val="000000"/>
                <w:lang w:val="en-US"/>
              </w:rPr>
            </w:pPr>
          </w:p>
        </w:tc>
      </w:tr>
      <w:tr w:rsidR="001B1A82" w:rsidRPr="00B45BDA" w14:paraId="2587723C" w14:textId="77777777" w:rsidTr="009E654F">
        <w:trPr>
          <w:trHeight w:val="300"/>
        </w:trPr>
        <w:tc>
          <w:tcPr>
            <w:tcW w:w="192" w:type="pct"/>
            <w:tcBorders>
              <w:top w:val="nil"/>
              <w:left w:val="nil"/>
              <w:bottom w:val="nil"/>
              <w:right w:val="nil"/>
            </w:tcBorders>
            <w:shd w:val="clear" w:color="auto" w:fill="auto"/>
            <w:noWrap/>
            <w:vAlign w:val="center"/>
            <w:hideMark/>
          </w:tcPr>
          <w:p w14:paraId="7274C328"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1117" w:type="pct"/>
            <w:gridSpan w:val="2"/>
            <w:tcBorders>
              <w:top w:val="nil"/>
              <w:left w:val="nil"/>
              <w:bottom w:val="nil"/>
              <w:right w:val="nil"/>
            </w:tcBorders>
            <w:shd w:val="clear" w:color="auto" w:fill="auto"/>
            <w:noWrap/>
            <w:vAlign w:val="center"/>
            <w:hideMark/>
          </w:tcPr>
          <w:p w14:paraId="046FD97C"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w:t>
            </w:r>
            <w:r w:rsidRPr="00B45BDA">
              <w:rPr>
                <w:rFonts w:ascii="Times New Roman" w:eastAsia="Times New Roman" w:hAnsi="Times New Roman" w:cs="Times New Roman"/>
                <w:i/>
                <w:iCs/>
                <w:color w:val="000000"/>
                <w:lang w:val="en-US"/>
              </w:rPr>
              <w:t>name and title-PIU staff</w:t>
            </w:r>
            <w:r w:rsidRPr="00B45BDA">
              <w:rPr>
                <w:rFonts w:ascii="Times New Roman" w:eastAsia="Times New Roman" w:hAnsi="Times New Roman" w:cs="Times New Roman"/>
                <w:color w:val="000000"/>
                <w:lang w:val="en-US"/>
              </w:rPr>
              <w:t>)</w:t>
            </w:r>
          </w:p>
        </w:tc>
        <w:tc>
          <w:tcPr>
            <w:tcW w:w="1152" w:type="pct"/>
            <w:gridSpan w:val="2"/>
            <w:tcBorders>
              <w:top w:val="nil"/>
              <w:left w:val="nil"/>
              <w:bottom w:val="nil"/>
              <w:right w:val="nil"/>
            </w:tcBorders>
            <w:shd w:val="clear" w:color="auto" w:fill="auto"/>
            <w:noWrap/>
            <w:vAlign w:val="center"/>
            <w:hideMark/>
          </w:tcPr>
          <w:p w14:paraId="51F71894"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(PIU Project Manager</w:t>
            </w:r>
            <w:r>
              <w:rPr>
                <w:rFonts w:ascii="Times New Roman" w:eastAsia="Times New Roman" w:hAnsi="Times New Roman" w:cs="Times New Roman"/>
                <w:color w:val="000000"/>
                <w:lang w:val="en-US"/>
              </w:rPr>
              <w:t>/Head of PIU</w:t>
            </w:r>
            <w:r w:rsidRPr="00B45BDA">
              <w:rPr>
                <w:rFonts w:ascii="Times New Roman" w:eastAsia="Times New Roman" w:hAnsi="Times New Roman" w:cs="Times New Roman"/>
                <w:color w:val="000000"/>
                <w:lang w:val="en-US"/>
              </w:rPr>
              <w:t>)</w:t>
            </w:r>
          </w:p>
        </w:tc>
        <w:tc>
          <w:tcPr>
            <w:tcW w:w="381" w:type="pct"/>
            <w:tcBorders>
              <w:top w:val="nil"/>
              <w:left w:val="nil"/>
              <w:bottom w:val="nil"/>
              <w:right w:val="nil"/>
            </w:tcBorders>
            <w:shd w:val="clear" w:color="auto" w:fill="auto"/>
            <w:noWrap/>
            <w:vAlign w:val="bottom"/>
            <w:hideMark/>
          </w:tcPr>
          <w:p w14:paraId="0F76B7E4" w14:textId="77777777" w:rsidR="001B1A82" w:rsidRPr="00B45BDA" w:rsidRDefault="001B1A82" w:rsidP="009E654F">
            <w:pPr>
              <w:spacing w:after="0" w:line="240" w:lineRule="auto"/>
              <w:ind w:firstLineChars="1300" w:firstLine="2860"/>
              <w:rPr>
                <w:rFonts w:ascii="Times New Roman" w:eastAsia="Times New Roman" w:hAnsi="Times New Roman" w:cs="Times New Roman"/>
                <w:color w:val="000000"/>
                <w:lang w:val="en-US"/>
              </w:rPr>
            </w:pPr>
          </w:p>
        </w:tc>
        <w:tc>
          <w:tcPr>
            <w:tcW w:w="432" w:type="pct"/>
            <w:tcBorders>
              <w:top w:val="nil"/>
              <w:left w:val="nil"/>
              <w:bottom w:val="nil"/>
              <w:right w:val="nil"/>
            </w:tcBorders>
            <w:shd w:val="clear" w:color="auto" w:fill="auto"/>
            <w:noWrap/>
            <w:vAlign w:val="center"/>
            <w:hideMark/>
          </w:tcPr>
          <w:p w14:paraId="58795C4D"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1199" w:type="pct"/>
            <w:gridSpan w:val="2"/>
            <w:tcBorders>
              <w:top w:val="nil"/>
              <w:left w:val="nil"/>
              <w:bottom w:val="nil"/>
              <w:right w:val="nil"/>
            </w:tcBorders>
            <w:shd w:val="clear" w:color="auto" w:fill="auto"/>
            <w:noWrap/>
            <w:vAlign w:val="bottom"/>
            <w:hideMark/>
          </w:tcPr>
          <w:p w14:paraId="42D6D1D6" w14:textId="77777777" w:rsidR="001B1A82" w:rsidRPr="00B45BDA" w:rsidRDefault="001B1A82" w:rsidP="009E654F">
            <w:pPr>
              <w:spacing w:after="0" w:line="240" w:lineRule="auto"/>
              <w:rPr>
                <w:rFonts w:ascii="Times New Roman" w:eastAsia="Times New Roman" w:hAnsi="Times New Roman" w:cs="Times New Roman"/>
                <w:color w:val="000000"/>
                <w:lang w:val="en-US"/>
              </w:rPr>
            </w:pPr>
            <w:r w:rsidRPr="00B45BDA">
              <w:rPr>
                <w:rFonts w:ascii="Times New Roman" w:eastAsia="Times New Roman" w:hAnsi="Times New Roman" w:cs="Times New Roman"/>
                <w:color w:val="000000"/>
                <w:lang w:val="en-US"/>
              </w:rPr>
              <w:t>(MCTI Project Coordinator)</w:t>
            </w:r>
          </w:p>
        </w:tc>
        <w:tc>
          <w:tcPr>
            <w:tcW w:w="527" w:type="pct"/>
            <w:tcBorders>
              <w:top w:val="nil"/>
              <w:left w:val="nil"/>
              <w:bottom w:val="nil"/>
              <w:right w:val="nil"/>
            </w:tcBorders>
            <w:shd w:val="clear" w:color="auto" w:fill="auto"/>
            <w:noWrap/>
            <w:vAlign w:val="bottom"/>
            <w:hideMark/>
          </w:tcPr>
          <w:p w14:paraId="463CCCBE" w14:textId="77777777" w:rsidR="001B1A82" w:rsidRPr="00B45BDA" w:rsidRDefault="001B1A82" w:rsidP="009E654F">
            <w:pPr>
              <w:spacing w:after="0" w:line="240" w:lineRule="auto"/>
              <w:rPr>
                <w:rFonts w:ascii="Times New Roman" w:eastAsia="Times New Roman" w:hAnsi="Times New Roman" w:cs="Times New Roman"/>
                <w:color w:val="000000"/>
                <w:lang w:val="en-US"/>
              </w:rPr>
            </w:pPr>
          </w:p>
        </w:tc>
      </w:tr>
      <w:tr w:rsidR="001B1A82" w:rsidRPr="00B45BDA" w14:paraId="415D3E7A" w14:textId="77777777" w:rsidTr="009E654F">
        <w:trPr>
          <w:trHeight w:val="300"/>
        </w:trPr>
        <w:tc>
          <w:tcPr>
            <w:tcW w:w="192" w:type="pct"/>
            <w:tcBorders>
              <w:top w:val="nil"/>
              <w:left w:val="nil"/>
              <w:bottom w:val="nil"/>
              <w:right w:val="nil"/>
            </w:tcBorders>
            <w:shd w:val="clear" w:color="auto" w:fill="auto"/>
            <w:noWrap/>
            <w:vAlign w:val="center"/>
            <w:hideMark/>
          </w:tcPr>
          <w:p w14:paraId="58364023"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7" w:type="pct"/>
            <w:tcBorders>
              <w:top w:val="nil"/>
              <w:left w:val="nil"/>
              <w:bottom w:val="nil"/>
              <w:right w:val="nil"/>
            </w:tcBorders>
            <w:shd w:val="clear" w:color="auto" w:fill="auto"/>
            <w:noWrap/>
            <w:vAlign w:val="center"/>
            <w:hideMark/>
          </w:tcPr>
          <w:p w14:paraId="34475E79"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80" w:type="pct"/>
            <w:tcBorders>
              <w:top w:val="nil"/>
              <w:left w:val="nil"/>
              <w:bottom w:val="nil"/>
              <w:right w:val="nil"/>
            </w:tcBorders>
            <w:shd w:val="clear" w:color="auto" w:fill="auto"/>
            <w:noWrap/>
            <w:vAlign w:val="center"/>
            <w:hideMark/>
          </w:tcPr>
          <w:p w14:paraId="3100270B"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6DE697BA"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9" w:type="pct"/>
            <w:tcBorders>
              <w:top w:val="nil"/>
              <w:left w:val="nil"/>
              <w:bottom w:val="nil"/>
              <w:right w:val="nil"/>
            </w:tcBorders>
            <w:shd w:val="clear" w:color="auto" w:fill="auto"/>
            <w:noWrap/>
            <w:vAlign w:val="center"/>
            <w:hideMark/>
          </w:tcPr>
          <w:p w14:paraId="4257A664"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381" w:type="pct"/>
            <w:tcBorders>
              <w:top w:val="nil"/>
              <w:left w:val="nil"/>
              <w:bottom w:val="nil"/>
              <w:right w:val="nil"/>
            </w:tcBorders>
            <w:shd w:val="clear" w:color="auto" w:fill="auto"/>
            <w:noWrap/>
            <w:vAlign w:val="center"/>
            <w:hideMark/>
          </w:tcPr>
          <w:p w14:paraId="379732DB"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432" w:type="pct"/>
            <w:tcBorders>
              <w:top w:val="nil"/>
              <w:left w:val="nil"/>
              <w:bottom w:val="nil"/>
              <w:right w:val="nil"/>
            </w:tcBorders>
            <w:shd w:val="clear" w:color="auto" w:fill="auto"/>
            <w:noWrap/>
            <w:vAlign w:val="center"/>
            <w:hideMark/>
          </w:tcPr>
          <w:p w14:paraId="3E86BDF2"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623" w:type="pct"/>
            <w:tcBorders>
              <w:top w:val="nil"/>
              <w:left w:val="nil"/>
              <w:bottom w:val="nil"/>
              <w:right w:val="nil"/>
            </w:tcBorders>
            <w:shd w:val="clear" w:color="auto" w:fill="auto"/>
            <w:noWrap/>
            <w:vAlign w:val="center"/>
            <w:hideMark/>
          </w:tcPr>
          <w:p w14:paraId="5231C434"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76" w:type="pct"/>
            <w:tcBorders>
              <w:top w:val="nil"/>
              <w:left w:val="nil"/>
              <w:bottom w:val="nil"/>
              <w:right w:val="nil"/>
            </w:tcBorders>
            <w:shd w:val="clear" w:color="auto" w:fill="auto"/>
            <w:noWrap/>
            <w:vAlign w:val="center"/>
            <w:hideMark/>
          </w:tcPr>
          <w:p w14:paraId="5A40F02E"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c>
          <w:tcPr>
            <w:tcW w:w="527" w:type="pct"/>
            <w:tcBorders>
              <w:top w:val="nil"/>
              <w:left w:val="nil"/>
              <w:bottom w:val="nil"/>
              <w:right w:val="nil"/>
            </w:tcBorders>
            <w:shd w:val="clear" w:color="auto" w:fill="auto"/>
            <w:noWrap/>
            <w:vAlign w:val="center"/>
            <w:hideMark/>
          </w:tcPr>
          <w:p w14:paraId="084B0721" w14:textId="77777777" w:rsidR="001B1A82" w:rsidRPr="00B45BDA" w:rsidRDefault="001B1A82" w:rsidP="009E654F">
            <w:pPr>
              <w:spacing w:after="0" w:line="240" w:lineRule="auto"/>
              <w:rPr>
                <w:rFonts w:ascii="Times New Roman" w:eastAsia="Times New Roman" w:hAnsi="Times New Roman" w:cs="Times New Roman"/>
                <w:sz w:val="20"/>
                <w:szCs w:val="20"/>
                <w:lang w:val="en-US"/>
              </w:rPr>
            </w:pPr>
          </w:p>
        </w:tc>
      </w:tr>
    </w:tbl>
    <w:p w14:paraId="57EB493B" w14:textId="77777777" w:rsidR="00F63565" w:rsidRDefault="00F63565">
      <w:pPr>
        <w:rPr>
          <w:rFonts w:ascii="Times New Roman" w:eastAsiaTheme="majorEastAsia" w:hAnsi="Times New Roman" w:cs="Times New Roman"/>
          <w:b/>
          <w:bCs/>
          <w:sz w:val="28"/>
          <w:szCs w:val="30"/>
        </w:rPr>
      </w:pPr>
    </w:p>
    <w:sectPr w:rsidR="00F63565" w:rsidSect="002D62FD">
      <w:headerReference w:type="even" r:id="rId81"/>
      <w:headerReference w:type="default" r:id="rId82"/>
      <w:footerReference w:type="even" r:id="rId83"/>
      <w:footerReference w:type="default" r:id="rId84"/>
      <w:headerReference w:type="first" r:id="rId85"/>
      <w:footerReference w:type="first" r:id="rId86"/>
      <w:pgSz w:w="11910" w:h="16840" w:code="9"/>
      <w:pgMar w:top="839" w:right="720" w:bottom="941" w:left="743" w:header="397" w:footer="3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7578D0" w14:textId="77777777" w:rsidR="003B7A19" w:rsidRDefault="003B7A19">
      <w:r>
        <w:separator/>
      </w:r>
    </w:p>
  </w:endnote>
  <w:endnote w:type="continuationSeparator" w:id="0">
    <w:p w14:paraId="71FD75D7" w14:textId="77777777" w:rsidR="003B7A19" w:rsidRDefault="003B7A19">
      <w:r>
        <w:continuationSeparator/>
      </w:r>
    </w:p>
  </w:endnote>
  <w:endnote w:type="continuationNotice" w:id="1">
    <w:p w14:paraId="1BF874DC" w14:textId="77777777" w:rsidR="003B7A19" w:rsidRDefault="003B7A1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charset w:val="02"/>
    <w:family w:val="auto"/>
    <w:pitch w:val="variable"/>
    <w:sig w:usb0="00000000" w:usb1="10000000" w:usb2="00000000" w:usb3="00000000" w:csb0="80000000" w:csb1="00000000"/>
  </w:font>
  <w:font w:name="SymbolMT">
    <w:altName w:val="Times New Roman"/>
    <w:charset w:val="00"/>
    <w:family w:val="auto"/>
    <w:pitch w:val="default"/>
  </w:font>
  <w:font w:name="Wingdings 2">
    <w:panose1 w:val="05020102010507070707"/>
    <w:charset w:val="02"/>
    <w:family w:val="roman"/>
    <w:pitch w:val="variable"/>
    <w:sig w:usb0="00000000" w:usb1="10000000" w:usb2="00000000" w:usb3="00000000" w:csb0="80000000" w:csb1="00000000"/>
  </w:font>
  <w:font w:name="StarSymbol">
    <w:altName w:val="Arial Unicode MS"/>
    <w:charset w:val="CC"/>
    <w:family w:val="auto"/>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Helvetica-Narrow">
    <w:panose1 w:val="00000000000000000000"/>
    <w:charset w:val="00"/>
    <w:family w:val="swiss"/>
    <w:notTrueType/>
    <w:pitch w:val="variable"/>
    <w:sig w:usb0="00000003" w:usb1="00000000" w:usb2="00000000" w:usb3="00000000" w:csb0="00000001" w:csb1="00000000"/>
  </w:font>
  <w:font w:name="Univers Condensed">
    <w:charset w:val="00"/>
    <w:family w:val="swiss"/>
    <w:pitch w:val="variable"/>
    <w:sig w:usb0="80000287" w:usb1="00000000" w:usb2="00000000" w:usb3="00000000" w:csb0="0000000F" w:csb1="00000000"/>
  </w:font>
  <w:font w:name="Helvetica">
    <w:panose1 w:val="020B0604020202020204"/>
    <w:charset w:val="00"/>
    <w:family w:val="swiss"/>
    <w:pitch w:val="variable"/>
    <w:sig w:usb0="E0002EFF" w:usb1="C000785B" w:usb2="00000009" w:usb3="00000000" w:csb0="000001FF" w:csb1="00000000"/>
  </w:font>
  <w:font w:name="HG Mincho Light J">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
    <w:altName w:val="MS Mincho"/>
    <w:panose1 w:val="00000000000000000000"/>
    <w:charset w:val="00"/>
    <w:family w:val="roman"/>
    <w:notTrueType/>
    <w:pitch w:val="default"/>
    <w:sig w:usb0="00000001"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MAC C Times">
    <w:charset w:val="00"/>
    <w:family w:val="roman"/>
    <w:pitch w:val="variable"/>
    <w:sig w:usb0="00000087" w:usb1="00000000" w:usb2="00000000" w:usb3="00000000" w:csb0="0000001B" w:csb1="00000000"/>
  </w:font>
  <w:font w:name="Palatino">
    <w:altName w:val="Book Antiqua"/>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roid Sans Fallback">
    <w:altName w:val="Times New Roman"/>
    <w:panose1 w:val="00000000000000000000"/>
    <w:charset w:val="00"/>
    <w:family w:val="roman"/>
    <w:notTrueType/>
    <w:pitch w:val="default"/>
  </w:font>
  <w:font w:name="Franklin Gothic Medium">
    <w:panose1 w:val="020B0603020102020204"/>
    <w:charset w:val="00"/>
    <w:family w:val="swiss"/>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BA9647" w14:textId="6B4A816B" w:rsidR="00CF7D57" w:rsidRPr="00682D85" w:rsidRDefault="00CF7D57" w:rsidP="00682D85">
    <w:pPr>
      <w:pStyle w:val="Footer"/>
      <w:jc w:val="right"/>
    </w:pPr>
    <w:r>
      <w:fldChar w:fldCharType="begin"/>
    </w:r>
    <w:r>
      <w:instrText xml:space="preserve"> PAGE   \* MERGEFORMAT </w:instrText>
    </w:r>
    <w:r>
      <w:fldChar w:fldCharType="separate"/>
    </w:r>
    <w:r w:rsidR="00BD5D6E">
      <w:rPr>
        <w:noProof/>
      </w:rPr>
      <w:t>96</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A5B5B" w14:textId="647EC330" w:rsidR="00CF7D57" w:rsidRPr="002D62FD" w:rsidRDefault="002E6E33" w:rsidP="002D62FD">
    <w:pPr>
      <w:pStyle w:val="Footer"/>
      <w:jc w:val="right"/>
    </w:pPr>
    <w:r>
      <w:fldChar w:fldCharType="begin"/>
    </w:r>
    <w:r>
      <w:instrText xml:space="preserve"> PAGE   \* MERGEFORMAT </w:instrText>
    </w:r>
    <w:r>
      <w:fldChar w:fldCharType="separate"/>
    </w:r>
    <w:r w:rsidR="00BD5D6E">
      <w:rPr>
        <w:noProof/>
      </w:rPr>
      <w:t>174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5F9ADE" w14:textId="77777777" w:rsidR="00CF7D57" w:rsidRDefault="00CF7D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1A5DF9" w14:textId="1BD429BE" w:rsidR="00CF7D57" w:rsidRPr="00532C9E" w:rsidRDefault="00CF7D57" w:rsidP="00532C9E">
    <w:pPr>
      <w:pStyle w:val="Footer"/>
      <w:ind w:left="0" w:firstLine="0"/>
      <w:jc w:val="right"/>
    </w:pPr>
    <w:r>
      <w:fldChar w:fldCharType="begin"/>
    </w:r>
    <w:r>
      <w:instrText xml:space="preserve"> PAGE   \* MERGEFORMAT </w:instrText>
    </w:r>
    <w:r>
      <w:fldChar w:fldCharType="separate"/>
    </w:r>
    <w:r w:rsidR="00C56959">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6465210"/>
      <w:docPartObj>
        <w:docPartGallery w:val="Page Numbers (Bottom of Page)"/>
        <w:docPartUnique/>
      </w:docPartObj>
    </w:sdtPr>
    <w:sdtEndPr>
      <w:rPr>
        <w:noProof/>
      </w:rPr>
    </w:sdtEndPr>
    <w:sdtContent>
      <w:p w14:paraId="59358399" w14:textId="5CFAC349" w:rsidR="00CF7D57" w:rsidRPr="000B7195" w:rsidRDefault="00CF7D57" w:rsidP="00D01979">
        <w:pPr>
          <w:pStyle w:val="Footer"/>
          <w:jc w:val="right"/>
        </w:pPr>
        <w:r>
          <w:fldChar w:fldCharType="begin"/>
        </w:r>
        <w:r>
          <w:instrText xml:space="preserve"> PAGE   \* MERGEFORMAT </w:instrText>
        </w:r>
        <w:r>
          <w:fldChar w:fldCharType="separate"/>
        </w:r>
        <w:r w:rsidR="00C56959">
          <w:rPr>
            <w:noProof/>
          </w:rPr>
          <w:t>8</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9281A" w14:textId="451D8B67" w:rsidR="00CF7D57" w:rsidRPr="00682D85" w:rsidRDefault="00CF7D57" w:rsidP="00682D85">
    <w:pPr>
      <w:pStyle w:val="Footer"/>
      <w:ind w:left="0" w:firstLine="0"/>
      <w:jc w:val="right"/>
    </w:pPr>
    <w:r>
      <w:fldChar w:fldCharType="begin"/>
    </w:r>
    <w:r>
      <w:instrText xml:space="preserve"> PAGE   \* MERGEFORMAT </w:instrText>
    </w:r>
    <w:r>
      <w:fldChar w:fldCharType="separate"/>
    </w:r>
    <w:r w:rsidR="00BD5D6E">
      <w:rPr>
        <w:noProof/>
      </w:rPr>
      <w:t>31</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D56CD" w14:textId="7859F563" w:rsidR="00CF7D57" w:rsidRPr="00414A0D" w:rsidRDefault="00CF7D57" w:rsidP="00414A0D">
    <w:pPr>
      <w:pStyle w:val="Footer"/>
      <w:ind w:left="0" w:firstLine="0"/>
      <w:jc w:val="right"/>
    </w:pPr>
    <w:r>
      <w:fldChar w:fldCharType="begin"/>
    </w:r>
    <w:r>
      <w:instrText xml:space="preserve"> PAGE   \* MERGEFORMAT </w:instrText>
    </w:r>
    <w:r>
      <w:fldChar w:fldCharType="separate"/>
    </w:r>
    <w:r w:rsidR="00BD5D6E">
      <w:rPr>
        <w:noProof/>
      </w:rPr>
      <w:t>123</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6BCBF" w14:textId="77777777" w:rsidR="00CF7D57" w:rsidRDefault="00CF7D5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6900EA" w14:textId="77777777" w:rsidR="00CF7D57" w:rsidRDefault="00CF7D5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5E3781" w14:textId="082A9AA0" w:rsidR="00CF7D57" w:rsidRDefault="00CF7D57" w:rsidP="00D01979">
    <w:pPr>
      <w:pStyle w:val="Footer"/>
      <w:jc w:val="right"/>
    </w:pPr>
    <w:r>
      <w:fldChar w:fldCharType="begin"/>
    </w:r>
    <w:r>
      <w:instrText xml:space="preserve"> PAGE   \* MERGEFORMAT </w:instrText>
    </w:r>
    <w:r>
      <w:fldChar w:fldCharType="separate"/>
    </w:r>
    <w:r w:rsidR="00BD5D6E">
      <w:rPr>
        <w:noProof/>
      </w:rPr>
      <w:t>139</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B9A2AF" w14:textId="77777777" w:rsidR="00CF7D57" w:rsidRDefault="00CF7D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2BCF24" w14:textId="77777777" w:rsidR="003B7A19" w:rsidRDefault="003B7A19">
      <w:r>
        <w:separator/>
      </w:r>
    </w:p>
  </w:footnote>
  <w:footnote w:type="continuationSeparator" w:id="0">
    <w:p w14:paraId="1A2B28C8" w14:textId="77777777" w:rsidR="003B7A19" w:rsidRDefault="003B7A19">
      <w:r>
        <w:continuationSeparator/>
      </w:r>
    </w:p>
  </w:footnote>
  <w:footnote w:type="continuationNotice" w:id="1">
    <w:p w14:paraId="11C3B429" w14:textId="77777777" w:rsidR="003B7A19" w:rsidRDefault="003B7A19">
      <w:pPr>
        <w:spacing w:after="0" w:line="240" w:lineRule="auto"/>
      </w:pPr>
    </w:p>
  </w:footnote>
  <w:footnote w:id="2">
    <w:p w14:paraId="43D8540F" w14:textId="77777777" w:rsidR="00CF7D57" w:rsidRPr="00321D30" w:rsidRDefault="00CF7D57" w:rsidP="00321D30">
      <w:pPr>
        <w:pStyle w:val="FootnoteText"/>
        <w:jc w:val="both"/>
        <w:rPr>
          <w:sz w:val="16"/>
          <w:szCs w:val="16"/>
        </w:rPr>
      </w:pPr>
      <w:r>
        <w:rPr>
          <w:rStyle w:val="FootnoteReference"/>
        </w:rPr>
        <w:footnoteRef/>
      </w:r>
      <w:r>
        <w:t xml:space="preserve"> </w:t>
      </w:r>
      <w:r w:rsidRPr="00321D30">
        <w:rPr>
          <w:rFonts w:cstheme="minorHAnsi"/>
          <w:sz w:val="16"/>
          <w:szCs w:val="16"/>
        </w:rPr>
        <w:t>Identified as in the EU cohesion policy’s “Lagging Regions Initiative”, regions are divided into four categories in line with the “Lagging regions initiative”: (i) leading regions; (ii) “low growth” lagging regions (iii) “low income”, converging lagging regions and (iv) ‘low income’, diverging lagging regions.</w:t>
      </w:r>
    </w:p>
  </w:footnote>
  <w:footnote w:id="3">
    <w:p w14:paraId="7BF5DB76" w14:textId="77777777" w:rsidR="00CF7D57" w:rsidRPr="00321D30" w:rsidRDefault="00CF7D57" w:rsidP="00321D30">
      <w:pPr>
        <w:pStyle w:val="FootnoteText"/>
        <w:jc w:val="both"/>
        <w:rPr>
          <w:sz w:val="16"/>
          <w:szCs w:val="16"/>
        </w:rPr>
      </w:pPr>
      <w:r w:rsidRPr="00321D30">
        <w:rPr>
          <w:rStyle w:val="FootnoteReference"/>
          <w:sz w:val="16"/>
          <w:szCs w:val="16"/>
        </w:rPr>
        <w:footnoteRef/>
      </w:r>
      <w:r w:rsidRPr="00321D30">
        <w:rPr>
          <w:sz w:val="16"/>
          <w:szCs w:val="16"/>
        </w:rPr>
        <w:t xml:space="preserve"> </w:t>
      </w:r>
      <w:r w:rsidRPr="00321D30">
        <w:rPr>
          <w:rFonts w:cstheme="minorHAnsi"/>
          <w:sz w:val="16"/>
          <w:szCs w:val="16"/>
        </w:rPr>
        <w:t xml:space="preserve">Law on Local Self-Government, "Official Gazette of the Republic of Serbia", no. </w:t>
      </w:r>
      <w:r w:rsidRPr="00321D30">
        <w:rPr>
          <w:sz w:val="16"/>
          <w:szCs w:val="16"/>
        </w:rPr>
        <w:t>129/2007, 83/2014, 101/2016, 47/2018</w:t>
      </w:r>
    </w:p>
  </w:footnote>
  <w:footnote w:id="4">
    <w:p w14:paraId="2C00444C" w14:textId="75D32100" w:rsidR="00CF7D57" w:rsidRPr="00596CBA" w:rsidRDefault="00CF7D57" w:rsidP="00E168E6">
      <w:pPr>
        <w:pStyle w:val="FootnoteText"/>
        <w:rPr>
          <w:lang w:val="sr-Latn-CS"/>
        </w:rPr>
      </w:pPr>
      <w:r>
        <w:rPr>
          <w:rStyle w:val="FootnoteReference"/>
        </w:rPr>
        <w:footnoteRef/>
      </w:r>
      <w:r>
        <w:t xml:space="preserve"> </w:t>
      </w:r>
      <w:r w:rsidRPr="0027006E">
        <w:t>World Bank Procurement Regulations for IPF Borrowers”, dated July 2016, revised November 2017, August 2018 and November 2020</w:t>
      </w:r>
      <w:r>
        <w:t>.</w:t>
      </w:r>
    </w:p>
  </w:footnote>
  <w:footnote w:id="5">
    <w:p w14:paraId="08CF8E7B" w14:textId="1E0B74CB" w:rsidR="00CF7D57" w:rsidRDefault="00CF7D57" w:rsidP="00926872">
      <w:pPr>
        <w:pStyle w:val="FootnoteText"/>
        <w:keepNext/>
        <w:keepLines/>
        <w:jc w:val="both"/>
        <w:rPr>
          <w:rFonts w:cstheme="minorBidi"/>
        </w:rPr>
      </w:pPr>
      <w:r w:rsidRPr="488D6CF1">
        <w:rPr>
          <w:rStyle w:val="FootnoteReference"/>
          <w:rFonts w:cstheme="minorBidi"/>
        </w:rPr>
        <w:footnoteRef/>
      </w:r>
      <w:r w:rsidRPr="488D6CF1">
        <w:rPr>
          <w:rFonts w:cstheme="minorBidi"/>
        </w:rPr>
        <w:t xml:space="preserve"> The four-step process is as follows: (a) the M</w:t>
      </w:r>
      <w:r>
        <w:rPr>
          <w:rFonts w:cstheme="minorBidi"/>
        </w:rPr>
        <w:t>CT</w:t>
      </w:r>
      <w:r w:rsidRPr="488D6CF1">
        <w:rPr>
          <w:rFonts w:cstheme="minorBidi"/>
        </w:rPr>
        <w:t>I called for proposals from all 145 LSGs with clear guidance on prioritizing roads that link to a service – for example, schools and hospitals – or markets and on support to include also active mobility infrastructure; (b) 40 LSGs submitted their candidate roads with designs and justifications to the M</w:t>
      </w:r>
      <w:r>
        <w:rPr>
          <w:rFonts w:cstheme="minorBidi"/>
        </w:rPr>
        <w:t>CT</w:t>
      </w:r>
      <w:r w:rsidRPr="488D6CF1">
        <w:rPr>
          <w:rFonts w:cstheme="minorBidi"/>
        </w:rPr>
        <w:t xml:space="preserve">I at an estimated cost of EUR 52 million; (c) the </w:t>
      </w:r>
      <w:r>
        <w:rPr>
          <w:rFonts w:cstheme="minorBidi"/>
        </w:rPr>
        <w:t>SCTM</w:t>
      </w:r>
      <w:r w:rsidRPr="488D6CF1">
        <w:rPr>
          <w:rFonts w:cstheme="minorBidi"/>
        </w:rPr>
        <w:t xml:space="preserve">, engaged to support </w:t>
      </w:r>
      <w:r>
        <w:rPr>
          <w:rFonts w:cstheme="minorBidi"/>
        </w:rPr>
        <w:t>the P</w:t>
      </w:r>
      <w:r w:rsidRPr="488D6CF1">
        <w:rPr>
          <w:rFonts w:cstheme="minorBidi"/>
        </w:rPr>
        <w:t>roject preparation, performed a desk review of the technical designs and site visits to candidate roads (roads that did not have acceptable technical designs were excluded from the program); and (d) the M</w:t>
      </w:r>
      <w:r>
        <w:rPr>
          <w:rFonts w:cstheme="minorBidi"/>
        </w:rPr>
        <w:t>CT</w:t>
      </w:r>
      <w:r w:rsidRPr="488D6CF1">
        <w:rPr>
          <w:rFonts w:cstheme="minorBidi"/>
        </w:rPr>
        <w:t>I concluded that sample eligible for financing would have estimated cost of EUR 23 million.</w:t>
      </w:r>
    </w:p>
  </w:footnote>
  <w:footnote w:id="6">
    <w:p w14:paraId="34DD75D1" w14:textId="388C5C19" w:rsidR="00CF7D57" w:rsidRPr="00CE3131" w:rsidRDefault="00CF7D57" w:rsidP="00665F55">
      <w:pPr>
        <w:pStyle w:val="FootnoteText"/>
        <w:jc w:val="both"/>
      </w:pPr>
      <w:r>
        <w:rPr>
          <w:rStyle w:val="FootnoteReference"/>
        </w:rPr>
        <w:footnoteRef/>
      </w:r>
      <w:r>
        <w:t xml:space="preserve"> </w:t>
      </w:r>
      <w:r w:rsidRPr="00D31112">
        <w:t>The sample road sections are in fair, bad or very bad condition carrying on average 1,417 vehicles per day. The sample includes roads with approximate lengths between 1km and 30km and average traffic volumes of 1,000–4,000 vehicles per day (VPD) or less in the case of rural roads. On average, the roads have an average roughness of 11.7 IRI m/km, and the average vehicles speeds of cars is 22.4 km per hour. Active mobility infrastructure mainly envisages the building of new bicycle paths and sidewalks with LED lighting and necessary furniture. The total length of the pedestrian and cycle infrastructure evaluated is 97.42 km, subdivided into 22 projects. Disaster risk management interventions are focused on strengthening riverbeds along streams prone to flash floods.</w:t>
      </w:r>
    </w:p>
  </w:footnote>
  <w:footnote w:id="7">
    <w:p w14:paraId="537F6D7B" w14:textId="77777777" w:rsidR="00CF7D57" w:rsidRDefault="00CF7D57" w:rsidP="0079119F">
      <w:pPr>
        <w:pStyle w:val="FootnoteText"/>
      </w:pPr>
      <w:r>
        <w:rPr>
          <w:rStyle w:val="FootnoteReference"/>
        </w:rPr>
        <w:footnoteRef/>
      </w:r>
      <w:r>
        <w:t xml:space="preserve"> Sub-project level SEP</w:t>
      </w:r>
    </w:p>
  </w:footnote>
  <w:footnote w:id="8">
    <w:p w14:paraId="769A517B" w14:textId="5D6E4015" w:rsidR="00CF7D57" w:rsidRDefault="00CF7D57">
      <w:pPr>
        <w:pStyle w:val="FootnoteText"/>
      </w:pPr>
      <w:r>
        <w:rPr>
          <w:rStyle w:val="FootnoteReference"/>
        </w:rPr>
        <w:footnoteRef/>
      </w:r>
      <w:r>
        <w:t xml:space="preserve"> </w:t>
      </w:r>
      <w:r w:rsidRPr="003737AD">
        <w:t>https://biwta.portal.gov.bd/sites/default/files/files/biwta.portal.gov.bd/page/f3ca1ff6_95b0_4606_849f_2c0844e455bc/2020-10-01-11-04-717aa8e02835a7e778b2fff46f531a8c.pdf</w:t>
      </w:r>
    </w:p>
  </w:footnote>
  <w:footnote w:id="9">
    <w:p w14:paraId="63B7006D" w14:textId="124CD2D5" w:rsidR="00CF7D57" w:rsidRDefault="00CF7D57">
      <w:pPr>
        <w:pStyle w:val="FootnoteText"/>
      </w:pPr>
      <w:r>
        <w:rPr>
          <w:rStyle w:val="FootnoteReference"/>
        </w:rPr>
        <w:footnoteRef/>
      </w:r>
      <w:r>
        <w:t xml:space="preserve"> The ESA diagram imported form the ESMF adopted for the LIID Project</w:t>
      </w:r>
    </w:p>
  </w:footnote>
  <w:footnote w:id="10">
    <w:p w14:paraId="76EE79F5" w14:textId="32CB4899" w:rsidR="00CF7D57" w:rsidRDefault="00CF7D57">
      <w:pPr>
        <w:pStyle w:val="FootnoteText"/>
      </w:pPr>
      <w:r>
        <w:rPr>
          <w:rStyle w:val="FootnoteReference"/>
        </w:rPr>
        <w:footnoteRef/>
      </w:r>
      <w:r>
        <w:t xml:space="preserve"> </w:t>
      </w:r>
      <w:r w:rsidRPr="008F5AB0">
        <w:t>https://ebizprd.worldbank.org/wfa/ccloginpage.html</w:t>
      </w:r>
    </w:p>
  </w:footnote>
  <w:footnote w:id="11">
    <w:p w14:paraId="721FB993" w14:textId="77777777" w:rsidR="00CF7D57" w:rsidRPr="00596CBA" w:rsidRDefault="00CF7D57" w:rsidP="00EB32D1">
      <w:pPr>
        <w:pStyle w:val="FootnoteText"/>
      </w:pPr>
      <w:r>
        <w:rPr>
          <w:rStyle w:val="FootnoteReference"/>
        </w:rPr>
        <w:footnoteRef/>
      </w:r>
      <w:r>
        <w:t xml:space="preserve"> Per CFA </w:t>
      </w:r>
      <w:r w:rsidRPr="00BD208A">
        <w:t xml:space="preserve">means the date on which a Drawdown is made available by the </w:t>
      </w:r>
      <w:r>
        <w:t>AFD</w:t>
      </w:r>
      <w:r w:rsidRPr="00BD208A">
        <w:t>.</w:t>
      </w:r>
    </w:p>
  </w:footnote>
  <w:footnote w:id="12">
    <w:p w14:paraId="7C558C5B" w14:textId="0D8DB01C" w:rsidR="00273AF1" w:rsidRDefault="00273AF1">
      <w:pPr>
        <w:pStyle w:val="FootnoteText"/>
      </w:pPr>
      <w:r>
        <w:rPr>
          <w:rStyle w:val="FootnoteReference"/>
        </w:rPr>
        <w:footnoteRef/>
      </w:r>
      <w:r>
        <w:t xml:space="preserve"> The detailed budget breakdown is available in the Loan Agreement and CFA</w:t>
      </w:r>
    </w:p>
  </w:footnote>
  <w:footnote w:id="13">
    <w:p w14:paraId="461F2D65" w14:textId="22F66C4C" w:rsidR="00CF7D57" w:rsidRPr="00730E82" w:rsidRDefault="00CF7D57" w:rsidP="00EB32D1">
      <w:pPr>
        <w:pStyle w:val="FootnoteText"/>
        <w:rPr>
          <w:lang w:val="sr-Latn-CS"/>
        </w:rPr>
      </w:pPr>
      <w:r>
        <w:rPr>
          <w:rStyle w:val="FootnoteReference"/>
        </w:rPr>
        <w:footnoteRef/>
      </w:r>
      <w:r>
        <w:t xml:space="preserve"> </w:t>
      </w:r>
      <w:r>
        <w:rPr>
          <w:lang w:val="sr-Latn-CS"/>
        </w:rPr>
        <w:t>Directive on the Procedure and Control of Payment of Financial and Material Obligations, No 401-00-823/15-02, dated 25 September 2015</w:t>
      </w:r>
    </w:p>
  </w:footnote>
  <w:footnote w:id="14">
    <w:p w14:paraId="1F571D39" w14:textId="5F0D51CF" w:rsidR="00CF7D57" w:rsidRDefault="00CF7D57">
      <w:pPr>
        <w:pStyle w:val="FootnoteText"/>
      </w:pPr>
      <w:r>
        <w:rPr>
          <w:rStyle w:val="FootnoteReference"/>
        </w:rPr>
        <w:footnoteRef/>
      </w:r>
      <w:r>
        <w:t xml:space="preserve"> </w:t>
      </w:r>
      <w:r w:rsidRPr="008F5AB0">
        <w:t>https://thedocs.worldbank.org/en/doc/178331533065871195-0290022020/original/ProcurementRegulations.pdf</w:t>
      </w:r>
    </w:p>
  </w:footnote>
  <w:footnote w:id="15">
    <w:p w14:paraId="3CADB965" w14:textId="293A2362" w:rsidR="00CF7D57" w:rsidRDefault="00CF7D57">
      <w:pPr>
        <w:pStyle w:val="FootnoteText"/>
      </w:pPr>
      <w:r>
        <w:rPr>
          <w:rStyle w:val="FootnoteReference"/>
        </w:rPr>
        <w:footnoteRef/>
      </w:r>
      <w:r>
        <w:t xml:space="preserve"> </w:t>
      </w:r>
      <w:r w:rsidRPr="00F73A15">
        <w:t>https://ppfdocuments.azureedge.net/5498e1a3-51d8-4568-bafc-c4c64134dd04.pdf</w:t>
      </w:r>
    </w:p>
  </w:footnote>
  <w:footnote w:id="16">
    <w:p w14:paraId="488A642C" w14:textId="77777777" w:rsidR="00CF7D57" w:rsidRPr="009C3A5E" w:rsidRDefault="00CF7D57" w:rsidP="00665F55">
      <w:pPr>
        <w:pStyle w:val="FootnoteText"/>
        <w:jc w:val="both"/>
      </w:pPr>
      <w:r w:rsidRPr="009C3A5E">
        <w:rPr>
          <w:rStyle w:val="FootnoteReference"/>
        </w:rPr>
        <w:footnoteRef/>
      </w:r>
      <w:r w:rsidRPr="009C3A5E">
        <w:t xml:space="preserve"> Depending on the complexity of procurement activities, the auditor may consider involving technical experts during the audit engagement. In cases where such experts are involved, the auditor is expected to comply with provisions of </w:t>
      </w:r>
      <w:hyperlink r:id="rId1" w:history="1">
        <w:r w:rsidRPr="00596CBA">
          <w:t>International Standard on Auditing 620: Using the Work of an Expert</w:t>
        </w:r>
      </w:hyperlink>
      <w:r w:rsidRPr="00596CBA">
        <w:t>.</w:t>
      </w:r>
      <w:r w:rsidRPr="009C3A5E">
        <w:t xml:space="preserve"> Consideration to use of the work of experts should be brought to the early attention of the borrower and the World Bank for mutual agreement and appropriate guidance.</w:t>
      </w:r>
    </w:p>
  </w:footnote>
  <w:footnote w:id="17">
    <w:p w14:paraId="2BE7AA24" w14:textId="775087D7" w:rsidR="00CF7D57" w:rsidRDefault="00CF7D57">
      <w:pPr>
        <w:pStyle w:val="FootnoteText"/>
      </w:pPr>
      <w:r>
        <w:rPr>
          <w:rStyle w:val="FootnoteReference"/>
        </w:rPr>
        <w:footnoteRef/>
      </w:r>
      <w:r>
        <w:t xml:space="preserve"> </w:t>
      </w:r>
      <w:r w:rsidRPr="00D41282">
        <w:t>https://www.paragraf.rs/propisi/zakon_o_teritorijalnoj_organizaciji_republike_srbije.html</w:t>
      </w:r>
    </w:p>
  </w:footnote>
  <w:footnote w:id="18">
    <w:p w14:paraId="09782390" w14:textId="49EA90EC" w:rsidR="00CF7D57" w:rsidRDefault="00CF7D57">
      <w:pPr>
        <w:pStyle w:val="FootnoteText"/>
      </w:pPr>
      <w:r>
        <w:rPr>
          <w:rStyle w:val="FootnoteReference"/>
        </w:rPr>
        <w:footnoteRef/>
      </w:r>
      <w:r>
        <w:t xml:space="preserve"> </w:t>
      </w:r>
      <w:r w:rsidRPr="00D41282">
        <w:t>https://www.stat.gov.rs/sr-cyrl/publikacije/?d=2&amp;r=</w:t>
      </w:r>
    </w:p>
  </w:footnote>
  <w:footnote w:id="19">
    <w:p w14:paraId="699B6BF5" w14:textId="71295B79" w:rsidR="00CF7D57" w:rsidRDefault="00CF7D57">
      <w:pPr>
        <w:pStyle w:val="FootnoteText"/>
      </w:pPr>
      <w:r>
        <w:rPr>
          <w:rStyle w:val="FootnoteReference"/>
        </w:rPr>
        <w:footnoteRef/>
      </w:r>
      <w:r>
        <w:t xml:space="preserve"> </w:t>
      </w:r>
      <w:r w:rsidRPr="00D41282">
        <w:t>https://www.pravno-informacioni-sistem.rs/SlGlasnikPortal/eli/rep/sgrs/vlada/uredba/2014/104/1</w:t>
      </w:r>
    </w:p>
  </w:footnote>
  <w:footnote w:id="20">
    <w:p w14:paraId="64FBD688" w14:textId="0B29DC78" w:rsidR="00CF7D57" w:rsidRDefault="00CF7D57">
      <w:pPr>
        <w:pStyle w:val="FootnoteText"/>
      </w:pPr>
      <w:r>
        <w:rPr>
          <w:rStyle w:val="FootnoteReference"/>
        </w:rPr>
        <w:footnoteRef/>
      </w:r>
      <w:r>
        <w:t xml:space="preserve"> </w:t>
      </w:r>
      <w:r w:rsidRPr="00D41282">
        <w:t>https://thinkhazard.org/en/report/2648-serbia</w:t>
      </w:r>
    </w:p>
  </w:footnote>
  <w:footnote w:id="21">
    <w:p w14:paraId="5FC11EBF" w14:textId="77777777" w:rsidR="00CF7D57" w:rsidRPr="00AE7925" w:rsidRDefault="00CF7D57" w:rsidP="0004513D">
      <w:pPr>
        <w:pStyle w:val="FootnoteText"/>
        <w:ind w:left="142" w:hanging="142"/>
      </w:pPr>
      <w:r w:rsidRPr="00AE7925">
        <w:rPr>
          <w:rStyle w:val="FootnoteReference"/>
        </w:rPr>
        <w:footnoteRef/>
      </w:r>
      <w:r w:rsidRPr="00AE7925">
        <w:t xml:space="preserve"> This does not apply to project sponsors who are not substantially involved in these activities. "Not substantially involved" means that the activity concerned is ancillary to a project sponsor's primary operations.</w:t>
      </w:r>
    </w:p>
  </w:footnote>
  <w:footnote w:id="22">
    <w:p w14:paraId="0EC565D3" w14:textId="77777777" w:rsidR="00CF7D57" w:rsidRPr="00AE7925" w:rsidRDefault="00CF7D57" w:rsidP="0004513D">
      <w:pPr>
        <w:pStyle w:val="FootnoteText"/>
        <w:ind w:left="142" w:hanging="142"/>
      </w:pPr>
      <w:r w:rsidRPr="00AE7925">
        <w:rPr>
          <w:rStyle w:val="FootnoteReference"/>
        </w:rPr>
        <w:footnoteRef/>
      </w:r>
      <w:r w:rsidRPr="00AE7925">
        <w:t xml:space="preserve"> Forced labor means all work or service, not voluntarily performed, that is extracted from an individual under threat of force or penalty.</w:t>
      </w:r>
    </w:p>
  </w:footnote>
  <w:footnote w:id="23">
    <w:p w14:paraId="45DFFA5D" w14:textId="77777777" w:rsidR="00CF7D57" w:rsidRDefault="00CF7D57" w:rsidP="0004513D">
      <w:pPr>
        <w:pStyle w:val="FootnoteText"/>
        <w:ind w:left="142" w:hanging="142"/>
      </w:pPr>
      <w:r w:rsidRPr="00AE7925">
        <w:rPr>
          <w:rStyle w:val="FootnoteReference"/>
        </w:rPr>
        <w:footnoteRef/>
      </w:r>
      <w:r w:rsidRPr="00AE7925">
        <w:t xml:space="preserve"> Harmful child labor means the employment of children that is economically exploitive, or is likely to be hazardous to, or to interfere with, the child's education, or to be harmful to the child's health, or physical, mental, spiritual, moral, or social development.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CEE3B2" w14:textId="5AF792F0" w:rsidR="00CF7D57" w:rsidRPr="005628E1" w:rsidRDefault="00CF7D57" w:rsidP="005628E1">
    <w:pPr>
      <w:pStyle w:val="Header"/>
      <w:pBdr>
        <w:bottom w:val="none" w:sz="0" w:space="0" w:color="auto"/>
      </w:pBd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92A7B1" w14:textId="76301AEE" w:rsidR="00CF7D57" w:rsidRPr="002D62FD" w:rsidRDefault="003B7A19" w:rsidP="002D62FD">
    <w:pPr>
      <w:rPr>
        <w:rFonts w:ascii="Times New Roman" w:hAnsi="Times New Roman" w:cs="Times New Roman"/>
        <w:sz w:val="18"/>
        <w:szCs w:val="18"/>
      </w:rPr>
    </w:pPr>
    <w:sdt>
      <w:sdtPr>
        <w:rPr>
          <w:rFonts w:ascii="Times New Roman" w:hAnsi="Times New Roman" w:cs="Times New Roman"/>
          <w:sz w:val="18"/>
          <w:szCs w:val="18"/>
        </w:rPr>
        <w:alias w:val="Title"/>
        <w:id w:val="1981574021"/>
        <w:dataBinding w:prefixMappings="xmlns:ns0='http://schemas.openxmlformats.org/package/2006/metadata/core-properties' xmlns:ns1='http://purl.org/dc/elements/1.1/'" w:xpath="/ns0:coreProperties[1]/ns1:title[1]" w:storeItemID="{6C3C8BC8-F283-45AE-878A-BAB7291924A1}"/>
        <w:text/>
      </w:sdtPr>
      <w:sdtEndPr/>
      <w:sdtContent>
        <w:r w:rsidR="002E6E33" w:rsidRPr="006F115D">
          <w:rPr>
            <w:rFonts w:ascii="Times New Roman" w:hAnsi="Times New Roman" w:cs="Times New Roman"/>
            <w:sz w:val="18"/>
            <w:szCs w:val="18"/>
            <w:lang w:val="sr-Latn-RS"/>
          </w:rPr>
          <w:t>Serbia Local Infrastructure and Institutional Development Project (P174251)</w:t>
        </w:r>
      </w:sdtContent>
    </w:sdt>
    <w:r w:rsidR="002E6E33" w:rsidRPr="006F115D">
      <w:rPr>
        <w:rFonts w:ascii="Times New Roman" w:hAnsi="Times New Roman" w:cs="Times New Roman"/>
        <w:sz w:val="18"/>
        <w:szCs w:val="18"/>
      </w:rPr>
      <w:ptab w:relativeTo="margin" w:alignment="right" w:leader="none"/>
    </w:r>
    <w:sdt>
      <w:sdtPr>
        <w:rPr>
          <w:rFonts w:ascii="Times New Roman" w:hAnsi="Times New Roman" w:cs="Times New Roman"/>
          <w:sz w:val="18"/>
          <w:szCs w:val="18"/>
        </w:rPr>
        <w:alias w:val="Date"/>
        <w:id w:val="883758610"/>
        <w:dataBinding w:prefixMappings="xmlns:ns0='http://schemas.microsoft.com/office/2006/coverPageProps'" w:xpath="/ns0:CoverPageProperties[1]/ns0:PublishDate[1]" w:storeItemID="{55AF091B-3C7A-41E3-B477-F2FDAA23CFDA}"/>
        <w:date w:fullDate="2022-02-23T00:00:00Z">
          <w:dateFormat w:val="MMMM d, yyyy"/>
          <w:lid w:val="en-US"/>
          <w:storeMappedDataAs w:val="dateTime"/>
          <w:calendar w:val="gregorian"/>
        </w:date>
      </w:sdtPr>
      <w:sdtEndPr/>
      <w:sdtContent>
        <w:r w:rsidR="002E6E33">
          <w:rPr>
            <w:rFonts w:ascii="Times New Roman" w:hAnsi="Times New Roman" w:cs="Times New Roman"/>
            <w:sz w:val="18"/>
            <w:szCs w:val="18"/>
            <w:lang w:val="en-US"/>
          </w:rPr>
          <w:t>February 23, 2022</w:t>
        </w:r>
      </w:sdtContent>
    </w:sdt>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310EA3" w14:textId="77777777" w:rsidR="00CF7D57" w:rsidRDefault="00CF7D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912EE0" w14:textId="73A8772A" w:rsidR="00CF7D57" w:rsidRPr="001422F1" w:rsidRDefault="003B7A19" w:rsidP="00D01979">
    <w:pPr>
      <w:rPr>
        <w:rFonts w:ascii="Calibri" w:hAnsi="Calibri" w:cs="Calibri"/>
        <w:sz w:val="20"/>
        <w:szCs w:val="20"/>
        <w:lang w:val="en-US"/>
      </w:rPr>
    </w:pPr>
    <w:sdt>
      <w:sdtPr>
        <w:rPr>
          <w:rFonts w:ascii="Calibri" w:hAnsi="Calibri" w:cs="Calibri"/>
          <w:sz w:val="20"/>
          <w:szCs w:val="20"/>
        </w:rPr>
        <w:alias w:val="Title"/>
        <w:id w:val="-1655748885"/>
        <w:dataBinding w:prefixMappings="xmlns:ns0='http://schemas.openxmlformats.org/package/2006/metadata/core-properties' xmlns:ns1='http://purl.org/dc/elements/1.1/'" w:xpath="/ns0:coreProperties[1]/ns1:title[1]" w:storeItemID="{6C3C8BC8-F283-45AE-878A-BAB7291924A1}"/>
        <w:text/>
      </w:sdtPr>
      <w:sdtEndPr/>
      <w:sdtContent>
        <w:r w:rsidR="00CF7D57">
          <w:rPr>
            <w:rFonts w:ascii="Calibri" w:hAnsi="Calibri" w:cs="Calibri"/>
            <w:sz w:val="20"/>
            <w:szCs w:val="20"/>
            <w:lang w:val="sr-Latn-RS"/>
          </w:rPr>
          <w:t>Serbia Local Infrastructure and Institutional Development Project (P174251)</w:t>
        </w:r>
      </w:sdtContent>
    </w:sdt>
    <w:r w:rsidR="00CF7D57" w:rsidRPr="002241D4">
      <w:rPr>
        <w:rFonts w:ascii="Calibri" w:hAnsi="Calibri" w:cs="Calibri"/>
        <w:sz w:val="20"/>
        <w:szCs w:val="20"/>
      </w:rPr>
      <w:ptab w:relativeTo="margin" w:alignment="right" w:leader="none"/>
    </w:r>
    <w:sdt>
      <w:sdtPr>
        <w:rPr>
          <w:rFonts w:ascii="Calibri" w:hAnsi="Calibri" w:cs="Calibri"/>
          <w:sz w:val="20"/>
          <w:szCs w:val="20"/>
        </w:rPr>
        <w:alias w:val="Date"/>
        <w:id w:val="-226226348"/>
        <w:dataBinding w:prefixMappings="xmlns:ns0='http://schemas.microsoft.com/office/2006/coverPageProps'" w:xpath="/ns0:CoverPageProperties[1]/ns0:PublishDate[1]" w:storeItemID="{55AF091B-3C7A-41E3-B477-F2FDAA23CFDA}"/>
        <w:date w:fullDate="2022-02-23T00:00:00Z">
          <w:dateFormat w:val="MMMM d, yyyy"/>
          <w:lid w:val="en-US"/>
          <w:storeMappedDataAs w:val="dateTime"/>
          <w:calendar w:val="gregorian"/>
        </w:date>
      </w:sdtPr>
      <w:sdtEndPr/>
      <w:sdtContent>
        <w:r w:rsidR="00CF7D57">
          <w:rPr>
            <w:rFonts w:ascii="Calibri" w:hAnsi="Calibri" w:cs="Calibri"/>
            <w:sz w:val="20"/>
            <w:szCs w:val="20"/>
            <w:lang w:val="en-US"/>
          </w:rPr>
          <w:t>February 23, 2022</w:t>
        </w:r>
      </w:sdtContent>
    </w:sdt>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1" w:name="_Hlk90490745"/>
  <w:bookmarkStart w:id="2" w:name="_Hlk90490746"/>
  <w:bookmarkStart w:id="3" w:name="_Hlk90490747"/>
  <w:bookmarkStart w:id="4" w:name="_Hlk90490748"/>
  <w:p w14:paraId="3CF410CE" w14:textId="4622040D" w:rsidR="00CF7D57" w:rsidRPr="006F115D" w:rsidRDefault="003B7A19" w:rsidP="005628E1">
    <w:pPr>
      <w:rPr>
        <w:rFonts w:ascii="Times New Roman" w:hAnsi="Times New Roman" w:cs="Times New Roman"/>
        <w:sz w:val="18"/>
        <w:szCs w:val="18"/>
      </w:rPr>
    </w:pPr>
    <w:sdt>
      <w:sdtPr>
        <w:rPr>
          <w:rFonts w:ascii="Times New Roman" w:hAnsi="Times New Roman" w:cs="Times New Roman"/>
          <w:sz w:val="18"/>
          <w:szCs w:val="18"/>
        </w:rPr>
        <w:alias w:val="Title"/>
        <w:id w:val="-933899534"/>
        <w:dataBinding w:prefixMappings="xmlns:ns0='http://schemas.openxmlformats.org/package/2006/metadata/core-properties' xmlns:ns1='http://purl.org/dc/elements/1.1/'" w:xpath="/ns0:coreProperties[1]/ns1:title[1]" w:storeItemID="{6C3C8BC8-F283-45AE-878A-BAB7291924A1}"/>
        <w:text/>
      </w:sdtPr>
      <w:sdtEndPr/>
      <w:sdtContent>
        <w:r w:rsidR="00CF7D57" w:rsidRPr="006F115D">
          <w:rPr>
            <w:rFonts w:ascii="Times New Roman" w:hAnsi="Times New Roman" w:cs="Times New Roman"/>
            <w:sz w:val="18"/>
            <w:szCs w:val="18"/>
            <w:lang w:val="sr-Latn-RS"/>
          </w:rPr>
          <w:t>Serbia Local Infrastructure and Institutional Development Project (P174251)</w:t>
        </w:r>
      </w:sdtContent>
    </w:sdt>
    <w:r w:rsidR="00CF7D57" w:rsidRPr="006F115D">
      <w:rPr>
        <w:rFonts w:ascii="Times New Roman" w:hAnsi="Times New Roman" w:cs="Times New Roman"/>
        <w:sz w:val="18"/>
        <w:szCs w:val="18"/>
      </w:rPr>
      <w:ptab w:relativeTo="margin" w:alignment="right" w:leader="none"/>
    </w:r>
    <w:sdt>
      <w:sdtPr>
        <w:rPr>
          <w:rFonts w:ascii="Times New Roman" w:hAnsi="Times New Roman" w:cs="Times New Roman"/>
          <w:sz w:val="18"/>
          <w:szCs w:val="18"/>
        </w:rPr>
        <w:alias w:val="Date"/>
        <w:id w:val="-133482204"/>
        <w:dataBinding w:prefixMappings="xmlns:ns0='http://schemas.microsoft.com/office/2006/coverPageProps'" w:xpath="/ns0:CoverPageProperties[1]/ns0:PublishDate[1]" w:storeItemID="{55AF091B-3C7A-41E3-B477-F2FDAA23CFDA}"/>
        <w:date w:fullDate="2022-02-23T00:00:00Z">
          <w:dateFormat w:val="MMMM d, yyyy"/>
          <w:lid w:val="en-US"/>
          <w:storeMappedDataAs w:val="dateTime"/>
          <w:calendar w:val="gregorian"/>
        </w:date>
      </w:sdtPr>
      <w:sdtEndPr/>
      <w:sdtContent>
        <w:r w:rsidR="00CF7D57">
          <w:rPr>
            <w:rFonts w:ascii="Times New Roman" w:hAnsi="Times New Roman" w:cs="Times New Roman"/>
            <w:sz w:val="18"/>
            <w:szCs w:val="18"/>
            <w:lang w:val="en-US"/>
          </w:rPr>
          <w:t>February 23, 2022</w:t>
        </w:r>
      </w:sdtContent>
    </w:sdt>
    <w:bookmarkEnd w:id="1"/>
    <w:bookmarkEnd w:id="2"/>
    <w:bookmarkEnd w:id="3"/>
    <w:bookmarkEnd w:id="4"/>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AB0418" w14:textId="5DCE4CC0" w:rsidR="00CF7D57" w:rsidRPr="008E4F97" w:rsidRDefault="003B7A19" w:rsidP="002241D4">
    <w:pPr>
      <w:rPr>
        <w:rFonts w:ascii="Times New Roman" w:hAnsi="Times New Roman" w:cs="Times New Roman"/>
        <w:sz w:val="18"/>
        <w:szCs w:val="18"/>
      </w:rPr>
    </w:pPr>
    <w:sdt>
      <w:sdtPr>
        <w:rPr>
          <w:rFonts w:ascii="Times New Roman" w:hAnsi="Times New Roman" w:cs="Times New Roman"/>
          <w:sz w:val="18"/>
          <w:szCs w:val="18"/>
        </w:rPr>
        <w:alias w:val="Title"/>
        <w:id w:val="-2084361918"/>
        <w:dataBinding w:prefixMappings="xmlns:ns0='http://schemas.openxmlformats.org/package/2006/metadata/core-properties' xmlns:ns1='http://purl.org/dc/elements/1.1/'" w:xpath="/ns0:coreProperties[1]/ns1:title[1]" w:storeItemID="{6C3C8BC8-F283-45AE-878A-BAB7291924A1}"/>
        <w:text/>
      </w:sdtPr>
      <w:sdtEndPr/>
      <w:sdtContent>
        <w:r w:rsidR="00CF7D57">
          <w:rPr>
            <w:rFonts w:ascii="Times New Roman" w:hAnsi="Times New Roman" w:cs="Times New Roman"/>
            <w:sz w:val="18"/>
            <w:szCs w:val="18"/>
            <w:lang w:val="sr-Latn-RS"/>
          </w:rPr>
          <w:t>Serbia Local Infrastructure and Institutional Development Project (P174251)</w:t>
        </w:r>
      </w:sdtContent>
    </w:sdt>
    <w:r w:rsidR="00CF7D57" w:rsidRPr="008E4F97">
      <w:rPr>
        <w:rFonts w:ascii="Times New Roman" w:hAnsi="Times New Roman" w:cs="Times New Roman"/>
        <w:sz w:val="18"/>
        <w:szCs w:val="18"/>
      </w:rPr>
      <w:ptab w:relativeTo="margin" w:alignment="right" w:leader="none"/>
    </w:r>
    <w:sdt>
      <w:sdtPr>
        <w:rPr>
          <w:rFonts w:ascii="Times New Roman" w:hAnsi="Times New Roman" w:cs="Times New Roman"/>
          <w:sz w:val="18"/>
          <w:szCs w:val="18"/>
        </w:rPr>
        <w:alias w:val="Date"/>
        <w:id w:val="406809899"/>
        <w:dataBinding w:prefixMappings="xmlns:ns0='http://schemas.microsoft.com/office/2006/coverPageProps'" w:xpath="/ns0:CoverPageProperties[1]/ns0:PublishDate[1]" w:storeItemID="{55AF091B-3C7A-41E3-B477-F2FDAA23CFDA}"/>
        <w:date w:fullDate="2022-02-23T00:00:00Z">
          <w:dateFormat w:val="MMMM d, yyyy"/>
          <w:lid w:val="en-US"/>
          <w:storeMappedDataAs w:val="dateTime"/>
          <w:calendar w:val="gregorian"/>
        </w:date>
      </w:sdtPr>
      <w:sdtEndPr/>
      <w:sdtContent>
        <w:r w:rsidR="00CF7D57">
          <w:rPr>
            <w:rFonts w:ascii="Times New Roman" w:hAnsi="Times New Roman" w:cs="Times New Roman"/>
            <w:sz w:val="18"/>
            <w:szCs w:val="18"/>
            <w:lang w:val="en-US"/>
          </w:rPr>
          <w:t>February 23, 2022</w:t>
        </w:r>
      </w:sdtContent>
    </w:sdt>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456230" w14:textId="34496E76" w:rsidR="00CF7D57" w:rsidRPr="002C5B8B" w:rsidRDefault="003B7A19" w:rsidP="002C5B8B">
    <w:pPr>
      <w:rPr>
        <w:rFonts w:ascii="Times New Roman" w:hAnsi="Times New Roman" w:cs="Times New Roman"/>
        <w:sz w:val="18"/>
        <w:szCs w:val="18"/>
      </w:rPr>
    </w:pPr>
    <w:sdt>
      <w:sdtPr>
        <w:rPr>
          <w:rFonts w:ascii="Times New Roman" w:hAnsi="Times New Roman" w:cs="Times New Roman"/>
          <w:sz w:val="18"/>
          <w:szCs w:val="18"/>
        </w:rPr>
        <w:alias w:val="Title"/>
        <w:id w:val="-1739550510"/>
        <w:dataBinding w:prefixMappings="xmlns:ns0='http://schemas.openxmlformats.org/package/2006/metadata/core-properties' xmlns:ns1='http://purl.org/dc/elements/1.1/'" w:xpath="/ns0:coreProperties[1]/ns1:title[1]" w:storeItemID="{6C3C8BC8-F283-45AE-878A-BAB7291924A1}"/>
        <w:text/>
      </w:sdtPr>
      <w:sdtEndPr/>
      <w:sdtContent>
        <w:r w:rsidR="00CF7D57">
          <w:rPr>
            <w:rFonts w:ascii="Times New Roman" w:hAnsi="Times New Roman" w:cs="Times New Roman"/>
            <w:sz w:val="18"/>
            <w:szCs w:val="18"/>
            <w:lang w:val="sr-Latn-RS"/>
          </w:rPr>
          <w:t>Serbia Local Infrastructure and Institutional Development Project (P174251)</w:t>
        </w:r>
      </w:sdtContent>
    </w:sdt>
    <w:r w:rsidR="00CF7D57" w:rsidRPr="008E4F97">
      <w:rPr>
        <w:rFonts w:ascii="Times New Roman" w:hAnsi="Times New Roman" w:cs="Times New Roman"/>
        <w:sz w:val="18"/>
        <w:szCs w:val="18"/>
      </w:rPr>
      <w:ptab w:relativeTo="margin" w:alignment="right" w:leader="none"/>
    </w:r>
    <w:sdt>
      <w:sdtPr>
        <w:rPr>
          <w:rFonts w:ascii="Times New Roman" w:hAnsi="Times New Roman" w:cs="Times New Roman"/>
          <w:sz w:val="18"/>
          <w:szCs w:val="18"/>
        </w:rPr>
        <w:alias w:val="Date"/>
        <w:id w:val="353924100"/>
        <w:dataBinding w:prefixMappings="xmlns:ns0='http://schemas.microsoft.com/office/2006/coverPageProps'" w:xpath="/ns0:CoverPageProperties[1]/ns0:PublishDate[1]" w:storeItemID="{55AF091B-3C7A-41E3-B477-F2FDAA23CFDA}"/>
        <w:date w:fullDate="2022-02-23T00:00:00Z">
          <w:dateFormat w:val="MMMM d, yyyy"/>
          <w:lid w:val="en-US"/>
          <w:storeMappedDataAs w:val="dateTime"/>
          <w:calendar w:val="gregorian"/>
        </w:date>
      </w:sdtPr>
      <w:sdtEndPr/>
      <w:sdtContent>
        <w:r w:rsidR="00CF7D57">
          <w:rPr>
            <w:rFonts w:ascii="Times New Roman" w:hAnsi="Times New Roman" w:cs="Times New Roman"/>
            <w:sz w:val="18"/>
            <w:szCs w:val="18"/>
            <w:lang w:val="en-US"/>
          </w:rPr>
          <w:t>February 23, 2022</w:t>
        </w:r>
      </w:sdtContent>
    </w:sdt>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9C1D" w14:textId="77777777" w:rsidR="00CF7D57" w:rsidRDefault="00CF7D5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4D341" w14:textId="35CBF08B" w:rsidR="00CF7D57" w:rsidRPr="002D62FD" w:rsidRDefault="003B7A19" w:rsidP="002D62FD">
    <w:pPr>
      <w:rPr>
        <w:rFonts w:ascii="Times New Roman" w:hAnsi="Times New Roman" w:cs="Times New Roman"/>
        <w:sz w:val="18"/>
        <w:szCs w:val="18"/>
      </w:rPr>
    </w:pPr>
    <w:sdt>
      <w:sdtPr>
        <w:rPr>
          <w:rFonts w:ascii="Times New Roman" w:hAnsi="Times New Roman" w:cs="Times New Roman"/>
          <w:sz w:val="18"/>
          <w:szCs w:val="18"/>
        </w:rPr>
        <w:alias w:val="Title"/>
        <w:id w:val="889463367"/>
        <w:dataBinding w:prefixMappings="xmlns:ns0='http://schemas.openxmlformats.org/package/2006/metadata/core-properties' xmlns:ns1='http://purl.org/dc/elements/1.1/'" w:xpath="/ns0:coreProperties[1]/ns1:title[1]" w:storeItemID="{6C3C8BC8-F283-45AE-878A-BAB7291924A1}"/>
        <w:text/>
      </w:sdtPr>
      <w:sdtEndPr/>
      <w:sdtContent>
        <w:r w:rsidR="002E6E33" w:rsidRPr="006F115D">
          <w:rPr>
            <w:rFonts w:ascii="Times New Roman" w:hAnsi="Times New Roman" w:cs="Times New Roman"/>
            <w:sz w:val="18"/>
            <w:szCs w:val="18"/>
            <w:lang w:val="sr-Latn-RS"/>
          </w:rPr>
          <w:t>Serbia Local Infrastructure and Institutional Development Project (P174251)</w:t>
        </w:r>
      </w:sdtContent>
    </w:sdt>
    <w:r w:rsidR="002E6E33" w:rsidRPr="006F115D">
      <w:rPr>
        <w:rFonts w:ascii="Times New Roman" w:hAnsi="Times New Roman" w:cs="Times New Roman"/>
        <w:sz w:val="18"/>
        <w:szCs w:val="18"/>
      </w:rPr>
      <w:ptab w:relativeTo="margin" w:alignment="right" w:leader="none"/>
    </w:r>
    <w:sdt>
      <w:sdtPr>
        <w:rPr>
          <w:rFonts w:ascii="Times New Roman" w:hAnsi="Times New Roman" w:cs="Times New Roman"/>
          <w:sz w:val="18"/>
          <w:szCs w:val="18"/>
        </w:rPr>
        <w:alias w:val="Date"/>
        <w:id w:val="1544176006"/>
        <w:dataBinding w:prefixMappings="xmlns:ns0='http://schemas.microsoft.com/office/2006/coverPageProps'" w:xpath="/ns0:CoverPageProperties[1]/ns0:PublishDate[1]" w:storeItemID="{55AF091B-3C7A-41E3-B477-F2FDAA23CFDA}"/>
        <w:date w:fullDate="2022-02-23T00:00:00Z">
          <w:dateFormat w:val="MMMM d, yyyy"/>
          <w:lid w:val="en-US"/>
          <w:storeMappedDataAs w:val="dateTime"/>
          <w:calendar w:val="gregorian"/>
        </w:date>
      </w:sdtPr>
      <w:sdtEndPr/>
      <w:sdtContent>
        <w:r w:rsidR="002E6E33">
          <w:rPr>
            <w:rFonts w:ascii="Times New Roman" w:hAnsi="Times New Roman" w:cs="Times New Roman"/>
            <w:sz w:val="18"/>
            <w:szCs w:val="18"/>
            <w:lang w:val="en-US"/>
          </w:rPr>
          <w:t>February 23, 2022</w:t>
        </w:r>
      </w:sdtContent>
    </w:sdt>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EE354B" w14:textId="77777777" w:rsidR="00CF7D57" w:rsidRDefault="00CF7D5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3E3A44" w14:textId="77777777" w:rsidR="00CF7D57" w:rsidRDefault="00CF7D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28D4D9AE"/>
    <w:lvl w:ilvl="0">
      <w:start w:val="1"/>
      <w:numFmt w:val="decimal"/>
      <w:lvlText w:val="%1."/>
      <w:lvlJc w:val="left"/>
      <w:pPr>
        <w:tabs>
          <w:tab w:val="num" w:pos="1620"/>
        </w:tabs>
        <w:ind w:left="1620" w:firstLine="0"/>
      </w:pPr>
      <w:rPr>
        <w:rFonts w:ascii="Times New Roman" w:eastAsiaTheme="minorEastAsia" w:hAnsi="Times New Roman" w:cs="Times New Roman"/>
      </w:rPr>
    </w:lvl>
    <w:lvl w:ilvl="1">
      <w:start w:val="1"/>
      <w:numFmt w:val="decimal"/>
      <w:lvlText w:val="%1.%2."/>
      <w:lvlJc w:val="left"/>
      <w:pPr>
        <w:tabs>
          <w:tab w:val="num" w:pos="720"/>
        </w:tabs>
        <w:ind w:left="720" w:firstLine="0"/>
      </w:pPr>
    </w:lvl>
    <w:lvl w:ilvl="2">
      <w:start w:val="1"/>
      <w:numFmt w:val="decimal"/>
      <w:lvlText w:val="%1.%2.%3."/>
      <w:lvlJc w:val="left"/>
      <w:pPr>
        <w:tabs>
          <w:tab w:val="num" w:pos="1080"/>
        </w:tabs>
        <w:ind w:left="1080" w:firstLine="0"/>
      </w:pPr>
    </w:lvl>
    <w:lvl w:ilvl="3">
      <w:start w:val="1"/>
      <w:numFmt w:val="lowerLetter"/>
      <w:lvlText w:val="%4)"/>
      <w:lvlJc w:val="left"/>
      <w:pPr>
        <w:tabs>
          <w:tab w:val="num" w:pos="810"/>
        </w:tabs>
        <w:ind w:left="810" w:firstLine="0"/>
      </w:pPr>
    </w:lvl>
    <w:lvl w:ilvl="4">
      <w:start w:val="1"/>
      <w:numFmt w:val="decimal"/>
      <w:lvlText w:val="(%5)"/>
      <w:lvlJc w:val="left"/>
      <w:pPr>
        <w:tabs>
          <w:tab w:val="num" w:pos="3690"/>
        </w:tabs>
        <w:ind w:left="3690" w:firstLine="0"/>
      </w:pPr>
    </w:lvl>
    <w:lvl w:ilvl="5">
      <w:start w:val="1"/>
      <w:numFmt w:val="lowerLetter"/>
      <w:lvlText w:val="(%6)"/>
      <w:lvlJc w:val="left"/>
      <w:pPr>
        <w:tabs>
          <w:tab w:val="num" w:pos="4410"/>
        </w:tabs>
        <w:ind w:left="4410" w:firstLine="0"/>
      </w:pPr>
    </w:lvl>
    <w:lvl w:ilvl="6">
      <w:start w:val="1"/>
      <w:numFmt w:val="lowerRoman"/>
      <w:lvlText w:val="(%7)"/>
      <w:lvlJc w:val="left"/>
      <w:pPr>
        <w:tabs>
          <w:tab w:val="num" w:pos="5130"/>
        </w:tabs>
        <w:ind w:left="5130" w:firstLine="0"/>
      </w:pPr>
    </w:lvl>
    <w:lvl w:ilvl="7">
      <w:start w:val="1"/>
      <w:numFmt w:val="lowerLetter"/>
      <w:lvlText w:val="(%8)"/>
      <w:lvlJc w:val="left"/>
      <w:pPr>
        <w:tabs>
          <w:tab w:val="num" w:pos="5850"/>
        </w:tabs>
        <w:ind w:left="5850" w:firstLine="0"/>
      </w:pPr>
    </w:lvl>
    <w:lvl w:ilvl="8">
      <w:start w:val="1"/>
      <w:numFmt w:val="lowerRoman"/>
      <w:lvlText w:val="(%9)"/>
      <w:lvlJc w:val="left"/>
      <w:pPr>
        <w:tabs>
          <w:tab w:val="num" w:pos="6570"/>
        </w:tabs>
        <w:ind w:left="6570" w:firstLine="0"/>
      </w:pPr>
    </w:lvl>
  </w:abstractNum>
  <w:abstractNum w:abstractNumId="1" w15:restartNumberingAfterBreak="0">
    <w:nsid w:val="00000002"/>
    <w:multiLevelType w:val="multilevel"/>
    <w:tmpl w:val="00000002"/>
    <w:name w:val="Outline"/>
    <w:lvl w:ilvl="0">
      <w:start w:val="1"/>
      <w:numFmt w:val="decimal"/>
      <w:lvlText w:val="%1."/>
      <w:lvlJc w:val="left"/>
      <w:pPr>
        <w:tabs>
          <w:tab w:val="num" w:pos="600"/>
        </w:tabs>
        <w:ind w:left="600" w:firstLine="0"/>
      </w:pPr>
    </w:lvl>
    <w:lvl w:ilvl="1">
      <w:start w:val="1"/>
      <w:numFmt w:val="bullet"/>
      <w:lvlText w:val=""/>
      <w:lvlJc w:val="left"/>
      <w:pPr>
        <w:tabs>
          <w:tab w:val="num" w:pos="1500"/>
        </w:tabs>
        <w:ind w:left="1500" w:hanging="360"/>
      </w:pPr>
      <w:rPr>
        <w:rFonts w:ascii="Symbol" w:hAnsi="Symbol"/>
      </w:rPr>
    </w:lvl>
    <w:lvl w:ilvl="2">
      <w:start w:val="1"/>
      <w:numFmt w:val="lowerRoman"/>
      <w:lvlText w:val="(%3)"/>
      <w:lvlJc w:val="left"/>
      <w:pPr>
        <w:tabs>
          <w:tab w:val="num" w:pos="2400"/>
        </w:tabs>
        <w:ind w:left="2400" w:hanging="360"/>
      </w:pPr>
    </w:lvl>
    <w:lvl w:ilvl="3">
      <w:start w:val="1"/>
      <w:numFmt w:val="decimal"/>
      <w:lvlText w:val="%4."/>
      <w:lvlJc w:val="left"/>
      <w:pPr>
        <w:tabs>
          <w:tab w:val="num" w:pos="2940"/>
        </w:tabs>
        <w:ind w:left="2940" w:hanging="360"/>
      </w:pPr>
    </w:lvl>
    <w:lvl w:ilvl="4">
      <w:start w:val="1"/>
      <w:numFmt w:val="lowerLetter"/>
      <w:lvlText w:val="%5."/>
      <w:lvlJc w:val="left"/>
      <w:pPr>
        <w:tabs>
          <w:tab w:val="num" w:pos="3660"/>
        </w:tabs>
        <w:ind w:left="3660" w:hanging="360"/>
      </w:pPr>
    </w:lvl>
    <w:lvl w:ilvl="5">
      <w:start w:val="1"/>
      <w:numFmt w:val="lowerRoman"/>
      <w:lvlText w:val="%6."/>
      <w:lvlJc w:val="right"/>
      <w:pPr>
        <w:tabs>
          <w:tab w:val="num" w:pos="4380"/>
        </w:tabs>
        <w:ind w:left="4380" w:hanging="180"/>
      </w:pPr>
    </w:lvl>
    <w:lvl w:ilvl="6">
      <w:start w:val="1"/>
      <w:numFmt w:val="decimal"/>
      <w:lvlText w:val="%7."/>
      <w:lvlJc w:val="left"/>
      <w:pPr>
        <w:tabs>
          <w:tab w:val="num" w:pos="5100"/>
        </w:tabs>
        <w:ind w:left="5100" w:hanging="360"/>
      </w:pPr>
    </w:lvl>
    <w:lvl w:ilvl="7">
      <w:start w:val="1"/>
      <w:numFmt w:val="lowerLetter"/>
      <w:lvlText w:val="%8."/>
      <w:lvlJc w:val="left"/>
      <w:pPr>
        <w:tabs>
          <w:tab w:val="num" w:pos="5820"/>
        </w:tabs>
        <w:ind w:left="5820" w:hanging="360"/>
      </w:pPr>
    </w:lvl>
    <w:lvl w:ilvl="8">
      <w:start w:val="1"/>
      <w:numFmt w:val="lowerRoman"/>
      <w:lvlText w:val="%9."/>
      <w:lvlJc w:val="right"/>
      <w:pPr>
        <w:tabs>
          <w:tab w:val="num" w:pos="6540"/>
        </w:tabs>
        <w:ind w:left="6540" w:hanging="180"/>
      </w:pPr>
    </w:lvl>
  </w:abstractNum>
  <w:abstractNum w:abstractNumId="2" w15:restartNumberingAfterBreak="0">
    <w:nsid w:val="00000003"/>
    <w:multiLevelType w:val="singleLevel"/>
    <w:tmpl w:val="00000003"/>
    <w:name w:val="WW8Num2"/>
    <w:lvl w:ilvl="0">
      <w:start w:val="1"/>
      <w:numFmt w:val="bullet"/>
      <w:lvlText w:val=""/>
      <w:lvlJc w:val="left"/>
      <w:pPr>
        <w:tabs>
          <w:tab w:val="num" w:pos="360"/>
        </w:tabs>
        <w:ind w:left="360" w:hanging="360"/>
      </w:pPr>
      <w:rPr>
        <w:rFonts w:ascii="Symbol" w:hAnsi="Symbol"/>
      </w:rPr>
    </w:lvl>
  </w:abstractNum>
  <w:abstractNum w:abstractNumId="3" w15:restartNumberingAfterBreak="0">
    <w:nsid w:val="00000004"/>
    <w:multiLevelType w:val="singleLevel"/>
    <w:tmpl w:val="00000004"/>
    <w:name w:val="WW8Num3"/>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5"/>
    <w:multiLevelType w:val="multilevel"/>
    <w:tmpl w:val="00000005"/>
    <w:name w:val="WW8Num4"/>
    <w:lvl w:ilvl="0">
      <w:start w:val="1"/>
      <w:numFmt w:val="bullet"/>
      <w:pStyle w:val="Bullet1"/>
      <w:lvlText w:val=""/>
      <w:lvlJc w:val="left"/>
      <w:pPr>
        <w:tabs>
          <w:tab w:val="num" w:pos="1080"/>
        </w:tabs>
        <w:ind w:left="1080" w:hanging="360"/>
      </w:pPr>
      <w:rPr>
        <w:rFonts w:ascii="Wingdings" w:hAnsi="Wingdings" w:cs="Times New Roman"/>
      </w:rPr>
    </w:lvl>
    <w:lvl w:ilvl="1">
      <w:start w:val="1"/>
      <w:numFmt w:val="bullet"/>
      <w:lvlText w:val=""/>
      <w:lvlJc w:val="left"/>
      <w:pPr>
        <w:tabs>
          <w:tab w:val="num" w:pos="1440"/>
        </w:tabs>
        <w:ind w:left="1440" w:hanging="360"/>
      </w:pPr>
      <w:rPr>
        <w:rFonts w:ascii="Symbol" w:hAnsi="Symbol"/>
      </w:rPr>
    </w:lvl>
    <w:lvl w:ilvl="2">
      <w:start w:val="1"/>
      <w:numFmt w:val="bullet"/>
      <w:lvlText w:val=""/>
      <w:lvlJc w:val="left"/>
      <w:pPr>
        <w:tabs>
          <w:tab w:val="num" w:pos="2160"/>
        </w:tabs>
        <w:ind w:left="2160" w:hanging="360"/>
      </w:pPr>
      <w:rPr>
        <w:rFonts w:ascii="Wingdings" w:hAnsi="Wingding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Times New Roman"/>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Times New Roman"/>
      </w:rPr>
    </w:lvl>
  </w:abstractNum>
  <w:abstractNum w:abstractNumId="5" w15:restartNumberingAfterBreak="0">
    <w:nsid w:val="00000006"/>
    <w:multiLevelType w:val="singleLevel"/>
    <w:tmpl w:val="00000006"/>
    <w:name w:val="WW8Num5"/>
    <w:lvl w:ilvl="0">
      <w:start w:val="1"/>
      <w:numFmt w:val="bullet"/>
      <w:lvlText w:val=""/>
      <w:lvlJc w:val="left"/>
      <w:pPr>
        <w:tabs>
          <w:tab w:val="num" w:pos="360"/>
        </w:tabs>
        <w:ind w:left="360" w:hanging="360"/>
      </w:pPr>
      <w:rPr>
        <w:rFonts w:ascii="Symbol" w:hAnsi="Symbol"/>
      </w:rPr>
    </w:lvl>
  </w:abstractNum>
  <w:abstractNum w:abstractNumId="6" w15:restartNumberingAfterBreak="0">
    <w:nsid w:val="00000007"/>
    <w:multiLevelType w:val="singleLevel"/>
    <w:tmpl w:val="00000007"/>
    <w:name w:val="WW8Num6"/>
    <w:lvl w:ilvl="0">
      <w:start w:val="1"/>
      <w:numFmt w:val="lowerRoman"/>
      <w:pStyle w:val="Numbering"/>
      <w:lvlText w:val="%1."/>
      <w:lvlJc w:val="right"/>
      <w:pPr>
        <w:tabs>
          <w:tab w:val="num" w:pos="720"/>
        </w:tabs>
        <w:ind w:left="720" w:hanging="360"/>
      </w:pPr>
      <w:rPr>
        <w:rFonts w:ascii="Monotype Sorts" w:hAnsi="Monotype Sorts"/>
        <w:b/>
        <w:i w:val="0"/>
        <w:color w:val="6CBE50"/>
        <w:sz w:val="24"/>
      </w:rPr>
    </w:lvl>
  </w:abstractNum>
  <w:abstractNum w:abstractNumId="7" w15:restartNumberingAfterBreak="0">
    <w:nsid w:val="00000008"/>
    <w:multiLevelType w:val="singleLevel"/>
    <w:tmpl w:val="00000008"/>
    <w:name w:val="WW8Num7"/>
    <w:lvl w:ilvl="0">
      <w:start w:val="3"/>
      <w:numFmt w:val="bullet"/>
      <w:pStyle w:val="Bullets2"/>
      <w:lvlText w:val="•"/>
      <w:lvlJc w:val="left"/>
      <w:pPr>
        <w:tabs>
          <w:tab w:val="num" w:pos="720"/>
        </w:tabs>
        <w:ind w:left="720" w:hanging="360"/>
      </w:pPr>
      <w:rPr>
        <w:rFonts w:ascii="SymbolMT" w:hAnsi="SymbolMT" w:cs="Times New Roman"/>
        <w:b/>
        <w:bCs w:val="0"/>
        <w:i w:val="0"/>
        <w:iCs w:val="0"/>
        <w:caps w:val="0"/>
        <w:smallCaps w:val="0"/>
        <w:strike w:val="0"/>
        <w:dstrike w:val="0"/>
        <w:vanish w:val="0"/>
        <w:color w:val="000000"/>
        <w:spacing w:val="0"/>
        <w:kern w:val="1"/>
        <w:position w:val="0"/>
        <w:sz w:val="24"/>
        <w:u w:val="none"/>
        <w:vertAlign w:val="baseline"/>
        <w:em w:val="none"/>
        <w:lang w:val="x-none" w:eastAsia="x-none" w:bidi="x-no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0000000A"/>
    <w:multiLevelType w:val="singleLevel"/>
    <w:tmpl w:val="0000000A"/>
    <w:name w:val="WW8Num11"/>
    <w:lvl w:ilvl="0">
      <w:start w:val="1"/>
      <w:numFmt w:val="bullet"/>
      <w:lvlText w:val=""/>
      <w:lvlJc w:val="left"/>
      <w:pPr>
        <w:tabs>
          <w:tab w:val="num" w:pos="0"/>
        </w:tabs>
        <w:ind w:left="720" w:hanging="360"/>
      </w:pPr>
      <w:rPr>
        <w:rFonts w:ascii="Symbol" w:hAnsi="Symbol" w:cs="Symbol" w:hint="default"/>
      </w:rPr>
    </w:lvl>
  </w:abstractNum>
  <w:abstractNum w:abstractNumId="9" w15:restartNumberingAfterBreak="0">
    <w:nsid w:val="0000000B"/>
    <w:multiLevelType w:val="singleLevel"/>
    <w:tmpl w:val="0000000B"/>
    <w:name w:val="WW8Num13"/>
    <w:lvl w:ilvl="0">
      <w:start w:val="1"/>
      <w:numFmt w:val="bullet"/>
      <w:lvlText w:val=""/>
      <w:lvlJc w:val="left"/>
      <w:pPr>
        <w:tabs>
          <w:tab w:val="num" w:pos="0"/>
        </w:tabs>
        <w:ind w:left="720" w:hanging="360"/>
      </w:pPr>
      <w:rPr>
        <w:rFonts w:ascii="Symbol" w:hAnsi="Symbol" w:cs="Symbol" w:hint="default"/>
      </w:rPr>
    </w:lvl>
  </w:abstractNum>
  <w:abstractNum w:abstractNumId="10" w15:restartNumberingAfterBreak="0">
    <w:nsid w:val="0000000C"/>
    <w:multiLevelType w:val="singleLevel"/>
    <w:tmpl w:val="0000000C"/>
    <w:name w:val="WW8Num14"/>
    <w:lvl w:ilvl="0">
      <w:start w:val="1"/>
      <w:numFmt w:val="bullet"/>
      <w:lvlText w:val=""/>
      <w:lvlJc w:val="left"/>
      <w:pPr>
        <w:tabs>
          <w:tab w:val="num" w:pos="2693"/>
        </w:tabs>
        <w:ind w:left="2693" w:hanging="567"/>
      </w:pPr>
      <w:rPr>
        <w:rFonts w:ascii="Wingdings" w:hAnsi="Wingdings" w:cs="Wingdings" w:hint="default"/>
      </w:rPr>
    </w:lvl>
  </w:abstractNum>
  <w:abstractNum w:abstractNumId="11" w15:restartNumberingAfterBreak="0">
    <w:nsid w:val="0000000D"/>
    <w:multiLevelType w:val="singleLevel"/>
    <w:tmpl w:val="0000000D"/>
    <w:name w:val="WW8Num16"/>
    <w:lvl w:ilvl="0">
      <w:start w:val="1"/>
      <w:numFmt w:val="bullet"/>
      <w:lvlText w:val=""/>
      <w:lvlJc w:val="left"/>
      <w:pPr>
        <w:tabs>
          <w:tab w:val="num" w:pos="0"/>
        </w:tabs>
        <w:ind w:left="720" w:hanging="360"/>
      </w:pPr>
      <w:rPr>
        <w:rFonts w:ascii="Symbol" w:hAnsi="Symbol" w:cs="Symbol" w:hint="default"/>
      </w:rPr>
    </w:lvl>
  </w:abstractNum>
  <w:abstractNum w:abstractNumId="12" w15:restartNumberingAfterBreak="0">
    <w:nsid w:val="0000000E"/>
    <w:multiLevelType w:val="singleLevel"/>
    <w:tmpl w:val="0000000E"/>
    <w:name w:val="WW8Num18"/>
    <w:lvl w:ilvl="0">
      <w:start w:val="3"/>
      <w:numFmt w:val="bullet"/>
      <w:lvlText w:val="•"/>
      <w:lvlJc w:val="left"/>
      <w:pPr>
        <w:tabs>
          <w:tab w:val="num" w:pos="0"/>
        </w:tabs>
        <w:ind w:left="720" w:hanging="360"/>
      </w:pPr>
      <w:rPr>
        <w:rFonts w:ascii="SymbolMT" w:hAnsi="SymbolMT" w:cs="Times New Roman"/>
        <w:b/>
        <w:bCs w:val="0"/>
        <w:i w:val="0"/>
        <w:iCs w:val="0"/>
        <w:caps w:val="0"/>
        <w:smallCaps w:val="0"/>
        <w:strike w:val="0"/>
        <w:dstrike w:val="0"/>
        <w:vanish w:val="0"/>
        <w:color w:val="000000"/>
        <w:spacing w:val="0"/>
        <w:kern w:val="1"/>
        <w:position w:val="0"/>
        <w:sz w:val="24"/>
        <w:u w:val="none"/>
        <w:vertAlign w:val="baseline"/>
        <w:em w:val="none"/>
        <w:lang w:val="x-none" w:eastAsia="x-none" w:bidi="x-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00000010"/>
    <w:multiLevelType w:val="singleLevel"/>
    <w:tmpl w:val="00000010"/>
    <w:name w:val="WW8Num20"/>
    <w:lvl w:ilvl="0">
      <w:start w:val="1"/>
      <w:numFmt w:val="bullet"/>
      <w:lvlText w:val=""/>
      <w:lvlJc w:val="left"/>
      <w:pPr>
        <w:tabs>
          <w:tab w:val="num" w:pos="0"/>
        </w:tabs>
        <w:ind w:left="720" w:hanging="360"/>
      </w:pPr>
      <w:rPr>
        <w:rFonts w:ascii="Symbol" w:hAnsi="Symbol" w:cs="Symbol" w:hint="default"/>
      </w:rPr>
    </w:lvl>
  </w:abstractNum>
  <w:abstractNum w:abstractNumId="14" w15:restartNumberingAfterBreak="0">
    <w:nsid w:val="00000017"/>
    <w:multiLevelType w:val="singleLevel"/>
    <w:tmpl w:val="00000017"/>
    <w:name w:val="WW8Num27"/>
    <w:lvl w:ilvl="0">
      <w:start w:val="1"/>
      <w:numFmt w:val="bullet"/>
      <w:lvlText w:val=""/>
      <w:lvlJc w:val="left"/>
      <w:pPr>
        <w:tabs>
          <w:tab w:val="num" w:pos="0"/>
        </w:tabs>
        <w:ind w:left="720" w:hanging="360"/>
      </w:pPr>
      <w:rPr>
        <w:rFonts w:ascii="Symbol" w:hAnsi="Symbol" w:cs="Symbol" w:hint="default"/>
      </w:rPr>
    </w:lvl>
  </w:abstractNum>
  <w:abstractNum w:abstractNumId="15" w15:restartNumberingAfterBreak="0">
    <w:nsid w:val="00000018"/>
    <w:multiLevelType w:val="singleLevel"/>
    <w:tmpl w:val="00000018"/>
    <w:name w:val="WW8Num28"/>
    <w:lvl w:ilvl="0">
      <w:start w:val="1"/>
      <w:numFmt w:val="bullet"/>
      <w:lvlText w:val=""/>
      <w:lvlJc w:val="left"/>
      <w:pPr>
        <w:tabs>
          <w:tab w:val="num" w:pos="0"/>
        </w:tabs>
        <w:ind w:left="720" w:hanging="360"/>
      </w:pPr>
      <w:rPr>
        <w:rFonts w:ascii="Symbol" w:hAnsi="Symbol" w:cs="Symbol" w:hint="default"/>
      </w:rPr>
    </w:lvl>
  </w:abstractNum>
  <w:abstractNum w:abstractNumId="16" w15:restartNumberingAfterBreak="0">
    <w:nsid w:val="0000001A"/>
    <w:multiLevelType w:val="singleLevel"/>
    <w:tmpl w:val="0000001A"/>
    <w:name w:val="WW8Num30"/>
    <w:lvl w:ilvl="0">
      <w:start w:val="1"/>
      <w:numFmt w:val="decimal"/>
      <w:lvlText w:val="%1."/>
      <w:lvlJc w:val="left"/>
      <w:pPr>
        <w:tabs>
          <w:tab w:val="num" w:pos="0"/>
        </w:tabs>
        <w:ind w:left="717" w:hanging="360"/>
      </w:pPr>
      <w:rPr>
        <w:rFonts w:hint="default"/>
      </w:rPr>
    </w:lvl>
  </w:abstractNum>
  <w:abstractNum w:abstractNumId="17" w15:restartNumberingAfterBreak="0">
    <w:nsid w:val="00000045"/>
    <w:multiLevelType w:val="singleLevel"/>
    <w:tmpl w:val="00000045"/>
    <w:name w:val="WW8Num69"/>
    <w:lvl w:ilvl="0">
      <w:start w:val="1"/>
      <w:numFmt w:val="lowerLetter"/>
      <w:lvlText w:val="%1)"/>
      <w:lvlJc w:val="left"/>
      <w:pPr>
        <w:tabs>
          <w:tab w:val="num" w:pos="1080"/>
        </w:tabs>
        <w:ind w:left="1080" w:hanging="360"/>
      </w:pPr>
    </w:lvl>
  </w:abstractNum>
  <w:abstractNum w:abstractNumId="18" w15:restartNumberingAfterBreak="0">
    <w:nsid w:val="00000046"/>
    <w:multiLevelType w:val="singleLevel"/>
    <w:tmpl w:val="00000046"/>
    <w:name w:val="WW8Num70"/>
    <w:lvl w:ilvl="0">
      <w:start w:val="1"/>
      <w:numFmt w:val="lowerLetter"/>
      <w:lvlText w:val="%1)"/>
      <w:lvlJc w:val="left"/>
      <w:pPr>
        <w:tabs>
          <w:tab w:val="num" w:pos="1080"/>
        </w:tabs>
        <w:ind w:left="1080" w:hanging="360"/>
      </w:pPr>
    </w:lvl>
  </w:abstractNum>
  <w:abstractNum w:abstractNumId="19" w15:restartNumberingAfterBreak="0">
    <w:nsid w:val="00000048"/>
    <w:multiLevelType w:val="multilevel"/>
    <w:tmpl w:val="00000048"/>
    <w:name w:val="WW8Num72"/>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20" w15:restartNumberingAfterBreak="0">
    <w:nsid w:val="00000087"/>
    <w:multiLevelType w:val="multilevel"/>
    <w:tmpl w:val="00000087"/>
    <w:name w:val="WW8Num135"/>
    <w:lvl w:ilvl="0">
      <w:start w:val="1"/>
      <w:numFmt w:val="decimal"/>
      <w:lvlText w:val="%1."/>
      <w:lvlJc w:val="left"/>
      <w:pPr>
        <w:tabs>
          <w:tab w:val="num" w:pos="900"/>
        </w:tabs>
        <w:ind w:left="900" w:hanging="360"/>
      </w:pPr>
      <w:rPr>
        <w:rFonts w:ascii="Symbol" w:hAnsi="Symbol"/>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21" w15:restartNumberingAfterBreak="0">
    <w:nsid w:val="00000089"/>
    <w:multiLevelType w:val="singleLevel"/>
    <w:tmpl w:val="00000089"/>
    <w:name w:val="WW8Num137"/>
    <w:lvl w:ilvl="0">
      <w:start w:val="1"/>
      <w:numFmt w:val="bullet"/>
      <w:lvlText w:val=""/>
      <w:lvlJc w:val="left"/>
      <w:pPr>
        <w:tabs>
          <w:tab w:val="num" w:pos="720"/>
        </w:tabs>
        <w:ind w:left="720" w:hanging="360"/>
      </w:pPr>
      <w:rPr>
        <w:rFonts w:ascii="Symbol" w:hAnsi="Symbol"/>
        <w:sz w:val="16"/>
      </w:rPr>
    </w:lvl>
  </w:abstractNum>
  <w:abstractNum w:abstractNumId="22" w15:restartNumberingAfterBreak="0">
    <w:nsid w:val="0000008A"/>
    <w:multiLevelType w:val="singleLevel"/>
    <w:tmpl w:val="0000008A"/>
    <w:name w:val="WW8Num138"/>
    <w:lvl w:ilvl="0">
      <w:start w:val="1"/>
      <w:numFmt w:val="bullet"/>
      <w:lvlText w:val=""/>
      <w:lvlJc w:val="left"/>
      <w:pPr>
        <w:tabs>
          <w:tab w:val="num" w:pos="1146"/>
        </w:tabs>
        <w:ind w:left="1146" w:hanging="360"/>
      </w:pPr>
      <w:rPr>
        <w:rFonts w:ascii="Symbol" w:hAnsi="Symbol"/>
      </w:rPr>
    </w:lvl>
  </w:abstractNum>
  <w:abstractNum w:abstractNumId="23" w15:restartNumberingAfterBreak="0">
    <w:nsid w:val="00000094"/>
    <w:multiLevelType w:val="multilevel"/>
    <w:tmpl w:val="00000094"/>
    <w:name w:val="WW8Num14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24" w15:restartNumberingAfterBreak="0">
    <w:nsid w:val="00000096"/>
    <w:multiLevelType w:val="multilevel"/>
    <w:tmpl w:val="00000096"/>
    <w:name w:val="WW8Num150"/>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Wingdings 2" w:hAnsi="Wingdings 2" w:cs="Courier New"/>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cs="Times New Roman"/>
      </w:rPr>
    </w:lvl>
    <w:lvl w:ilvl="4">
      <w:start w:val="1"/>
      <w:numFmt w:val="bullet"/>
      <w:lvlText w:val=""/>
      <w:lvlJc w:val="left"/>
      <w:pPr>
        <w:tabs>
          <w:tab w:val="num" w:pos="2160"/>
        </w:tabs>
        <w:ind w:left="2160" w:hanging="360"/>
      </w:pPr>
      <w:rPr>
        <w:rFonts w:ascii="Wingdings 2" w:hAnsi="Wingdings 2" w:cs="Courier New"/>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cs="Times New Roman"/>
      </w:rPr>
    </w:lvl>
    <w:lvl w:ilvl="7">
      <w:start w:val="1"/>
      <w:numFmt w:val="bullet"/>
      <w:lvlText w:val=""/>
      <w:lvlJc w:val="left"/>
      <w:pPr>
        <w:tabs>
          <w:tab w:val="num" w:pos="3240"/>
        </w:tabs>
        <w:ind w:left="3240" w:hanging="360"/>
      </w:pPr>
      <w:rPr>
        <w:rFonts w:ascii="Wingdings 2" w:hAnsi="Wingdings 2" w:cs="Courier New"/>
      </w:rPr>
    </w:lvl>
    <w:lvl w:ilvl="8">
      <w:start w:val="1"/>
      <w:numFmt w:val="bullet"/>
      <w:lvlText w:val="■"/>
      <w:lvlJc w:val="left"/>
      <w:pPr>
        <w:tabs>
          <w:tab w:val="num" w:pos="3600"/>
        </w:tabs>
        <w:ind w:left="3600" w:hanging="360"/>
      </w:pPr>
      <w:rPr>
        <w:rFonts w:ascii="StarSymbol" w:hAnsi="StarSymbol"/>
      </w:rPr>
    </w:lvl>
  </w:abstractNum>
  <w:abstractNum w:abstractNumId="25" w15:restartNumberingAfterBreak="0">
    <w:nsid w:val="000000A1"/>
    <w:multiLevelType w:val="singleLevel"/>
    <w:tmpl w:val="000000A1"/>
    <w:name w:val="WW8Num161"/>
    <w:lvl w:ilvl="0">
      <w:start w:val="1"/>
      <w:numFmt w:val="bullet"/>
      <w:lvlText w:val="-"/>
      <w:lvlJc w:val="left"/>
      <w:pPr>
        <w:tabs>
          <w:tab w:val="num" w:pos="1080"/>
        </w:tabs>
        <w:ind w:left="1080" w:hanging="360"/>
      </w:pPr>
      <w:rPr>
        <w:rFonts w:ascii="Times New Roman" w:hAnsi="Times New Roman"/>
      </w:rPr>
    </w:lvl>
  </w:abstractNum>
  <w:abstractNum w:abstractNumId="26" w15:restartNumberingAfterBreak="0">
    <w:nsid w:val="000000A2"/>
    <w:multiLevelType w:val="singleLevel"/>
    <w:tmpl w:val="000000A2"/>
    <w:name w:val="WW8Num162"/>
    <w:lvl w:ilvl="0">
      <w:start w:val="1"/>
      <w:numFmt w:val="bullet"/>
      <w:lvlText w:val=""/>
      <w:lvlJc w:val="left"/>
      <w:pPr>
        <w:tabs>
          <w:tab w:val="num" w:pos="720"/>
        </w:tabs>
        <w:ind w:left="720" w:hanging="360"/>
      </w:pPr>
      <w:rPr>
        <w:rFonts w:ascii="Symbol" w:hAnsi="Symbol"/>
      </w:rPr>
    </w:lvl>
  </w:abstractNum>
  <w:abstractNum w:abstractNumId="27" w15:restartNumberingAfterBreak="0">
    <w:nsid w:val="000000AC"/>
    <w:multiLevelType w:val="singleLevel"/>
    <w:tmpl w:val="000000AC"/>
    <w:name w:val="WW8Num172"/>
    <w:lvl w:ilvl="0">
      <w:start w:val="1"/>
      <w:numFmt w:val="bullet"/>
      <w:lvlText w:val=""/>
      <w:lvlJc w:val="left"/>
      <w:pPr>
        <w:tabs>
          <w:tab w:val="num" w:pos="1080"/>
        </w:tabs>
        <w:ind w:left="1080" w:hanging="360"/>
      </w:pPr>
      <w:rPr>
        <w:rFonts w:ascii="Symbol" w:hAnsi="Symbol"/>
      </w:rPr>
    </w:lvl>
  </w:abstractNum>
  <w:abstractNum w:abstractNumId="28" w15:restartNumberingAfterBreak="0">
    <w:nsid w:val="000000AD"/>
    <w:multiLevelType w:val="multilevel"/>
    <w:tmpl w:val="000000AD"/>
    <w:name w:val="WW8Num17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cs="Courier New"/>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cs="Courier New"/>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cs="Courier New"/>
      </w:rPr>
    </w:lvl>
    <w:lvl w:ilvl="8">
      <w:start w:val="1"/>
      <w:numFmt w:val="bullet"/>
      <w:lvlText w:val="■"/>
      <w:lvlJc w:val="left"/>
      <w:pPr>
        <w:tabs>
          <w:tab w:val="num" w:pos="3600"/>
        </w:tabs>
        <w:ind w:left="3600" w:hanging="360"/>
      </w:pPr>
      <w:rPr>
        <w:rFonts w:ascii="StarSymbol" w:hAnsi="StarSymbol"/>
      </w:rPr>
    </w:lvl>
  </w:abstractNum>
  <w:abstractNum w:abstractNumId="29" w15:restartNumberingAfterBreak="0">
    <w:nsid w:val="000000B1"/>
    <w:multiLevelType w:val="singleLevel"/>
    <w:tmpl w:val="000000B1"/>
    <w:name w:val="WW8Num177"/>
    <w:lvl w:ilvl="0">
      <w:start w:val="1"/>
      <w:numFmt w:val="decimal"/>
      <w:lvlText w:val="%1."/>
      <w:lvlJc w:val="left"/>
      <w:pPr>
        <w:tabs>
          <w:tab w:val="num" w:pos="1800"/>
        </w:tabs>
        <w:ind w:left="1800" w:hanging="360"/>
      </w:pPr>
    </w:lvl>
  </w:abstractNum>
  <w:abstractNum w:abstractNumId="30" w15:restartNumberingAfterBreak="0">
    <w:nsid w:val="000000B3"/>
    <w:multiLevelType w:val="singleLevel"/>
    <w:tmpl w:val="000000B3"/>
    <w:name w:val="WW8Num179"/>
    <w:lvl w:ilvl="0">
      <w:start w:val="1"/>
      <w:numFmt w:val="bullet"/>
      <w:lvlText w:val=""/>
      <w:lvlJc w:val="left"/>
      <w:pPr>
        <w:tabs>
          <w:tab w:val="num" w:pos="1080"/>
        </w:tabs>
        <w:ind w:left="1080" w:hanging="360"/>
      </w:pPr>
      <w:rPr>
        <w:rFonts w:ascii="Symbol" w:hAnsi="Symbol"/>
      </w:rPr>
    </w:lvl>
  </w:abstractNum>
  <w:abstractNum w:abstractNumId="31" w15:restartNumberingAfterBreak="0">
    <w:nsid w:val="000000C9"/>
    <w:multiLevelType w:val="multilevel"/>
    <w:tmpl w:val="000000C9"/>
    <w:name w:val="WW8Num201"/>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15:restartNumberingAfterBreak="0">
    <w:nsid w:val="000000CD"/>
    <w:multiLevelType w:val="multilevel"/>
    <w:tmpl w:val="000000CD"/>
    <w:name w:val="WW8Num205"/>
    <w:lvl w:ilvl="0">
      <w:start w:val="1"/>
      <w:numFmt w:val="bullet"/>
      <w:lvlText w:val=""/>
      <w:lvlJc w:val="left"/>
      <w:pPr>
        <w:tabs>
          <w:tab w:val="num" w:pos="113"/>
        </w:tabs>
        <w:ind w:left="113" w:hanging="11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00000101"/>
    <w:multiLevelType w:val="multilevel"/>
    <w:tmpl w:val="00000101"/>
    <w:name w:val="WW8Num257"/>
    <w:lvl w:ilvl="0">
      <w:start w:val="1"/>
      <w:numFmt w:val="bullet"/>
      <w:lvlText w:val=""/>
      <w:lvlJc w:val="left"/>
      <w:pPr>
        <w:tabs>
          <w:tab w:val="num" w:pos="720"/>
        </w:tabs>
        <w:ind w:left="720" w:hanging="360"/>
      </w:pPr>
      <w:rPr>
        <w:rFonts w:ascii="Symbol" w:hAnsi="Symbo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15:restartNumberingAfterBreak="0">
    <w:nsid w:val="00000103"/>
    <w:multiLevelType w:val="multilevel"/>
    <w:tmpl w:val="00000103"/>
    <w:name w:val="WW8Num259"/>
    <w:lvl w:ilvl="0">
      <w:start w:val="1"/>
      <w:numFmt w:val="bullet"/>
      <w:lvlText w:val=""/>
      <w:lvlJc w:val="left"/>
      <w:pPr>
        <w:tabs>
          <w:tab w:val="num" w:pos="720"/>
        </w:tabs>
        <w:ind w:left="720" w:hanging="360"/>
      </w:pPr>
      <w:rPr>
        <w:rFonts w:ascii="Symbol" w:hAnsi="Symbol"/>
        <w:color w:val="00000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00000104"/>
    <w:multiLevelType w:val="multilevel"/>
    <w:tmpl w:val="00000104"/>
    <w:name w:val="WW8Num260"/>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00A72C7F"/>
    <w:multiLevelType w:val="hybridMultilevel"/>
    <w:tmpl w:val="0DDC0D7E"/>
    <w:lvl w:ilvl="0" w:tplc="67D0019E">
      <w:start w:val="1"/>
      <w:numFmt w:val="lowerLetter"/>
      <w:lvlText w:val="%1."/>
      <w:lvlJc w:val="left"/>
      <w:pPr>
        <w:ind w:left="360" w:hanging="360"/>
      </w:pPr>
      <w:rPr>
        <w:b/>
      </w:rPr>
    </w:lvl>
    <w:lvl w:ilvl="1" w:tplc="486854D4">
      <w:start w:val="1"/>
      <w:numFmt w:val="lowerLetter"/>
      <w:lvlText w:val="%2."/>
      <w:lvlJc w:val="left"/>
      <w:pPr>
        <w:ind w:left="1080" w:hanging="360"/>
      </w:pPr>
    </w:lvl>
    <w:lvl w:ilvl="2" w:tplc="A3883522">
      <w:start w:val="1"/>
      <w:numFmt w:val="lowerRoman"/>
      <w:lvlText w:val="(%3)"/>
      <w:lvlJc w:val="left"/>
      <w:pPr>
        <w:ind w:left="2340" w:hanging="720"/>
      </w:pPr>
      <w:rPr>
        <w:rFonts w:hint="default"/>
        <w:b w:val="0"/>
      </w:rPr>
    </w:lvl>
    <w:lvl w:ilvl="3" w:tplc="A2D40A0A" w:tentative="1">
      <w:start w:val="1"/>
      <w:numFmt w:val="decimal"/>
      <w:lvlText w:val="%4."/>
      <w:lvlJc w:val="left"/>
      <w:pPr>
        <w:ind w:left="2520" w:hanging="360"/>
      </w:pPr>
    </w:lvl>
    <w:lvl w:ilvl="4" w:tplc="84240012" w:tentative="1">
      <w:start w:val="1"/>
      <w:numFmt w:val="lowerLetter"/>
      <w:lvlText w:val="%5."/>
      <w:lvlJc w:val="left"/>
      <w:pPr>
        <w:ind w:left="3240" w:hanging="360"/>
      </w:pPr>
    </w:lvl>
    <w:lvl w:ilvl="5" w:tplc="2CFC3DFE" w:tentative="1">
      <w:start w:val="1"/>
      <w:numFmt w:val="lowerRoman"/>
      <w:lvlText w:val="%6."/>
      <w:lvlJc w:val="right"/>
      <w:pPr>
        <w:ind w:left="3960" w:hanging="180"/>
      </w:pPr>
    </w:lvl>
    <w:lvl w:ilvl="6" w:tplc="C40466F0" w:tentative="1">
      <w:start w:val="1"/>
      <w:numFmt w:val="decimal"/>
      <w:lvlText w:val="%7."/>
      <w:lvlJc w:val="left"/>
      <w:pPr>
        <w:ind w:left="4680" w:hanging="360"/>
      </w:pPr>
    </w:lvl>
    <w:lvl w:ilvl="7" w:tplc="77B4C9CC" w:tentative="1">
      <w:start w:val="1"/>
      <w:numFmt w:val="lowerLetter"/>
      <w:lvlText w:val="%8."/>
      <w:lvlJc w:val="left"/>
      <w:pPr>
        <w:ind w:left="5400" w:hanging="360"/>
      </w:pPr>
    </w:lvl>
    <w:lvl w:ilvl="8" w:tplc="0E320C2C" w:tentative="1">
      <w:start w:val="1"/>
      <w:numFmt w:val="lowerRoman"/>
      <w:lvlText w:val="%9."/>
      <w:lvlJc w:val="right"/>
      <w:pPr>
        <w:ind w:left="6120" w:hanging="180"/>
      </w:pPr>
    </w:lvl>
  </w:abstractNum>
  <w:abstractNum w:abstractNumId="37" w15:restartNumberingAfterBreak="0">
    <w:nsid w:val="00D76750"/>
    <w:multiLevelType w:val="hybridMultilevel"/>
    <w:tmpl w:val="7D42E6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00ED3C8E"/>
    <w:multiLevelType w:val="hybridMultilevel"/>
    <w:tmpl w:val="B406C2EA"/>
    <w:lvl w:ilvl="0" w:tplc="081A000F">
      <w:start w:val="1"/>
      <w:numFmt w:val="decimal"/>
      <w:lvlText w:val="%1."/>
      <w:lvlJc w:val="left"/>
      <w:pPr>
        <w:ind w:left="720" w:hanging="360"/>
      </w:pPr>
      <w:rPr>
        <w:rFont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9" w15:restartNumberingAfterBreak="0">
    <w:nsid w:val="01082B4E"/>
    <w:multiLevelType w:val="hybridMultilevel"/>
    <w:tmpl w:val="0D3CF4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016A00BC"/>
    <w:multiLevelType w:val="hybridMultilevel"/>
    <w:tmpl w:val="C48CCE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01CC309B"/>
    <w:multiLevelType w:val="hybridMultilevel"/>
    <w:tmpl w:val="9F8ADF34"/>
    <w:lvl w:ilvl="0" w:tplc="848C638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025C383C"/>
    <w:multiLevelType w:val="hybridMultilevel"/>
    <w:tmpl w:val="A566C44E"/>
    <w:lvl w:ilvl="0" w:tplc="8EBE8C28">
      <w:start w:val="1"/>
      <w:numFmt w:val="lowerRoman"/>
      <w:lvlText w:val="%1."/>
      <w:lvlJc w:val="left"/>
      <w:pPr>
        <w:ind w:left="1080" w:hanging="720"/>
      </w:pPr>
      <w:rPr>
        <w:rFonts w:ascii="Trebuchet MS" w:eastAsia="Times New Roman" w:hAnsi="Trebuchet M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3A75EC9"/>
    <w:multiLevelType w:val="hybridMultilevel"/>
    <w:tmpl w:val="2EC475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46C533F"/>
    <w:multiLevelType w:val="hybridMultilevel"/>
    <w:tmpl w:val="ED72CF6A"/>
    <w:lvl w:ilvl="0" w:tplc="B08A3D22">
      <w:start w:val="1"/>
      <w:numFmt w:val="decimal"/>
      <w:pStyle w:val="Numbered"/>
      <w:lvlText w:val="%1."/>
      <w:lvlJc w:val="left"/>
      <w:pPr>
        <w:ind w:left="360" w:hanging="360"/>
      </w:pPr>
      <w:rPr>
        <w:rFonts w:ascii="Times New Roman" w:hAnsi="Times New Roman" w:hint="default"/>
        <w:sz w:val="24"/>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4962E50"/>
    <w:multiLevelType w:val="hybridMultilevel"/>
    <w:tmpl w:val="F4609048"/>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8F728552">
      <w:numFmt w:val="bullet"/>
      <w:lvlText w:val="-"/>
      <w:lvlJc w:val="left"/>
      <w:pPr>
        <w:ind w:left="1440" w:hanging="360"/>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5C74344"/>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47" w15:restartNumberingAfterBreak="0">
    <w:nsid w:val="05C90EB7"/>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48" w15:restartNumberingAfterBreak="0">
    <w:nsid w:val="070038C9"/>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49" w15:restartNumberingAfterBreak="0">
    <w:nsid w:val="07102B4D"/>
    <w:multiLevelType w:val="hybridMultilevel"/>
    <w:tmpl w:val="9C505834"/>
    <w:lvl w:ilvl="0" w:tplc="E5A81F5A">
      <w:start w:val="1"/>
      <w:numFmt w:val="lowerRoman"/>
      <w:lvlText w:val="(%1)"/>
      <w:lvlJc w:val="right"/>
      <w:pPr>
        <w:ind w:left="720" w:hanging="360"/>
      </w:pPr>
      <w:rPr>
        <w:b/>
      </w:rPr>
    </w:lvl>
    <w:lvl w:ilvl="1" w:tplc="0F22FF54">
      <w:start w:val="1"/>
      <w:numFmt w:val="lowerRoman"/>
      <w:lvlText w:val="(%2)"/>
      <w:lvlJc w:val="left"/>
      <w:pPr>
        <w:ind w:left="1440" w:hanging="360"/>
      </w:pPr>
      <w:rPr>
        <w:rFonts w:hint="default"/>
      </w:rPr>
    </w:lvl>
    <w:lvl w:ilvl="2" w:tplc="D4BA92E8">
      <w:start w:val="1"/>
      <w:numFmt w:val="lowerRoman"/>
      <w:lvlText w:val="(%3)"/>
      <w:lvlJc w:val="left"/>
      <w:pPr>
        <w:ind w:left="2700" w:hanging="720"/>
      </w:pPr>
      <w:rPr>
        <w:rFonts w:hint="default"/>
        <w:b w:val="0"/>
      </w:rPr>
    </w:lvl>
    <w:lvl w:ilvl="3" w:tplc="6874B5E2">
      <w:start w:val="1"/>
      <w:numFmt w:val="lowerRoman"/>
      <w:lvlText w:val="%4."/>
      <w:lvlJc w:val="left"/>
      <w:pPr>
        <w:ind w:left="3240" w:hanging="720"/>
      </w:pPr>
      <w:rPr>
        <w:rFonts w:hint="default"/>
        <w:b w:val="0"/>
      </w:rPr>
    </w:lvl>
    <w:lvl w:ilvl="4" w:tplc="119A953A" w:tentative="1">
      <w:start w:val="1"/>
      <w:numFmt w:val="lowerLetter"/>
      <w:lvlText w:val="%5."/>
      <w:lvlJc w:val="left"/>
      <w:pPr>
        <w:ind w:left="3600" w:hanging="360"/>
      </w:pPr>
    </w:lvl>
    <w:lvl w:ilvl="5" w:tplc="72BC14F4" w:tentative="1">
      <w:start w:val="1"/>
      <w:numFmt w:val="lowerRoman"/>
      <w:lvlText w:val="%6."/>
      <w:lvlJc w:val="right"/>
      <w:pPr>
        <w:ind w:left="4320" w:hanging="180"/>
      </w:pPr>
    </w:lvl>
    <w:lvl w:ilvl="6" w:tplc="203045D2" w:tentative="1">
      <w:start w:val="1"/>
      <w:numFmt w:val="decimal"/>
      <w:lvlText w:val="%7."/>
      <w:lvlJc w:val="left"/>
      <w:pPr>
        <w:ind w:left="5040" w:hanging="360"/>
      </w:pPr>
    </w:lvl>
    <w:lvl w:ilvl="7" w:tplc="0A8AD5D6" w:tentative="1">
      <w:start w:val="1"/>
      <w:numFmt w:val="lowerLetter"/>
      <w:lvlText w:val="%8."/>
      <w:lvlJc w:val="left"/>
      <w:pPr>
        <w:ind w:left="5760" w:hanging="360"/>
      </w:pPr>
    </w:lvl>
    <w:lvl w:ilvl="8" w:tplc="E9E81126" w:tentative="1">
      <w:start w:val="1"/>
      <w:numFmt w:val="lowerRoman"/>
      <w:lvlText w:val="%9."/>
      <w:lvlJc w:val="right"/>
      <w:pPr>
        <w:ind w:left="6480" w:hanging="180"/>
      </w:pPr>
    </w:lvl>
  </w:abstractNum>
  <w:abstractNum w:abstractNumId="50" w15:restartNumberingAfterBreak="0">
    <w:nsid w:val="07BD1165"/>
    <w:multiLevelType w:val="multilevel"/>
    <w:tmpl w:val="1F2AE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07E6272C"/>
    <w:multiLevelType w:val="multilevel"/>
    <w:tmpl w:val="0D363C6A"/>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0876398F"/>
    <w:multiLevelType w:val="hybridMultilevel"/>
    <w:tmpl w:val="D9FA0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90C3146"/>
    <w:multiLevelType w:val="hybridMultilevel"/>
    <w:tmpl w:val="1B5CE6B0"/>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A466384"/>
    <w:multiLevelType w:val="hybridMultilevel"/>
    <w:tmpl w:val="096E25E4"/>
    <w:lvl w:ilvl="0" w:tplc="88362900">
      <w:start w:val="1"/>
      <w:numFmt w:val="bullet"/>
      <w:lvlText w:val=""/>
      <w:lvlJc w:val="left"/>
      <w:pPr>
        <w:tabs>
          <w:tab w:val="num" w:pos="794"/>
        </w:tabs>
        <w:ind w:left="794" w:hanging="43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0A964690"/>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56" w15:restartNumberingAfterBreak="0">
    <w:nsid w:val="0B224B76"/>
    <w:multiLevelType w:val="hybridMultilevel"/>
    <w:tmpl w:val="7F74E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0B7C3310"/>
    <w:multiLevelType w:val="hybridMultilevel"/>
    <w:tmpl w:val="E0467F3A"/>
    <w:lvl w:ilvl="0" w:tplc="77CEB380">
      <w:start w:val="1"/>
      <w:numFmt w:val="lowerRoman"/>
      <w:lvlText w:val="(%1)"/>
      <w:lvlJc w:val="left"/>
      <w:pPr>
        <w:ind w:left="1165" w:hanging="720"/>
      </w:pPr>
      <w:rPr>
        <w:rFonts w:hint="default"/>
      </w:rPr>
    </w:lvl>
    <w:lvl w:ilvl="1" w:tplc="04090019" w:tentative="1">
      <w:start w:val="1"/>
      <w:numFmt w:val="lowerLetter"/>
      <w:lvlText w:val="%2."/>
      <w:lvlJc w:val="left"/>
      <w:pPr>
        <w:ind w:left="1525" w:hanging="360"/>
      </w:pPr>
    </w:lvl>
    <w:lvl w:ilvl="2" w:tplc="0409001B" w:tentative="1">
      <w:start w:val="1"/>
      <w:numFmt w:val="lowerRoman"/>
      <w:lvlText w:val="%3."/>
      <w:lvlJc w:val="right"/>
      <w:pPr>
        <w:ind w:left="2245" w:hanging="180"/>
      </w:pPr>
    </w:lvl>
    <w:lvl w:ilvl="3" w:tplc="0409000F" w:tentative="1">
      <w:start w:val="1"/>
      <w:numFmt w:val="decimal"/>
      <w:lvlText w:val="%4."/>
      <w:lvlJc w:val="left"/>
      <w:pPr>
        <w:ind w:left="2965" w:hanging="360"/>
      </w:pPr>
    </w:lvl>
    <w:lvl w:ilvl="4" w:tplc="04090019" w:tentative="1">
      <w:start w:val="1"/>
      <w:numFmt w:val="lowerLetter"/>
      <w:lvlText w:val="%5."/>
      <w:lvlJc w:val="left"/>
      <w:pPr>
        <w:ind w:left="3685" w:hanging="360"/>
      </w:pPr>
    </w:lvl>
    <w:lvl w:ilvl="5" w:tplc="0409001B" w:tentative="1">
      <w:start w:val="1"/>
      <w:numFmt w:val="lowerRoman"/>
      <w:lvlText w:val="%6."/>
      <w:lvlJc w:val="right"/>
      <w:pPr>
        <w:ind w:left="4405" w:hanging="180"/>
      </w:pPr>
    </w:lvl>
    <w:lvl w:ilvl="6" w:tplc="0409000F" w:tentative="1">
      <w:start w:val="1"/>
      <w:numFmt w:val="decimal"/>
      <w:lvlText w:val="%7."/>
      <w:lvlJc w:val="left"/>
      <w:pPr>
        <w:ind w:left="5125" w:hanging="360"/>
      </w:pPr>
    </w:lvl>
    <w:lvl w:ilvl="7" w:tplc="04090019" w:tentative="1">
      <w:start w:val="1"/>
      <w:numFmt w:val="lowerLetter"/>
      <w:lvlText w:val="%8."/>
      <w:lvlJc w:val="left"/>
      <w:pPr>
        <w:ind w:left="5845" w:hanging="360"/>
      </w:pPr>
    </w:lvl>
    <w:lvl w:ilvl="8" w:tplc="0409001B" w:tentative="1">
      <w:start w:val="1"/>
      <w:numFmt w:val="lowerRoman"/>
      <w:lvlText w:val="%9."/>
      <w:lvlJc w:val="right"/>
      <w:pPr>
        <w:ind w:left="6565" w:hanging="180"/>
      </w:pPr>
    </w:lvl>
  </w:abstractNum>
  <w:abstractNum w:abstractNumId="58" w15:restartNumberingAfterBreak="0">
    <w:nsid w:val="0BA3208B"/>
    <w:multiLevelType w:val="multilevel"/>
    <w:tmpl w:val="338839AE"/>
    <w:lvl w:ilvl="0">
      <w:start w:val="1"/>
      <w:numFmt w:val="bullet"/>
      <w:lvlText w:val=""/>
      <w:lvlJc w:val="left"/>
      <w:pPr>
        <w:tabs>
          <w:tab w:val="num" w:pos="360"/>
        </w:tabs>
        <w:ind w:left="360" w:hanging="360"/>
      </w:pPr>
      <w:rPr>
        <w:rFonts w:ascii="Wingdings" w:hAnsi="Wingdings" w:hint="default"/>
        <w:sz w:val="20"/>
      </w:rPr>
    </w:lvl>
    <w:lvl w:ilvl="1">
      <w:start w:val="1"/>
      <w:numFmt w:val="lowerLetter"/>
      <w:lvlText w:val="%2)"/>
      <w:lvlJc w:val="left"/>
      <w:pPr>
        <w:ind w:left="1080" w:hanging="360"/>
      </w:pPr>
      <w:rPr>
        <w:rFonts w:hint="default"/>
      </w:rPr>
    </w:lvl>
    <w:lvl w:ilvl="2">
      <w:start w:val="1"/>
      <w:numFmt w:val="lowerRoman"/>
      <w:lvlText w:val="(%3)"/>
      <w:lvlJc w:val="left"/>
      <w:pPr>
        <w:ind w:left="2160" w:hanging="72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9" w15:restartNumberingAfterBreak="0">
    <w:nsid w:val="0BF325D9"/>
    <w:multiLevelType w:val="hybridMultilevel"/>
    <w:tmpl w:val="87D6C100"/>
    <w:lvl w:ilvl="0" w:tplc="0409000F">
      <w:start w:val="1"/>
      <w:numFmt w:val="decimal"/>
      <w:lvlText w:val="%1."/>
      <w:lvlJc w:val="left"/>
      <w:pPr>
        <w:ind w:left="612" w:hanging="360"/>
      </w:pPr>
      <w:rPr>
        <w:rFonts w:hint="default"/>
      </w:rPr>
    </w:lvl>
    <w:lvl w:ilvl="1" w:tplc="0409000F">
      <w:start w:val="1"/>
      <w:numFmt w:val="decimal"/>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60" w15:restartNumberingAfterBreak="0">
    <w:nsid w:val="0C166B3E"/>
    <w:multiLevelType w:val="hybridMultilevel"/>
    <w:tmpl w:val="6DDE3C1E"/>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C4D1914"/>
    <w:multiLevelType w:val="hybridMultilevel"/>
    <w:tmpl w:val="5F86F086"/>
    <w:lvl w:ilvl="0" w:tplc="05F6261E">
      <w:start w:val="1"/>
      <w:numFmt w:val="decimal"/>
      <w:pStyle w:val="Numberedparagraph"/>
      <w:lvlText w:val="%1."/>
      <w:lvlJc w:val="left"/>
      <w:pPr>
        <w:tabs>
          <w:tab w:val="num" w:pos="720"/>
        </w:tabs>
        <w:ind w:left="720" w:hanging="360"/>
      </w:pPr>
      <w:rPr>
        <w:rFonts w:ascii="Times New Roman" w:hAnsi="Times New Roman" w:cs="Times New Roman" w:hint="default"/>
        <w:b w:val="0"/>
        <w:i w:val="0"/>
        <w:color w:val="000000" w:themeColor="text1"/>
        <w:sz w:val="24"/>
        <w:szCs w:val="24"/>
      </w:rPr>
    </w:lvl>
    <w:lvl w:ilvl="1" w:tplc="EC58A2A8">
      <w:start w:val="1"/>
      <w:numFmt w:val="decimal"/>
      <w:lvlText w:val="(%2)"/>
      <w:lvlJc w:val="left"/>
      <w:pPr>
        <w:tabs>
          <w:tab w:val="num" w:pos="1440"/>
        </w:tabs>
        <w:ind w:left="1440" w:hanging="360"/>
      </w:pPr>
      <w:rPr>
        <w:rFonts w:hint="default"/>
        <w:b w:val="0"/>
        <w:i w:val="0"/>
      </w:r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0C7C2A0E"/>
    <w:multiLevelType w:val="hybridMultilevel"/>
    <w:tmpl w:val="27925E96"/>
    <w:lvl w:ilvl="0" w:tplc="0409000F">
      <w:start w:val="1"/>
      <w:numFmt w:val="decimal"/>
      <w:lvlText w:val="%1."/>
      <w:lvlJc w:val="left"/>
      <w:pPr>
        <w:ind w:left="612" w:hanging="360"/>
      </w:pPr>
      <w:rPr>
        <w:rFonts w:hint="default"/>
      </w:rPr>
    </w:lvl>
    <w:lvl w:ilvl="1" w:tplc="0409000F">
      <w:start w:val="1"/>
      <w:numFmt w:val="decimal"/>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63" w15:restartNumberingAfterBreak="0">
    <w:nsid w:val="0CF0781D"/>
    <w:multiLevelType w:val="hybridMultilevel"/>
    <w:tmpl w:val="94BEB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0D1E6212"/>
    <w:multiLevelType w:val="hybridMultilevel"/>
    <w:tmpl w:val="24F41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D4C58A6"/>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66" w15:restartNumberingAfterBreak="0">
    <w:nsid w:val="0DA81AB4"/>
    <w:multiLevelType w:val="hybridMultilevel"/>
    <w:tmpl w:val="1F3A489E"/>
    <w:lvl w:ilvl="0" w:tplc="0409000F">
      <w:numFmt w:val="bullet"/>
      <w:lvlText w:val="-"/>
      <w:lvlJc w:val="left"/>
      <w:pPr>
        <w:ind w:left="1440" w:hanging="360"/>
      </w:pPr>
      <w:rPr>
        <w:rFonts w:ascii="Arial" w:eastAsia="Times New Roman" w:hAnsi="Arial" w:cs="Arial" w:hint="default"/>
        <w:b/>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67" w15:restartNumberingAfterBreak="0">
    <w:nsid w:val="0DE23DD0"/>
    <w:multiLevelType w:val="hybridMultilevel"/>
    <w:tmpl w:val="E6840CA6"/>
    <w:lvl w:ilvl="0" w:tplc="02F8636E">
      <w:start w:val="1"/>
      <w:numFmt w:val="decimal"/>
      <w:pStyle w:val="Body"/>
      <w:lvlText w:val="%1."/>
      <w:lvlJc w:val="left"/>
      <w:pPr>
        <w:tabs>
          <w:tab w:val="num" w:pos="720"/>
        </w:tabs>
        <w:ind w:left="720" w:hanging="360"/>
      </w:pPr>
      <w:rPr>
        <w:rFonts w:hint="default"/>
        <w:b w:val="0"/>
        <w:i w:val="0"/>
      </w:rPr>
    </w:lvl>
    <w:lvl w:ilvl="1" w:tplc="B9740756">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0F160110"/>
    <w:multiLevelType w:val="hybridMultilevel"/>
    <w:tmpl w:val="6DEC9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0F3B7121"/>
    <w:multiLevelType w:val="hybridMultilevel"/>
    <w:tmpl w:val="796C7F9C"/>
    <w:lvl w:ilvl="0" w:tplc="0409000F">
      <w:start w:val="1"/>
      <w:numFmt w:val="decimal"/>
      <w:lvlText w:val="%1."/>
      <w:lvlJc w:val="left"/>
      <w:pPr>
        <w:ind w:left="61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0F9623E5"/>
    <w:multiLevelType w:val="hybridMultilevel"/>
    <w:tmpl w:val="75804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0C91FD1"/>
    <w:multiLevelType w:val="hybridMultilevel"/>
    <w:tmpl w:val="2DA20C2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1D30B6B"/>
    <w:multiLevelType w:val="hybridMultilevel"/>
    <w:tmpl w:val="867EF8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1298108F"/>
    <w:multiLevelType w:val="hybridMultilevel"/>
    <w:tmpl w:val="D6E6BB26"/>
    <w:lvl w:ilvl="0" w:tplc="04090017">
      <w:start w:val="1"/>
      <w:numFmt w:val="lowerLetter"/>
      <w:lvlText w:val="%1)"/>
      <w:lvlJc w:val="left"/>
      <w:pPr>
        <w:ind w:left="1080" w:hanging="360"/>
      </w:p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abstractNum w:abstractNumId="74" w15:restartNumberingAfterBreak="0">
    <w:nsid w:val="12B6167B"/>
    <w:multiLevelType w:val="hybridMultilevel"/>
    <w:tmpl w:val="2A242446"/>
    <w:lvl w:ilvl="0" w:tplc="160C17D2">
      <w:start w:val="1"/>
      <w:numFmt w:val="decimal"/>
      <w:lvlText w:val="%1."/>
      <w:lvlJc w:val="left"/>
      <w:pPr>
        <w:tabs>
          <w:tab w:val="num" w:pos="720"/>
        </w:tabs>
        <w:ind w:left="720" w:hanging="360"/>
      </w:pPr>
      <w:rPr>
        <w:rFonts w:ascii="Garamond" w:hAnsi="Garamond" w:cs="Times New Roman" w:hint="default"/>
        <w:i w:val="0"/>
        <w:color w:val="auto"/>
        <w:sz w:val="24"/>
        <w:szCs w:val="24"/>
      </w:rPr>
    </w:lvl>
    <w:lvl w:ilvl="1" w:tplc="04090001">
      <w:start w:val="1"/>
      <w:numFmt w:val="bullet"/>
      <w:lvlText w:val=""/>
      <w:lvlJc w:val="left"/>
      <w:pPr>
        <w:tabs>
          <w:tab w:val="num" w:pos="810"/>
        </w:tabs>
        <w:ind w:left="810" w:hanging="360"/>
      </w:pPr>
      <w:rPr>
        <w:rFonts w:ascii="Symbol" w:hAnsi="Symbol" w:hint="default"/>
        <w:i w:val="0"/>
        <w:color w:val="auto"/>
        <w:sz w:val="24"/>
        <w:szCs w:val="24"/>
      </w:rPr>
    </w:lvl>
    <w:lvl w:ilvl="2" w:tplc="04090003">
      <w:start w:val="1"/>
      <w:numFmt w:val="bullet"/>
      <w:lvlText w:val="o"/>
      <w:lvlJc w:val="left"/>
      <w:pPr>
        <w:tabs>
          <w:tab w:val="num" w:pos="2340"/>
        </w:tabs>
        <w:ind w:left="2340" w:hanging="360"/>
      </w:pPr>
      <w:rPr>
        <w:rFonts w:ascii="Courier New" w:hAnsi="Courier New" w:cs="Wingdings" w:hint="default"/>
        <w:sz w:val="24"/>
        <w:szCs w:val="24"/>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130C5AEA"/>
    <w:multiLevelType w:val="multilevel"/>
    <w:tmpl w:val="AF7CC58E"/>
    <w:lvl w:ilvl="0">
      <w:start w:val="1"/>
      <w:numFmt w:val="decimal"/>
      <w:isLgl/>
      <w:lvlText w:val="%1."/>
      <w:lvlJc w:val="left"/>
      <w:pPr>
        <w:tabs>
          <w:tab w:val="num" w:pos="432"/>
        </w:tabs>
        <w:ind w:left="432" w:hanging="432"/>
      </w:pPr>
      <w:rPr>
        <w:rFonts w:hint="default"/>
        <w:b/>
        <w:i w:val="0"/>
        <w:sz w:val="24"/>
        <w:szCs w:val="24"/>
      </w:rPr>
    </w:lvl>
    <w:lvl w:ilvl="1">
      <w:start w:val="1"/>
      <w:numFmt w:val="decimal"/>
      <w:lvlText w:val="%1.%2"/>
      <w:lvlJc w:val="left"/>
      <w:pPr>
        <w:tabs>
          <w:tab w:val="num" w:pos="1404"/>
        </w:tabs>
        <w:ind w:left="1404" w:hanging="504"/>
      </w:pPr>
      <w:rPr>
        <w:rFonts w:hint="default"/>
        <w:b w:val="0"/>
        <w:i w:val="0"/>
        <w:strike w:val="0"/>
        <w:sz w:val="24"/>
        <w:szCs w:val="24"/>
      </w:rPr>
    </w:lvl>
    <w:lvl w:ilvl="2">
      <w:start w:val="1"/>
      <w:numFmt w:val="lowerLetter"/>
      <w:lvlText w:val="(%3)"/>
      <w:lvlJc w:val="left"/>
      <w:pPr>
        <w:tabs>
          <w:tab w:val="num" w:pos="1069"/>
        </w:tabs>
        <w:ind w:left="1069"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13880FA8"/>
    <w:multiLevelType w:val="multilevel"/>
    <w:tmpl w:val="9B9C298C"/>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77" w15:restartNumberingAfterBreak="0">
    <w:nsid w:val="13B8344B"/>
    <w:multiLevelType w:val="multilevel"/>
    <w:tmpl w:val="51E8B082"/>
    <w:lvl w:ilvl="0">
      <w:start w:val="7"/>
      <w:numFmt w:val="decimal"/>
      <w:lvlText w:val="%1"/>
      <w:lvlJc w:val="left"/>
      <w:pPr>
        <w:ind w:left="2045" w:hanging="635"/>
      </w:pPr>
      <w:rPr>
        <w:rFonts w:hint="default"/>
      </w:rPr>
    </w:lvl>
    <w:lvl w:ilvl="1">
      <w:start w:val="1"/>
      <w:numFmt w:val="decimal"/>
      <w:lvlText w:val="%1.%2"/>
      <w:lvlJc w:val="left"/>
      <w:pPr>
        <w:ind w:left="2045" w:hanging="635"/>
        <w:jc w:val="right"/>
      </w:pPr>
      <w:rPr>
        <w:rFonts w:ascii="Calibri" w:eastAsia="Calibri" w:hAnsi="Calibri" w:hint="default"/>
        <w:sz w:val="22"/>
        <w:szCs w:val="22"/>
      </w:rPr>
    </w:lvl>
    <w:lvl w:ilvl="2">
      <w:start w:val="1"/>
      <w:numFmt w:val="lowerLetter"/>
      <w:lvlText w:val="%3."/>
      <w:lvlJc w:val="left"/>
      <w:pPr>
        <w:ind w:left="1417" w:hanging="360"/>
      </w:pPr>
      <w:rPr>
        <w:rFonts w:ascii="Calibri" w:eastAsia="Calibri" w:hAnsi="Calibri" w:hint="default"/>
        <w:sz w:val="22"/>
        <w:szCs w:val="22"/>
      </w:rPr>
    </w:lvl>
    <w:lvl w:ilvl="3">
      <w:start w:val="1"/>
      <w:numFmt w:val="decimal"/>
      <w:lvlText w:val="%4."/>
      <w:lvlJc w:val="left"/>
      <w:pPr>
        <w:ind w:left="2044" w:hanging="634"/>
      </w:pPr>
      <w:rPr>
        <w:rFonts w:ascii="Calibri" w:eastAsia="Calibri" w:hAnsi="Calibri" w:hint="default"/>
        <w:b/>
        <w:bCs/>
        <w:color w:val="C45911"/>
        <w:w w:val="99"/>
        <w:sz w:val="32"/>
        <w:szCs w:val="32"/>
      </w:rPr>
    </w:lvl>
    <w:lvl w:ilvl="4">
      <w:start w:val="1"/>
      <w:numFmt w:val="decimal"/>
      <w:lvlText w:val="%4.%5"/>
      <w:lvlJc w:val="left"/>
      <w:pPr>
        <w:ind w:left="2041" w:hanging="631"/>
      </w:pPr>
      <w:rPr>
        <w:rFonts w:ascii="Calibri" w:eastAsia="Calibri" w:hAnsi="Calibri" w:hint="default"/>
        <w:sz w:val="22"/>
        <w:szCs w:val="22"/>
      </w:rPr>
    </w:lvl>
    <w:lvl w:ilvl="5">
      <w:start w:val="1"/>
      <w:numFmt w:val="bullet"/>
      <w:lvlText w:val="•"/>
      <w:lvlJc w:val="left"/>
      <w:pPr>
        <w:ind w:left="2044" w:hanging="631"/>
      </w:pPr>
      <w:rPr>
        <w:rFonts w:hint="default"/>
      </w:rPr>
    </w:lvl>
    <w:lvl w:ilvl="6">
      <w:start w:val="1"/>
      <w:numFmt w:val="bullet"/>
      <w:lvlText w:val="•"/>
      <w:lvlJc w:val="left"/>
      <w:pPr>
        <w:ind w:left="2045" w:hanging="631"/>
      </w:pPr>
      <w:rPr>
        <w:rFonts w:hint="default"/>
      </w:rPr>
    </w:lvl>
    <w:lvl w:ilvl="7">
      <w:start w:val="1"/>
      <w:numFmt w:val="bullet"/>
      <w:lvlText w:val="•"/>
      <w:lvlJc w:val="left"/>
      <w:pPr>
        <w:ind w:left="3953" w:hanging="631"/>
      </w:pPr>
      <w:rPr>
        <w:rFonts w:hint="default"/>
      </w:rPr>
    </w:lvl>
    <w:lvl w:ilvl="8">
      <w:start w:val="1"/>
      <w:numFmt w:val="bullet"/>
      <w:lvlText w:val="•"/>
      <w:lvlJc w:val="left"/>
      <w:pPr>
        <w:ind w:left="5862" w:hanging="631"/>
      </w:pPr>
      <w:rPr>
        <w:rFonts w:hint="default"/>
      </w:rPr>
    </w:lvl>
  </w:abstractNum>
  <w:abstractNum w:abstractNumId="78" w15:restartNumberingAfterBreak="0">
    <w:nsid w:val="13E14E9F"/>
    <w:multiLevelType w:val="hybridMultilevel"/>
    <w:tmpl w:val="BEC05326"/>
    <w:lvl w:ilvl="0" w:tplc="08090001">
      <w:start w:val="1"/>
      <w:numFmt w:val="bullet"/>
      <w:lvlText w:val=""/>
      <w:lvlJc w:val="left"/>
      <w:pPr>
        <w:ind w:left="363" w:hanging="360"/>
      </w:pPr>
      <w:rPr>
        <w:rFonts w:ascii="Symbol" w:hAnsi="Symbol" w:hint="default"/>
      </w:rPr>
    </w:lvl>
    <w:lvl w:ilvl="1" w:tplc="08090003">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79" w15:restartNumberingAfterBreak="0">
    <w:nsid w:val="13F560D9"/>
    <w:multiLevelType w:val="hybridMultilevel"/>
    <w:tmpl w:val="8E582EF4"/>
    <w:lvl w:ilvl="0" w:tplc="C0BA131E">
      <w:start w:val="1"/>
      <w:numFmt w:val="bullet"/>
      <w:lvlText w:val=""/>
      <w:lvlJc w:val="left"/>
      <w:pPr>
        <w:ind w:left="720" w:hanging="360"/>
      </w:pPr>
      <w:rPr>
        <w:rFonts w:ascii="Symbol" w:hAnsi="Symbol" w:hint="default"/>
        <w:color w:val="auto"/>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80" w15:restartNumberingAfterBreak="0">
    <w:nsid w:val="147D34BF"/>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81"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2422" w:hanging="720"/>
      </w:pPr>
    </w:lvl>
    <w:lvl w:ilvl="3">
      <w:start w:val="1"/>
      <w:numFmt w:val="decimal"/>
      <w:lvlText w:val="%1.%2.%3.%4"/>
      <w:lvlJc w:val="left"/>
      <w:pPr>
        <w:ind w:left="1999"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2" w15:restartNumberingAfterBreak="0">
    <w:nsid w:val="14B51175"/>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83" w15:restartNumberingAfterBreak="0">
    <w:nsid w:val="15E22158"/>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84" w15:restartNumberingAfterBreak="0">
    <w:nsid w:val="16A2056F"/>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85" w15:restartNumberingAfterBreak="0">
    <w:nsid w:val="16C95017"/>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86" w15:restartNumberingAfterBreak="0">
    <w:nsid w:val="16EC7F1B"/>
    <w:multiLevelType w:val="hybridMultilevel"/>
    <w:tmpl w:val="F5707646"/>
    <w:lvl w:ilvl="0" w:tplc="F9FCF758">
      <w:start w:val="1"/>
      <w:numFmt w:val="bullet"/>
      <w:lvlText w:val=""/>
      <w:lvlJc w:val="left"/>
      <w:pPr>
        <w:ind w:left="720" w:hanging="360"/>
      </w:pPr>
      <w:rPr>
        <w:rFonts w:ascii="Wingdings" w:hAnsi="Wingdings" w:hint="default"/>
        <w:color w:val="31849B" w:themeColor="accent5" w:themeShade="B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7537723"/>
    <w:multiLevelType w:val="hybridMultilevel"/>
    <w:tmpl w:val="EE224592"/>
    <w:lvl w:ilvl="0" w:tplc="7A1CEAB0">
      <w:start w:val="876"/>
      <w:numFmt w:val="bullet"/>
      <w:lvlText w:val="-"/>
      <w:lvlJc w:val="left"/>
      <w:pPr>
        <w:ind w:left="720" w:hanging="360"/>
      </w:pPr>
      <w:rPr>
        <w:rFonts w:ascii="Trebuchet MS" w:eastAsia="Calibri"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767709D"/>
    <w:multiLevelType w:val="hybridMultilevel"/>
    <w:tmpl w:val="1DEC71F0"/>
    <w:lvl w:ilvl="0" w:tplc="0B40E858">
      <w:start w:val="1"/>
      <w:numFmt w:val="bullet"/>
      <w:lvlText w:val=""/>
      <w:lvlJc w:val="left"/>
      <w:pPr>
        <w:ind w:left="720" w:hanging="360"/>
      </w:pPr>
      <w:rPr>
        <w:rFonts w:ascii="Symbol" w:hAnsi="Symbol" w:hint="default"/>
      </w:rPr>
    </w:lvl>
    <w:lvl w:ilvl="1" w:tplc="4058BF78" w:tentative="1">
      <w:start w:val="1"/>
      <w:numFmt w:val="bullet"/>
      <w:lvlText w:val="o"/>
      <w:lvlJc w:val="left"/>
      <w:pPr>
        <w:ind w:left="1440" w:hanging="360"/>
      </w:pPr>
      <w:rPr>
        <w:rFonts w:ascii="Courier New" w:hAnsi="Courier New" w:cs="Courier New" w:hint="default"/>
      </w:rPr>
    </w:lvl>
    <w:lvl w:ilvl="2" w:tplc="E98C4884" w:tentative="1">
      <w:start w:val="1"/>
      <w:numFmt w:val="bullet"/>
      <w:lvlText w:val=""/>
      <w:lvlJc w:val="left"/>
      <w:pPr>
        <w:ind w:left="2160" w:hanging="360"/>
      </w:pPr>
      <w:rPr>
        <w:rFonts w:ascii="Wingdings" w:hAnsi="Wingdings" w:hint="default"/>
      </w:rPr>
    </w:lvl>
    <w:lvl w:ilvl="3" w:tplc="560EDAF8" w:tentative="1">
      <w:start w:val="1"/>
      <w:numFmt w:val="bullet"/>
      <w:lvlText w:val=""/>
      <w:lvlJc w:val="left"/>
      <w:pPr>
        <w:ind w:left="2880" w:hanging="360"/>
      </w:pPr>
      <w:rPr>
        <w:rFonts w:ascii="Symbol" w:hAnsi="Symbol" w:hint="default"/>
      </w:rPr>
    </w:lvl>
    <w:lvl w:ilvl="4" w:tplc="0CC67558" w:tentative="1">
      <w:start w:val="1"/>
      <w:numFmt w:val="bullet"/>
      <w:lvlText w:val="o"/>
      <w:lvlJc w:val="left"/>
      <w:pPr>
        <w:ind w:left="3600" w:hanging="360"/>
      </w:pPr>
      <w:rPr>
        <w:rFonts w:ascii="Courier New" w:hAnsi="Courier New" w:cs="Courier New" w:hint="default"/>
      </w:rPr>
    </w:lvl>
    <w:lvl w:ilvl="5" w:tplc="0D9C5F0A" w:tentative="1">
      <w:start w:val="1"/>
      <w:numFmt w:val="bullet"/>
      <w:lvlText w:val=""/>
      <w:lvlJc w:val="left"/>
      <w:pPr>
        <w:ind w:left="4320" w:hanging="360"/>
      </w:pPr>
      <w:rPr>
        <w:rFonts w:ascii="Wingdings" w:hAnsi="Wingdings" w:hint="default"/>
      </w:rPr>
    </w:lvl>
    <w:lvl w:ilvl="6" w:tplc="8A021346" w:tentative="1">
      <w:start w:val="1"/>
      <w:numFmt w:val="bullet"/>
      <w:lvlText w:val=""/>
      <w:lvlJc w:val="left"/>
      <w:pPr>
        <w:ind w:left="5040" w:hanging="360"/>
      </w:pPr>
      <w:rPr>
        <w:rFonts w:ascii="Symbol" w:hAnsi="Symbol" w:hint="default"/>
      </w:rPr>
    </w:lvl>
    <w:lvl w:ilvl="7" w:tplc="BEE4D242" w:tentative="1">
      <w:start w:val="1"/>
      <w:numFmt w:val="bullet"/>
      <w:lvlText w:val="o"/>
      <w:lvlJc w:val="left"/>
      <w:pPr>
        <w:ind w:left="5760" w:hanging="360"/>
      </w:pPr>
      <w:rPr>
        <w:rFonts w:ascii="Courier New" w:hAnsi="Courier New" w:cs="Courier New" w:hint="default"/>
      </w:rPr>
    </w:lvl>
    <w:lvl w:ilvl="8" w:tplc="B3F40E5C" w:tentative="1">
      <w:start w:val="1"/>
      <w:numFmt w:val="bullet"/>
      <w:lvlText w:val=""/>
      <w:lvlJc w:val="left"/>
      <w:pPr>
        <w:ind w:left="6480" w:hanging="360"/>
      </w:pPr>
      <w:rPr>
        <w:rFonts w:ascii="Wingdings" w:hAnsi="Wingdings" w:hint="default"/>
      </w:rPr>
    </w:lvl>
  </w:abstractNum>
  <w:abstractNum w:abstractNumId="89" w15:restartNumberingAfterBreak="0">
    <w:nsid w:val="17996FA8"/>
    <w:multiLevelType w:val="hybridMultilevel"/>
    <w:tmpl w:val="9F621F2A"/>
    <w:lvl w:ilvl="0" w:tplc="08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7F304C4"/>
    <w:multiLevelType w:val="hybridMultilevel"/>
    <w:tmpl w:val="DE04BD2E"/>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183262B8"/>
    <w:multiLevelType w:val="hybridMultilevel"/>
    <w:tmpl w:val="4C32950C"/>
    <w:lvl w:ilvl="0" w:tplc="B0B48EC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83B54D8"/>
    <w:multiLevelType w:val="hybridMultilevel"/>
    <w:tmpl w:val="6A746E68"/>
    <w:lvl w:ilvl="0" w:tplc="EA24FFEA">
      <w:start w:val="1"/>
      <w:numFmt w:val="upperRoman"/>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186623E6"/>
    <w:multiLevelType w:val="hybridMultilevel"/>
    <w:tmpl w:val="ABDE0D9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94" w15:restartNumberingAfterBreak="0">
    <w:nsid w:val="1885564D"/>
    <w:multiLevelType w:val="hybridMultilevel"/>
    <w:tmpl w:val="024EBE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18EC4625"/>
    <w:multiLevelType w:val="multilevel"/>
    <w:tmpl w:val="DF2E6E5A"/>
    <w:lvl w:ilvl="0">
      <w:start w:val="1"/>
      <w:numFmt w:val="decimal"/>
      <w:lvlText w:val="%1."/>
      <w:lvlJc w:val="left"/>
      <w:pPr>
        <w:tabs>
          <w:tab w:val="num" w:pos="1620"/>
        </w:tabs>
        <w:ind w:left="1620" w:firstLine="0"/>
      </w:pPr>
      <w:rPr>
        <w:rFonts w:ascii="Calibri" w:eastAsiaTheme="minorEastAsia" w:hAnsi="Calibri" w:cs="Calibri" w:hint="default"/>
        <w:sz w:val="30"/>
        <w:szCs w:val="30"/>
      </w:rPr>
    </w:lvl>
    <w:lvl w:ilvl="1">
      <w:start w:val="1"/>
      <w:numFmt w:val="decimal"/>
      <w:lvlText w:val="%1.%2."/>
      <w:lvlJc w:val="left"/>
      <w:pPr>
        <w:tabs>
          <w:tab w:val="num" w:pos="720"/>
        </w:tabs>
        <w:ind w:left="720" w:firstLine="0"/>
      </w:pPr>
    </w:lvl>
    <w:lvl w:ilvl="2">
      <w:start w:val="1"/>
      <w:numFmt w:val="decimal"/>
      <w:lvlText w:val="%1.%2.%3."/>
      <w:lvlJc w:val="left"/>
      <w:pPr>
        <w:tabs>
          <w:tab w:val="num" w:pos="1080"/>
        </w:tabs>
        <w:ind w:left="1080" w:firstLine="0"/>
      </w:pPr>
    </w:lvl>
    <w:lvl w:ilvl="3">
      <w:start w:val="1"/>
      <w:numFmt w:val="lowerLetter"/>
      <w:lvlText w:val="%4)"/>
      <w:lvlJc w:val="left"/>
      <w:pPr>
        <w:tabs>
          <w:tab w:val="num" w:pos="810"/>
        </w:tabs>
        <w:ind w:left="810" w:firstLine="0"/>
      </w:pPr>
    </w:lvl>
    <w:lvl w:ilvl="4">
      <w:start w:val="1"/>
      <w:numFmt w:val="decimal"/>
      <w:lvlText w:val="(%5)"/>
      <w:lvlJc w:val="left"/>
      <w:pPr>
        <w:tabs>
          <w:tab w:val="num" w:pos="3690"/>
        </w:tabs>
        <w:ind w:left="3690" w:firstLine="0"/>
      </w:pPr>
    </w:lvl>
    <w:lvl w:ilvl="5">
      <w:start w:val="1"/>
      <w:numFmt w:val="lowerLetter"/>
      <w:lvlText w:val="(%6)"/>
      <w:lvlJc w:val="left"/>
      <w:pPr>
        <w:tabs>
          <w:tab w:val="num" w:pos="4410"/>
        </w:tabs>
        <w:ind w:left="4410" w:firstLine="0"/>
      </w:pPr>
    </w:lvl>
    <w:lvl w:ilvl="6">
      <w:start w:val="1"/>
      <w:numFmt w:val="lowerRoman"/>
      <w:lvlText w:val="(%7)"/>
      <w:lvlJc w:val="left"/>
      <w:pPr>
        <w:tabs>
          <w:tab w:val="num" w:pos="5130"/>
        </w:tabs>
        <w:ind w:left="5130" w:firstLine="0"/>
      </w:pPr>
    </w:lvl>
    <w:lvl w:ilvl="7">
      <w:start w:val="1"/>
      <w:numFmt w:val="lowerLetter"/>
      <w:lvlText w:val="(%8)"/>
      <w:lvlJc w:val="left"/>
      <w:pPr>
        <w:tabs>
          <w:tab w:val="num" w:pos="5850"/>
        </w:tabs>
        <w:ind w:left="5850" w:firstLine="0"/>
      </w:pPr>
    </w:lvl>
    <w:lvl w:ilvl="8">
      <w:start w:val="1"/>
      <w:numFmt w:val="lowerRoman"/>
      <w:lvlText w:val="(%9)"/>
      <w:lvlJc w:val="left"/>
      <w:pPr>
        <w:tabs>
          <w:tab w:val="num" w:pos="6570"/>
        </w:tabs>
        <w:ind w:left="6570" w:firstLine="0"/>
      </w:pPr>
    </w:lvl>
  </w:abstractNum>
  <w:abstractNum w:abstractNumId="96" w15:restartNumberingAfterBreak="0">
    <w:nsid w:val="191E55E2"/>
    <w:multiLevelType w:val="hybridMultilevel"/>
    <w:tmpl w:val="0CB61B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9F61CEF"/>
    <w:multiLevelType w:val="hybridMultilevel"/>
    <w:tmpl w:val="86D41C3C"/>
    <w:lvl w:ilvl="0" w:tplc="00000003">
      <w:start w:val="1"/>
      <w:numFmt w:val="bullet"/>
      <w:lvlText w:val=""/>
      <w:lvlJc w:val="left"/>
      <w:pPr>
        <w:tabs>
          <w:tab w:val="num" w:pos="360"/>
        </w:tabs>
        <w:ind w:left="36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A237741"/>
    <w:multiLevelType w:val="hybridMultilevel"/>
    <w:tmpl w:val="DBE22A2E"/>
    <w:lvl w:ilvl="0" w:tplc="0A140A38">
      <w:start w:val="1"/>
      <w:numFmt w:val="bullet"/>
      <w:lvlText w:val="o"/>
      <w:lvlJc w:val="left"/>
      <w:pPr>
        <w:ind w:left="720" w:hanging="360"/>
      </w:pPr>
      <w:rPr>
        <w:rFonts w:ascii="Courier New" w:hAnsi="Courier New" w:cs="Courier New" w:hint="default"/>
        <w:sz w:val="18"/>
      </w:rPr>
    </w:lvl>
    <w:lvl w:ilvl="1" w:tplc="598E25E0">
      <w:numFmt w:val="bullet"/>
      <w:lvlText w:val=""/>
      <w:lvlJc w:val="left"/>
      <w:pPr>
        <w:ind w:left="1440" w:hanging="360"/>
      </w:pPr>
      <w:rPr>
        <w:rFonts w:ascii="Symbol" w:eastAsiaTheme="minorHAnsi" w:hAnsi="Symbol"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A8F1869"/>
    <w:multiLevelType w:val="hybridMultilevel"/>
    <w:tmpl w:val="64268A86"/>
    <w:lvl w:ilvl="0" w:tplc="F418D382">
      <w:start w:val="1"/>
      <w:numFmt w:val="bullet"/>
      <w:lvlText w:val=""/>
      <w:lvlJc w:val="left"/>
      <w:pPr>
        <w:ind w:left="360" w:hanging="360"/>
      </w:pPr>
      <w:rPr>
        <w:rFonts w:ascii="Symbol" w:hAnsi="Symbol" w:hint="default"/>
      </w:rPr>
    </w:lvl>
    <w:lvl w:ilvl="1" w:tplc="04090019" w:tentative="1">
      <w:start w:val="1"/>
      <w:numFmt w:val="bullet"/>
      <w:lvlText w:val="o"/>
      <w:lvlJc w:val="left"/>
      <w:pPr>
        <w:ind w:left="1080" w:hanging="360"/>
      </w:pPr>
      <w:rPr>
        <w:rFonts w:ascii="Courier New" w:hAnsi="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100" w15:restartNumberingAfterBreak="0">
    <w:nsid w:val="1B095EF7"/>
    <w:multiLevelType w:val="hybridMultilevel"/>
    <w:tmpl w:val="6D6C2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1B73333B"/>
    <w:multiLevelType w:val="hybridMultilevel"/>
    <w:tmpl w:val="567894DE"/>
    <w:lvl w:ilvl="0" w:tplc="00000021">
      <w:start w:val="1"/>
      <w:numFmt w:val="bullet"/>
      <w:lvlText w:val="-"/>
      <w:lvlJc w:val="left"/>
      <w:pPr>
        <w:ind w:left="720" w:hanging="360"/>
      </w:pPr>
      <w:rPr>
        <w:rFonts w:ascii="Bookman Old Style" w:hAnsi="Bookman Old Styl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1D38318D"/>
    <w:multiLevelType w:val="hybridMultilevel"/>
    <w:tmpl w:val="52B672E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03" w15:restartNumberingAfterBreak="0">
    <w:nsid w:val="1D515185"/>
    <w:multiLevelType w:val="hybridMultilevel"/>
    <w:tmpl w:val="2FBE0ABC"/>
    <w:lvl w:ilvl="0" w:tplc="9B8E39B0">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D714212"/>
    <w:multiLevelType w:val="multilevel"/>
    <w:tmpl w:val="51E8B082"/>
    <w:lvl w:ilvl="0">
      <w:start w:val="7"/>
      <w:numFmt w:val="decimal"/>
      <w:lvlText w:val="%1"/>
      <w:lvlJc w:val="left"/>
      <w:pPr>
        <w:ind w:left="2045" w:hanging="635"/>
      </w:pPr>
      <w:rPr>
        <w:rFonts w:hint="default"/>
      </w:rPr>
    </w:lvl>
    <w:lvl w:ilvl="1">
      <w:start w:val="1"/>
      <w:numFmt w:val="decimal"/>
      <w:lvlText w:val="%1.%2"/>
      <w:lvlJc w:val="left"/>
      <w:pPr>
        <w:ind w:left="2045" w:hanging="635"/>
        <w:jc w:val="right"/>
      </w:pPr>
      <w:rPr>
        <w:rFonts w:ascii="Calibri" w:eastAsia="Calibri" w:hAnsi="Calibri" w:hint="default"/>
        <w:sz w:val="22"/>
        <w:szCs w:val="22"/>
      </w:rPr>
    </w:lvl>
    <w:lvl w:ilvl="2">
      <w:start w:val="1"/>
      <w:numFmt w:val="lowerLetter"/>
      <w:lvlText w:val="%3."/>
      <w:lvlJc w:val="left"/>
      <w:pPr>
        <w:ind w:left="1417" w:hanging="360"/>
      </w:pPr>
      <w:rPr>
        <w:rFonts w:ascii="Calibri" w:eastAsia="Calibri" w:hAnsi="Calibri" w:hint="default"/>
        <w:sz w:val="22"/>
        <w:szCs w:val="22"/>
      </w:rPr>
    </w:lvl>
    <w:lvl w:ilvl="3">
      <w:start w:val="1"/>
      <w:numFmt w:val="decimal"/>
      <w:lvlText w:val="%4."/>
      <w:lvlJc w:val="left"/>
      <w:pPr>
        <w:ind w:left="2044" w:hanging="634"/>
      </w:pPr>
      <w:rPr>
        <w:rFonts w:ascii="Calibri" w:eastAsia="Calibri" w:hAnsi="Calibri" w:hint="default"/>
        <w:b/>
        <w:bCs/>
        <w:color w:val="C45911"/>
        <w:w w:val="99"/>
        <w:sz w:val="32"/>
        <w:szCs w:val="32"/>
      </w:rPr>
    </w:lvl>
    <w:lvl w:ilvl="4">
      <w:start w:val="1"/>
      <w:numFmt w:val="decimal"/>
      <w:lvlText w:val="%4.%5"/>
      <w:lvlJc w:val="left"/>
      <w:pPr>
        <w:ind w:left="2041" w:hanging="631"/>
      </w:pPr>
      <w:rPr>
        <w:rFonts w:ascii="Calibri" w:eastAsia="Calibri" w:hAnsi="Calibri" w:hint="default"/>
        <w:sz w:val="22"/>
        <w:szCs w:val="22"/>
      </w:rPr>
    </w:lvl>
    <w:lvl w:ilvl="5">
      <w:start w:val="1"/>
      <w:numFmt w:val="bullet"/>
      <w:lvlText w:val="•"/>
      <w:lvlJc w:val="left"/>
      <w:pPr>
        <w:ind w:left="2044" w:hanging="631"/>
      </w:pPr>
      <w:rPr>
        <w:rFonts w:hint="default"/>
      </w:rPr>
    </w:lvl>
    <w:lvl w:ilvl="6">
      <w:start w:val="1"/>
      <w:numFmt w:val="bullet"/>
      <w:lvlText w:val="•"/>
      <w:lvlJc w:val="left"/>
      <w:pPr>
        <w:ind w:left="2045" w:hanging="631"/>
      </w:pPr>
      <w:rPr>
        <w:rFonts w:hint="default"/>
      </w:rPr>
    </w:lvl>
    <w:lvl w:ilvl="7">
      <w:start w:val="1"/>
      <w:numFmt w:val="bullet"/>
      <w:lvlText w:val="•"/>
      <w:lvlJc w:val="left"/>
      <w:pPr>
        <w:ind w:left="3953" w:hanging="631"/>
      </w:pPr>
      <w:rPr>
        <w:rFonts w:hint="default"/>
      </w:rPr>
    </w:lvl>
    <w:lvl w:ilvl="8">
      <w:start w:val="1"/>
      <w:numFmt w:val="bullet"/>
      <w:lvlText w:val="•"/>
      <w:lvlJc w:val="left"/>
      <w:pPr>
        <w:ind w:left="5862" w:hanging="631"/>
      </w:pPr>
      <w:rPr>
        <w:rFonts w:hint="default"/>
      </w:rPr>
    </w:lvl>
  </w:abstractNum>
  <w:abstractNum w:abstractNumId="105" w15:restartNumberingAfterBreak="0">
    <w:nsid w:val="1EFA182E"/>
    <w:multiLevelType w:val="hybridMultilevel"/>
    <w:tmpl w:val="FBB60A74"/>
    <w:lvl w:ilvl="0" w:tplc="C848E872">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2350D85"/>
    <w:multiLevelType w:val="hybridMultilevel"/>
    <w:tmpl w:val="BE86B430"/>
    <w:lvl w:ilvl="0" w:tplc="FEE8B274">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2457657"/>
    <w:multiLevelType w:val="hybridMultilevel"/>
    <w:tmpl w:val="7C1230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22677012"/>
    <w:multiLevelType w:val="hybridMultilevel"/>
    <w:tmpl w:val="6C82125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23180E9E"/>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110" w15:restartNumberingAfterBreak="0">
    <w:nsid w:val="242272DF"/>
    <w:multiLevelType w:val="hybridMultilevel"/>
    <w:tmpl w:val="29203120"/>
    <w:lvl w:ilvl="0" w:tplc="00000003">
      <w:start w:val="1"/>
      <w:numFmt w:val="bullet"/>
      <w:lvlText w:val=""/>
      <w:lvlJc w:val="left"/>
      <w:pPr>
        <w:tabs>
          <w:tab w:val="num" w:pos="360"/>
        </w:tabs>
        <w:ind w:left="36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4574DB1"/>
    <w:multiLevelType w:val="multilevel"/>
    <w:tmpl w:val="51E8B082"/>
    <w:lvl w:ilvl="0">
      <w:start w:val="7"/>
      <w:numFmt w:val="decimal"/>
      <w:lvlText w:val="%1"/>
      <w:lvlJc w:val="left"/>
      <w:pPr>
        <w:ind w:left="2045" w:hanging="635"/>
      </w:pPr>
      <w:rPr>
        <w:rFonts w:hint="default"/>
      </w:rPr>
    </w:lvl>
    <w:lvl w:ilvl="1">
      <w:start w:val="1"/>
      <w:numFmt w:val="decimal"/>
      <w:lvlText w:val="%1.%2"/>
      <w:lvlJc w:val="left"/>
      <w:pPr>
        <w:ind w:left="2045" w:hanging="635"/>
        <w:jc w:val="right"/>
      </w:pPr>
      <w:rPr>
        <w:rFonts w:ascii="Calibri" w:eastAsia="Calibri" w:hAnsi="Calibri" w:hint="default"/>
        <w:sz w:val="22"/>
        <w:szCs w:val="22"/>
      </w:rPr>
    </w:lvl>
    <w:lvl w:ilvl="2">
      <w:start w:val="1"/>
      <w:numFmt w:val="lowerLetter"/>
      <w:lvlText w:val="%3."/>
      <w:lvlJc w:val="left"/>
      <w:pPr>
        <w:ind w:left="1417" w:hanging="360"/>
      </w:pPr>
      <w:rPr>
        <w:rFonts w:ascii="Calibri" w:eastAsia="Calibri" w:hAnsi="Calibri" w:hint="default"/>
        <w:sz w:val="22"/>
        <w:szCs w:val="22"/>
      </w:rPr>
    </w:lvl>
    <w:lvl w:ilvl="3">
      <w:start w:val="1"/>
      <w:numFmt w:val="decimal"/>
      <w:lvlText w:val="%4."/>
      <w:lvlJc w:val="left"/>
      <w:pPr>
        <w:ind w:left="2044" w:hanging="634"/>
      </w:pPr>
      <w:rPr>
        <w:rFonts w:ascii="Calibri" w:eastAsia="Calibri" w:hAnsi="Calibri" w:hint="default"/>
        <w:b/>
        <w:bCs/>
        <w:color w:val="C45911"/>
        <w:w w:val="99"/>
        <w:sz w:val="32"/>
        <w:szCs w:val="32"/>
      </w:rPr>
    </w:lvl>
    <w:lvl w:ilvl="4">
      <w:start w:val="1"/>
      <w:numFmt w:val="decimal"/>
      <w:lvlText w:val="%4.%5"/>
      <w:lvlJc w:val="left"/>
      <w:pPr>
        <w:ind w:left="2041" w:hanging="631"/>
      </w:pPr>
      <w:rPr>
        <w:rFonts w:ascii="Calibri" w:eastAsia="Calibri" w:hAnsi="Calibri" w:hint="default"/>
        <w:sz w:val="22"/>
        <w:szCs w:val="22"/>
      </w:rPr>
    </w:lvl>
    <w:lvl w:ilvl="5">
      <w:start w:val="1"/>
      <w:numFmt w:val="bullet"/>
      <w:lvlText w:val="•"/>
      <w:lvlJc w:val="left"/>
      <w:pPr>
        <w:ind w:left="2044" w:hanging="631"/>
      </w:pPr>
      <w:rPr>
        <w:rFonts w:hint="default"/>
      </w:rPr>
    </w:lvl>
    <w:lvl w:ilvl="6">
      <w:start w:val="1"/>
      <w:numFmt w:val="bullet"/>
      <w:lvlText w:val="•"/>
      <w:lvlJc w:val="left"/>
      <w:pPr>
        <w:ind w:left="2045" w:hanging="631"/>
      </w:pPr>
      <w:rPr>
        <w:rFonts w:hint="default"/>
      </w:rPr>
    </w:lvl>
    <w:lvl w:ilvl="7">
      <w:start w:val="1"/>
      <w:numFmt w:val="bullet"/>
      <w:lvlText w:val="•"/>
      <w:lvlJc w:val="left"/>
      <w:pPr>
        <w:ind w:left="3953" w:hanging="631"/>
      </w:pPr>
      <w:rPr>
        <w:rFonts w:hint="default"/>
      </w:rPr>
    </w:lvl>
    <w:lvl w:ilvl="8">
      <w:start w:val="1"/>
      <w:numFmt w:val="bullet"/>
      <w:lvlText w:val="•"/>
      <w:lvlJc w:val="left"/>
      <w:pPr>
        <w:ind w:left="5862" w:hanging="631"/>
      </w:pPr>
      <w:rPr>
        <w:rFonts w:hint="default"/>
      </w:rPr>
    </w:lvl>
  </w:abstractNum>
  <w:abstractNum w:abstractNumId="112" w15:restartNumberingAfterBreak="0">
    <w:nsid w:val="25030F66"/>
    <w:multiLevelType w:val="hybridMultilevel"/>
    <w:tmpl w:val="EEEC6EAE"/>
    <w:lvl w:ilvl="0" w:tplc="0409000F">
      <w:start w:val="1"/>
      <w:numFmt w:val="decimal"/>
      <w:lvlText w:val="%1."/>
      <w:lvlJc w:val="left"/>
      <w:pPr>
        <w:ind w:left="61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50C7487"/>
    <w:multiLevelType w:val="multilevel"/>
    <w:tmpl w:val="78C0ED54"/>
    <w:lvl w:ilvl="0">
      <w:start w:val="2"/>
      <w:numFmt w:val="upperRoman"/>
      <w:lvlText w:val="%1"/>
      <w:lvlJc w:val="left"/>
      <w:pPr>
        <w:ind w:left="823" w:hanging="651"/>
      </w:pPr>
      <w:rPr>
        <w:rFonts w:hint="default"/>
        <w:lang w:val="en-US" w:eastAsia="en-US" w:bidi="ar-SA"/>
      </w:rPr>
    </w:lvl>
    <w:lvl w:ilvl="1">
      <w:start w:val="1"/>
      <w:numFmt w:val="decimal"/>
      <w:lvlText w:val="%1.%2)"/>
      <w:lvlJc w:val="left"/>
      <w:pPr>
        <w:ind w:left="823" w:hanging="651"/>
      </w:pPr>
      <w:rPr>
        <w:rFonts w:ascii="Arial" w:eastAsia="Arial" w:hAnsi="Arial" w:cs="Arial" w:hint="default"/>
        <w:b/>
        <w:bCs/>
        <w:spacing w:val="-1"/>
        <w:w w:val="93"/>
        <w:sz w:val="20"/>
        <w:szCs w:val="20"/>
        <w:lang w:val="en-US" w:eastAsia="en-US" w:bidi="ar-SA"/>
      </w:rPr>
    </w:lvl>
    <w:lvl w:ilvl="2">
      <w:numFmt w:val="bullet"/>
      <w:lvlText w:val="•"/>
      <w:lvlJc w:val="left"/>
      <w:pPr>
        <w:ind w:left="2745" w:hanging="651"/>
      </w:pPr>
      <w:rPr>
        <w:rFonts w:hint="default"/>
        <w:lang w:val="en-US" w:eastAsia="en-US" w:bidi="ar-SA"/>
      </w:rPr>
    </w:lvl>
    <w:lvl w:ilvl="3">
      <w:numFmt w:val="bullet"/>
      <w:lvlText w:val="•"/>
      <w:lvlJc w:val="left"/>
      <w:pPr>
        <w:ind w:left="3708" w:hanging="651"/>
      </w:pPr>
      <w:rPr>
        <w:rFonts w:hint="default"/>
        <w:lang w:val="en-US" w:eastAsia="en-US" w:bidi="ar-SA"/>
      </w:rPr>
    </w:lvl>
    <w:lvl w:ilvl="4">
      <w:numFmt w:val="bullet"/>
      <w:lvlText w:val="•"/>
      <w:lvlJc w:val="left"/>
      <w:pPr>
        <w:ind w:left="4670" w:hanging="651"/>
      </w:pPr>
      <w:rPr>
        <w:rFonts w:hint="default"/>
        <w:lang w:val="en-US" w:eastAsia="en-US" w:bidi="ar-SA"/>
      </w:rPr>
    </w:lvl>
    <w:lvl w:ilvl="5">
      <w:numFmt w:val="bullet"/>
      <w:lvlText w:val="•"/>
      <w:lvlJc w:val="left"/>
      <w:pPr>
        <w:ind w:left="5633" w:hanging="651"/>
      </w:pPr>
      <w:rPr>
        <w:rFonts w:hint="default"/>
        <w:lang w:val="en-US" w:eastAsia="en-US" w:bidi="ar-SA"/>
      </w:rPr>
    </w:lvl>
    <w:lvl w:ilvl="6">
      <w:numFmt w:val="bullet"/>
      <w:lvlText w:val="•"/>
      <w:lvlJc w:val="left"/>
      <w:pPr>
        <w:ind w:left="6596" w:hanging="651"/>
      </w:pPr>
      <w:rPr>
        <w:rFonts w:hint="default"/>
        <w:lang w:val="en-US" w:eastAsia="en-US" w:bidi="ar-SA"/>
      </w:rPr>
    </w:lvl>
    <w:lvl w:ilvl="7">
      <w:numFmt w:val="bullet"/>
      <w:lvlText w:val="•"/>
      <w:lvlJc w:val="left"/>
      <w:pPr>
        <w:ind w:left="7558" w:hanging="651"/>
      </w:pPr>
      <w:rPr>
        <w:rFonts w:hint="default"/>
        <w:lang w:val="en-US" w:eastAsia="en-US" w:bidi="ar-SA"/>
      </w:rPr>
    </w:lvl>
    <w:lvl w:ilvl="8">
      <w:numFmt w:val="bullet"/>
      <w:lvlText w:val="•"/>
      <w:lvlJc w:val="left"/>
      <w:pPr>
        <w:ind w:left="8521" w:hanging="651"/>
      </w:pPr>
      <w:rPr>
        <w:rFonts w:hint="default"/>
        <w:lang w:val="en-US" w:eastAsia="en-US" w:bidi="ar-SA"/>
      </w:rPr>
    </w:lvl>
  </w:abstractNum>
  <w:abstractNum w:abstractNumId="114" w15:restartNumberingAfterBreak="0">
    <w:nsid w:val="25EF777D"/>
    <w:multiLevelType w:val="multilevel"/>
    <w:tmpl w:val="51E8B082"/>
    <w:lvl w:ilvl="0">
      <w:start w:val="7"/>
      <w:numFmt w:val="decimal"/>
      <w:lvlText w:val="%1"/>
      <w:lvlJc w:val="left"/>
      <w:pPr>
        <w:ind w:left="2045" w:hanging="635"/>
      </w:pPr>
      <w:rPr>
        <w:rFonts w:hint="default"/>
      </w:rPr>
    </w:lvl>
    <w:lvl w:ilvl="1">
      <w:start w:val="1"/>
      <w:numFmt w:val="decimal"/>
      <w:lvlText w:val="%1.%2"/>
      <w:lvlJc w:val="left"/>
      <w:pPr>
        <w:ind w:left="2045" w:hanging="635"/>
        <w:jc w:val="right"/>
      </w:pPr>
      <w:rPr>
        <w:rFonts w:ascii="Calibri" w:eastAsia="Calibri" w:hAnsi="Calibri" w:hint="default"/>
        <w:sz w:val="22"/>
        <w:szCs w:val="22"/>
      </w:rPr>
    </w:lvl>
    <w:lvl w:ilvl="2">
      <w:start w:val="1"/>
      <w:numFmt w:val="lowerLetter"/>
      <w:lvlText w:val="%3."/>
      <w:lvlJc w:val="left"/>
      <w:pPr>
        <w:ind w:left="1417" w:hanging="360"/>
      </w:pPr>
      <w:rPr>
        <w:rFonts w:ascii="Calibri" w:eastAsia="Calibri" w:hAnsi="Calibri" w:hint="default"/>
        <w:sz w:val="22"/>
        <w:szCs w:val="22"/>
      </w:rPr>
    </w:lvl>
    <w:lvl w:ilvl="3">
      <w:start w:val="1"/>
      <w:numFmt w:val="decimal"/>
      <w:lvlText w:val="%4."/>
      <w:lvlJc w:val="left"/>
      <w:pPr>
        <w:ind w:left="2044" w:hanging="634"/>
      </w:pPr>
      <w:rPr>
        <w:rFonts w:ascii="Calibri" w:eastAsia="Calibri" w:hAnsi="Calibri" w:hint="default"/>
        <w:b/>
        <w:bCs/>
        <w:color w:val="C45911"/>
        <w:w w:val="99"/>
        <w:sz w:val="32"/>
        <w:szCs w:val="32"/>
      </w:rPr>
    </w:lvl>
    <w:lvl w:ilvl="4">
      <w:start w:val="1"/>
      <w:numFmt w:val="decimal"/>
      <w:lvlText w:val="%4.%5"/>
      <w:lvlJc w:val="left"/>
      <w:pPr>
        <w:ind w:left="2041" w:hanging="631"/>
      </w:pPr>
      <w:rPr>
        <w:rFonts w:ascii="Calibri" w:eastAsia="Calibri" w:hAnsi="Calibri" w:hint="default"/>
        <w:sz w:val="22"/>
        <w:szCs w:val="22"/>
      </w:rPr>
    </w:lvl>
    <w:lvl w:ilvl="5">
      <w:start w:val="1"/>
      <w:numFmt w:val="bullet"/>
      <w:lvlText w:val="•"/>
      <w:lvlJc w:val="left"/>
      <w:pPr>
        <w:ind w:left="2044" w:hanging="631"/>
      </w:pPr>
      <w:rPr>
        <w:rFonts w:hint="default"/>
      </w:rPr>
    </w:lvl>
    <w:lvl w:ilvl="6">
      <w:start w:val="1"/>
      <w:numFmt w:val="bullet"/>
      <w:lvlText w:val="•"/>
      <w:lvlJc w:val="left"/>
      <w:pPr>
        <w:ind w:left="2045" w:hanging="631"/>
      </w:pPr>
      <w:rPr>
        <w:rFonts w:hint="default"/>
      </w:rPr>
    </w:lvl>
    <w:lvl w:ilvl="7">
      <w:start w:val="1"/>
      <w:numFmt w:val="bullet"/>
      <w:lvlText w:val="•"/>
      <w:lvlJc w:val="left"/>
      <w:pPr>
        <w:ind w:left="3953" w:hanging="631"/>
      </w:pPr>
      <w:rPr>
        <w:rFonts w:hint="default"/>
      </w:rPr>
    </w:lvl>
    <w:lvl w:ilvl="8">
      <w:start w:val="1"/>
      <w:numFmt w:val="bullet"/>
      <w:lvlText w:val="•"/>
      <w:lvlJc w:val="left"/>
      <w:pPr>
        <w:ind w:left="5862" w:hanging="631"/>
      </w:pPr>
      <w:rPr>
        <w:rFonts w:hint="default"/>
      </w:rPr>
    </w:lvl>
  </w:abstractNum>
  <w:abstractNum w:abstractNumId="115" w15:restartNumberingAfterBreak="0">
    <w:nsid w:val="268035A5"/>
    <w:multiLevelType w:val="multilevel"/>
    <w:tmpl w:val="51E8B082"/>
    <w:lvl w:ilvl="0">
      <w:start w:val="7"/>
      <w:numFmt w:val="decimal"/>
      <w:lvlText w:val="%1"/>
      <w:lvlJc w:val="left"/>
      <w:pPr>
        <w:ind w:left="2045" w:hanging="635"/>
      </w:pPr>
      <w:rPr>
        <w:rFonts w:hint="default"/>
      </w:rPr>
    </w:lvl>
    <w:lvl w:ilvl="1">
      <w:start w:val="1"/>
      <w:numFmt w:val="decimal"/>
      <w:lvlText w:val="%1.%2"/>
      <w:lvlJc w:val="left"/>
      <w:pPr>
        <w:ind w:left="2045" w:hanging="635"/>
        <w:jc w:val="right"/>
      </w:pPr>
      <w:rPr>
        <w:rFonts w:ascii="Calibri" w:eastAsia="Calibri" w:hAnsi="Calibri" w:hint="default"/>
        <w:sz w:val="22"/>
        <w:szCs w:val="22"/>
      </w:rPr>
    </w:lvl>
    <w:lvl w:ilvl="2">
      <w:start w:val="1"/>
      <w:numFmt w:val="lowerLetter"/>
      <w:lvlText w:val="%3."/>
      <w:lvlJc w:val="left"/>
      <w:pPr>
        <w:ind w:left="1417" w:hanging="360"/>
      </w:pPr>
      <w:rPr>
        <w:rFonts w:ascii="Calibri" w:eastAsia="Calibri" w:hAnsi="Calibri" w:hint="default"/>
        <w:sz w:val="22"/>
        <w:szCs w:val="22"/>
      </w:rPr>
    </w:lvl>
    <w:lvl w:ilvl="3">
      <w:start w:val="1"/>
      <w:numFmt w:val="decimal"/>
      <w:lvlText w:val="%4."/>
      <w:lvlJc w:val="left"/>
      <w:pPr>
        <w:ind w:left="2044" w:hanging="634"/>
      </w:pPr>
      <w:rPr>
        <w:rFonts w:ascii="Calibri" w:eastAsia="Calibri" w:hAnsi="Calibri" w:hint="default"/>
        <w:b/>
        <w:bCs/>
        <w:color w:val="C45911"/>
        <w:w w:val="99"/>
        <w:sz w:val="32"/>
        <w:szCs w:val="32"/>
      </w:rPr>
    </w:lvl>
    <w:lvl w:ilvl="4">
      <w:start w:val="1"/>
      <w:numFmt w:val="decimal"/>
      <w:lvlText w:val="%4.%5"/>
      <w:lvlJc w:val="left"/>
      <w:pPr>
        <w:ind w:left="2041" w:hanging="631"/>
      </w:pPr>
      <w:rPr>
        <w:rFonts w:ascii="Calibri" w:eastAsia="Calibri" w:hAnsi="Calibri" w:hint="default"/>
        <w:sz w:val="22"/>
        <w:szCs w:val="22"/>
      </w:rPr>
    </w:lvl>
    <w:lvl w:ilvl="5">
      <w:start w:val="1"/>
      <w:numFmt w:val="bullet"/>
      <w:lvlText w:val="•"/>
      <w:lvlJc w:val="left"/>
      <w:pPr>
        <w:ind w:left="2044" w:hanging="631"/>
      </w:pPr>
      <w:rPr>
        <w:rFonts w:hint="default"/>
      </w:rPr>
    </w:lvl>
    <w:lvl w:ilvl="6">
      <w:start w:val="1"/>
      <w:numFmt w:val="bullet"/>
      <w:lvlText w:val="•"/>
      <w:lvlJc w:val="left"/>
      <w:pPr>
        <w:ind w:left="2045" w:hanging="631"/>
      </w:pPr>
      <w:rPr>
        <w:rFonts w:hint="default"/>
      </w:rPr>
    </w:lvl>
    <w:lvl w:ilvl="7">
      <w:start w:val="1"/>
      <w:numFmt w:val="bullet"/>
      <w:lvlText w:val="•"/>
      <w:lvlJc w:val="left"/>
      <w:pPr>
        <w:ind w:left="3953" w:hanging="631"/>
      </w:pPr>
      <w:rPr>
        <w:rFonts w:hint="default"/>
      </w:rPr>
    </w:lvl>
    <w:lvl w:ilvl="8">
      <w:start w:val="1"/>
      <w:numFmt w:val="bullet"/>
      <w:lvlText w:val="•"/>
      <w:lvlJc w:val="left"/>
      <w:pPr>
        <w:ind w:left="5862" w:hanging="631"/>
      </w:pPr>
      <w:rPr>
        <w:rFonts w:hint="default"/>
      </w:rPr>
    </w:lvl>
  </w:abstractNum>
  <w:abstractNum w:abstractNumId="116" w15:restartNumberingAfterBreak="0">
    <w:nsid w:val="26CE66AB"/>
    <w:multiLevelType w:val="hybridMultilevel"/>
    <w:tmpl w:val="F92A4958"/>
    <w:lvl w:ilvl="0" w:tplc="B98EF4CA">
      <w:start w:val="1"/>
      <w:numFmt w:val="bullet"/>
      <w:lvlText w:val="‐"/>
      <w:lvlJc w:val="left"/>
      <w:pPr>
        <w:ind w:left="720" w:hanging="360"/>
      </w:pPr>
      <w:rPr>
        <w:rFonts w:ascii="Segoe UI" w:hAnsi="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6F11B08"/>
    <w:multiLevelType w:val="hybridMultilevel"/>
    <w:tmpl w:val="5502B43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754700A"/>
    <w:multiLevelType w:val="hybridMultilevel"/>
    <w:tmpl w:val="91C0FDC4"/>
    <w:lvl w:ilvl="0" w:tplc="04090001">
      <w:start w:val="1"/>
      <w:numFmt w:val="bullet"/>
      <w:lvlText w:val=""/>
      <w:lvlJc w:val="left"/>
      <w:pPr>
        <w:ind w:left="54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8644FAD"/>
    <w:multiLevelType w:val="hybridMultilevel"/>
    <w:tmpl w:val="C82E306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20" w15:restartNumberingAfterBreak="0">
    <w:nsid w:val="286A1FA3"/>
    <w:multiLevelType w:val="hybridMultilevel"/>
    <w:tmpl w:val="F43C43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28F20FE3"/>
    <w:multiLevelType w:val="hybridMultilevel"/>
    <w:tmpl w:val="708E84E8"/>
    <w:lvl w:ilvl="0" w:tplc="0409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22" w15:restartNumberingAfterBreak="0">
    <w:nsid w:val="2A1770F1"/>
    <w:multiLevelType w:val="hybridMultilevel"/>
    <w:tmpl w:val="1EBC7E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15:restartNumberingAfterBreak="0">
    <w:nsid w:val="2A4970E0"/>
    <w:multiLevelType w:val="hybridMultilevel"/>
    <w:tmpl w:val="222A075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AA37D5C"/>
    <w:multiLevelType w:val="hybridMultilevel"/>
    <w:tmpl w:val="16A2CC64"/>
    <w:lvl w:ilvl="0" w:tplc="04090001">
      <w:start w:val="1"/>
      <w:numFmt w:val="bullet"/>
      <w:lvlText w:val=""/>
      <w:lvlJc w:val="left"/>
      <w:pPr>
        <w:ind w:left="1115" w:hanging="360"/>
      </w:pPr>
      <w:rPr>
        <w:rFonts w:ascii="Symbol" w:hAnsi="Symbol" w:hint="default"/>
      </w:rPr>
    </w:lvl>
    <w:lvl w:ilvl="1" w:tplc="04090003" w:tentative="1">
      <w:start w:val="1"/>
      <w:numFmt w:val="bullet"/>
      <w:lvlText w:val="o"/>
      <w:lvlJc w:val="left"/>
      <w:pPr>
        <w:ind w:left="1835" w:hanging="360"/>
      </w:pPr>
      <w:rPr>
        <w:rFonts w:ascii="Courier New" w:hAnsi="Courier New" w:cs="Courier New" w:hint="default"/>
      </w:rPr>
    </w:lvl>
    <w:lvl w:ilvl="2" w:tplc="04090005" w:tentative="1">
      <w:start w:val="1"/>
      <w:numFmt w:val="bullet"/>
      <w:lvlText w:val=""/>
      <w:lvlJc w:val="left"/>
      <w:pPr>
        <w:ind w:left="2555" w:hanging="360"/>
      </w:pPr>
      <w:rPr>
        <w:rFonts w:ascii="Wingdings" w:hAnsi="Wingdings" w:hint="default"/>
      </w:rPr>
    </w:lvl>
    <w:lvl w:ilvl="3" w:tplc="04090001" w:tentative="1">
      <w:start w:val="1"/>
      <w:numFmt w:val="bullet"/>
      <w:lvlText w:val=""/>
      <w:lvlJc w:val="left"/>
      <w:pPr>
        <w:ind w:left="3275" w:hanging="360"/>
      </w:pPr>
      <w:rPr>
        <w:rFonts w:ascii="Symbol" w:hAnsi="Symbol" w:hint="default"/>
      </w:rPr>
    </w:lvl>
    <w:lvl w:ilvl="4" w:tplc="04090003" w:tentative="1">
      <w:start w:val="1"/>
      <w:numFmt w:val="bullet"/>
      <w:lvlText w:val="o"/>
      <w:lvlJc w:val="left"/>
      <w:pPr>
        <w:ind w:left="3995" w:hanging="360"/>
      </w:pPr>
      <w:rPr>
        <w:rFonts w:ascii="Courier New" w:hAnsi="Courier New" w:cs="Courier New" w:hint="default"/>
      </w:rPr>
    </w:lvl>
    <w:lvl w:ilvl="5" w:tplc="04090005" w:tentative="1">
      <w:start w:val="1"/>
      <w:numFmt w:val="bullet"/>
      <w:lvlText w:val=""/>
      <w:lvlJc w:val="left"/>
      <w:pPr>
        <w:ind w:left="4715" w:hanging="360"/>
      </w:pPr>
      <w:rPr>
        <w:rFonts w:ascii="Wingdings" w:hAnsi="Wingdings" w:hint="default"/>
      </w:rPr>
    </w:lvl>
    <w:lvl w:ilvl="6" w:tplc="04090001" w:tentative="1">
      <w:start w:val="1"/>
      <w:numFmt w:val="bullet"/>
      <w:lvlText w:val=""/>
      <w:lvlJc w:val="left"/>
      <w:pPr>
        <w:ind w:left="5435" w:hanging="360"/>
      </w:pPr>
      <w:rPr>
        <w:rFonts w:ascii="Symbol" w:hAnsi="Symbol" w:hint="default"/>
      </w:rPr>
    </w:lvl>
    <w:lvl w:ilvl="7" w:tplc="04090003" w:tentative="1">
      <w:start w:val="1"/>
      <w:numFmt w:val="bullet"/>
      <w:lvlText w:val="o"/>
      <w:lvlJc w:val="left"/>
      <w:pPr>
        <w:ind w:left="6155" w:hanging="360"/>
      </w:pPr>
      <w:rPr>
        <w:rFonts w:ascii="Courier New" w:hAnsi="Courier New" w:cs="Courier New" w:hint="default"/>
      </w:rPr>
    </w:lvl>
    <w:lvl w:ilvl="8" w:tplc="04090005" w:tentative="1">
      <w:start w:val="1"/>
      <w:numFmt w:val="bullet"/>
      <w:lvlText w:val=""/>
      <w:lvlJc w:val="left"/>
      <w:pPr>
        <w:ind w:left="6875" w:hanging="360"/>
      </w:pPr>
      <w:rPr>
        <w:rFonts w:ascii="Wingdings" w:hAnsi="Wingdings" w:hint="default"/>
      </w:rPr>
    </w:lvl>
  </w:abstractNum>
  <w:abstractNum w:abstractNumId="125" w15:restartNumberingAfterBreak="0">
    <w:nsid w:val="2AA53B38"/>
    <w:multiLevelType w:val="hybridMultilevel"/>
    <w:tmpl w:val="3F26E92C"/>
    <w:lvl w:ilvl="0" w:tplc="D25470B0">
      <w:start w:val="5"/>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26" w15:restartNumberingAfterBreak="0">
    <w:nsid w:val="2B6D2653"/>
    <w:multiLevelType w:val="hybridMultilevel"/>
    <w:tmpl w:val="0C940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2C7D02B5"/>
    <w:multiLevelType w:val="hybridMultilevel"/>
    <w:tmpl w:val="16284CEA"/>
    <w:lvl w:ilvl="0" w:tplc="00000021">
      <w:start w:val="1"/>
      <w:numFmt w:val="bullet"/>
      <w:lvlText w:val="-"/>
      <w:lvlJc w:val="left"/>
      <w:pPr>
        <w:ind w:left="720" w:hanging="360"/>
      </w:pPr>
      <w:rPr>
        <w:rFonts w:ascii="Bookman Old Style" w:hAnsi="Bookman Old Styl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8D621E"/>
    <w:multiLevelType w:val="hybridMultilevel"/>
    <w:tmpl w:val="DAC66D8A"/>
    <w:lvl w:ilvl="0" w:tplc="0409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29" w15:restartNumberingAfterBreak="0">
    <w:nsid w:val="2C980452"/>
    <w:multiLevelType w:val="hybridMultilevel"/>
    <w:tmpl w:val="DB1C5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2D2774E0"/>
    <w:multiLevelType w:val="hybridMultilevel"/>
    <w:tmpl w:val="0DDC0D7E"/>
    <w:lvl w:ilvl="0" w:tplc="8ADA3784">
      <w:start w:val="1"/>
      <w:numFmt w:val="lowerLetter"/>
      <w:lvlText w:val="%1."/>
      <w:lvlJc w:val="left"/>
      <w:pPr>
        <w:ind w:left="720" w:hanging="360"/>
      </w:pPr>
      <w:rPr>
        <w:b/>
      </w:rPr>
    </w:lvl>
    <w:lvl w:ilvl="1" w:tplc="4C7A4544">
      <w:start w:val="1"/>
      <w:numFmt w:val="lowerLetter"/>
      <w:lvlText w:val="%2."/>
      <w:lvlJc w:val="left"/>
      <w:pPr>
        <w:ind w:left="1440" w:hanging="360"/>
      </w:pPr>
    </w:lvl>
    <w:lvl w:ilvl="2" w:tplc="C24A49B2">
      <w:start w:val="1"/>
      <w:numFmt w:val="lowerRoman"/>
      <w:lvlText w:val="(%3)"/>
      <w:lvlJc w:val="left"/>
      <w:pPr>
        <w:ind w:left="2700" w:hanging="720"/>
      </w:pPr>
      <w:rPr>
        <w:rFonts w:hint="default"/>
        <w:b w:val="0"/>
      </w:rPr>
    </w:lvl>
    <w:lvl w:ilvl="3" w:tplc="CA3047D2" w:tentative="1">
      <w:start w:val="1"/>
      <w:numFmt w:val="decimal"/>
      <w:lvlText w:val="%4."/>
      <w:lvlJc w:val="left"/>
      <w:pPr>
        <w:ind w:left="2880" w:hanging="360"/>
      </w:pPr>
    </w:lvl>
    <w:lvl w:ilvl="4" w:tplc="ADCAA6A0" w:tentative="1">
      <w:start w:val="1"/>
      <w:numFmt w:val="lowerLetter"/>
      <w:lvlText w:val="%5."/>
      <w:lvlJc w:val="left"/>
      <w:pPr>
        <w:ind w:left="3600" w:hanging="360"/>
      </w:pPr>
    </w:lvl>
    <w:lvl w:ilvl="5" w:tplc="DF381F2E" w:tentative="1">
      <w:start w:val="1"/>
      <w:numFmt w:val="lowerRoman"/>
      <w:lvlText w:val="%6."/>
      <w:lvlJc w:val="right"/>
      <w:pPr>
        <w:ind w:left="4320" w:hanging="180"/>
      </w:pPr>
    </w:lvl>
    <w:lvl w:ilvl="6" w:tplc="A7A61D68" w:tentative="1">
      <w:start w:val="1"/>
      <w:numFmt w:val="decimal"/>
      <w:lvlText w:val="%7."/>
      <w:lvlJc w:val="left"/>
      <w:pPr>
        <w:ind w:left="5040" w:hanging="360"/>
      </w:pPr>
    </w:lvl>
    <w:lvl w:ilvl="7" w:tplc="6146217E" w:tentative="1">
      <w:start w:val="1"/>
      <w:numFmt w:val="lowerLetter"/>
      <w:lvlText w:val="%8."/>
      <w:lvlJc w:val="left"/>
      <w:pPr>
        <w:ind w:left="5760" w:hanging="360"/>
      </w:pPr>
    </w:lvl>
    <w:lvl w:ilvl="8" w:tplc="54C451EA" w:tentative="1">
      <w:start w:val="1"/>
      <w:numFmt w:val="lowerRoman"/>
      <w:lvlText w:val="%9."/>
      <w:lvlJc w:val="right"/>
      <w:pPr>
        <w:ind w:left="6480" w:hanging="180"/>
      </w:pPr>
    </w:lvl>
  </w:abstractNum>
  <w:abstractNum w:abstractNumId="131" w15:restartNumberingAfterBreak="0">
    <w:nsid w:val="2D3C0738"/>
    <w:multiLevelType w:val="hybridMultilevel"/>
    <w:tmpl w:val="26B083D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2D957BC9"/>
    <w:multiLevelType w:val="hybridMultilevel"/>
    <w:tmpl w:val="EE7831D4"/>
    <w:lvl w:ilvl="0" w:tplc="542207B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EB21289"/>
    <w:multiLevelType w:val="hybridMultilevel"/>
    <w:tmpl w:val="72440AA2"/>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2F4651AC"/>
    <w:multiLevelType w:val="hybridMultilevel"/>
    <w:tmpl w:val="DEE8FC7A"/>
    <w:lvl w:ilvl="0" w:tplc="04100009">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5" w15:restartNumberingAfterBreak="0">
    <w:nsid w:val="2F760276"/>
    <w:multiLevelType w:val="multilevel"/>
    <w:tmpl w:val="1ED8A516"/>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6" w15:restartNumberingAfterBreak="0">
    <w:nsid w:val="2FB2054B"/>
    <w:multiLevelType w:val="hybridMultilevel"/>
    <w:tmpl w:val="84D8C2C0"/>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37" w15:restartNumberingAfterBreak="0">
    <w:nsid w:val="2FD41D25"/>
    <w:multiLevelType w:val="multilevel"/>
    <w:tmpl w:val="0EBA3C40"/>
    <w:lvl w:ilvl="0">
      <w:start w:val="1"/>
      <w:numFmt w:val="decimal"/>
      <w:lvlText w:val="%1"/>
      <w:lvlJc w:val="left"/>
      <w:pPr>
        <w:ind w:left="432" w:hanging="432"/>
      </w:pPr>
    </w:lvl>
    <w:lvl w:ilvl="1">
      <w:start w:val="1"/>
      <w:numFmt w:val="decimal"/>
      <w:lvlText w:val="%1.%2"/>
      <w:lvlJc w:val="left"/>
      <w:pPr>
        <w:ind w:left="6247"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8" w15:restartNumberingAfterBreak="0">
    <w:nsid w:val="30101064"/>
    <w:multiLevelType w:val="hybridMultilevel"/>
    <w:tmpl w:val="2086257E"/>
    <w:lvl w:ilvl="0" w:tplc="04090001">
      <w:start w:val="1"/>
      <w:numFmt w:val="bullet"/>
      <w:lvlText w:val=""/>
      <w:lvlJc w:val="left"/>
      <w:pPr>
        <w:ind w:left="720" w:hanging="360"/>
      </w:pPr>
      <w:rPr>
        <w:rFonts w:ascii="Symbol" w:hAnsi="Symbol" w:hint="default"/>
      </w:rPr>
    </w:lvl>
    <w:lvl w:ilvl="1" w:tplc="598E25E0">
      <w:numFmt w:val="bullet"/>
      <w:lvlText w:val=""/>
      <w:lvlJc w:val="left"/>
      <w:pPr>
        <w:ind w:left="1440" w:hanging="360"/>
      </w:pPr>
      <w:rPr>
        <w:rFonts w:ascii="Symbol" w:eastAsiaTheme="minorHAnsi" w:hAnsi="Symbol"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30804BCE"/>
    <w:multiLevelType w:val="multilevel"/>
    <w:tmpl w:val="0409001D"/>
    <w:styleLink w:val="Style2"/>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0" w15:restartNumberingAfterBreak="0">
    <w:nsid w:val="30876EB7"/>
    <w:multiLevelType w:val="hybridMultilevel"/>
    <w:tmpl w:val="847C03E6"/>
    <w:lvl w:ilvl="0" w:tplc="081A000F">
      <w:start w:val="1"/>
      <w:numFmt w:val="decimal"/>
      <w:lvlText w:val="%1."/>
      <w:lvlJc w:val="left"/>
      <w:pPr>
        <w:ind w:left="720" w:hanging="360"/>
      </w:pPr>
      <w:rPr>
        <w:rFont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41" w15:restartNumberingAfterBreak="0">
    <w:nsid w:val="30961F9A"/>
    <w:multiLevelType w:val="hybridMultilevel"/>
    <w:tmpl w:val="D36449CC"/>
    <w:lvl w:ilvl="0" w:tplc="06543AC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0DE7803"/>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143" w15:restartNumberingAfterBreak="0">
    <w:nsid w:val="31164F66"/>
    <w:multiLevelType w:val="singleLevel"/>
    <w:tmpl w:val="E1287A7E"/>
    <w:lvl w:ilvl="0">
      <w:start w:val="1"/>
      <w:numFmt w:val="lowerLetter"/>
      <w:lvlText w:val="%1)"/>
      <w:lvlJc w:val="left"/>
      <w:pPr>
        <w:tabs>
          <w:tab w:val="num" w:pos="720"/>
        </w:tabs>
        <w:ind w:left="720" w:hanging="360"/>
      </w:pPr>
      <w:rPr>
        <w:rFonts w:hint="default"/>
        <w:b w:val="0"/>
      </w:rPr>
    </w:lvl>
  </w:abstractNum>
  <w:abstractNum w:abstractNumId="144" w15:restartNumberingAfterBreak="0">
    <w:nsid w:val="31763FA3"/>
    <w:multiLevelType w:val="hybridMultilevel"/>
    <w:tmpl w:val="2AE867EC"/>
    <w:lvl w:ilvl="0" w:tplc="5120C50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321503C1"/>
    <w:multiLevelType w:val="hybridMultilevel"/>
    <w:tmpl w:val="F6523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328979E0"/>
    <w:multiLevelType w:val="hybridMultilevel"/>
    <w:tmpl w:val="AD46D678"/>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47" w15:restartNumberingAfterBreak="0">
    <w:nsid w:val="32C57C7E"/>
    <w:multiLevelType w:val="hybridMultilevel"/>
    <w:tmpl w:val="7BE0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8" w15:restartNumberingAfterBreak="0">
    <w:nsid w:val="32EC53FE"/>
    <w:multiLevelType w:val="multilevel"/>
    <w:tmpl w:val="F3B4E902"/>
    <w:lvl w:ilvl="0">
      <w:start w:val="1"/>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33370E5D"/>
    <w:multiLevelType w:val="hybridMultilevel"/>
    <w:tmpl w:val="6E9498F0"/>
    <w:lvl w:ilvl="0" w:tplc="518267C2">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50" w15:restartNumberingAfterBreak="0">
    <w:nsid w:val="33C55CD1"/>
    <w:multiLevelType w:val="hybridMultilevel"/>
    <w:tmpl w:val="EDB60D26"/>
    <w:name w:val="WW8Num9"/>
    <w:lvl w:ilvl="0" w:tplc="E55EEC6E">
      <w:start w:val="1"/>
      <w:numFmt w:val="bullet"/>
      <w:lvlText w:val=""/>
      <w:lvlJc w:val="left"/>
      <w:pPr>
        <w:ind w:left="720" w:hanging="360"/>
      </w:pPr>
      <w:rPr>
        <w:rFonts w:ascii="Symbol" w:hAnsi="Symbol" w:hint="default"/>
      </w:rPr>
    </w:lvl>
    <w:lvl w:ilvl="1" w:tplc="E1CCF7F0" w:tentative="1">
      <w:start w:val="1"/>
      <w:numFmt w:val="bullet"/>
      <w:lvlText w:val="o"/>
      <w:lvlJc w:val="left"/>
      <w:pPr>
        <w:ind w:left="1440" w:hanging="360"/>
      </w:pPr>
      <w:rPr>
        <w:rFonts w:ascii="Courier New" w:hAnsi="Courier New" w:cs="Courier New" w:hint="default"/>
      </w:rPr>
    </w:lvl>
    <w:lvl w:ilvl="2" w:tplc="3F90F31E" w:tentative="1">
      <w:start w:val="1"/>
      <w:numFmt w:val="bullet"/>
      <w:lvlText w:val=""/>
      <w:lvlJc w:val="left"/>
      <w:pPr>
        <w:ind w:left="2160" w:hanging="360"/>
      </w:pPr>
      <w:rPr>
        <w:rFonts w:ascii="Wingdings" w:hAnsi="Wingdings" w:hint="default"/>
      </w:rPr>
    </w:lvl>
    <w:lvl w:ilvl="3" w:tplc="44FC052A" w:tentative="1">
      <w:start w:val="1"/>
      <w:numFmt w:val="bullet"/>
      <w:lvlText w:val=""/>
      <w:lvlJc w:val="left"/>
      <w:pPr>
        <w:ind w:left="2880" w:hanging="360"/>
      </w:pPr>
      <w:rPr>
        <w:rFonts w:ascii="Symbol" w:hAnsi="Symbol" w:hint="default"/>
      </w:rPr>
    </w:lvl>
    <w:lvl w:ilvl="4" w:tplc="7A5CA6F0" w:tentative="1">
      <w:start w:val="1"/>
      <w:numFmt w:val="bullet"/>
      <w:lvlText w:val="o"/>
      <w:lvlJc w:val="left"/>
      <w:pPr>
        <w:ind w:left="3600" w:hanging="360"/>
      </w:pPr>
      <w:rPr>
        <w:rFonts w:ascii="Courier New" w:hAnsi="Courier New" w:cs="Courier New" w:hint="default"/>
      </w:rPr>
    </w:lvl>
    <w:lvl w:ilvl="5" w:tplc="D8E8C228" w:tentative="1">
      <w:start w:val="1"/>
      <w:numFmt w:val="bullet"/>
      <w:lvlText w:val=""/>
      <w:lvlJc w:val="left"/>
      <w:pPr>
        <w:ind w:left="4320" w:hanging="360"/>
      </w:pPr>
      <w:rPr>
        <w:rFonts w:ascii="Wingdings" w:hAnsi="Wingdings" w:hint="default"/>
      </w:rPr>
    </w:lvl>
    <w:lvl w:ilvl="6" w:tplc="0BF2C5D0" w:tentative="1">
      <w:start w:val="1"/>
      <w:numFmt w:val="bullet"/>
      <w:lvlText w:val=""/>
      <w:lvlJc w:val="left"/>
      <w:pPr>
        <w:ind w:left="5040" w:hanging="360"/>
      </w:pPr>
      <w:rPr>
        <w:rFonts w:ascii="Symbol" w:hAnsi="Symbol" w:hint="default"/>
      </w:rPr>
    </w:lvl>
    <w:lvl w:ilvl="7" w:tplc="46D6CDA6" w:tentative="1">
      <w:start w:val="1"/>
      <w:numFmt w:val="bullet"/>
      <w:lvlText w:val="o"/>
      <w:lvlJc w:val="left"/>
      <w:pPr>
        <w:ind w:left="5760" w:hanging="360"/>
      </w:pPr>
      <w:rPr>
        <w:rFonts w:ascii="Courier New" w:hAnsi="Courier New" w:cs="Courier New" w:hint="default"/>
      </w:rPr>
    </w:lvl>
    <w:lvl w:ilvl="8" w:tplc="FEEC6968" w:tentative="1">
      <w:start w:val="1"/>
      <w:numFmt w:val="bullet"/>
      <w:lvlText w:val=""/>
      <w:lvlJc w:val="left"/>
      <w:pPr>
        <w:ind w:left="6480" w:hanging="360"/>
      </w:pPr>
      <w:rPr>
        <w:rFonts w:ascii="Wingdings" w:hAnsi="Wingdings" w:hint="default"/>
      </w:rPr>
    </w:lvl>
  </w:abstractNum>
  <w:abstractNum w:abstractNumId="151" w15:restartNumberingAfterBreak="0">
    <w:nsid w:val="361F7B72"/>
    <w:multiLevelType w:val="hybridMultilevel"/>
    <w:tmpl w:val="D6E469DC"/>
    <w:lvl w:ilvl="0" w:tplc="FFFFFFFF">
      <w:start w:val="1"/>
      <w:numFmt w:val="decimal"/>
      <w:lvlText w:val="%1."/>
      <w:lvlJc w:val="left"/>
      <w:pPr>
        <w:ind w:left="360" w:hanging="360"/>
      </w:pPr>
      <w:rPr>
        <w:b/>
      </w:rPr>
    </w:lvl>
    <w:lvl w:ilvl="1" w:tplc="574EBED8">
      <w:start w:val="1"/>
      <w:numFmt w:val="lowerLetter"/>
      <w:lvlText w:val="%2."/>
      <w:lvlJc w:val="left"/>
      <w:pPr>
        <w:ind w:left="1080" w:hanging="360"/>
      </w:pPr>
    </w:lvl>
    <w:lvl w:ilvl="2" w:tplc="057CB00E">
      <w:start w:val="1"/>
      <w:numFmt w:val="lowerRoman"/>
      <w:lvlText w:val="(%3)"/>
      <w:lvlJc w:val="left"/>
      <w:pPr>
        <w:ind w:left="2340" w:hanging="720"/>
      </w:pPr>
      <w:rPr>
        <w:rFonts w:hint="default"/>
        <w:b w:val="0"/>
      </w:rPr>
    </w:lvl>
    <w:lvl w:ilvl="3" w:tplc="AC0CEDEA" w:tentative="1">
      <w:start w:val="1"/>
      <w:numFmt w:val="decimal"/>
      <w:lvlText w:val="%4."/>
      <w:lvlJc w:val="left"/>
      <w:pPr>
        <w:ind w:left="2520" w:hanging="360"/>
      </w:pPr>
    </w:lvl>
    <w:lvl w:ilvl="4" w:tplc="CD8E718E" w:tentative="1">
      <w:start w:val="1"/>
      <w:numFmt w:val="lowerLetter"/>
      <w:lvlText w:val="%5."/>
      <w:lvlJc w:val="left"/>
      <w:pPr>
        <w:ind w:left="3240" w:hanging="360"/>
      </w:pPr>
    </w:lvl>
    <w:lvl w:ilvl="5" w:tplc="B1824BE6" w:tentative="1">
      <w:start w:val="1"/>
      <w:numFmt w:val="lowerRoman"/>
      <w:lvlText w:val="%6."/>
      <w:lvlJc w:val="right"/>
      <w:pPr>
        <w:ind w:left="3960" w:hanging="180"/>
      </w:pPr>
    </w:lvl>
    <w:lvl w:ilvl="6" w:tplc="3B106652" w:tentative="1">
      <w:start w:val="1"/>
      <w:numFmt w:val="decimal"/>
      <w:lvlText w:val="%7."/>
      <w:lvlJc w:val="left"/>
      <w:pPr>
        <w:ind w:left="4680" w:hanging="360"/>
      </w:pPr>
    </w:lvl>
    <w:lvl w:ilvl="7" w:tplc="CE8694E6" w:tentative="1">
      <w:start w:val="1"/>
      <w:numFmt w:val="lowerLetter"/>
      <w:lvlText w:val="%8."/>
      <w:lvlJc w:val="left"/>
      <w:pPr>
        <w:ind w:left="5400" w:hanging="360"/>
      </w:pPr>
    </w:lvl>
    <w:lvl w:ilvl="8" w:tplc="BBCAEEF2" w:tentative="1">
      <w:start w:val="1"/>
      <w:numFmt w:val="lowerRoman"/>
      <w:lvlText w:val="%9."/>
      <w:lvlJc w:val="right"/>
      <w:pPr>
        <w:ind w:left="6120" w:hanging="180"/>
      </w:pPr>
    </w:lvl>
  </w:abstractNum>
  <w:abstractNum w:abstractNumId="152" w15:restartNumberingAfterBreak="0">
    <w:nsid w:val="369C4096"/>
    <w:multiLevelType w:val="hybridMultilevel"/>
    <w:tmpl w:val="C194D5E6"/>
    <w:lvl w:ilvl="0" w:tplc="B0DA0F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15:restartNumberingAfterBreak="0">
    <w:nsid w:val="373811D5"/>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154" w15:restartNumberingAfterBreak="0">
    <w:nsid w:val="37393DAB"/>
    <w:multiLevelType w:val="multilevel"/>
    <w:tmpl w:val="FFB42136"/>
    <w:lvl w:ilvl="0">
      <w:start w:val="1"/>
      <w:numFmt w:val="decimal"/>
      <w:lvlText w:val="%1."/>
      <w:lvlJc w:val="left"/>
      <w:pPr>
        <w:tabs>
          <w:tab w:val="num" w:pos="720"/>
        </w:tabs>
        <w:ind w:left="720" w:hanging="360"/>
      </w:pPr>
    </w:lvl>
    <w:lvl w:ilvl="1">
      <w:start w:val="1"/>
      <w:numFmt w:val="upperLetter"/>
      <w:lvlText w:val="(%2)"/>
      <w:lvlJc w:val="left"/>
      <w:pPr>
        <w:ind w:left="1800" w:hanging="720"/>
      </w:pPr>
      <w:rPr>
        <w:rFonts w:hint="default"/>
      </w:rPr>
    </w:lvl>
    <w:lvl w:ilvl="2">
      <w:start w:val="1"/>
      <w:numFmt w:val="decimal"/>
      <w:lvlText w:val="%3."/>
      <w:lvlJc w:val="left"/>
      <w:pPr>
        <w:ind w:left="72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379E5759"/>
    <w:multiLevelType w:val="hybridMultilevel"/>
    <w:tmpl w:val="F282E5DC"/>
    <w:lvl w:ilvl="0" w:tplc="0FD4759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7B96D85"/>
    <w:multiLevelType w:val="multilevel"/>
    <w:tmpl w:val="C77C8A0C"/>
    <w:lvl w:ilvl="0">
      <w:start w:val="1"/>
      <w:numFmt w:val="upperRoman"/>
      <w:lvlText w:val="%1"/>
      <w:lvlJc w:val="left"/>
      <w:pPr>
        <w:ind w:left="824" w:hanging="652"/>
      </w:pPr>
      <w:rPr>
        <w:rFonts w:hint="default"/>
        <w:lang w:val="en-US" w:eastAsia="en-US" w:bidi="ar-SA"/>
      </w:rPr>
    </w:lvl>
    <w:lvl w:ilvl="1">
      <w:start w:val="1"/>
      <w:numFmt w:val="decimal"/>
      <w:lvlText w:val="%1.%2)"/>
      <w:lvlJc w:val="left"/>
      <w:pPr>
        <w:ind w:left="824" w:hanging="652"/>
      </w:pPr>
      <w:rPr>
        <w:rFonts w:ascii="Arial" w:eastAsia="Arial" w:hAnsi="Arial" w:cs="Arial" w:hint="default"/>
        <w:b/>
        <w:bCs/>
        <w:w w:val="93"/>
        <w:sz w:val="20"/>
        <w:szCs w:val="20"/>
        <w:lang w:val="en-US" w:eastAsia="en-US" w:bidi="ar-SA"/>
      </w:rPr>
    </w:lvl>
    <w:lvl w:ilvl="2">
      <w:numFmt w:val="bullet"/>
      <w:lvlText w:val="•"/>
      <w:lvlJc w:val="left"/>
      <w:pPr>
        <w:ind w:left="2745" w:hanging="652"/>
      </w:pPr>
      <w:rPr>
        <w:rFonts w:hint="default"/>
        <w:lang w:val="en-US" w:eastAsia="en-US" w:bidi="ar-SA"/>
      </w:rPr>
    </w:lvl>
    <w:lvl w:ilvl="3">
      <w:numFmt w:val="bullet"/>
      <w:lvlText w:val="•"/>
      <w:lvlJc w:val="left"/>
      <w:pPr>
        <w:ind w:left="3708" w:hanging="652"/>
      </w:pPr>
      <w:rPr>
        <w:rFonts w:hint="default"/>
        <w:lang w:val="en-US" w:eastAsia="en-US" w:bidi="ar-SA"/>
      </w:rPr>
    </w:lvl>
    <w:lvl w:ilvl="4">
      <w:numFmt w:val="bullet"/>
      <w:lvlText w:val="•"/>
      <w:lvlJc w:val="left"/>
      <w:pPr>
        <w:ind w:left="4670" w:hanging="652"/>
      </w:pPr>
      <w:rPr>
        <w:rFonts w:hint="default"/>
        <w:lang w:val="en-US" w:eastAsia="en-US" w:bidi="ar-SA"/>
      </w:rPr>
    </w:lvl>
    <w:lvl w:ilvl="5">
      <w:numFmt w:val="bullet"/>
      <w:lvlText w:val="•"/>
      <w:lvlJc w:val="left"/>
      <w:pPr>
        <w:ind w:left="5633" w:hanging="652"/>
      </w:pPr>
      <w:rPr>
        <w:rFonts w:hint="default"/>
        <w:lang w:val="en-US" w:eastAsia="en-US" w:bidi="ar-SA"/>
      </w:rPr>
    </w:lvl>
    <w:lvl w:ilvl="6">
      <w:numFmt w:val="bullet"/>
      <w:lvlText w:val="•"/>
      <w:lvlJc w:val="left"/>
      <w:pPr>
        <w:ind w:left="6596" w:hanging="652"/>
      </w:pPr>
      <w:rPr>
        <w:rFonts w:hint="default"/>
        <w:lang w:val="en-US" w:eastAsia="en-US" w:bidi="ar-SA"/>
      </w:rPr>
    </w:lvl>
    <w:lvl w:ilvl="7">
      <w:numFmt w:val="bullet"/>
      <w:lvlText w:val="•"/>
      <w:lvlJc w:val="left"/>
      <w:pPr>
        <w:ind w:left="7558" w:hanging="652"/>
      </w:pPr>
      <w:rPr>
        <w:rFonts w:hint="default"/>
        <w:lang w:val="en-US" w:eastAsia="en-US" w:bidi="ar-SA"/>
      </w:rPr>
    </w:lvl>
    <w:lvl w:ilvl="8">
      <w:numFmt w:val="bullet"/>
      <w:lvlText w:val="•"/>
      <w:lvlJc w:val="left"/>
      <w:pPr>
        <w:ind w:left="8521" w:hanging="652"/>
      </w:pPr>
      <w:rPr>
        <w:rFonts w:hint="default"/>
        <w:lang w:val="en-US" w:eastAsia="en-US" w:bidi="ar-SA"/>
      </w:rPr>
    </w:lvl>
  </w:abstractNum>
  <w:abstractNum w:abstractNumId="157" w15:restartNumberingAfterBreak="0">
    <w:nsid w:val="37E476E1"/>
    <w:multiLevelType w:val="hybridMultilevel"/>
    <w:tmpl w:val="95160258"/>
    <w:lvl w:ilvl="0" w:tplc="0000008A">
      <w:start w:val="1"/>
      <w:numFmt w:val="bullet"/>
      <w:lvlText w:val=""/>
      <w:lvlJc w:val="left"/>
      <w:pPr>
        <w:ind w:left="720" w:hanging="360"/>
      </w:pPr>
      <w:rPr>
        <w:rFonts w:ascii="Symbol" w:hAnsi="Symbol" w:hint="default"/>
        <w:color w:val="31849B" w:themeColor="accent5" w:themeShade="BF"/>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15:restartNumberingAfterBreak="0">
    <w:nsid w:val="39B5259A"/>
    <w:multiLevelType w:val="hybridMultilevel"/>
    <w:tmpl w:val="C830973C"/>
    <w:lvl w:ilvl="0" w:tplc="9076722A">
      <w:start w:val="1"/>
      <w:numFmt w:val="decimal"/>
      <w:lvlText w:val="%1."/>
      <w:lvlJc w:val="left"/>
      <w:pPr>
        <w:tabs>
          <w:tab w:val="num" w:pos="1080"/>
        </w:tabs>
        <w:ind w:left="1080" w:hanging="360"/>
      </w:pPr>
    </w:lvl>
    <w:lvl w:ilvl="1" w:tplc="040C0019">
      <w:start w:val="1"/>
      <w:numFmt w:val="lowerRoman"/>
      <w:lvlText w:val="%2."/>
      <w:lvlJc w:val="right"/>
      <w:pPr>
        <w:tabs>
          <w:tab w:val="num" w:pos="1620"/>
        </w:tabs>
        <w:ind w:left="1620" w:hanging="180"/>
      </w:pPr>
      <w:rPr>
        <w:rFonts w:hint="default"/>
        <w:b w:val="0"/>
        <w:i w:val="0"/>
      </w:rPr>
    </w:lvl>
    <w:lvl w:ilvl="2" w:tplc="040C001B">
      <w:start w:val="1"/>
      <w:numFmt w:val="lowerLetter"/>
      <w:lvlText w:val="%3)"/>
      <w:lvlJc w:val="left"/>
      <w:pPr>
        <w:tabs>
          <w:tab w:val="num" w:pos="2700"/>
        </w:tabs>
        <w:ind w:left="2700" w:hanging="360"/>
      </w:pPr>
      <w:rPr>
        <w:rFonts w:hint="default"/>
        <w:b w:val="0"/>
        <w:i w:val="0"/>
      </w:rPr>
    </w:lvl>
    <w:lvl w:ilvl="3" w:tplc="040C000F">
      <w:start w:val="1"/>
      <w:numFmt w:val="none"/>
      <w:lvlText w:val="viii."/>
      <w:lvlJc w:val="right"/>
      <w:pPr>
        <w:tabs>
          <w:tab w:val="num" w:pos="1620"/>
        </w:tabs>
        <w:ind w:left="1620" w:hanging="180"/>
      </w:pPr>
      <w:rPr>
        <w:rFonts w:hint="default"/>
        <w:b w:val="0"/>
        <w:i w:val="0"/>
      </w:rPr>
    </w:lvl>
    <w:lvl w:ilvl="4" w:tplc="040C0019">
      <w:start w:val="2"/>
      <w:numFmt w:val="decimal"/>
      <w:lvlText w:val="%5"/>
      <w:lvlJc w:val="left"/>
      <w:pPr>
        <w:tabs>
          <w:tab w:val="num" w:pos="3960"/>
        </w:tabs>
        <w:ind w:left="3960" w:hanging="360"/>
      </w:pPr>
      <w:rPr>
        <w:rFonts w:hint="default"/>
      </w:rPr>
    </w:lvl>
    <w:lvl w:ilvl="5" w:tplc="040C001B" w:tentative="1">
      <w:start w:val="1"/>
      <w:numFmt w:val="lowerRoman"/>
      <w:lvlText w:val="%6."/>
      <w:lvlJc w:val="right"/>
      <w:pPr>
        <w:tabs>
          <w:tab w:val="num" w:pos="4680"/>
        </w:tabs>
        <w:ind w:left="4680" w:hanging="180"/>
      </w:pPr>
    </w:lvl>
    <w:lvl w:ilvl="6" w:tplc="040C000F" w:tentative="1">
      <w:start w:val="1"/>
      <w:numFmt w:val="decimal"/>
      <w:lvlText w:val="%7."/>
      <w:lvlJc w:val="left"/>
      <w:pPr>
        <w:tabs>
          <w:tab w:val="num" w:pos="5400"/>
        </w:tabs>
        <w:ind w:left="5400" w:hanging="360"/>
      </w:pPr>
    </w:lvl>
    <w:lvl w:ilvl="7" w:tplc="040C0019" w:tentative="1">
      <w:start w:val="1"/>
      <w:numFmt w:val="lowerLetter"/>
      <w:lvlText w:val="%8."/>
      <w:lvlJc w:val="left"/>
      <w:pPr>
        <w:tabs>
          <w:tab w:val="num" w:pos="6120"/>
        </w:tabs>
        <w:ind w:left="6120" w:hanging="360"/>
      </w:pPr>
    </w:lvl>
    <w:lvl w:ilvl="8" w:tplc="040C001B" w:tentative="1">
      <w:start w:val="1"/>
      <w:numFmt w:val="lowerRoman"/>
      <w:lvlText w:val="%9."/>
      <w:lvlJc w:val="right"/>
      <w:pPr>
        <w:tabs>
          <w:tab w:val="num" w:pos="6840"/>
        </w:tabs>
        <w:ind w:left="6840" w:hanging="180"/>
      </w:pPr>
    </w:lvl>
  </w:abstractNum>
  <w:abstractNum w:abstractNumId="159" w15:restartNumberingAfterBreak="0">
    <w:nsid w:val="3A3D7DD7"/>
    <w:multiLevelType w:val="multilevel"/>
    <w:tmpl w:val="DF2E6E5A"/>
    <w:lvl w:ilvl="0">
      <w:start w:val="1"/>
      <w:numFmt w:val="decimal"/>
      <w:lvlText w:val="%1."/>
      <w:lvlJc w:val="left"/>
      <w:pPr>
        <w:tabs>
          <w:tab w:val="num" w:pos="1620"/>
        </w:tabs>
        <w:ind w:left="1620" w:firstLine="0"/>
      </w:pPr>
      <w:rPr>
        <w:rFonts w:ascii="Calibri" w:eastAsiaTheme="minorEastAsia" w:hAnsi="Calibri" w:cs="Calibri" w:hint="default"/>
        <w:sz w:val="30"/>
        <w:szCs w:val="30"/>
      </w:rPr>
    </w:lvl>
    <w:lvl w:ilvl="1">
      <w:start w:val="1"/>
      <w:numFmt w:val="decimal"/>
      <w:lvlText w:val="%1.%2."/>
      <w:lvlJc w:val="left"/>
      <w:pPr>
        <w:tabs>
          <w:tab w:val="num" w:pos="720"/>
        </w:tabs>
        <w:ind w:left="720" w:firstLine="0"/>
      </w:pPr>
    </w:lvl>
    <w:lvl w:ilvl="2">
      <w:start w:val="1"/>
      <w:numFmt w:val="decimal"/>
      <w:lvlText w:val="%1.%2.%3."/>
      <w:lvlJc w:val="left"/>
      <w:pPr>
        <w:tabs>
          <w:tab w:val="num" w:pos="0"/>
        </w:tabs>
        <w:ind w:left="0" w:firstLine="0"/>
      </w:pPr>
    </w:lvl>
    <w:lvl w:ilvl="3">
      <w:start w:val="1"/>
      <w:numFmt w:val="lowerLetter"/>
      <w:lvlText w:val="%4)"/>
      <w:lvlJc w:val="left"/>
      <w:pPr>
        <w:tabs>
          <w:tab w:val="num" w:pos="810"/>
        </w:tabs>
        <w:ind w:left="810" w:firstLine="0"/>
      </w:pPr>
    </w:lvl>
    <w:lvl w:ilvl="4">
      <w:start w:val="1"/>
      <w:numFmt w:val="decimal"/>
      <w:lvlText w:val="(%5)"/>
      <w:lvlJc w:val="left"/>
      <w:pPr>
        <w:tabs>
          <w:tab w:val="num" w:pos="3690"/>
        </w:tabs>
        <w:ind w:left="3690" w:firstLine="0"/>
      </w:pPr>
    </w:lvl>
    <w:lvl w:ilvl="5">
      <w:start w:val="1"/>
      <w:numFmt w:val="lowerLetter"/>
      <w:lvlText w:val="(%6)"/>
      <w:lvlJc w:val="left"/>
      <w:pPr>
        <w:tabs>
          <w:tab w:val="num" w:pos="4410"/>
        </w:tabs>
        <w:ind w:left="4410" w:firstLine="0"/>
      </w:pPr>
    </w:lvl>
    <w:lvl w:ilvl="6">
      <w:start w:val="1"/>
      <w:numFmt w:val="lowerRoman"/>
      <w:lvlText w:val="(%7)"/>
      <w:lvlJc w:val="left"/>
      <w:pPr>
        <w:tabs>
          <w:tab w:val="num" w:pos="5130"/>
        </w:tabs>
        <w:ind w:left="5130" w:firstLine="0"/>
      </w:pPr>
    </w:lvl>
    <w:lvl w:ilvl="7">
      <w:start w:val="1"/>
      <w:numFmt w:val="lowerLetter"/>
      <w:lvlText w:val="(%8)"/>
      <w:lvlJc w:val="left"/>
      <w:pPr>
        <w:tabs>
          <w:tab w:val="num" w:pos="5850"/>
        </w:tabs>
        <w:ind w:left="5850" w:firstLine="0"/>
      </w:pPr>
    </w:lvl>
    <w:lvl w:ilvl="8">
      <w:start w:val="1"/>
      <w:numFmt w:val="lowerRoman"/>
      <w:lvlText w:val="(%9)"/>
      <w:lvlJc w:val="left"/>
      <w:pPr>
        <w:tabs>
          <w:tab w:val="num" w:pos="6570"/>
        </w:tabs>
        <w:ind w:left="6570" w:firstLine="0"/>
      </w:pPr>
    </w:lvl>
  </w:abstractNum>
  <w:abstractNum w:abstractNumId="160" w15:restartNumberingAfterBreak="0">
    <w:nsid w:val="3A631EAA"/>
    <w:multiLevelType w:val="hybridMultilevel"/>
    <w:tmpl w:val="17D8328C"/>
    <w:lvl w:ilvl="0" w:tplc="04090011">
      <w:start w:val="1"/>
      <w:numFmt w:val="decimal"/>
      <w:lvlText w:val="%1)"/>
      <w:lvlJc w:val="left"/>
      <w:pPr>
        <w:ind w:left="1070" w:hanging="360"/>
      </w:pPr>
    </w:lvl>
    <w:lvl w:ilvl="1" w:tplc="081A0019" w:tentative="1">
      <w:start w:val="1"/>
      <w:numFmt w:val="lowerLetter"/>
      <w:lvlText w:val="%2."/>
      <w:lvlJc w:val="left"/>
      <w:pPr>
        <w:ind w:left="1790" w:hanging="360"/>
      </w:pPr>
    </w:lvl>
    <w:lvl w:ilvl="2" w:tplc="081A001B" w:tentative="1">
      <w:start w:val="1"/>
      <w:numFmt w:val="lowerRoman"/>
      <w:lvlText w:val="%3."/>
      <w:lvlJc w:val="right"/>
      <w:pPr>
        <w:ind w:left="2510" w:hanging="180"/>
      </w:pPr>
    </w:lvl>
    <w:lvl w:ilvl="3" w:tplc="081A000F" w:tentative="1">
      <w:start w:val="1"/>
      <w:numFmt w:val="decimal"/>
      <w:lvlText w:val="%4."/>
      <w:lvlJc w:val="left"/>
      <w:pPr>
        <w:ind w:left="3230" w:hanging="360"/>
      </w:pPr>
    </w:lvl>
    <w:lvl w:ilvl="4" w:tplc="081A0019" w:tentative="1">
      <w:start w:val="1"/>
      <w:numFmt w:val="lowerLetter"/>
      <w:lvlText w:val="%5."/>
      <w:lvlJc w:val="left"/>
      <w:pPr>
        <w:ind w:left="3950" w:hanging="360"/>
      </w:pPr>
    </w:lvl>
    <w:lvl w:ilvl="5" w:tplc="081A001B" w:tentative="1">
      <w:start w:val="1"/>
      <w:numFmt w:val="lowerRoman"/>
      <w:lvlText w:val="%6."/>
      <w:lvlJc w:val="right"/>
      <w:pPr>
        <w:ind w:left="4670" w:hanging="180"/>
      </w:pPr>
    </w:lvl>
    <w:lvl w:ilvl="6" w:tplc="081A000F" w:tentative="1">
      <w:start w:val="1"/>
      <w:numFmt w:val="decimal"/>
      <w:lvlText w:val="%7."/>
      <w:lvlJc w:val="left"/>
      <w:pPr>
        <w:ind w:left="5390" w:hanging="360"/>
      </w:pPr>
    </w:lvl>
    <w:lvl w:ilvl="7" w:tplc="081A0019" w:tentative="1">
      <w:start w:val="1"/>
      <w:numFmt w:val="lowerLetter"/>
      <w:lvlText w:val="%8."/>
      <w:lvlJc w:val="left"/>
      <w:pPr>
        <w:ind w:left="6110" w:hanging="360"/>
      </w:pPr>
    </w:lvl>
    <w:lvl w:ilvl="8" w:tplc="081A001B" w:tentative="1">
      <w:start w:val="1"/>
      <w:numFmt w:val="lowerRoman"/>
      <w:lvlText w:val="%9."/>
      <w:lvlJc w:val="right"/>
      <w:pPr>
        <w:ind w:left="6830" w:hanging="180"/>
      </w:pPr>
    </w:lvl>
  </w:abstractNum>
  <w:abstractNum w:abstractNumId="161" w15:restartNumberingAfterBreak="0">
    <w:nsid w:val="3B073F3F"/>
    <w:multiLevelType w:val="hybridMultilevel"/>
    <w:tmpl w:val="41FA9A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3B1020B8"/>
    <w:multiLevelType w:val="hybridMultilevel"/>
    <w:tmpl w:val="1C74085E"/>
    <w:lvl w:ilvl="0" w:tplc="35C05E12">
      <w:start w:val="1"/>
      <w:numFmt w:val="bullet"/>
      <w:lvlText w:val=""/>
      <w:lvlJc w:val="left"/>
      <w:pPr>
        <w:ind w:left="360" w:hanging="360"/>
      </w:pPr>
      <w:rPr>
        <w:rFonts w:ascii="Symbol" w:hAnsi="Symbol" w:hint="default"/>
      </w:rPr>
    </w:lvl>
    <w:lvl w:ilvl="1" w:tplc="367455B4" w:tentative="1">
      <w:start w:val="1"/>
      <w:numFmt w:val="bullet"/>
      <w:lvlText w:val="o"/>
      <w:lvlJc w:val="left"/>
      <w:pPr>
        <w:ind w:left="1080" w:hanging="360"/>
      </w:pPr>
      <w:rPr>
        <w:rFonts w:ascii="Courier New" w:hAnsi="Courier New" w:cs="Courier New" w:hint="default"/>
      </w:rPr>
    </w:lvl>
    <w:lvl w:ilvl="2" w:tplc="5BE6F2FE" w:tentative="1">
      <w:start w:val="1"/>
      <w:numFmt w:val="bullet"/>
      <w:lvlText w:val=""/>
      <w:lvlJc w:val="left"/>
      <w:pPr>
        <w:ind w:left="1800" w:hanging="360"/>
      </w:pPr>
      <w:rPr>
        <w:rFonts w:ascii="Wingdings" w:hAnsi="Wingdings" w:hint="default"/>
      </w:rPr>
    </w:lvl>
    <w:lvl w:ilvl="3" w:tplc="A9DE1604" w:tentative="1">
      <w:start w:val="1"/>
      <w:numFmt w:val="bullet"/>
      <w:lvlText w:val=""/>
      <w:lvlJc w:val="left"/>
      <w:pPr>
        <w:ind w:left="2520" w:hanging="360"/>
      </w:pPr>
      <w:rPr>
        <w:rFonts w:ascii="Symbol" w:hAnsi="Symbol" w:hint="default"/>
      </w:rPr>
    </w:lvl>
    <w:lvl w:ilvl="4" w:tplc="026E8B82" w:tentative="1">
      <w:start w:val="1"/>
      <w:numFmt w:val="bullet"/>
      <w:lvlText w:val="o"/>
      <w:lvlJc w:val="left"/>
      <w:pPr>
        <w:ind w:left="3240" w:hanging="360"/>
      </w:pPr>
      <w:rPr>
        <w:rFonts w:ascii="Courier New" w:hAnsi="Courier New" w:cs="Courier New" w:hint="default"/>
      </w:rPr>
    </w:lvl>
    <w:lvl w:ilvl="5" w:tplc="696A731E" w:tentative="1">
      <w:start w:val="1"/>
      <w:numFmt w:val="bullet"/>
      <w:lvlText w:val=""/>
      <w:lvlJc w:val="left"/>
      <w:pPr>
        <w:ind w:left="3960" w:hanging="360"/>
      </w:pPr>
      <w:rPr>
        <w:rFonts w:ascii="Wingdings" w:hAnsi="Wingdings" w:hint="default"/>
      </w:rPr>
    </w:lvl>
    <w:lvl w:ilvl="6" w:tplc="B4163D1A" w:tentative="1">
      <w:start w:val="1"/>
      <w:numFmt w:val="bullet"/>
      <w:lvlText w:val=""/>
      <w:lvlJc w:val="left"/>
      <w:pPr>
        <w:ind w:left="4680" w:hanging="360"/>
      </w:pPr>
      <w:rPr>
        <w:rFonts w:ascii="Symbol" w:hAnsi="Symbol" w:hint="default"/>
      </w:rPr>
    </w:lvl>
    <w:lvl w:ilvl="7" w:tplc="901E6EB6" w:tentative="1">
      <w:start w:val="1"/>
      <w:numFmt w:val="bullet"/>
      <w:lvlText w:val="o"/>
      <w:lvlJc w:val="left"/>
      <w:pPr>
        <w:ind w:left="5400" w:hanging="360"/>
      </w:pPr>
      <w:rPr>
        <w:rFonts w:ascii="Courier New" w:hAnsi="Courier New" w:cs="Courier New" w:hint="default"/>
      </w:rPr>
    </w:lvl>
    <w:lvl w:ilvl="8" w:tplc="A68AAE5E" w:tentative="1">
      <w:start w:val="1"/>
      <w:numFmt w:val="bullet"/>
      <w:lvlText w:val=""/>
      <w:lvlJc w:val="left"/>
      <w:pPr>
        <w:ind w:left="6120" w:hanging="360"/>
      </w:pPr>
      <w:rPr>
        <w:rFonts w:ascii="Wingdings" w:hAnsi="Wingdings" w:hint="default"/>
      </w:rPr>
    </w:lvl>
  </w:abstractNum>
  <w:abstractNum w:abstractNumId="163" w15:restartNumberingAfterBreak="0">
    <w:nsid w:val="3B2E1ADA"/>
    <w:multiLevelType w:val="hybridMultilevel"/>
    <w:tmpl w:val="DADCD94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4" w15:restartNumberingAfterBreak="0">
    <w:nsid w:val="3B4C096E"/>
    <w:multiLevelType w:val="hybridMultilevel"/>
    <w:tmpl w:val="FC2CE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B957CCC"/>
    <w:multiLevelType w:val="hybridMultilevel"/>
    <w:tmpl w:val="FD9A865A"/>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66" w15:restartNumberingAfterBreak="0">
    <w:nsid w:val="3B97576E"/>
    <w:multiLevelType w:val="hybridMultilevel"/>
    <w:tmpl w:val="79227398"/>
    <w:lvl w:ilvl="0" w:tplc="DE10A3C6">
      <w:start w:val="1"/>
      <w:numFmt w:val="bullet"/>
      <w:lvlText w:val=""/>
      <w:lvlJc w:val="left"/>
      <w:pPr>
        <w:ind w:left="720" w:hanging="360"/>
      </w:pPr>
      <w:rPr>
        <w:rFonts w:ascii="Symbol" w:hAnsi="Symbol" w:hint="default"/>
      </w:rPr>
    </w:lvl>
    <w:lvl w:ilvl="1" w:tplc="5C0807E4" w:tentative="1">
      <w:start w:val="1"/>
      <w:numFmt w:val="bullet"/>
      <w:lvlText w:val="o"/>
      <w:lvlJc w:val="left"/>
      <w:pPr>
        <w:ind w:left="1440" w:hanging="360"/>
      </w:pPr>
      <w:rPr>
        <w:rFonts w:ascii="Courier New" w:hAnsi="Courier New" w:cs="Courier New" w:hint="default"/>
      </w:rPr>
    </w:lvl>
    <w:lvl w:ilvl="2" w:tplc="2BC81256" w:tentative="1">
      <w:start w:val="1"/>
      <w:numFmt w:val="bullet"/>
      <w:lvlText w:val=""/>
      <w:lvlJc w:val="left"/>
      <w:pPr>
        <w:ind w:left="2160" w:hanging="360"/>
      </w:pPr>
      <w:rPr>
        <w:rFonts w:ascii="Wingdings" w:hAnsi="Wingdings" w:hint="default"/>
      </w:rPr>
    </w:lvl>
    <w:lvl w:ilvl="3" w:tplc="DDACB020" w:tentative="1">
      <w:start w:val="1"/>
      <w:numFmt w:val="bullet"/>
      <w:lvlText w:val=""/>
      <w:lvlJc w:val="left"/>
      <w:pPr>
        <w:ind w:left="2880" w:hanging="360"/>
      </w:pPr>
      <w:rPr>
        <w:rFonts w:ascii="Symbol" w:hAnsi="Symbol" w:hint="default"/>
      </w:rPr>
    </w:lvl>
    <w:lvl w:ilvl="4" w:tplc="3978F80E" w:tentative="1">
      <w:start w:val="1"/>
      <w:numFmt w:val="bullet"/>
      <w:lvlText w:val="o"/>
      <w:lvlJc w:val="left"/>
      <w:pPr>
        <w:ind w:left="3600" w:hanging="360"/>
      </w:pPr>
      <w:rPr>
        <w:rFonts w:ascii="Courier New" w:hAnsi="Courier New" w:cs="Courier New" w:hint="default"/>
      </w:rPr>
    </w:lvl>
    <w:lvl w:ilvl="5" w:tplc="F9803C2A" w:tentative="1">
      <w:start w:val="1"/>
      <w:numFmt w:val="bullet"/>
      <w:lvlText w:val=""/>
      <w:lvlJc w:val="left"/>
      <w:pPr>
        <w:ind w:left="4320" w:hanging="360"/>
      </w:pPr>
      <w:rPr>
        <w:rFonts w:ascii="Wingdings" w:hAnsi="Wingdings" w:hint="default"/>
      </w:rPr>
    </w:lvl>
    <w:lvl w:ilvl="6" w:tplc="A9D84FEE" w:tentative="1">
      <w:start w:val="1"/>
      <w:numFmt w:val="bullet"/>
      <w:lvlText w:val=""/>
      <w:lvlJc w:val="left"/>
      <w:pPr>
        <w:ind w:left="5040" w:hanging="360"/>
      </w:pPr>
      <w:rPr>
        <w:rFonts w:ascii="Symbol" w:hAnsi="Symbol" w:hint="default"/>
      </w:rPr>
    </w:lvl>
    <w:lvl w:ilvl="7" w:tplc="C0A2A258" w:tentative="1">
      <w:start w:val="1"/>
      <w:numFmt w:val="bullet"/>
      <w:lvlText w:val="o"/>
      <w:lvlJc w:val="left"/>
      <w:pPr>
        <w:ind w:left="5760" w:hanging="360"/>
      </w:pPr>
      <w:rPr>
        <w:rFonts w:ascii="Courier New" w:hAnsi="Courier New" w:cs="Courier New" w:hint="default"/>
      </w:rPr>
    </w:lvl>
    <w:lvl w:ilvl="8" w:tplc="91C4B038" w:tentative="1">
      <w:start w:val="1"/>
      <w:numFmt w:val="bullet"/>
      <w:lvlText w:val=""/>
      <w:lvlJc w:val="left"/>
      <w:pPr>
        <w:ind w:left="6480" w:hanging="360"/>
      </w:pPr>
      <w:rPr>
        <w:rFonts w:ascii="Wingdings" w:hAnsi="Wingdings" w:hint="default"/>
      </w:rPr>
    </w:lvl>
  </w:abstractNum>
  <w:abstractNum w:abstractNumId="167" w15:restartNumberingAfterBreak="0">
    <w:nsid w:val="3BA01E14"/>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168" w15:restartNumberingAfterBreak="0">
    <w:nsid w:val="3BB42B76"/>
    <w:multiLevelType w:val="hybridMultilevel"/>
    <w:tmpl w:val="FB267F58"/>
    <w:lvl w:ilvl="0" w:tplc="D25470B0">
      <w:start w:val="5"/>
      <w:numFmt w:val="bullet"/>
      <w:lvlText w:val="-"/>
      <w:lvlJc w:val="left"/>
      <w:pPr>
        <w:ind w:left="1440" w:hanging="360"/>
      </w:pPr>
      <w:rPr>
        <w:rFonts w:ascii="Times New Roman" w:eastAsia="Times New Roman" w:hAnsi="Times New Roman" w:cs="Times New Roman" w:hint="default"/>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169" w15:restartNumberingAfterBreak="0">
    <w:nsid w:val="3BE447E8"/>
    <w:multiLevelType w:val="hybridMultilevel"/>
    <w:tmpl w:val="B4827F78"/>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70" w15:restartNumberingAfterBreak="0">
    <w:nsid w:val="3C2A5343"/>
    <w:multiLevelType w:val="hybridMultilevel"/>
    <w:tmpl w:val="E9D89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C5C6379"/>
    <w:multiLevelType w:val="hybridMultilevel"/>
    <w:tmpl w:val="E952B384"/>
    <w:lvl w:ilvl="0" w:tplc="04090011">
      <w:start w:val="1"/>
      <w:numFmt w:val="decimal"/>
      <w:lvlText w:val="%1)"/>
      <w:lvlJc w:val="left"/>
      <w:pPr>
        <w:ind w:left="720" w:hanging="360"/>
      </w:pPr>
    </w:lvl>
    <w:lvl w:ilvl="1" w:tplc="081A0019">
      <w:start w:val="1"/>
      <w:numFmt w:val="lowerLetter"/>
      <w:lvlText w:val="%2."/>
      <w:lvlJc w:val="left"/>
      <w:pPr>
        <w:ind w:left="1440" w:hanging="360"/>
      </w:pPr>
    </w:lvl>
    <w:lvl w:ilvl="2" w:tplc="081A001B">
      <w:start w:val="1"/>
      <w:numFmt w:val="lowerRoman"/>
      <w:lvlText w:val="%3."/>
      <w:lvlJc w:val="right"/>
      <w:pPr>
        <w:ind w:left="2160" w:hanging="180"/>
      </w:pPr>
    </w:lvl>
    <w:lvl w:ilvl="3" w:tplc="081A000F">
      <w:start w:val="1"/>
      <w:numFmt w:val="decimal"/>
      <w:lvlText w:val="%4."/>
      <w:lvlJc w:val="left"/>
      <w:pPr>
        <w:ind w:left="2880" w:hanging="360"/>
      </w:pPr>
    </w:lvl>
    <w:lvl w:ilvl="4" w:tplc="081A0019">
      <w:start w:val="1"/>
      <w:numFmt w:val="lowerLetter"/>
      <w:lvlText w:val="%5."/>
      <w:lvlJc w:val="left"/>
      <w:pPr>
        <w:ind w:left="3600" w:hanging="360"/>
      </w:pPr>
    </w:lvl>
    <w:lvl w:ilvl="5" w:tplc="081A001B">
      <w:start w:val="1"/>
      <w:numFmt w:val="lowerRoman"/>
      <w:lvlText w:val="%6."/>
      <w:lvlJc w:val="right"/>
      <w:pPr>
        <w:ind w:left="4320" w:hanging="180"/>
      </w:pPr>
    </w:lvl>
    <w:lvl w:ilvl="6" w:tplc="081A000F">
      <w:start w:val="1"/>
      <w:numFmt w:val="decimal"/>
      <w:lvlText w:val="%7."/>
      <w:lvlJc w:val="left"/>
      <w:pPr>
        <w:ind w:left="5040" w:hanging="360"/>
      </w:pPr>
    </w:lvl>
    <w:lvl w:ilvl="7" w:tplc="081A0019">
      <w:start w:val="1"/>
      <w:numFmt w:val="lowerLetter"/>
      <w:lvlText w:val="%8."/>
      <w:lvlJc w:val="left"/>
      <w:pPr>
        <w:ind w:left="5760" w:hanging="360"/>
      </w:pPr>
    </w:lvl>
    <w:lvl w:ilvl="8" w:tplc="081A001B">
      <w:start w:val="1"/>
      <w:numFmt w:val="lowerRoman"/>
      <w:lvlText w:val="%9."/>
      <w:lvlJc w:val="right"/>
      <w:pPr>
        <w:ind w:left="6480" w:hanging="180"/>
      </w:pPr>
    </w:lvl>
  </w:abstractNum>
  <w:abstractNum w:abstractNumId="172" w15:restartNumberingAfterBreak="0">
    <w:nsid w:val="3C652CB4"/>
    <w:multiLevelType w:val="multilevel"/>
    <w:tmpl w:val="51E8B082"/>
    <w:lvl w:ilvl="0">
      <w:start w:val="7"/>
      <w:numFmt w:val="decimal"/>
      <w:lvlText w:val="%1"/>
      <w:lvlJc w:val="left"/>
      <w:pPr>
        <w:ind w:left="2045" w:hanging="635"/>
      </w:pPr>
      <w:rPr>
        <w:rFonts w:hint="default"/>
      </w:rPr>
    </w:lvl>
    <w:lvl w:ilvl="1">
      <w:start w:val="1"/>
      <w:numFmt w:val="decimal"/>
      <w:lvlText w:val="%1.%2"/>
      <w:lvlJc w:val="left"/>
      <w:pPr>
        <w:ind w:left="2045" w:hanging="635"/>
        <w:jc w:val="right"/>
      </w:pPr>
      <w:rPr>
        <w:rFonts w:ascii="Calibri" w:eastAsia="Calibri" w:hAnsi="Calibri" w:hint="default"/>
        <w:sz w:val="22"/>
        <w:szCs w:val="22"/>
      </w:rPr>
    </w:lvl>
    <w:lvl w:ilvl="2">
      <w:start w:val="1"/>
      <w:numFmt w:val="lowerLetter"/>
      <w:lvlText w:val="%3."/>
      <w:lvlJc w:val="left"/>
      <w:pPr>
        <w:ind w:left="1417" w:hanging="360"/>
      </w:pPr>
      <w:rPr>
        <w:rFonts w:ascii="Calibri" w:eastAsia="Calibri" w:hAnsi="Calibri" w:hint="default"/>
        <w:sz w:val="22"/>
        <w:szCs w:val="22"/>
      </w:rPr>
    </w:lvl>
    <w:lvl w:ilvl="3">
      <w:start w:val="1"/>
      <w:numFmt w:val="decimal"/>
      <w:lvlText w:val="%4."/>
      <w:lvlJc w:val="left"/>
      <w:pPr>
        <w:ind w:left="2044" w:hanging="634"/>
      </w:pPr>
      <w:rPr>
        <w:rFonts w:ascii="Calibri" w:eastAsia="Calibri" w:hAnsi="Calibri" w:hint="default"/>
        <w:b/>
        <w:bCs/>
        <w:color w:val="C45911"/>
        <w:w w:val="99"/>
        <w:sz w:val="32"/>
        <w:szCs w:val="32"/>
      </w:rPr>
    </w:lvl>
    <w:lvl w:ilvl="4">
      <w:start w:val="1"/>
      <w:numFmt w:val="decimal"/>
      <w:lvlText w:val="%4.%5"/>
      <w:lvlJc w:val="left"/>
      <w:pPr>
        <w:ind w:left="2041" w:hanging="631"/>
      </w:pPr>
      <w:rPr>
        <w:rFonts w:ascii="Calibri" w:eastAsia="Calibri" w:hAnsi="Calibri" w:hint="default"/>
        <w:sz w:val="22"/>
        <w:szCs w:val="22"/>
      </w:rPr>
    </w:lvl>
    <w:lvl w:ilvl="5">
      <w:start w:val="1"/>
      <w:numFmt w:val="bullet"/>
      <w:lvlText w:val="•"/>
      <w:lvlJc w:val="left"/>
      <w:pPr>
        <w:ind w:left="2044" w:hanging="631"/>
      </w:pPr>
      <w:rPr>
        <w:rFonts w:hint="default"/>
      </w:rPr>
    </w:lvl>
    <w:lvl w:ilvl="6">
      <w:start w:val="1"/>
      <w:numFmt w:val="bullet"/>
      <w:lvlText w:val="•"/>
      <w:lvlJc w:val="left"/>
      <w:pPr>
        <w:ind w:left="2045" w:hanging="631"/>
      </w:pPr>
      <w:rPr>
        <w:rFonts w:hint="default"/>
      </w:rPr>
    </w:lvl>
    <w:lvl w:ilvl="7">
      <w:start w:val="1"/>
      <w:numFmt w:val="bullet"/>
      <w:lvlText w:val="•"/>
      <w:lvlJc w:val="left"/>
      <w:pPr>
        <w:ind w:left="3953" w:hanging="631"/>
      </w:pPr>
      <w:rPr>
        <w:rFonts w:hint="default"/>
      </w:rPr>
    </w:lvl>
    <w:lvl w:ilvl="8">
      <w:start w:val="1"/>
      <w:numFmt w:val="bullet"/>
      <w:lvlText w:val="•"/>
      <w:lvlJc w:val="left"/>
      <w:pPr>
        <w:ind w:left="5862" w:hanging="631"/>
      </w:pPr>
      <w:rPr>
        <w:rFonts w:hint="default"/>
      </w:rPr>
    </w:lvl>
  </w:abstractNum>
  <w:abstractNum w:abstractNumId="173" w15:restartNumberingAfterBreak="0">
    <w:nsid w:val="3CFD00B3"/>
    <w:multiLevelType w:val="multilevel"/>
    <w:tmpl w:val="0D942F12"/>
    <w:lvl w:ilvl="0">
      <w:start w:val="3"/>
      <w:numFmt w:val="upperRoman"/>
      <w:lvlText w:val="%1"/>
      <w:lvlJc w:val="left"/>
      <w:pPr>
        <w:ind w:left="825" w:hanging="653"/>
      </w:pPr>
      <w:rPr>
        <w:rFonts w:hint="default"/>
        <w:lang w:val="en-US" w:eastAsia="en-US" w:bidi="ar-SA"/>
      </w:rPr>
    </w:lvl>
    <w:lvl w:ilvl="1">
      <w:start w:val="1"/>
      <w:numFmt w:val="decimal"/>
      <w:lvlText w:val="%1.%2)"/>
      <w:lvlJc w:val="left"/>
      <w:pPr>
        <w:ind w:left="825" w:hanging="653"/>
      </w:pPr>
      <w:rPr>
        <w:rFonts w:ascii="Arial" w:eastAsia="Arial" w:hAnsi="Arial" w:cs="Arial" w:hint="default"/>
        <w:b/>
        <w:bCs/>
        <w:spacing w:val="-1"/>
        <w:w w:val="93"/>
        <w:sz w:val="20"/>
        <w:szCs w:val="20"/>
        <w:lang w:val="en-US" w:eastAsia="en-US" w:bidi="ar-SA"/>
      </w:rPr>
    </w:lvl>
    <w:lvl w:ilvl="2">
      <w:numFmt w:val="bullet"/>
      <w:lvlText w:val="•"/>
      <w:lvlJc w:val="left"/>
      <w:pPr>
        <w:ind w:left="2745" w:hanging="653"/>
      </w:pPr>
      <w:rPr>
        <w:rFonts w:hint="default"/>
        <w:lang w:val="en-US" w:eastAsia="en-US" w:bidi="ar-SA"/>
      </w:rPr>
    </w:lvl>
    <w:lvl w:ilvl="3">
      <w:numFmt w:val="bullet"/>
      <w:lvlText w:val="•"/>
      <w:lvlJc w:val="left"/>
      <w:pPr>
        <w:ind w:left="3708" w:hanging="653"/>
      </w:pPr>
      <w:rPr>
        <w:rFonts w:hint="default"/>
        <w:lang w:val="en-US" w:eastAsia="en-US" w:bidi="ar-SA"/>
      </w:rPr>
    </w:lvl>
    <w:lvl w:ilvl="4">
      <w:numFmt w:val="bullet"/>
      <w:lvlText w:val="•"/>
      <w:lvlJc w:val="left"/>
      <w:pPr>
        <w:ind w:left="4670" w:hanging="653"/>
      </w:pPr>
      <w:rPr>
        <w:rFonts w:hint="default"/>
        <w:lang w:val="en-US" w:eastAsia="en-US" w:bidi="ar-SA"/>
      </w:rPr>
    </w:lvl>
    <w:lvl w:ilvl="5">
      <w:numFmt w:val="bullet"/>
      <w:lvlText w:val="•"/>
      <w:lvlJc w:val="left"/>
      <w:pPr>
        <w:ind w:left="5633" w:hanging="653"/>
      </w:pPr>
      <w:rPr>
        <w:rFonts w:hint="default"/>
        <w:lang w:val="en-US" w:eastAsia="en-US" w:bidi="ar-SA"/>
      </w:rPr>
    </w:lvl>
    <w:lvl w:ilvl="6">
      <w:numFmt w:val="bullet"/>
      <w:lvlText w:val="•"/>
      <w:lvlJc w:val="left"/>
      <w:pPr>
        <w:ind w:left="6596" w:hanging="653"/>
      </w:pPr>
      <w:rPr>
        <w:rFonts w:hint="default"/>
        <w:lang w:val="en-US" w:eastAsia="en-US" w:bidi="ar-SA"/>
      </w:rPr>
    </w:lvl>
    <w:lvl w:ilvl="7">
      <w:numFmt w:val="bullet"/>
      <w:lvlText w:val="•"/>
      <w:lvlJc w:val="left"/>
      <w:pPr>
        <w:ind w:left="7558" w:hanging="653"/>
      </w:pPr>
      <w:rPr>
        <w:rFonts w:hint="default"/>
        <w:lang w:val="en-US" w:eastAsia="en-US" w:bidi="ar-SA"/>
      </w:rPr>
    </w:lvl>
    <w:lvl w:ilvl="8">
      <w:numFmt w:val="bullet"/>
      <w:lvlText w:val="•"/>
      <w:lvlJc w:val="left"/>
      <w:pPr>
        <w:ind w:left="8521" w:hanging="653"/>
      </w:pPr>
      <w:rPr>
        <w:rFonts w:hint="default"/>
        <w:lang w:val="en-US" w:eastAsia="en-US" w:bidi="ar-SA"/>
      </w:rPr>
    </w:lvl>
  </w:abstractNum>
  <w:abstractNum w:abstractNumId="174" w15:restartNumberingAfterBreak="0">
    <w:nsid w:val="3D4B3154"/>
    <w:multiLevelType w:val="hybridMultilevel"/>
    <w:tmpl w:val="1E786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DB0533C"/>
    <w:multiLevelType w:val="hybridMultilevel"/>
    <w:tmpl w:val="138A108C"/>
    <w:lvl w:ilvl="0" w:tplc="91D2995A">
      <w:start w:val="1"/>
      <w:numFmt w:val="decimal"/>
      <w:pStyle w:val="Paranumbered"/>
      <w:lvlText w:val="%1."/>
      <w:lvlJc w:val="left"/>
      <w:pPr>
        <w:ind w:left="1620" w:hanging="360"/>
      </w:pPr>
      <w:rPr>
        <w:i w:val="0"/>
      </w:rPr>
    </w:lvl>
    <w:lvl w:ilvl="1" w:tplc="7FAC4E8A">
      <w:start w:val="1"/>
      <w:numFmt w:val="lowerRoman"/>
      <w:lvlText w:val="%2)"/>
      <w:lvlJc w:val="left"/>
      <w:pPr>
        <w:ind w:left="1080" w:hanging="360"/>
      </w:pPr>
      <w:rPr>
        <w:rFonts w:hint="default"/>
        <w:b w:val="0"/>
      </w:rPr>
    </w:lvl>
    <w:lvl w:ilvl="2" w:tplc="5FAEEC0A">
      <w:start w:val="1"/>
      <w:numFmt w:val="lowerRoman"/>
      <w:lvlText w:val="%3."/>
      <w:lvlJc w:val="right"/>
      <w:pPr>
        <w:ind w:left="1800" w:hanging="180"/>
      </w:pPr>
    </w:lvl>
    <w:lvl w:ilvl="3" w:tplc="CE10B67C" w:tentative="1">
      <w:start w:val="1"/>
      <w:numFmt w:val="decimal"/>
      <w:lvlText w:val="%4."/>
      <w:lvlJc w:val="left"/>
      <w:pPr>
        <w:ind w:left="2520" w:hanging="360"/>
      </w:pPr>
    </w:lvl>
    <w:lvl w:ilvl="4" w:tplc="36782136" w:tentative="1">
      <w:start w:val="1"/>
      <w:numFmt w:val="lowerLetter"/>
      <w:lvlText w:val="%5."/>
      <w:lvlJc w:val="left"/>
      <w:pPr>
        <w:ind w:left="3240" w:hanging="360"/>
      </w:pPr>
    </w:lvl>
    <w:lvl w:ilvl="5" w:tplc="6F6CF206" w:tentative="1">
      <w:start w:val="1"/>
      <w:numFmt w:val="lowerRoman"/>
      <w:lvlText w:val="%6."/>
      <w:lvlJc w:val="right"/>
      <w:pPr>
        <w:ind w:left="3960" w:hanging="180"/>
      </w:pPr>
    </w:lvl>
    <w:lvl w:ilvl="6" w:tplc="636C8416" w:tentative="1">
      <w:start w:val="1"/>
      <w:numFmt w:val="decimal"/>
      <w:lvlText w:val="%7."/>
      <w:lvlJc w:val="left"/>
      <w:pPr>
        <w:ind w:left="4680" w:hanging="360"/>
      </w:pPr>
    </w:lvl>
    <w:lvl w:ilvl="7" w:tplc="B1BCF4F8" w:tentative="1">
      <w:start w:val="1"/>
      <w:numFmt w:val="lowerLetter"/>
      <w:lvlText w:val="%8."/>
      <w:lvlJc w:val="left"/>
      <w:pPr>
        <w:ind w:left="5400" w:hanging="360"/>
      </w:pPr>
    </w:lvl>
    <w:lvl w:ilvl="8" w:tplc="97D44D4A" w:tentative="1">
      <w:start w:val="1"/>
      <w:numFmt w:val="lowerRoman"/>
      <w:lvlText w:val="%9."/>
      <w:lvlJc w:val="right"/>
      <w:pPr>
        <w:ind w:left="6120" w:hanging="180"/>
      </w:pPr>
    </w:lvl>
  </w:abstractNum>
  <w:abstractNum w:abstractNumId="176" w15:restartNumberingAfterBreak="0">
    <w:nsid w:val="3E131886"/>
    <w:multiLevelType w:val="hybridMultilevel"/>
    <w:tmpl w:val="FBA6DD40"/>
    <w:lvl w:ilvl="0" w:tplc="00000003">
      <w:start w:val="1"/>
      <w:numFmt w:val="bullet"/>
      <w:lvlText w:val=""/>
      <w:lvlJc w:val="left"/>
      <w:pPr>
        <w:tabs>
          <w:tab w:val="num" w:pos="360"/>
        </w:tabs>
        <w:ind w:left="36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FA01F01"/>
    <w:multiLevelType w:val="multilevel"/>
    <w:tmpl w:val="40462AEE"/>
    <w:lvl w:ilvl="0">
      <w:start w:val="2"/>
      <w:numFmt w:val="upperRoman"/>
      <w:lvlText w:val="%1"/>
      <w:lvlJc w:val="left"/>
      <w:pPr>
        <w:ind w:left="709" w:hanging="653"/>
      </w:pPr>
      <w:rPr>
        <w:rFonts w:hint="default"/>
        <w:lang w:val="en-US" w:eastAsia="en-US" w:bidi="ar-SA"/>
      </w:rPr>
    </w:lvl>
    <w:lvl w:ilvl="1">
      <w:start w:val="2"/>
      <w:numFmt w:val="decimal"/>
      <w:lvlText w:val="%1.%2"/>
      <w:lvlJc w:val="left"/>
      <w:pPr>
        <w:ind w:left="709" w:hanging="653"/>
      </w:pPr>
      <w:rPr>
        <w:rFonts w:hint="default"/>
        <w:lang w:val="en-US" w:eastAsia="en-US" w:bidi="ar-SA"/>
      </w:rPr>
    </w:lvl>
    <w:lvl w:ilvl="2">
      <w:start w:val="4"/>
      <w:numFmt w:val="decimal"/>
      <w:lvlText w:val="%1.%2.%3)"/>
      <w:lvlJc w:val="left"/>
      <w:pPr>
        <w:ind w:left="709" w:hanging="653"/>
      </w:pPr>
      <w:rPr>
        <w:rFonts w:ascii="Arial" w:eastAsia="Arial" w:hAnsi="Arial" w:cs="Arial" w:hint="default"/>
        <w:spacing w:val="-1"/>
        <w:w w:val="90"/>
        <w:sz w:val="18"/>
        <w:szCs w:val="18"/>
        <w:lang w:val="en-US" w:eastAsia="en-US" w:bidi="ar-SA"/>
      </w:rPr>
    </w:lvl>
    <w:lvl w:ilvl="3">
      <w:numFmt w:val="bullet"/>
      <w:lvlText w:val="•"/>
      <w:lvlJc w:val="left"/>
      <w:pPr>
        <w:ind w:left="1191" w:hanging="483"/>
      </w:pPr>
      <w:rPr>
        <w:rFonts w:ascii="Arial" w:eastAsia="Arial" w:hAnsi="Arial" w:cs="Arial" w:hint="default"/>
        <w:w w:val="142"/>
        <w:sz w:val="18"/>
        <w:szCs w:val="18"/>
        <w:lang w:val="en-US" w:eastAsia="en-US" w:bidi="ar-SA"/>
      </w:rPr>
    </w:lvl>
    <w:lvl w:ilvl="4">
      <w:numFmt w:val="bullet"/>
      <w:lvlText w:val="•"/>
      <w:lvlJc w:val="left"/>
      <w:pPr>
        <w:ind w:left="4191" w:hanging="483"/>
      </w:pPr>
      <w:rPr>
        <w:rFonts w:hint="default"/>
        <w:lang w:val="en-US" w:eastAsia="en-US" w:bidi="ar-SA"/>
      </w:rPr>
    </w:lvl>
    <w:lvl w:ilvl="5">
      <w:numFmt w:val="bullet"/>
      <w:lvlText w:val="•"/>
      <w:lvlJc w:val="left"/>
      <w:pPr>
        <w:ind w:left="5188" w:hanging="483"/>
      </w:pPr>
      <w:rPr>
        <w:rFonts w:hint="default"/>
        <w:lang w:val="en-US" w:eastAsia="en-US" w:bidi="ar-SA"/>
      </w:rPr>
    </w:lvl>
    <w:lvl w:ilvl="6">
      <w:numFmt w:val="bullet"/>
      <w:lvlText w:val="•"/>
      <w:lvlJc w:val="left"/>
      <w:pPr>
        <w:ind w:left="6186" w:hanging="483"/>
      </w:pPr>
      <w:rPr>
        <w:rFonts w:hint="default"/>
        <w:lang w:val="en-US" w:eastAsia="en-US" w:bidi="ar-SA"/>
      </w:rPr>
    </w:lvl>
    <w:lvl w:ilvl="7">
      <w:numFmt w:val="bullet"/>
      <w:lvlText w:val="•"/>
      <w:lvlJc w:val="left"/>
      <w:pPr>
        <w:ind w:left="7183" w:hanging="483"/>
      </w:pPr>
      <w:rPr>
        <w:rFonts w:hint="default"/>
        <w:lang w:val="en-US" w:eastAsia="en-US" w:bidi="ar-SA"/>
      </w:rPr>
    </w:lvl>
    <w:lvl w:ilvl="8">
      <w:numFmt w:val="bullet"/>
      <w:lvlText w:val="•"/>
      <w:lvlJc w:val="left"/>
      <w:pPr>
        <w:ind w:left="8180" w:hanging="483"/>
      </w:pPr>
      <w:rPr>
        <w:rFonts w:hint="default"/>
        <w:lang w:val="en-US" w:eastAsia="en-US" w:bidi="ar-SA"/>
      </w:rPr>
    </w:lvl>
  </w:abstractNum>
  <w:abstractNum w:abstractNumId="178" w15:restartNumberingAfterBreak="0">
    <w:nsid w:val="407873D5"/>
    <w:multiLevelType w:val="hybridMultilevel"/>
    <w:tmpl w:val="25964ED6"/>
    <w:lvl w:ilvl="0" w:tplc="C784A412">
      <w:start w:val="7"/>
      <w:numFmt w:val="decimal"/>
      <w:lvlText w:val="%1."/>
      <w:lvlJc w:val="left"/>
      <w:pPr>
        <w:ind w:left="720" w:hanging="360"/>
      </w:pPr>
      <w:rPr>
        <w:rFonts w:eastAsia="Times New Roman"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0CE6959"/>
    <w:multiLevelType w:val="hybridMultilevel"/>
    <w:tmpl w:val="921824CA"/>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80" w15:restartNumberingAfterBreak="0">
    <w:nsid w:val="4148304C"/>
    <w:multiLevelType w:val="hybridMultilevel"/>
    <w:tmpl w:val="0C149E32"/>
    <w:lvl w:ilvl="0" w:tplc="0A5813C4">
      <w:start w:val="1"/>
      <w:numFmt w:val="bullet"/>
      <w:lvlText w:val=""/>
      <w:lvlJc w:val="left"/>
      <w:pPr>
        <w:ind w:left="360" w:hanging="360"/>
      </w:pPr>
      <w:rPr>
        <w:rFonts w:ascii="Symbol" w:hAnsi="Symbol" w:hint="default"/>
      </w:rPr>
    </w:lvl>
    <w:lvl w:ilvl="1" w:tplc="A2E0FC02" w:tentative="1">
      <w:start w:val="1"/>
      <w:numFmt w:val="bullet"/>
      <w:lvlText w:val="o"/>
      <w:lvlJc w:val="left"/>
      <w:pPr>
        <w:ind w:left="1080" w:hanging="360"/>
      </w:pPr>
      <w:rPr>
        <w:rFonts w:ascii="Courier New" w:hAnsi="Courier New" w:cs="Courier New" w:hint="default"/>
      </w:rPr>
    </w:lvl>
    <w:lvl w:ilvl="2" w:tplc="6BD65B88" w:tentative="1">
      <w:start w:val="1"/>
      <w:numFmt w:val="bullet"/>
      <w:lvlText w:val=""/>
      <w:lvlJc w:val="left"/>
      <w:pPr>
        <w:ind w:left="1800" w:hanging="360"/>
      </w:pPr>
      <w:rPr>
        <w:rFonts w:ascii="Wingdings" w:hAnsi="Wingdings" w:hint="default"/>
      </w:rPr>
    </w:lvl>
    <w:lvl w:ilvl="3" w:tplc="F9467FE0" w:tentative="1">
      <w:start w:val="1"/>
      <w:numFmt w:val="bullet"/>
      <w:lvlText w:val=""/>
      <w:lvlJc w:val="left"/>
      <w:pPr>
        <w:ind w:left="2520" w:hanging="360"/>
      </w:pPr>
      <w:rPr>
        <w:rFonts w:ascii="Symbol" w:hAnsi="Symbol" w:hint="default"/>
      </w:rPr>
    </w:lvl>
    <w:lvl w:ilvl="4" w:tplc="16DE8AEC" w:tentative="1">
      <w:start w:val="1"/>
      <w:numFmt w:val="bullet"/>
      <w:lvlText w:val="o"/>
      <w:lvlJc w:val="left"/>
      <w:pPr>
        <w:ind w:left="3240" w:hanging="360"/>
      </w:pPr>
      <w:rPr>
        <w:rFonts w:ascii="Courier New" w:hAnsi="Courier New" w:cs="Courier New" w:hint="default"/>
      </w:rPr>
    </w:lvl>
    <w:lvl w:ilvl="5" w:tplc="F6EECD20" w:tentative="1">
      <w:start w:val="1"/>
      <w:numFmt w:val="bullet"/>
      <w:lvlText w:val=""/>
      <w:lvlJc w:val="left"/>
      <w:pPr>
        <w:ind w:left="3960" w:hanging="360"/>
      </w:pPr>
      <w:rPr>
        <w:rFonts w:ascii="Wingdings" w:hAnsi="Wingdings" w:hint="default"/>
      </w:rPr>
    </w:lvl>
    <w:lvl w:ilvl="6" w:tplc="C0C017F6" w:tentative="1">
      <w:start w:val="1"/>
      <w:numFmt w:val="bullet"/>
      <w:lvlText w:val=""/>
      <w:lvlJc w:val="left"/>
      <w:pPr>
        <w:ind w:left="4680" w:hanging="360"/>
      </w:pPr>
      <w:rPr>
        <w:rFonts w:ascii="Symbol" w:hAnsi="Symbol" w:hint="default"/>
      </w:rPr>
    </w:lvl>
    <w:lvl w:ilvl="7" w:tplc="90964C32" w:tentative="1">
      <w:start w:val="1"/>
      <w:numFmt w:val="bullet"/>
      <w:lvlText w:val="o"/>
      <w:lvlJc w:val="left"/>
      <w:pPr>
        <w:ind w:left="5400" w:hanging="360"/>
      </w:pPr>
      <w:rPr>
        <w:rFonts w:ascii="Courier New" w:hAnsi="Courier New" w:cs="Courier New" w:hint="default"/>
      </w:rPr>
    </w:lvl>
    <w:lvl w:ilvl="8" w:tplc="AF6EAFB8" w:tentative="1">
      <w:start w:val="1"/>
      <w:numFmt w:val="bullet"/>
      <w:lvlText w:val=""/>
      <w:lvlJc w:val="left"/>
      <w:pPr>
        <w:ind w:left="6120" w:hanging="360"/>
      </w:pPr>
      <w:rPr>
        <w:rFonts w:ascii="Wingdings" w:hAnsi="Wingdings" w:hint="default"/>
      </w:rPr>
    </w:lvl>
  </w:abstractNum>
  <w:abstractNum w:abstractNumId="181" w15:restartNumberingAfterBreak="0">
    <w:nsid w:val="4223724A"/>
    <w:multiLevelType w:val="hybridMultilevel"/>
    <w:tmpl w:val="CB446BAE"/>
    <w:lvl w:ilvl="0" w:tplc="4BBCEBC8">
      <w:start w:val="1"/>
      <w:numFmt w:val="decimal"/>
      <w:lvlText w:val="%1."/>
      <w:lvlJc w:val="left"/>
      <w:pPr>
        <w:ind w:left="86" w:hanging="360"/>
      </w:pPr>
      <w:rPr>
        <w:b w:val="0"/>
        <w:color w:val="000000" w:themeColor="text1"/>
        <w:sz w:val="22"/>
        <w:szCs w:val="22"/>
      </w:rPr>
    </w:lvl>
    <w:lvl w:ilvl="1" w:tplc="1C541B76">
      <w:start w:val="1"/>
      <w:numFmt w:val="lowerLetter"/>
      <w:lvlText w:val="%2)"/>
      <w:lvlJc w:val="left"/>
      <w:pPr>
        <w:ind w:left="1440" w:hanging="360"/>
      </w:pPr>
      <w:rPr>
        <w:rFonts w:hint="default"/>
        <w:color w:val="auto"/>
      </w:rPr>
    </w:lvl>
    <w:lvl w:ilvl="2" w:tplc="01DE1E6E">
      <w:start w:val="1"/>
      <w:numFmt w:val="lowerRoman"/>
      <w:lvlText w:val="%3."/>
      <w:lvlJc w:val="right"/>
      <w:pPr>
        <w:ind w:left="2160" w:hanging="180"/>
      </w:pPr>
    </w:lvl>
    <w:lvl w:ilvl="3" w:tplc="D17C0436" w:tentative="1">
      <w:start w:val="1"/>
      <w:numFmt w:val="decimal"/>
      <w:lvlText w:val="%4."/>
      <w:lvlJc w:val="left"/>
      <w:pPr>
        <w:ind w:left="2880" w:hanging="360"/>
      </w:pPr>
    </w:lvl>
    <w:lvl w:ilvl="4" w:tplc="D55CE26A" w:tentative="1">
      <w:start w:val="1"/>
      <w:numFmt w:val="lowerLetter"/>
      <w:lvlText w:val="%5."/>
      <w:lvlJc w:val="left"/>
      <w:pPr>
        <w:ind w:left="3600" w:hanging="360"/>
      </w:pPr>
    </w:lvl>
    <w:lvl w:ilvl="5" w:tplc="8BE096C0" w:tentative="1">
      <w:start w:val="1"/>
      <w:numFmt w:val="lowerRoman"/>
      <w:lvlText w:val="%6."/>
      <w:lvlJc w:val="right"/>
      <w:pPr>
        <w:ind w:left="4320" w:hanging="180"/>
      </w:pPr>
    </w:lvl>
    <w:lvl w:ilvl="6" w:tplc="F36C3498" w:tentative="1">
      <w:start w:val="1"/>
      <w:numFmt w:val="decimal"/>
      <w:lvlText w:val="%7."/>
      <w:lvlJc w:val="left"/>
      <w:pPr>
        <w:ind w:left="5040" w:hanging="360"/>
      </w:pPr>
    </w:lvl>
    <w:lvl w:ilvl="7" w:tplc="0492D6C4" w:tentative="1">
      <w:start w:val="1"/>
      <w:numFmt w:val="lowerLetter"/>
      <w:lvlText w:val="%8."/>
      <w:lvlJc w:val="left"/>
      <w:pPr>
        <w:ind w:left="5760" w:hanging="360"/>
      </w:pPr>
    </w:lvl>
    <w:lvl w:ilvl="8" w:tplc="9DC61F0A" w:tentative="1">
      <w:start w:val="1"/>
      <w:numFmt w:val="lowerRoman"/>
      <w:lvlText w:val="%9."/>
      <w:lvlJc w:val="right"/>
      <w:pPr>
        <w:ind w:left="6480" w:hanging="180"/>
      </w:pPr>
    </w:lvl>
  </w:abstractNum>
  <w:abstractNum w:abstractNumId="182" w15:restartNumberingAfterBreak="0">
    <w:nsid w:val="42365AD7"/>
    <w:multiLevelType w:val="hybridMultilevel"/>
    <w:tmpl w:val="8C1A69F8"/>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83" w15:restartNumberingAfterBreak="0">
    <w:nsid w:val="42476E07"/>
    <w:multiLevelType w:val="hybridMultilevel"/>
    <w:tmpl w:val="B6AA4D1E"/>
    <w:lvl w:ilvl="0" w:tplc="DAF0A90E">
      <w:start w:val="1"/>
      <w:numFmt w:val="bullet"/>
      <w:lvlText w:val=""/>
      <w:lvlJc w:val="left"/>
      <w:pPr>
        <w:ind w:left="360" w:hanging="360"/>
      </w:pPr>
      <w:rPr>
        <w:rFonts w:ascii="Symbol" w:hAnsi="Symbol" w:hint="default"/>
      </w:rPr>
    </w:lvl>
    <w:lvl w:ilvl="1" w:tplc="EEF48EB8" w:tentative="1">
      <w:start w:val="1"/>
      <w:numFmt w:val="bullet"/>
      <w:lvlText w:val="o"/>
      <w:lvlJc w:val="left"/>
      <w:pPr>
        <w:ind w:left="1080" w:hanging="360"/>
      </w:pPr>
      <w:rPr>
        <w:rFonts w:ascii="Courier New" w:hAnsi="Courier New" w:cs="Courier New" w:hint="default"/>
      </w:rPr>
    </w:lvl>
    <w:lvl w:ilvl="2" w:tplc="C51EBE86" w:tentative="1">
      <w:start w:val="1"/>
      <w:numFmt w:val="bullet"/>
      <w:lvlText w:val=""/>
      <w:lvlJc w:val="left"/>
      <w:pPr>
        <w:ind w:left="1800" w:hanging="360"/>
      </w:pPr>
      <w:rPr>
        <w:rFonts w:ascii="Wingdings" w:hAnsi="Wingdings" w:hint="default"/>
      </w:rPr>
    </w:lvl>
    <w:lvl w:ilvl="3" w:tplc="B72EE2E0" w:tentative="1">
      <w:start w:val="1"/>
      <w:numFmt w:val="bullet"/>
      <w:lvlText w:val=""/>
      <w:lvlJc w:val="left"/>
      <w:pPr>
        <w:ind w:left="2520" w:hanging="360"/>
      </w:pPr>
      <w:rPr>
        <w:rFonts w:ascii="Symbol" w:hAnsi="Symbol" w:hint="default"/>
      </w:rPr>
    </w:lvl>
    <w:lvl w:ilvl="4" w:tplc="2EDAE644" w:tentative="1">
      <w:start w:val="1"/>
      <w:numFmt w:val="bullet"/>
      <w:lvlText w:val="o"/>
      <w:lvlJc w:val="left"/>
      <w:pPr>
        <w:ind w:left="3240" w:hanging="360"/>
      </w:pPr>
      <w:rPr>
        <w:rFonts w:ascii="Courier New" w:hAnsi="Courier New" w:cs="Courier New" w:hint="default"/>
      </w:rPr>
    </w:lvl>
    <w:lvl w:ilvl="5" w:tplc="47969982" w:tentative="1">
      <w:start w:val="1"/>
      <w:numFmt w:val="bullet"/>
      <w:lvlText w:val=""/>
      <w:lvlJc w:val="left"/>
      <w:pPr>
        <w:ind w:left="3960" w:hanging="360"/>
      </w:pPr>
      <w:rPr>
        <w:rFonts w:ascii="Wingdings" w:hAnsi="Wingdings" w:hint="default"/>
      </w:rPr>
    </w:lvl>
    <w:lvl w:ilvl="6" w:tplc="8CD658D4" w:tentative="1">
      <w:start w:val="1"/>
      <w:numFmt w:val="bullet"/>
      <w:lvlText w:val=""/>
      <w:lvlJc w:val="left"/>
      <w:pPr>
        <w:ind w:left="4680" w:hanging="360"/>
      </w:pPr>
      <w:rPr>
        <w:rFonts w:ascii="Symbol" w:hAnsi="Symbol" w:hint="default"/>
      </w:rPr>
    </w:lvl>
    <w:lvl w:ilvl="7" w:tplc="14BCC592" w:tentative="1">
      <w:start w:val="1"/>
      <w:numFmt w:val="bullet"/>
      <w:lvlText w:val="o"/>
      <w:lvlJc w:val="left"/>
      <w:pPr>
        <w:ind w:left="5400" w:hanging="360"/>
      </w:pPr>
      <w:rPr>
        <w:rFonts w:ascii="Courier New" w:hAnsi="Courier New" w:cs="Courier New" w:hint="default"/>
      </w:rPr>
    </w:lvl>
    <w:lvl w:ilvl="8" w:tplc="E7B6D754" w:tentative="1">
      <w:start w:val="1"/>
      <w:numFmt w:val="bullet"/>
      <w:lvlText w:val=""/>
      <w:lvlJc w:val="left"/>
      <w:pPr>
        <w:ind w:left="6120" w:hanging="360"/>
      </w:pPr>
      <w:rPr>
        <w:rFonts w:ascii="Wingdings" w:hAnsi="Wingdings" w:hint="default"/>
      </w:rPr>
    </w:lvl>
  </w:abstractNum>
  <w:abstractNum w:abstractNumId="184" w15:restartNumberingAfterBreak="0">
    <w:nsid w:val="450E76DB"/>
    <w:multiLevelType w:val="hybridMultilevel"/>
    <w:tmpl w:val="C1B61C4E"/>
    <w:lvl w:ilvl="0" w:tplc="08090013">
      <w:start w:val="1"/>
      <w:numFmt w:val="upperRoman"/>
      <w:lvlText w:val="%1."/>
      <w:lvlJc w:val="right"/>
      <w:pPr>
        <w:ind w:left="720" w:hanging="360"/>
      </w:pPr>
    </w:lvl>
    <w:lvl w:ilvl="1" w:tplc="51244988">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45C84A62"/>
    <w:multiLevelType w:val="hybridMultilevel"/>
    <w:tmpl w:val="AA26FBF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46130D2E"/>
    <w:multiLevelType w:val="hybridMultilevel"/>
    <w:tmpl w:val="AACE46F2"/>
    <w:lvl w:ilvl="0" w:tplc="F3E05EB2">
      <w:start w:val="1"/>
      <w:numFmt w:val="bullet"/>
      <w:lvlText w:val=""/>
      <w:lvlJc w:val="left"/>
      <w:pPr>
        <w:ind w:left="720" w:hanging="360"/>
      </w:pPr>
      <w:rPr>
        <w:rFonts w:ascii="Symbol" w:hAnsi="Symbol" w:hint="default"/>
        <w:b/>
      </w:rPr>
    </w:lvl>
    <w:lvl w:ilvl="1" w:tplc="3C0E766E">
      <w:start w:val="1"/>
      <w:numFmt w:val="lowerLetter"/>
      <w:lvlText w:val="%2."/>
      <w:lvlJc w:val="left"/>
      <w:pPr>
        <w:ind w:left="1440" w:hanging="360"/>
      </w:pPr>
    </w:lvl>
    <w:lvl w:ilvl="2" w:tplc="E85C9C14">
      <w:start w:val="1"/>
      <w:numFmt w:val="lowerRoman"/>
      <w:lvlText w:val="(%3)"/>
      <w:lvlJc w:val="left"/>
      <w:pPr>
        <w:ind w:left="2700" w:hanging="720"/>
      </w:pPr>
      <w:rPr>
        <w:rFonts w:hint="default"/>
        <w:b w:val="0"/>
      </w:rPr>
    </w:lvl>
    <w:lvl w:ilvl="3" w:tplc="2EFA8CC0" w:tentative="1">
      <w:start w:val="1"/>
      <w:numFmt w:val="decimal"/>
      <w:lvlText w:val="%4."/>
      <w:lvlJc w:val="left"/>
      <w:pPr>
        <w:ind w:left="2880" w:hanging="360"/>
      </w:pPr>
    </w:lvl>
    <w:lvl w:ilvl="4" w:tplc="08863F5C" w:tentative="1">
      <w:start w:val="1"/>
      <w:numFmt w:val="lowerLetter"/>
      <w:lvlText w:val="%5."/>
      <w:lvlJc w:val="left"/>
      <w:pPr>
        <w:ind w:left="3600" w:hanging="360"/>
      </w:pPr>
    </w:lvl>
    <w:lvl w:ilvl="5" w:tplc="39225E84" w:tentative="1">
      <w:start w:val="1"/>
      <w:numFmt w:val="lowerRoman"/>
      <w:lvlText w:val="%6."/>
      <w:lvlJc w:val="right"/>
      <w:pPr>
        <w:ind w:left="4320" w:hanging="180"/>
      </w:pPr>
    </w:lvl>
    <w:lvl w:ilvl="6" w:tplc="583E946E" w:tentative="1">
      <w:start w:val="1"/>
      <w:numFmt w:val="decimal"/>
      <w:lvlText w:val="%7."/>
      <w:lvlJc w:val="left"/>
      <w:pPr>
        <w:ind w:left="5040" w:hanging="360"/>
      </w:pPr>
    </w:lvl>
    <w:lvl w:ilvl="7" w:tplc="A33803AC" w:tentative="1">
      <w:start w:val="1"/>
      <w:numFmt w:val="lowerLetter"/>
      <w:lvlText w:val="%8."/>
      <w:lvlJc w:val="left"/>
      <w:pPr>
        <w:ind w:left="5760" w:hanging="360"/>
      </w:pPr>
    </w:lvl>
    <w:lvl w:ilvl="8" w:tplc="253CC4E0" w:tentative="1">
      <w:start w:val="1"/>
      <w:numFmt w:val="lowerRoman"/>
      <w:lvlText w:val="%9."/>
      <w:lvlJc w:val="right"/>
      <w:pPr>
        <w:ind w:left="6480" w:hanging="180"/>
      </w:pPr>
    </w:lvl>
  </w:abstractNum>
  <w:abstractNum w:abstractNumId="187" w15:restartNumberingAfterBreak="0">
    <w:nsid w:val="466B4BEC"/>
    <w:multiLevelType w:val="hybridMultilevel"/>
    <w:tmpl w:val="B0A8B868"/>
    <w:lvl w:ilvl="0" w:tplc="71508E52">
      <w:numFmt w:val="bullet"/>
      <w:lvlText w:val="•"/>
      <w:lvlJc w:val="left"/>
      <w:pPr>
        <w:ind w:left="720" w:hanging="360"/>
      </w:pPr>
      <w:rPr>
        <w:rFonts w:ascii="Calibri" w:eastAsiaTheme="minorEastAsia" w:hAnsi="Calibri" w:cs="Calibri" w:hint="default"/>
        <w:i w:val="0"/>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6B30ADF"/>
    <w:multiLevelType w:val="hybridMultilevel"/>
    <w:tmpl w:val="A238E32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89" w15:restartNumberingAfterBreak="0">
    <w:nsid w:val="477F0D04"/>
    <w:multiLevelType w:val="hybridMultilevel"/>
    <w:tmpl w:val="26E0E9F2"/>
    <w:lvl w:ilvl="0" w:tplc="D9869496">
      <w:start w:val="1"/>
      <w:numFmt w:val="lowerRoman"/>
      <w:lvlText w:val="%1."/>
      <w:lvlJc w:val="right"/>
      <w:pPr>
        <w:ind w:left="720" w:hanging="360"/>
      </w:pPr>
      <w:rPr>
        <w:rFonts w:hint="default"/>
        <w:b/>
      </w:rPr>
    </w:lvl>
    <w:lvl w:ilvl="1" w:tplc="BCB05F7E">
      <w:start w:val="1"/>
      <w:numFmt w:val="lowerLetter"/>
      <w:lvlText w:val="%2."/>
      <w:lvlJc w:val="left"/>
      <w:pPr>
        <w:ind w:left="1440" w:hanging="360"/>
      </w:pPr>
    </w:lvl>
    <w:lvl w:ilvl="2" w:tplc="D8B2BF98" w:tentative="1">
      <w:start w:val="1"/>
      <w:numFmt w:val="lowerRoman"/>
      <w:lvlText w:val="%3."/>
      <w:lvlJc w:val="right"/>
      <w:pPr>
        <w:ind w:left="2160" w:hanging="180"/>
      </w:pPr>
    </w:lvl>
    <w:lvl w:ilvl="3" w:tplc="9D347722" w:tentative="1">
      <w:start w:val="1"/>
      <w:numFmt w:val="decimal"/>
      <w:lvlText w:val="%4."/>
      <w:lvlJc w:val="left"/>
      <w:pPr>
        <w:ind w:left="2880" w:hanging="360"/>
      </w:pPr>
    </w:lvl>
    <w:lvl w:ilvl="4" w:tplc="ADFAE6B4" w:tentative="1">
      <w:start w:val="1"/>
      <w:numFmt w:val="lowerLetter"/>
      <w:lvlText w:val="%5."/>
      <w:lvlJc w:val="left"/>
      <w:pPr>
        <w:ind w:left="3600" w:hanging="360"/>
      </w:pPr>
    </w:lvl>
    <w:lvl w:ilvl="5" w:tplc="164CB356" w:tentative="1">
      <w:start w:val="1"/>
      <w:numFmt w:val="lowerRoman"/>
      <w:lvlText w:val="%6."/>
      <w:lvlJc w:val="right"/>
      <w:pPr>
        <w:ind w:left="4320" w:hanging="180"/>
      </w:pPr>
    </w:lvl>
    <w:lvl w:ilvl="6" w:tplc="74F41802" w:tentative="1">
      <w:start w:val="1"/>
      <w:numFmt w:val="decimal"/>
      <w:lvlText w:val="%7."/>
      <w:lvlJc w:val="left"/>
      <w:pPr>
        <w:ind w:left="5040" w:hanging="360"/>
      </w:pPr>
    </w:lvl>
    <w:lvl w:ilvl="7" w:tplc="6FC8BBA8" w:tentative="1">
      <w:start w:val="1"/>
      <w:numFmt w:val="lowerLetter"/>
      <w:lvlText w:val="%8."/>
      <w:lvlJc w:val="left"/>
      <w:pPr>
        <w:ind w:left="5760" w:hanging="360"/>
      </w:pPr>
    </w:lvl>
    <w:lvl w:ilvl="8" w:tplc="9656F57C" w:tentative="1">
      <w:start w:val="1"/>
      <w:numFmt w:val="lowerRoman"/>
      <w:lvlText w:val="%9."/>
      <w:lvlJc w:val="right"/>
      <w:pPr>
        <w:ind w:left="6480" w:hanging="180"/>
      </w:pPr>
    </w:lvl>
  </w:abstractNum>
  <w:abstractNum w:abstractNumId="190" w15:restartNumberingAfterBreak="0">
    <w:nsid w:val="486F0F12"/>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191" w15:restartNumberingAfterBreak="0">
    <w:nsid w:val="4966086F"/>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192" w15:restartNumberingAfterBreak="0">
    <w:nsid w:val="496C75D1"/>
    <w:multiLevelType w:val="hybridMultilevel"/>
    <w:tmpl w:val="2E3AD082"/>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4A502F8E"/>
    <w:multiLevelType w:val="multilevel"/>
    <w:tmpl w:val="C5003A82"/>
    <w:styleLink w:val="Style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4" w15:restartNumberingAfterBreak="0">
    <w:nsid w:val="4AF26856"/>
    <w:multiLevelType w:val="hybridMultilevel"/>
    <w:tmpl w:val="CB4A9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C3C6225"/>
    <w:multiLevelType w:val="multilevel"/>
    <w:tmpl w:val="C1D0B92E"/>
    <w:lvl w:ilvl="0">
      <w:start w:val="4"/>
      <w:numFmt w:val="upperRoman"/>
      <w:lvlText w:val="%1"/>
      <w:lvlJc w:val="left"/>
      <w:pPr>
        <w:ind w:left="825" w:hanging="653"/>
      </w:pPr>
      <w:rPr>
        <w:rFonts w:hint="default"/>
        <w:lang w:val="en-US" w:eastAsia="en-US" w:bidi="ar-SA"/>
      </w:rPr>
    </w:lvl>
    <w:lvl w:ilvl="1">
      <w:start w:val="1"/>
      <w:numFmt w:val="decimal"/>
      <w:lvlText w:val="%1.%2)"/>
      <w:lvlJc w:val="left"/>
      <w:pPr>
        <w:ind w:left="825" w:hanging="653"/>
      </w:pPr>
      <w:rPr>
        <w:rFonts w:ascii="Arial" w:eastAsia="Arial" w:hAnsi="Arial" w:cs="Arial" w:hint="default"/>
        <w:b/>
        <w:bCs/>
        <w:w w:val="92"/>
        <w:sz w:val="20"/>
        <w:szCs w:val="20"/>
        <w:lang w:val="en-US" w:eastAsia="en-US" w:bidi="ar-SA"/>
      </w:rPr>
    </w:lvl>
    <w:lvl w:ilvl="2">
      <w:numFmt w:val="bullet"/>
      <w:lvlText w:val="•"/>
      <w:lvlJc w:val="left"/>
      <w:pPr>
        <w:ind w:left="2745" w:hanging="653"/>
      </w:pPr>
      <w:rPr>
        <w:rFonts w:hint="default"/>
        <w:lang w:val="en-US" w:eastAsia="en-US" w:bidi="ar-SA"/>
      </w:rPr>
    </w:lvl>
    <w:lvl w:ilvl="3">
      <w:numFmt w:val="bullet"/>
      <w:lvlText w:val="•"/>
      <w:lvlJc w:val="left"/>
      <w:pPr>
        <w:ind w:left="3708" w:hanging="653"/>
      </w:pPr>
      <w:rPr>
        <w:rFonts w:hint="default"/>
        <w:lang w:val="en-US" w:eastAsia="en-US" w:bidi="ar-SA"/>
      </w:rPr>
    </w:lvl>
    <w:lvl w:ilvl="4">
      <w:numFmt w:val="bullet"/>
      <w:lvlText w:val="•"/>
      <w:lvlJc w:val="left"/>
      <w:pPr>
        <w:ind w:left="4670" w:hanging="653"/>
      </w:pPr>
      <w:rPr>
        <w:rFonts w:hint="default"/>
        <w:lang w:val="en-US" w:eastAsia="en-US" w:bidi="ar-SA"/>
      </w:rPr>
    </w:lvl>
    <w:lvl w:ilvl="5">
      <w:numFmt w:val="bullet"/>
      <w:lvlText w:val="•"/>
      <w:lvlJc w:val="left"/>
      <w:pPr>
        <w:ind w:left="5633" w:hanging="653"/>
      </w:pPr>
      <w:rPr>
        <w:rFonts w:hint="default"/>
        <w:lang w:val="en-US" w:eastAsia="en-US" w:bidi="ar-SA"/>
      </w:rPr>
    </w:lvl>
    <w:lvl w:ilvl="6">
      <w:numFmt w:val="bullet"/>
      <w:lvlText w:val="•"/>
      <w:lvlJc w:val="left"/>
      <w:pPr>
        <w:ind w:left="6596" w:hanging="653"/>
      </w:pPr>
      <w:rPr>
        <w:rFonts w:hint="default"/>
        <w:lang w:val="en-US" w:eastAsia="en-US" w:bidi="ar-SA"/>
      </w:rPr>
    </w:lvl>
    <w:lvl w:ilvl="7">
      <w:numFmt w:val="bullet"/>
      <w:lvlText w:val="•"/>
      <w:lvlJc w:val="left"/>
      <w:pPr>
        <w:ind w:left="7558" w:hanging="653"/>
      </w:pPr>
      <w:rPr>
        <w:rFonts w:hint="default"/>
        <w:lang w:val="en-US" w:eastAsia="en-US" w:bidi="ar-SA"/>
      </w:rPr>
    </w:lvl>
    <w:lvl w:ilvl="8">
      <w:numFmt w:val="bullet"/>
      <w:lvlText w:val="•"/>
      <w:lvlJc w:val="left"/>
      <w:pPr>
        <w:ind w:left="8521" w:hanging="653"/>
      </w:pPr>
      <w:rPr>
        <w:rFonts w:hint="default"/>
        <w:lang w:val="en-US" w:eastAsia="en-US" w:bidi="ar-SA"/>
      </w:rPr>
    </w:lvl>
  </w:abstractNum>
  <w:abstractNum w:abstractNumId="196" w15:restartNumberingAfterBreak="0">
    <w:nsid w:val="4CC0341D"/>
    <w:multiLevelType w:val="multilevel"/>
    <w:tmpl w:val="CE6A66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4."/>
      <w:lvlJc w:val="left"/>
      <w:pPr>
        <w:ind w:left="864" w:hanging="864"/>
      </w:pPr>
      <w:rPr>
        <w:rFonts w:hint="default"/>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7" w15:restartNumberingAfterBreak="0">
    <w:nsid w:val="5238012D"/>
    <w:multiLevelType w:val="hybridMultilevel"/>
    <w:tmpl w:val="DF6E0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27928E6"/>
    <w:multiLevelType w:val="hybridMultilevel"/>
    <w:tmpl w:val="164E35B4"/>
    <w:lvl w:ilvl="0" w:tplc="0409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99" w15:restartNumberingAfterBreak="0">
    <w:nsid w:val="52ED0DFD"/>
    <w:multiLevelType w:val="hybridMultilevel"/>
    <w:tmpl w:val="E6B65BA6"/>
    <w:lvl w:ilvl="0" w:tplc="F77A902E">
      <w:start w:val="1"/>
      <w:numFmt w:val="decimal"/>
      <w:lvlText w:val="%1."/>
      <w:lvlJc w:val="left"/>
      <w:pPr>
        <w:ind w:left="720" w:hanging="360"/>
      </w:pPr>
      <w:rPr>
        <w:rFonts w:ascii="Times New Roman Bold" w:hAnsi="Times New Roman Bold" w:hint="default"/>
        <w:b/>
        <w:i w:val="0"/>
        <w:sz w:val="24"/>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3082234"/>
    <w:multiLevelType w:val="hybridMultilevel"/>
    <w:tmpl w:val="A080DEC2"/>
    <w:lvl w:ilvl="0" w:tplc="C988F880">
      <w:start w:val="1"/>
      <w:numFmt w:val="lowerRoman"/>
      <w:lvlText w:val="(%1)"/>
      <w:lvlJc w:val="left"/>
      <w:pPr>
        <w:ind w:left="360" w:hanging="360"/>
      </w:pPr>
      <w:rPr>
        <w:rFonts w:hint="default"/>
        <w:b w:val="0"/>
      </w:rPr>
    </w:lvl>
    <w:lvl w:ilvl="1" w:tplc="D66EEC82">
      <w:start w:val="1"/>
      <w:numFmt w:val="lowerLetter"/>
      <w:lvlText w:val="%2."/>
      <w:lvlJc w:val="left"/>
      <w:pPr>
        <w:ind w:left="1080" w:hanging="360"/>
      </w:pPr>
    </w:lvl>
    <w:lvl w:ilvl="2" w:tplc="BF5E2CEC">
      <w:start w:val="1"/>
      <w:numFmt w:val="lowerRoman"/>
      <w:lvlText w:val="(%3)"/>
      <w:lvlJc w:val="left"/>
      <w:pPr>
        <w:ind w:left="2340" w:hanging="720"/>
      </w:pPr>
      <w:rPr>
        <w:rFonts w:hint="default"/>
        <w:b w:val="0"/>
      </w:rPr>
    </w:lvl>
    <w:lvl w:ilvl="3" w:tplc="D1C0370E" w:tentative="1">
      <w:start w:val="1"/>
      <w:numFmt w:val="decimal"/>
      <w:lvlText w:val="%4."/>
      <w:lvlJc w:val="left"/>
      <w:pPr>
        <w:ind w:left="2520" w:hanging="360"/>
      </w:pPr>
    </w:lvl>
    <w:lvl w:ilvl="4" w:tplc="710404EE" w:tentative="1">
      <w:start w:val="1"/>
      <w:numFmt w:val="lowerLetter"/>
      <w:lvlText w:val="%5."/>
      <w:lvlJc w:val="left"/>
      <w:pPr>
        <w:ind w:left="3240" w:hanging="360"/>
      </w:pPr>
    </w:lvl>
    <w:lvl w:ilvl="5" w:tplc="5EC07D20" w:tentative="1">
      <w:start w:val="1"/>
      <w:numFmt w:val="lowerRoman"/>
      <w:lvlText w:val="%6."/>
      <w:lvlJc w:val="right"/>
      <w:pPr>
        <w:ind w:left="3960" w:hanging="180"/>
      </w:pPr>
    </w:lvl>
    <w:lvl w:ilvl="6" w:tplc="C9986364" w:tentative="1">
      <w:start w:val="1"/>
      <w:numFmt w:val="decimal"/>
      <w:lvlText w:val="%7."/>
      <w:lvlJc w:val="left"/>
      <w:pPr>
        <w:ind w:left="4680" w:hanging="360"/>
      </w:pPr>
    </w:lvl>
    <w:lvl w:ilvl="7" w:tplc="49802506" w:tentative="1">
      <w:start w:val="1"/>
      <w:numFmt w:val="lowerLetter"/>
      <w:lvlText w:val="%8."/>
      <w:lvlJc w:val="left"/>
      <w:pPr>
        <w:ind w:left="5400" w:hanging="360"/>
      </w:pPr>
    </w:lvl>
    <w:lvl w:ilvl="8" w:tplc="B8A62EFE" w:tentative="1">
      <w:start w:val="1"/>
      <w:numFmt w:val="lowerRoman"/>
      <w:lvlText w:val="%9."/>
      <w:lvlJc w:val="right"/>
      <w:pPr>
        <w:ind w:left="6120" w:hanging="180"/>
      </w:pPr>
    </w:lvl>
  </w:abstractNum>
  <w:abstractNum w:abstractNumId="201" w15:restartNumberingAfterBreak="0">
    <w:nsid w:val="5394148F"/>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02" w15:restartNumberingAfterBreak="0">
    <w:nsid w:val="54452C70"/>
    <w:multiLevelType w:val="hybridMultilevel"/>
    <w:tmpl w:val="2346B1A4"/>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47D781A"/>
    <w:multiLevelType w:val="hybridMultilevel"/>
    <w:tmpl w:val="7BD65C9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04" w15:restartNumberingAfterBreak="0">
    <w:nsid w:val="5520775B"/>
    <w:multiLevelType w:val="hybridMultilevel"/>
    <w:tmpl w:val="7B6C4666"/>
    <w:lvl w:ilvl="0" w:tplc="43F8FF5C">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5" w15:restartNumberingAfterBreak="0">
    <w:nsid w:val="55BE31E4"/>
    <w:multiLevelType w:val="hybridMultilevel"/>
    <w:tmpl w:val="476A06DE"/>
    <w:lvl w:ilvl="0" w:tplc="B4C2152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5E9238E"/>
    <w:multiLevelType w:val="hybridMultilevel"/>
    <w:tmpl w:val="81BC9C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7" w15:restartNumberingAfterBreak="0">
    <w:nsid w:val="56610C3D"/>
    <w:multiLevelType w:val="hybridMultilevel"/>
    <w:tmpl w:val="61D6CB9C"/>
    <w:lvl w:ilvl="0" w:tplc="08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574409B3"/>
    <w:multiLevelType w:val="hybridMultilevel"/>
    <w:tmpl w:val="9B92C87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57CF5683"/>
    <w:multiLevelType w:val="hybridMultilevel"/>
    <w:tmpl w:val="4AE0FD2A"/>
    <w:lvl w:ilvl="0" w:tplc="0000008A">
      <w:start w:val="1"/>
      <w:numFmt w:val="bullet"/>
      <w:lvlText w:val=""/>
      <w:lvlJc w:val="left"/>
      <w:pPr>
        <w:ind w:left="1080" w:hanging="360"/>
      </w:pPr>
      <w:rPr>
        <w:rFonts w:ascii="Symbol" w:hAnsi="Symbol"/>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0" w15:restartNumberingAfterBreak="0">
    <w:nsid w:val="5819740E"/>
    <w:multiLevelType w:val="hybridMultilevel"/>
    <w:tmpl w:val="DE9A4A3A"/>
    <w:lvl w:ilvl="0" w:tplc="00000021">
      <w:start w:val="1"/>
      <w:numFmt w:val="bullet"/>
      <w:lvlText w:val="-"/>
      <w:lvlJc w:val="left"/>
      <w:pPr>
        <w:ind w:left="2160" w:hanging="360"/>
      </w:pPr>
      <w:rPr>
        <w:rFonts w:ascii="Bookman Old Style" w:hAnsi="Bookman Old Style"/>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1" w15:restartNumberingAfterBreak="0">
    <w:nsid w:val="58A324BD"/>
    <w:multiLevelType w:val="hybridMultilevel"/>
    <w:tmpl w:val="3682A35A"/>
    <w:lvl w:ilvl="0" w:tplc="0409000D">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12" w15:restartNumberingAfterBreak="0">
    <w:nsid w:val="58DA5C30"/>
    <w:multiLevelType w:val="hybridMultilevel"/>
    <w:tmpl w:val="E73447FC"/>
    <w:lvl w:ilvl="0" w:tplc="0409001B">
      <w:start w:val="1"/>
      <w:numFmt w:val="lowerRoman"/>
      <w:lvlText w:val="%1."/>
      <w:lvlJc w:val="right"/>
      <w:pPr>
        <w:ind w:left="2160" w:hanging="360"/>
      </w:pPr>
    </w:lvl>
    <w:lvl w:ilvl="1" w:tplc="081A0019" w:tentative="1">
      <w:start w:val="1"/>
      <w:numFmt w:val="lowerLetter"/>
      <w:lvlText w:val="%2."/>
      <w:lvlJc w:val="left"/>
      <w:pPr>
        <w:ind w:left="2880" w:hanging="360"/>
      </w:pPr>
    </w:lvl>
    <w:lvl w:ilvl="2" w:tplc="081A001B" w:tentative="1">
      <w:start w:val="1"/>
      <w:numFmt w:val="lowerRoman"/>
      <w:lvlText w:val="%3."/>
      <w:lvlJc w:val="right"/>
      <w:pPr>
        <w:ind w:left="3600" w:hanging="180"/>
      </w:pPr>
    </w:lvl>
    <w:lvl w:ilvl="3" w:tplc="081A000F" w:tentative="1">
      <w:start w:val="1"/>
      <w:numFmt w:val="decimal"/>
      <w:lvlText w:val="%4."/>
      <w:lvlJc w:val="left"/>
      <w:pPr>
        <w:ind w:left="4320" w:hanging="360"/>
      </w:pPr>
    </w:lvl>
    <w:lvl w:ilvl="4" w:tplc="081A0019" w:tentative="1">
      <w:start w:val="1"/>
      <w:numFmt w:val="lowerLetter"/>
      <w:lvlText w:val="%5."/>
      <w:lvlJc w:val="left"/>
      <w:pPr>
        <w:ind w:left="5040" w:hanging="360"/>
      </w:pPr>
    </w:lvl>
    <w:lvl w:ilvl="5" w:tplc="081A001B" w:tentative="1">
      <w:start w:val="1"/>
      <w:numFmt w:val="lowerRoman"/>
      <w:lvlText w:val="%6."/>
      <w:lvlJc w:val="right"/>
      <w:pPr>
        <w:ind w:left="5760" w:hanging="180"/>
      </w:pPr>
    </w:lvl>
    <w:lvl w:ilvl="6" w:tplc="081A000F" w:tentative="1">
      <w:start w:val="1"/>
      <w:numFmt w:val="decimal"/>
      <w:lvlText w:val="%7."/>
      <w:lvlJc w:val="left"/>
      <w:pPr>
        <w:ind w:left="6480" w:hanging="360"/>
      </w:pPr>
    </w:lvl>
    <w:lvl w:ilvl="7" w:tplc="081A0019" w:tentative="1">
      <w:start w:val="1"/>
      <w:numFmt w:val="lowerLetter"/>
      <w:lvlText w:val="%8."/>
      <w:lvlJc w:val="left"/>
      <w:pPr>
        <w:ind w:left="7200" w:hanging="360"/>
      </w:pPr>
    </w:lvl>
    <w:lvl w:ilvl="8" w:tplc="081A001B" w:tentative="1">
      <w:start w:val="1"/>
      <w:numFmt w:val="lowerRoman"/>
      <w:lvlText w:val="%9."/>
      <w:lvlJc w:val="right"/>
      <w:pPr>
        <w:ind w:left="7920" w:hanging="180"/>
      </w:pPr>
    </w:lvl>
  </w:abstractNum>
  <w:abstractNum w:abstractNumId="213" w15:restartNumberingAfterBreak="0">
    <w:nsid w:val="593B7075"/>
    <w:multiLevelType w:val="multilevel"/>
    <w:tmpl w:val="20D03450"/>
    <w:lvl w:ilvl="0">
      <w:start w:val="1"/>
      <w:numFmt w:val="bullet"/>
      <w:lvlText w:val=""/>
      <w:lvlJc w:val="left"/>
      <w:pPr>
        <w:tabs>
          <w:tab w:val="num" w:pos="360"/>
        </w:tabs>
        <w:ind w:left="360" w:hanging="360"/>
      </w:pPr>
      <w:rPr>
        <w:rFonts w:ascii="Wingdings" w:hAnsi="Wingdings" w:hint="default"/>
        <w:sz w:val="20"/>
      </w:rPr>
    </w:lvl>
    <w:lvl w:ilvl="1">
      <w:start w:val="1"/>
      <w:numFmt w:val="lowerLetter"/>
      <w:lvlText w:val="%2)"/>
      <w:lvlJc w:val="left"/>
      <w:pPr>
        <w:ind w:left="1080" w:hanging="360"/>
      </w:pPr>
      <w:rPr>
        <w:rFonts w:hint="default"/>
      </w:rPr>
    </w:lvl>
    <w:lvl w:ilvl="2">
      <w:start w:val="1"/>
      <w:numFmt w:val="lowerLetter"/>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14" w15:restartNumberingAfterBreak="0">
    <w:nsid w:val="59A563B4"/>
    <w:multiLevelType w:val="multilevel"/>
    <w:tmpl w:val="0409001D"/>
    <w:styleLink w:val="Style5"/>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5" w15:restartNumberingAfterBreak="0">
    <w:nsid w:val="59F25076"/>
    <w:multiLevelType w:val="hybridMultilevel"/>
    <w:tmpl w:val="A42828E8"/>
    <w:lvl w:ilvl="0" w:tplc="E2E05224">
      <w:start w:val="1"/>
      <w:numFmt w:val="lowerRoman"/>
      <w:lvlText w:val="%1."/>
      <w:lvlJc w:val="right"/>
      <w:pPr>
        <w:ind w:left="360" w:hanging="360"/>
      </w:pPr>
    </w:lvl>
    <w:lvl w:ilvl="1" w:tplc="BA20FD1C" w:tentative="1">
      <w:start w:val="1"/>
      <w:numFmt w:val="lowerLetter"/>
      <w:lvlText w:val="%2."/>
      <w:lvlJc w:val="left"/>
      <w:pPr>
        <w:ind w:left="1080" w:hanging="360"/>
      </w:pPr>
    </w:lvl>
    <w:lvl w:ilvl="2" w:tplc="B0CAAFA0" w:tentative="1">
      <w:start w:val="1"/>
      <w:numFmt w:val="lowerRoman"/>
      <w:lvlText w:val="%3."/>
      <w:lvlJc w:val="right"/>
      <w:pPr>
        <w:ind w:left="1800" w:hanging="180"/>
      </w:pPr>
    </w:lvl>
    <w:lvl w:ilvl="3" w:tplc="3B047AEC" w:tentative="1">
      <w:start w:val="1"/>
      <w:numFmt w:val="decimal"/>
      <w:lvlText w:val="%4."/>
      <w:lvlJc w:val="left"/>
      <w:pPr>
        <w:ind w:left="2520" w:hanging="360"/>
      </w:pPr>
    </w:lvl>
    <w:lvl w:ilvl="4" w:tplc="41689216" w:tentative="1">
      <w:start w:val="1"/>
      <w:numFmt w:val="lowerLetter"/>
      <w:lvlText w:val="%5."/>
      <w:lvlJc w:val="left"/>
      <w:pPr>
        <w:ind w:left="3240" w:hanging="360"/>
      </w:pPr>
    </w:lvl>
    <w:lvl w:ilvl="5" w:tplc="BF7A328E" w:tentative="1">
      <w:start w:val="1"/>
      <w:numFmt w:val="lowerRoman"/>
      <w:lvlText w:val="%6."/>
      <w:lvlJc w:val="right"/>
      <w:pPr>
        <w:ind w:left="3960" w:hanging="180"/>
      </w:pPr>
    </w:lvl>
    <w:lvl w:ilvl="6" w:tplc="F79499F0" w:tentative="1">
      <w:start w:val="1"/>
      <w:numFmt w:val="decimal"/>
      <w:lvlText w:val="%7."/>
      <w:lvlJc w:val="left"/>
      <w:pPr>
        <w:ind w:left="4680" w:hanging="360"/>
      </w:pPr>
    </w:lvl>
    <w:lvl w:ilvl="7" w:tplc="F74E2CC6" w:tentative="1">
      <w:start w:val="1"/>
      <w:numFmt w:val="lowerLetter"/>
      <w:lvlText w:val="%8."/>
      <w:lvlJc w:val="left"/>
      <w:pPr>
        <w:ind w:left="5400" w:hanging="360"/>
      </w:pPr>
    </w:lvl>
    <w:lvl w:ilvl="8" w:tplc="FABA7E86" w:tentative="1">
      <w:start w:val="1"/>
      <w:numFmt w:val="lowerRoman"/>
      <w:lvlText w:val="%9."/>
      <w:lvlJc w:val="right"/>
      <w:pPr>
        <w:ind w:left="6120" w:hanging="180"/>
      </w:pPr>
    </w:lvl>
  </w:abstractNum>
  <w:abstractNum w:abstractNumId="216" w15:restartNumberingAfterBreak="0">
    <w:nsid w:val="5A0537DA"/>
    <w:multiLevelType w:val="hybridMultilevel"/>
    <w:tmpl w:val="A9468C98"/>
    <w:lvl w:ilvl="0" w:tplc="04090017">
      <w:start w:val="1"/>
      <w:numFmt w:val="lowerLetter"/>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17" w15:restartNumberingAfterBreak="0">
    <w:nsid w:val="5A163FB5"/>
    <w:multiLevelType w:val="hybridMultilevel"/>
    <w:tmpl w:val="4E905AF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15:restartNumberingAfterBreak="0">
    <w:nsid w:val="5AD3130E"/>
    <w:multiLevelType w:val="hybridMultilevel"/>
    <w:tmpl w:val="CF987FF6"/>
    <w:lvl w:ilvl="0" w:tplc="04090017">
      <w:start w:val="1"/>
      <w:numFmt w:val="lowerLetter"/>
      <w:lvlText w:val="%1)"/>
      <w:lvlJc w:val="left"/>
      <w:pPr>
        <w:ind w:left="1440" w:hanging="360"/>
      </w:pPr>
      <w:rPr>
        <w:rFonts w:hint="default"/>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219" w15:restartNumberingAfterBreak="0">
    <w:nsid w:val="5B69137E"/>
    <w:multiLevelType w:val="hybridMultilevel"/>
    <w:tmpl w:val="0A1C1B5A"/>
    <w:lvl w:ilvl="0" w:tplc="D4AEC7DC">
      <w:start w:val="1"/>
      <w:numFmt w:val="bullet"/>
      <w:lvlText w:val=""/>
      <w:lvlJc w:val="left"/>
      <w:pPr>
        <w:ind w:left="1440" w:hanging="360"/>
      </w:pPr>
      <w:rPr>
        <w:rFonts w:ascii="Wingdings" w:hAnsi="Wingdings" w:hint="default"/>
        <w:color w:val="000000" w:themeColor="text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0" w15:restartNumberingAfterBreak="0">
    <w:nsid w:val="5B8A755D"/>
    <w:multiLevelType w:val="hybridMultilevel"/>
    <w:tmpl w:val="6930BA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1" w15:restartNumberingAfterBreak="0">
    <w:nsid w:val="5C451C6D"/>
    <w:multiLevelType w:val="hybridMultilevel"/>
    <w:tmpl w:val="5D029554"/>
    <w:lvl w:ilvl="0" w:tplc="0409000F">
      <w:start w:val="1"/>
      <w:numFmt w:val="decimal"/>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5CAD132E"/>
    <w:multiLevelType w:val="hybridMultilevel"/>
    <w:tmpl w:val="37868EB4"/>
    <w:lvl w:ilvl="0" w:tplc="80629066">
      <w:start w:val="8"/>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15:restartNumberingAfterBreak="0">
    <w:nsid w:val="5CBE2363"/>
    <w:multiLevelType w:val="multilevel"/>
    <w:tmpl w:val="3C12068A"/>
    <w:lvl w:ilvl="0">
      <w:start w:val="1"/>
      <w:numFmt w:val="decimal"/>
      <w:lvlText w:val="%1"/>
      <w:lvlJc w:val="left"/>
      <w:pPr>
        <w:ind w:left="432" w:hanging="432"/>
      </w:pPr>
    </w:lvl>
    <w:lvl w:ilvl="1">
      <w:start w:val="1"/>
      <w:numFmt w:val="decimal"/>
      <w:lvlText w:val="%1.%2"/>
      <w:lvlJc w:val="left"/>
      <w:pPr>
        <w:ind w:left="1002"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4" w15:restartNumberingAfterBreak="0">
    <w:nsid w:val="5D361DCF"/>
    <w:multiLevelType w:val="hybridMultilevel"/>
    <w:tmpl w:val="829C1A26"/>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25" w15:restartNumberingAfterBreak="0">
    <w:nsid w:val="5DD4615B"/>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26" w15:restartNumberingAfterBreak="0">
    <w:nsid w:val="5E757D9F"/>
    <w:multiLevelType w:val="multilevel"/>
    <w:tmpl w:val="2710E7D6"/>
    <w:lvl w:ilvl="0">
      <w:start w:val="6"/>
      <w:numFmt w:val="upperRoman"/>
      <w:lvlText w:val="%1"/>
      <w:lvlJc w:val="left"/>
      <w:pPr>
        <w:ind w:left="824" w:hanging="652"/>
      </w:pPr>
      <w:rPr>
        <w:rFonts w:hint="default"/>
        <w:lang w:val="en-US" w:eastAsia="en-US" w:bidi="ar-SA"/>
      </w:rPr>
    </w:lvl>
    <w:lvl w:ilvl="1">
      <w:start w:val="3"/>
      <w:numFmt w:val="decimal"/>
      <w:lvlText w:val="%1.%2)"/>
      <w:lvlJc w:val="left"/>
      <w:pPr>
        <w:ind w:left="824" w:hanging="652"/>
      </w:pPr>
      <w:rPr>
        <w:rFonts w:ascii="Arial" w:eastAsia="Arial" w:hAnsi="Arial" w:cs="Arial" w:hint="default"/>
        <w:b/>
        <w:bCs/>
        <w:spacing w:val="-1"/>
        <w:w w:val="92"/>
        <w:sz w:val="20"/>
        <w:szCs w:val="20"/>
        <w:lang w:val="en-US" w:eastAsia="en-US" w:bidi="ar-SA"/>
      </w:rPr>
    </w:lvl>
    <w:lvl w:ilvl="2">
      <w:numFmt w:val="bullet"/>
      <w:lvlText w:val="•"/>
      <w:lvlJc w:val="left"/>
      <w:pPr>
        <w:ind w:left="2745" w:hanging="652"/>
      </w:pPr>
      <w:rPr>
        <w:rFonts w:hint="default"/>
        <w:lang w:val="en-US" w:eastAsia="en-US" w:bidi="ar-SA"/>
      </w:rPr>
    </w:lvl>
    <w:lvl w:ilvl="3">
      <w:numFmt w:val="bullet"/>
      <w:lvlText w:val="•"/>
      <w:lvlJc w:val="left"/>
      <w:pPr>
        <w:ind w:left="3708" w:hanging="652"/>
      </w:pPr>
      <w:rPr>
        <w:rFonts w:hint="default"/>
        <w:lang w:val="en-US" w:eastAsia="en-US" w:bidi="ar-SA"/>
      </w:rPr>
    </w:lvl>
    <w:lvl w:ilvl="4">
      <w:numFmt w:val="bullet"/>
      <w:lvlText w:val="•"/>
      <w:lvlJc w:val="left"/>
      <w:pPr>
        <w:ind w:left="4670" w:hanging="652"/>
      </w:pPr>
      <w:rPr>
        <w:rFonts w:hint="default"/>
        <w:lang w:val="en-US" w:eastAsia="en-US" w:bidi="ar-SA"/>
      </w:rPr>
    </w:lvl>
    <w:lvl w:ilvl="5">
      <w:numFmt w:val="bullet"/>
      <w:lvlText w:val="•"/>
      <w:lvlJc w:val="left"/>
      <w:pPr>
        <w:ind w:left="5633" w:hanging="652"/>
      </w:pPr>
      <w:rPr>
        <w:rFonts w:hint="default"/>
        <w:lang w:val="en-US" w:eastAsia="en-US" w:bidi="ar-SA"/>
      </w:rPr>
    </w:lvl>
    <w:lvl w:ilvl="6">
      <w:numFmt w:val="bullet"/>
      <w:lvlText w:val="•"/>
      <w:lvlJc w:val="left"/>
      <w:pPr>
        <w:ind w:left="6596" w:hanging="652"/>
      </w:pPr>
      <w:rPr>
        <w:rFonts w:hint="default"/>
        <w:lang w:val="en-US" w:eastAsia="en-US" w:bidi="ar-SA"/>
      </w:rPr>
    </w:lvl>
    <w:lvl w:ilvl="7">
      <w:numFmt w:val="bullet"/>
      <w:lvlText w:val="•"/>
      <w:lvlJc w:val="left"/>
      <w:pPr>
        <w:ind w:left="7558" w:hanging="652"/>
      </w:pPr>
      <w:rPr>
        <w:rFonts w:hint="default"/>
        <w:lang w:val="en-US" w:eastAsia="en-US" w:bidi="ar-SA"/>
      </w:rPr>
    </w:lvl>
    <w:lvl w:ilvl="8">
      <w:numFmt w:val="bullet"/>
      <w:lvlText w:val="•"/>
      <w:lvlJc w:val="left"/>
      <w:pPr>
        <w:ind w:left="8521" w:hanging="652"/>
      </w:pPr>
      <w:rPr>
        <w:rFonts w:hint="default"/>
        <w:lang w:val="en-US" w:eastAsia="en-US" w:bidi="ar-SA"/>
      </w:rPr>
    </w:lvl>
  </w:abstractNum>
  <w:abstractNum w:abstractNumId="227" w15:restartNumberingAfterBreak="0">
    <w:nsid w:val="5F8F4646"/>
    <w:multiLevelType w:val="multilevel"/>
    <w:tmpl w:val="3798324A"/>
    <w:lvl w:ilvl="0">
      <w:start w:val="1"/>
      <w:numFmt w:val="decimal"/>
      <w:lvlText w:val="%1."/>
      <w:lvlJc w:val="left"/>
      <w:pPr>
        <w:tabs>
          <w:tab w:val="num" w:pos="720"/>
        </w:tabs>
        <w:ind w:left="720" w:hanging="360"/>
      </w:pPr>
    </w:lvl>
    <w:lvl w:ilvl="1">
      <w:start w:val="1"/>
      <w:numFmt w:val="upperLetter"/>
      <w:lvlText w:val="(%2)"/>
      <w:lvlJc w:val="left"/>
      <w:pPr>
        <w:ind w:left="1800" w:hanging="720"/>
      </w:pPr>
      <w:rPr>
        <w:rFonts w:hint="default"/>
      </w:rPr>
    </w:lvl>
    <w:lvl w:ilvl="2">
      <w:start w:val="1"/>
      <w:numFmt w:val="decimal"/>
      <w:lvlText w:val="%3."/>
      <w:lvlJc w:val="left"/>
      <w:pPr>
        <w:ind w:left="72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15:restartNumberingAfterBreak="0">
    <w:nsid w:val="5FEA6866"/>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29" w15:restartNumberingAfterBreak="0">
    <w:nsid w:val="60097B89"/>
    <w:multiLevelType w:val="hybridMultilevel"/>
    <w:tmpl w:val="9C505834"/>
    <w:lvl w:ilvl="0" w:tplc="4A6C8460">
      <w:start w:val="1"/>
      <w:numFmt w:val="lowerRoman"/>
      <w:lvlText w:val="(%1)"/>
      <w:lvlJc w:val="right"/>
      <w:pPr>
        <w:ind w:left="720" w:hanging="360"/>
      </w:pPr>
      <w:rPr>
        <w:b/>
      </w:rPr>
    </w:lvl>
    <w:lvl w:ilvl="1" w:tplc="9C9EC72C">
      <w:start w:val="1"/>
      <w:numFmt w:val="lowerRoman"/>
      <w:lvlText w:val="(%2)"/>
      <w:lvlJc w:val="left"/>
      <w:pPr>
        <w:ind w:left="1440" w:hanging="360"/>
      </w:pPr>
      <w:rPr>
        <w:rFonts w:hint="default"/>
      </w:rPr>
    </w:lvl>
    <w:lvl w:ilvl="2" w:tplc="81DA1978">
      <w:start w:val="1"/>
      <w:numFmt w:val="lowerRoman"/>
      <w:lvlText w:val="(%3)"/>
      <w:lvlJc w:val="left"/>
      <w:pPr>
        <w:ind w:left="2700" w:hanging="720"/>
      </w:pPr>
      <w:rPr>
        <w:rFonts w:hint="default"/>
        <w:b w:val="0"/>
      </w:rPr>
    </w:lvl>
    <w:lvl w:ilvl="3" w:tplc="6A5813D8">
      <w:start w:val="1"/>
      <w:numFmt w:val="lowerRoman"/>
      <w:lvlText w:val="%4."/>
      <w:lvlJc w:val="left"/>
      <w:pPr>
        <w:ind w:left="3240" w:hanging="720"/>
      </w:pPr>
      <w:rPr>
        <w:rFonts w:hint="default"/>
        <w:b w:val="0"/>
      </w:rPr>
    </w:lvl>
    <w:lvl w:ilvl="4" w:tplc="87F4418E" w:tentative="1">
      <w:start w:val="1"/>
      <w:numFmt w:val="lowerLetter"/>
      <w:lvlText w:val="%5."/>
      <w:lvlJc w:val="left"/>
      <w:pPr>
        <w:ind w:left="3600" w:hanging="360"/>
      </w:pPr>
    </w:lvl>
    <w:lvl w:ilvl="5" w:tplc="38FCA6E6" w:tentative="1">
      <w:start w:val="1"/>
      <w:numFmt w:val="lowerRoman"/>
      <w:lvlText w:val="%6."/>
      <w:lvlJc w:val="right"/>
      <w:pPr>
        <w:ind w:left="4320" w:hanging="180"/>
      </w:pPr>
    </w:lvl>
    <w:lvl w:ilvl="6" w:tplc="4B127F20" w:tentative="1">
      <w:start w:val="1"/>
      <w:numFmt w:val="decimal"/>
      <w:lvlText w:val="%7."/>
      <w:lvlJc w:val="left"/>
      <w:pPr>
        <w:ind w:left="5040" w:hanging="360"/>
      </w:pPr>
    </w:lvl>
    <w:lvl w:ilvl="7" w:tplc="9050B2E2" w:tentative="1">
      <w:start w:val="1"/>
      <w:numFmt w:val="lowerLetter"/>
      <w:lvlText w:val="%8."/>
      <w:lvlJc w:val="left"/>
      <w:pPr>
        <w:ind w:left="5760" w:hanging="360"/>
      </w:pPr>
    </w:lvl>
    <w:lvl w:ilvl="8" w:tplc="1332AA56" w:tentative="1">
      <w:start w:val="1"/>
      <w:numFmt w:val="lowerRoman"/>
      <w:lvlText w:val="%9."/>
      <w:lvlJc w:val="right"/>
      <w:pPr>
        <w:ind w:left="6480" w:hanging="180"/>
      </w:pPr>
    </w:lvl>
  </w:abstractNum>
  <w:abstractNum w:abstractNumId="230" w15:restartNumberingAfterBreak="0">
    <w:nsid w:val="60C11298"/>
    <w:multiLevelType w:val="hybridMultilevel"/>
    <w:tmpl w:val="9F64447C"/>
    <w:lvl w:ilvl="0" w:tplc="5B4015E8">
      <w:start w:val="1"/>
      <w:numFmt w:val="lowerLetter"/>
      <w:lvlText w:val="(%1)"/>
      <w:lvlJc w:val="left"/>
      <w:pPr>
        <w:ind w:left="1080" w:hanging="720"/>
      </w:pPr>
      <w:rPr>
        <w:rFonts w:hint="default"/>
        <w:b w:val="0"/>
        <w:i w:val="0"/>
      </w:rPr>
    </w:lvl>
    <w:lvl w:ilvl="1" w:tplc="ABE632FA" w:tentative="1">
      <w:start w:val="1"/>
      <w:numFmt w:val="lowerLetter"/>
      <w:lvlText w:val="%2."/>
      <w:lvlJc w:val="left"/>
      <w:pPr>
        <w:ind w:left="1440" w:hanging="360"/>
      </w:pPr>
    </w:lvl>
    <w:lvl w:ilvl="2" w:tplc="0B3E9892" w:tentative="1">
      <w:start w:val="1"/>
      <w:numFmt w:val="lowerRoman"/>
      <w:lvlText w:val="%3."/>
      <w:lvlJc w:val="right"/>
      <w:pPr>
        <w:ind w:left="2160" w:hanging="180"/>
      </w:pPr>
    </w:lvl>
    <w:lvl w:ilvl="3" w:tplc="96F23CA2" w:tentative="1">
      <w:start w:val="1"/>
      <w:numFmt w:val="decimal"/>
      <w:lvlText w:val="%4."/>
      <w:lvlJc w:val="left"/>
      <w:pPr>
        <w:ind w:left="2880" w:hanging="360"/>
      </w:pPr>
    </w:lvl>
    <w:lvl w:ilvl="4" w:tplc="9B22F1A0" w:tentative="1">
      <w:start w:val="1"/>
      <w:numFmt w:val="lowerLetter"/>
      <w:lvlText w:val="%5."/>
      <w:lvlJc w:val="left"/>
      <w:pPr>
        <w:ind w:left="3600" w:hanging="360"/>
      </w:pPr>
    </w:lvl>
    <w:lvl w:ilvl="5" w:tplc="24C2A268" w:tentative="1">
      <w:start w:val="1"/>
      <w:numFmt w:val="lowerRoman"/>
      <w:lvlText w:val="%6."/>
      <w:lvlJc w:val="right"/>
      <w:pPr>
        <w:ind w:left="4320" w:hanging="180"/>
      </w:pPr>
    </w:lvl>
    <w:lvl w:ilvl="6" w:tplc="07E65C14" w:tentative="1">
      <w:start w:val="1"/>
      <w:numFmt w:val="decimal"/>
      <w:lvlText w:val="%7."/>
      <w:lvlJc w:val="left"/>
      <w:pPr>
        <w:ind w:left="5040" w:hanging="360"/>
      </w:pPr>
    </w:lvl>
    <w:lvl w:ilvl="7" w:tplc="F60850BE" w:tentative="1">
      <w:start w:val="1"/>
      <w:numFmt w:val="lowerLetter"/>
      <w:lvlText w:val="%8."/>
      <w:lvlJc w:val="left"/>
      <w:pPr>
        <w:ind w:left="5760" w:hanging="360"/>
      </w:pPr>
    </w:lvl>
    <w:lvl w:ilvl="8" w:tplc="212E469A" w:tentative="1">
      <w:start w:val="1"/>
      <w:numFmt w:val="lowerRoman"/>
      <w:lvlText w:val="%9."/>
      <w:lvlJc w:val="right"/>
      <w:pPr>
        <w:ind w:left="6480" w:hanging="180"/>
      </w:pPr>
    </w:lvl>
  </w:abstractNum>
  <w:abstractNum w:abstractNumId="231" w15:restartNumberingAfterBreak="0">
    <w:nsid w:val="60D93278"/>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32" w15:restartNumberingAfterBreak="0">
    <w:nsid w:val="61461717"/>
    <w:multiLevelType w:val="hybridMultilevel"/>
    <w:tmpl w:val="C86EA830"/>
    <w:lvl w:ilvl="0" w:tplc="AE36E398">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61B64204"/>
    <w:multiLevelType w:val="hybridMultilevel"/>
    <w:tmpl w:val="BACEEA3E"/>
    <w:lvl w:ilvl="0" w:tplc="10D8A3EA">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22E5606"/>
    <w:multiLevelType w:val="hybridMultilevel"/>
    <w:tmpl w:val="B38A670E"/>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35" w15:restartNumberingAfterBreak="0">
    <w:nsid w:val="63335BB2"/>
    <w:multiLevelType w:val="multilevel"/>
    <w:tmpl w:val="2284AA3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6" w15:restartNumberingAfterBreak="0">
    <w:nsid w:val="63B25CAC"/>
    <w:multiLevelType w:val="hybridMultilevel"/>
    <w:tmpl w:val="FA507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63B5589B"/>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38" w15:restartNumberingAfterBreak="0">
    <w:nsid w:val="63C70E59"/>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39" w15:restartNumberingAfterBreak="0">
    <w:nsid w:val="64043CB0"/>
    <w:multiLevelType w:val="hybridMultilevel"/>
    <w:tmpl w:val="CDFCC7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44746E6"/>
    <w:multiLevelType w:val="hybridMultilevel"/>
    <w:tmpl w:val="300A518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41" w15:restartNumberingAfterBreak="0">
    <w:nsid w:val="64780F85"/>
    <w:multiLevelType w:val="hybridMultilevel"/>
    <w:tmpl w:val="3D4C09A6"/>
    <w:lvl w:ilvl="0" w:tplc="04090017">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2" w15:restartNumberingAfterBreak="0">
    <w:nsid w:val="64EB68DA"/>
    <w:multiLevelType w:val="hybridMultilevel"/>
    <w:tmpl w:val="646CD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64F00F4F"/>
    <w:multiLevelType w:val="hybridMultilevel"/>
    <w:tmpl w:val="28FA46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653F6051"/>
    <w:multiLevelType w:val="hybridMultilevel"/>
    <w:tmpl w:val="BBFE7B9A"/>
    <w:lvl w:ilvl="0" w:tplc="B98EF4CA">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5B52396"/>
    <w:multiLevelType w:val="hybridMultilevel"/>
    <w:tmpl w:val="E8FEFFB0"/>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46" w15:restartNumberingAfterBreak="0">
    <w:nsid w:val="66370954"/>
    <w:multiLevelType w:val="hybridMultilevel"/>
    <w:tmpl w:val="FF08900E"/>
    <w:lvl w:ilvl="0" w:tplc="AA70087E">
      <w:start w:val="1"/>
      <w:numFmt w:val="decimal"/>
      <w:lvlText w:val="%1."/>
      <w:lvlJc w:val="left"/>
      <w:pPr>
        <w:ind w:left="720" w:hanging="360"/>
      </w:pPr>
    </w:lvl>
    <w:lvl w:ilvl="1" w:tplc="23E20430">
      <w:start w:val="1"/>
      <w:numFmt w:val="lowerLetter"/>
      <w:lvlText w:val="%2."/>
      <w:lvlJc w:val="left"/>
      <w:pPr>
        <w:ind w:left="1440" w:hanging="360"/>
      </w:pPr>
    </w:lvl>
    <w:lvl w:ilvl="2" w:tplc="FF7A82D0" w:tentative="1">
      <w:start w:val="1"/>
      <w:numFmt w:val="lowerRoman"/>
      <w:lvlText w:val="%3."/>
      <w:lvlJc w:val="right"/>
      <w:pPr>
        <w:ind w:left="2160" w:hanging="180"/>
      </w:pPr>
    </w:lvl>
    <w:lvl w:ilvl="3" w:tplc="DC5EB420" w:tentative="1">
      <w:start w:val="1"/>
      <w:numFmt w:val="decimal"/>
      <w:lvlText w:val="%4."/>
      <w:lvlJc w:val="left"/>
      <w:pPr>
        <w:ind w:left="2880" w:hanging="360"/>
      </w:pPr>
    </w:lvl>
    <w:lvl w:ilvl="4" w:tplc="CFD01896" w:tentative="1">
      <w:start w:val="1"/>
      <w:numFmt w:val="lowerLetter"/>
      <w:lvlText w:val="%5."/>
      <w:lvlJc w:val="left"/>
      <w:pPr>
        <w:ind w:left="3600" w:hanging="360"/>
      </w:pPr>
    </w:lvl>
    <w:lvl w:ilvl="5" w:tplc="83CE1C9E" w:tentative="1">
      <w:start w:val="1"/>
      <w:numFmt w:val="lowerRoman"/>
      <w:lvlText w:val="%6."/>
      <w:lvlJc w:val="right"/>
      <w:pPr>
        <w:ind w:left="4320" w:hanging="180"/>
      </w:pPr>
    </w:lvl>
    <w:lvl w:ilvl="6" w:tplc="1DCC81FA" w:tentative="1">
      <w:start w:val="1"/>
      <w:numFmt w:val="decimal"/>
      <w:lvlText w:val="%7."/>
      <w:lvlJc w:val="left"/>
      <w:pPr>
        <w:ind w:left="5040" w:hanging="360"/>
      </w:pPr>
    </w:lvl>
    <w:lvl w:ilvl="7" w:tplc="F8B85A5A" w:tentative="1">
      <w:start w:val="1"/>
      <w:numFmt w:val="lowerLetter"/>
      <w:lvlText w:val="%8."/>
      <w:lvlJc w:val="left"/>
      <w:pPr>
        <w:ind w:left="5760" w:hanging="360"/>
      </w:pPr>
    </w:lvl>
    <w:lvl w:ilvl="8" w:tplc="B69402D0" w:tentative="1">
      <w:start w:val="1"/>
      <w:numFmt w:val="lowerRoman"/>
      <w:lvlText w:val="%9."/>
      <w:lvlJc w:val="right"/>
      <w:pPr>
        <w:ind w:left="6480" w:hanging="180"/>
      </w:pPr>
    </w:lvl>
  </w:abstractNum>
  <w:abstractNum w:abstractNumId="247" w15:restartNumberingAfterBreak="0">
    <w:nsid w:val="668C4C14"/>
    <w:multiLevelType w:val="hybridMultilevel"/>
    <w:tmpl w:val="C4801D0A"/>
    <w:lvl w:ilvl="0" w:tplc="0409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48" w15:restartNumberingAfterBreak="0">
    <w:nsid w:val="671156E4"/>
    <w:multiLevelType w:val="hybridMultilevel"/>
    <w:tmpl w:val="87D6C100"/>
    <w:lvl w:ilvl="0" w:tplc="0409000F">
      <w:start w:val="1"/>
      <w:numFmt w:val="decimal"/>
      <w:lvlText w:val="%1."/>
      <w:lvlJc w:val="left"/>
      <w:pPr>
        <w:ind w:left="612" w:hanging="360"/>
      </w:pPr>
      <w:rPr>
        <w:rFonts w:hint="default"/>
      </w:rPr>
    </w:lvl>
    <w:lvl w:ilvl="1" w:tplc="0409000F">
      <w:start w:val="1"/>
      <w:numFmt w:val="decimal"/>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249" w15:restartNumberingAfterBreak="0">
    <w:nsid w:val="67B00B34"/>
    <w:multiLevelType w:val="hybridMultilevel"/>
    <w:tmpl w:val="F4D652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0" w15:restartNumberingAfterBreak="0">
    <w:nsid w:val="67B31900"/>
    <w:multiLevelType w:val="hybridMultilevel"/>
    <w:tmpl w:val="7F9640FE"/>
    <w:lvl w:ilvl="0" w:tplc="47D4E5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83F1361"/>
    <w:multiLevelType w:val="hybridMultilevel"/>
    <w:tmpl w:val="4574BFC0"/>
    <w:lvl w:ilvl="0" w:tplc="04090017">
      <w:start w:val="1"/>
      <w:numFmt w:val="lowerLetter"/>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52" w15:restartNumberingAfterBreak="0">
    <w:nsid w:val="68BE0AD7"/>
    <w:multiLevelType w:val="hybridMultilevel"/>
    <w:tmpl w:val="0FD4A502"/>
    <w:lvl w:ilvl="0" w:tplc="04090001">
      <w:start w:val="1"/>
      <w:numFmt w:val="bullet"/>
      <w:lvlText w:val=""/>
      <w:lvlJc w:val="left"/>
      <w:pPr>
        <w:ind w:left="720" w:hanging="360"/>
      </w:pPr>
      <w:rPr>
        <w:rFonts w:ascii="Symbol" w:hAnsi="Symbol" w:hint="default"/>
        <w:i w:val="0"/>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68D20D43"/>
    <w:multiLevelType w:val="hybridMultilevel"/>
    <w:tmpl w:val="2CFC0E2C"/>
    <w:lvl w:ilvl="0" w:tplc="04090015">
      <w:start w:val="1"/>
      <w:numFmt w:val="upperLetter"/>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54" w15:restartNumberingAfterBreak="0">
    <w:nsid w:val="68F2639D"/>
    <w:multiLevelType w:val="hybridMultilevel"/>
    <w:tmpl w:val="90CA2618"/>
    <w:lvl w:ilvl="0" w:tplc="D5BE63AE">
      <w:numFmt w:val="bullet"/>
      <w:lvlText w:val="•"/>
      <w:lvlJc w:val="left"/>
      <w:pPr>
        <w:ind w:left="720" w:hanging="360"/>
      </w:pPr>
      <w:rPr>
        <w:rFonts w:ascii="Times New Roman" w:eastAsia="Times New Roman" w:hAnsi="Times New Roman" w:cs="Times New Roman" w:hint="default"/>
        <w:spacing w:val="-27"/>
        <w:w w:val="100"/>
        <w:sz w:val="24"/>
        <w:szCs w:val="24"/>
        <w:lang w:val="en-US" w:eastAsia="en-US" w:bidi="en-US"/>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55" w15:restartNumberingAfterBreak="0">
    <w:nsid w:val="6AB56941"/>
    <w:multiLevelType w:val="hybridMultilevel"/>
    <w:tmpl w:val="91D656B0"/>
    <w:lvl w:ilvl="0" w:tplc="1394871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CE90529"/>
    <w:multiLevelType w:val="hybridMultilevel"/>
    <w:tmpl w:val="37E4B838"/>
    <w:lvl w:ilvl="0" w:tplc="000000A6">
      <w:start w:val="1"/>
      <w:numFmt w:val="bullet"/>
      <w:lvlText w:val="-"/>
      <w:lvlJc w:val="left"/>
      <w:pPr>
        <w:tabs>
          <w:tab w:val="num" w:pos="720"/>
        </w:tabs>
        <w:ind w:left="720" w:hanging="360"/>
      </w:pPr>
      <w:rPr>
        <w:rFonts w:ascii="Times New Roman" w:hAnsi="Times New Roman"/>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6D0B0FC5"/>
    <w:multiLevelType w:val="hybridMultilevel"/>
    <w:tmpl w:val="682CF8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8" w15:restartNumberingAfterBreak="0">
    <w:nsid w:val="6D0D62FC"/>
    <w:multiLevelType w:val="multilevel"/>
    <w:tmpl w:val="0409001D"/>
    <w:styleLink w:val="Style3"/>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9" w15:restartNumberingAfterBreak="0">
    <w:nsid w:val="6D5470D5"/>
    <w:multiLevelType w:val="multilevel"/>
    <w:tmpl w:val="DF2E6E5A"/>
    <w:lvl w:ilvl="0">
      <w:start w:val="1"/>
      <w:numFmt w:val="decimal"/>
      <w:lvlText w:val="%1."/>
      <w:lvlJc w:val="left"/>
      <w:pPr>
        <w:tabs>
          <w:tab w:val="num" w:pos="1620"/>
        </w:tabs>
        <w:ind w:left="1620" w:firstLine="0"/>
      </w:pPr>
      <w:rPr>
        <w:rFonts w:ascii="Calibri" w:eastAsiaTheme="minorEastAsia" w:hAnsi="Calibri" w:cs="Calibri" w:hint="default"/>
        <w:sz w:val="30"/>
        <w:szCs w:val="30"/>
      </w:rPr>
    </w:lvl>
    <w:lvl w:ilvl="1">
      <w:start w:val="1"/>
      <w:numFmt w:val="decimal"/>
      <w:lvlText w:val="%1.%2."/>
      <w:lvlJc w:val="left"/>
      <w:pPr>
        <w:tabs>
          <w:tab w:val="num" w:pos="720"/>
        </w:tabs>
        <w:ind w:left="720" w:firstLine="0"/>
      </w:pPr>
    </w:lvl>
    <w:lvl w:ilvl="2">
      <w:start w:val="1"/>
      <w:numFmt w:val="decimal"/>
      <w:lvlText w:val="%1.%2.%3."/>
      <w:lvlJc w:val="left"/>
      <w:pPr>
        <w:tabs>
          <w:tab w:val="num" w:pos="1080"/>
        </w:tabs>
        <w:ind w:left="1080" w:firstLine="0"/>
      </w:pPr>
    </w:lvl>
    <w:lvl w:ilvl="3">
      <w:start w:val="1"/>
      <w:numFmt w:val="lowerLetter"/>
      <w:lvlText w:val="%4)"/>
      <w:lvlJc w:val="left"/>
      <w:pPr>
        <w:tabs>
          <w:tab w:val="num" w:pos="810"/>
        </w:tabs>
        <w:ind w:left="810" w:firstLine="0"/>
      </w:pPr>
    </w:lvl>
    <w:lvl w:ilvl="4">
      <w:start w:val="1"/>
      <w:numFmt w:val="decimal"/>
      <w:lvlText w:val="(%5)"/>
      <w:lvlJc w:val="left"/>
      <w:pPr>
        <w:tabs>
          <w:tab w:val="num" w:pos="3690"/>
        </w:tabs>
        <w:ind w:left="3690" w:firstLine="0"/>
      </w:pPr>
    </w:lvl>
    <w:lvl w:ilvl="5">
      <w:start w:val="1"/>
      <w:numFmt w:val="lowerLetter"/>
      <w:lvlText w:val="(%6)"/>
      <w:lvlJc w:val="left"/>
      <w:pPr>
        <w:tabs>
          <w:tab w:val="num" w:pos="4410"/>
        </w:tabs>
        <w:ind w:left="4410" w:firstLine="0"/>
      </w:pPr>
    </w:lvl>
    <w:lvl w:ilvl="6">
      <w:start w:val="1"/>
      <w:numFmt w:val="lowerRoman"/>
      <w:lvlText w:val="(%7)"/>
      <w:lvlJc w:val="left"/>
      <w:pPr>
        <w:tabs>
          <w:tab w:val="num" w:pos="5130"/>
        </w:tabs>
        <w:ind w:left="5130" w:firstLine="0"/>
      </w:pPr>
    </w:lvl>
    <w:lvl w:ilvl="7">
      <w:start w:val="1"/>
      <w:numFmt w:val="lowerLetter"/>
      <w:lvlText w:val="(%8)"/>
      <w:lvlJc w:val="left"/>
      <w:pPr>
        <w:tabs>
          <w:tab w:val="num" w:pos="5850"/>
        </w:tabs>
        <w:ind w:left="5850" w:firstLine="0"/>
      </w:pPr>
    </w:lvl>
    <w:lvl w:ilvl="8">
      <w:start w:val="1"/>
      <w:numFmt w:val="lowerRoman"/>
      <w:lvlText w:val="(%9)"/>
      <w:lvlJc w:val="left"/>
      <w:pPr>
        <w:tabs>
          <w:tab w:val="num" w:pos="6570"/>
        </w:tabs>
        <w:ind w:left="6570" w:firstLine="0"/>
      </w:pPr>
    </w:lvl>
  </w:abstractNum>
  <w:abstractNum w:abstractNumId="260" w15:restartNumberingAfterBreak="0">
    <w:nsid w:val="6DCC027B"/>
    <w:multiLevelType w:val="hybridMultilevel"/>
    <w:tmpl w:val="C3C28438"/>
    <w:lvl w:ilvl="0" w:tplc="D1D47318">
      <w:start w:val="1"/>
      <w:numFmt w:val="bullet"/>
      <w:lvlText w:val=""/>
      <w:lvlJc w:val="left"/>
      <w:pPr>
        <w:ind w:left="720" w:hanging="360"/>
      </w:pPr>
      <w:rPr>
        <w:rFonts w:ascii="Symbol" w:hAnsi="Symbol" w:hint="default"/>
      </w:rPr>
    </w:lvl>
    <w:lvl w:ilvl="1" w:tplc="CFD81098" w:tentative="1">
      <w:start w:val="1"/>
      <w:numFmt w:val="bullet"/>
      <w:lvlText w:val="o"/>
      <w:lvlJc w:val="left"/>
      <w:pPr>
        <w:ind w:left="1440" w:hanging="360"/>
      </w:pPr>
      <w:rPr>
        <w:rFonts w:ascii="Courier New" w:hAnsi="Courier New" w:cs="Courier New" w:hint="default"/>
      </w:rPr>
    </w:lvl>
    <w:lvl w:ilvl="2" w:tplc="F3E640BC" w:tentative="1">
      <w:start w:val="1"/>
      <w:numFmt w:val="bullet"/>
      <w:lvlText w:val=""/>
      <w:lvlJc w:val="left"/>
      <w:pPr>
        <w:ind w:left="2160" w:hanging="360"/>
      </w:pPr>
      <w:rPr>
        <w:rFonts w:ascii="Wingdings" w:hAnsi="Wingdings" w:hint="default"/>
      </w:rPr>
    </w:lvl>
    <w:lvl w:ilvl="3" w:tplc="FD6A83DE" w:tentative="1">
      <w:start w:val="1"/>
      <w:numFmt w:val="bullet"/>
      <w:lvlText w:val=""/>
      <w:lvlJc w:val="left"/>
      <w:pPr>
        <w:ind w:left="2880" w:hanging="360"/>
      </w:pPr>
      <w:rPr>
        <w:rFonts w:ascii="Symbol" w:hAnsi="Symbol" w:hint="default"/>
      </w:rPr>
    </w:lvl>
    <w:lvl w:ilvl="4" w:tplc="51F82EEC" w:tentative="1">
      <w:start w:val="1"/>
      <w:numFmt w:val="bullet"/>
      <w:lvlText w:val="o"/>
      <w:lvlJc w:val="left"/>
      <w:pPr>
        <w:ind w:left="3600" w:hanging="360"/>
      </w:pPr>
      <w:rPr>
        <w:rFonts w:ascii="Courier New" w:hAnsi="Courier New" w:cs="Courier New" w:hint="default"/>
      </w:rPr>
    </w:lvl>
    <w:lvl w:ilvl="5" w:tplc="5BB48080" w:tentative="1">
      <w:start w:val="1"/>
      <w:numFmt w:val="bullet"/>
      <w:lvlText w:val=""/>
      <w:lvlJc w:val="left"/>
      <w:pPr>
        <w:ind w:left="4320" w:hanging="360"/>
      </w:pPr>
      <w:rPr>
        <w:rFonts w:ascii="Wingdings" w:hAnsi="Wingdings" w:hint="default"/>
      </w:rPr>
    </w:lvl>
    <w:lvl w:ilvl="6" w:tplc="335CC27C" w:tentative="1">
      <w:start w:val="1"/>
      <w:numFmt w:val="bullet"/>
      <w:lvlText w:val=""/>
      <w:lvlJc w:val="left"/>
      <w:pPr>
        <w:ind w:left="5040" w:hanging="360"/>
      </w:pPr>
      <w:rPr>
        <w:rFonts w:ascii="Symbol" w:hAnsi="Symbol" w:hint="default"/>
      </w:rPr>
    </w:lvl>
    <w:lvl w:ilvl="7" w:tplc="B89CEB8A" w:tentative="1">
      <w:start w:val="1"/>
      <w:numFmt w:val="bullet"/>
      <w:lvlText w:val="o"/>
      <w:lvlJc w:val="left"/>
      <w:pPr>
        <w:ind w:left="5760" w:hanging="360"/>
      </w:pPr>
      <w:rPr>
        <w:rFonts w:ascii="Courier New" w:hAnsi="Courier New" w:cs="Courier New" w:hint="default"/>
      </w:rPr>
    </w:lvl>
    <w:lvl w:ilvl="8" w:tplc="956CD292" w:tentative="1">
      <w:start w:val="1"/>
      <w:numFmt w:val="bullet"/>
      <w:lvlText w:val=""/>
      <w:lvlJc w:val="left"/>
      <w:pPr>
        <w:ind w:left="6480" w:hanging="360"/>
      </w:pPr>
      <w:rPr>
        <w:rFonts w:ascii="Wingdings" w:hAnsi="Wingdings" w:hint="default"/>
      </w:rPr>
    </w:lvl>
  </w:abstractNum>
  <w:abstractNum w:abstractNumId="261" w15:restartNumberingAfterBreak="0">
    <w:nsid w:val="6FAB3F74"/>
    <w:multiLevelType w:val="hybridMultilevel"/>
    <w:tmpl w:val="4BF2D50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700830AB"/>
    <w:multiLevelType w:val="multilevel"/>
    <w:tmpl w:val="541AFFD2"/>
    <w:lvl w:ilvl="0">
      <w:start w:val="1"/>
      <w:numFmt w:val="decimal"/>
      <w:lvlText w:val="%1."/>
      <w:lvlJc w:val="left"/>
      <w:pPr>
        <w:tabs>
          <w:tab w:val="num" w:pos="720"/>
        </w:tabs>
        <w:ind w:left="720" w:hanging="360"/>
      </w:pPr>
    </w:lvl>
    <w:lvl w:ilvl="1">
      <w:start w:val="1"/>
      <w:numFmt w:val="upperLetter"/>
      <w:lvlText w:val="(%2)"/>
      <w:lvlJc w:val="left"/>
      <w:pPr>
        <w:ind w:left="1800" w:hanging="720"/>
      </w:pPr>
      <w:rPr>
        <w:rFonts w:hint="default"/>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70455E95"/>
    <w:multiLevelType w:val="hybridMultilevel"/>
    <w:tmpl w:val="8D300714"/>
    <w:lvl w:ilvl="0" w:tplc="0809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64" w15:restartNumberingAfterBreak="0">
    <w:nsid w:val="70DA3814"/>
    <w:multiLevelType w:val="hybridMultilevel"/>
    <w:tmpl w:val="363061F4"/>
    <w:lvl w:ilvl="0" w:tplc="04090011">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65" w15:restartNumberingAfterBreak="0">
    <w:nsid w:val="718F554B"/>
    <w:multiLevelType w:val="hybridMultilevel"/>
    <w:tmpl w:val="EDAC9F14"/>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66" w15:restartNumberingAfterBreak="0">
    <w:nsid w:val="71E070E9"/>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67" w15:restartNumberingAfterBreak="0">
    <w:nsid w:val="728F242B"/>
    <w:multiLevelType w:val="multilevel"/>
    <w:tmpl w:val="0240A366"/>
    <w:lvl w:ilvl="0">
      <w:start w:val="1"/>
      <w:numFmt w:val="bullet"/>
      <w:lvlText w:val=""/>
      <w:lvlJc w:val="left"/>
      <w:pPr>
        <w:tabs>
          <w:tab w:val="num" w:pos="360"/>
        </w:tabs>
        <w:ind w:left="360" w:hanging="360"/>
      </w:pPr>
      <w:rPr>
        <w:rFonts w:ascii="Wingdings" w:hAnsi="Wingdings" w:hint="default"/>
        <w:sz w:val="20"/>
      </w:rPr>
    </w:lvl>
    <w:lvl w:ilvl="1">
      <w:start w:val="1"/>
      <w:numFmt w:val="lowerLetter"/>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68" w15:restartNumberingAfterBreak="0">
    <w:nsid w:val="731074ED"/>
    <w:multiLevelType w:val="hybridMultilevel"/>
    <w:tmpl w:val="09D445AA"/>
    <w:lvl w:ilvl="0" w:tplc="D25470B0">
      <w:start w:val="5"/>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69" w15:restartNumberingAfterBreak="0">
    <w:nsid w:val="73ED2066"/>
    <w:multiLevelType w:val="hybridMultilevel"/>
    <w:tmpl w:val="C6E8346C"/>
    <w:lvl w:ilvl="0" w:tplc="26AAB386">
      <w:start w:val="1"/>
      <w:numFmt w:val="upperLetter"/>
      <w:lvlText w:val="%1."/>
      <w:lvlJc w:val="left"/>
      <w:pPr>
        <w:ind w:left="-349" w:hanging="360"/>
      </w:pPr>
      <w:rPr>
        <w:rFonts w:hint="default"/>
        <w:b/>
      </w:rPr>
    </w:lvl>
    <w:lvl w:ilvl="1" w:tplc="08090019" w:tentative="1">
      <w:start w:val="1"/>
      <w:numFmt w:val="lowerLetter"/>
      <w:lvlText w:val="%2."/>
      <w:lvlJc w:val="left"/>
      <w:pPr>
        <w:ind w:left="371" w:hanging="360"/>
      </w:pPr>
    </w:lvl>
    <w:lvl w:ilvl="2" w:tplc="0809001B" w:tentative="1">
      <w:start w:val="1"/>
      <w:numFmt w:val="lowerRoman"/>
      <w:lvlText w:val="%3."/>
      <w:lvlJc w:val="right"/>
      <w:pPr>
        <w:ind w:left="1091" w:hanging="180"/>
      </w:pPr>
    </w:lvl>
    <w:lvl w:ilvl="3" w:tplc="0809000F" w:tentative="1">
      <w:start w:val="1"/>
      <w:numFmt w:val="decimal"/>
      <w:lvlText w:val="%4."/>
      <w:lvlJc w:val="left"/>
      <w:pPr>
        <w:ind w:left="1811" w:hanging="360"/>
      </w:pPr>
    </w:lvl>
    <w:lvl w:ilvl="4" w:tplc="08090019" w:tentative="1">
      <w:start w:val="1"/>
      <w:numFmt w:val="lowerLetter"/>
      <w:lvlText w:val="%5."/>
      <w:lvlJc w:val="left"/>
      <w:pPr>
        <w:ind w:left="2531" w:hanging="360"/>
      </w:pPr>
    </w:lvl>
    <w:lvl w:ilvl="5" w:tplc="0809001B" w:tentative="1">
      <w:start w:val="1"/>
      <w:numFmt w:val="lowerRoman"/>
      <w:lvlText w:val="%6."/>
      <w:lvlJc w:val="right"/>
      <w:pPr>
        <w:ind w:left="3251" w:hanging="180"/>
      </w:pPr>
    </w:lvl>
    <w:lvl w:ilvl="6" w:tplc="0809000F" w:tentative="1">
      <w:start w:val="1"/>
      <w:numFmt w:val="decimal"/>
      <w:lvlText w:val="%7."/>
      <w:lvlJc w:val="left"/>
      <w:pPr>
        <w:ind w:left="3971" w:hanging="360"/>
      </w:pPr>
    </w:lvl>
    <w:lvl w:ilvl="7" w:tplc="08090019" w:tentative="1">
      <w:start w:val="1"/>
      <w:numFmt w:val="lowerLetter"/>
      <w:lvlText w:val="%8."/>
      <w:lvlJc w:val="left"/>
      <w:pPr>
        <w:ind w:left="4691" w:hanging="360"/>
      </w:pPr>
    </w:lvl>
    <w:lvl w:ilvl="8" w:tplc="0809001B" w:tentative="1">
      <w:start w:val="1"/>
      <w:numFmt w:val="lowerRoman"/>
      <w:lvlText w:val="%9."/>
      <w:lvlJc w:val="right"/>
      <w:pPr>
        <w:ind w:left="5411" w:hanging="180"/>
      </w:pPr>
    </w:lvl>
  </w:abstractNum>
  <w:abstractNum w:abstractNumId="270" w15:restartNumberingAfterBreak="0">
    <w:nsid w:val="73F26993"/>
    <w:multiLevelType w:val="hybridMultilevel"/>
    <w:tmpl w:val="D88AB89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1" w15:restartNumberingAfterBreak="0">
    <w:nsid w:val="7537171C"/>
    <w:multiLevelType w:val="hybridMultilevel"/>
    <w:tmpl w:val="9EDA7BF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72" w15:restartNumberingAfterBreak="0">
    <w:nsid w:val="76310969"/>
    <w:multiLevelType w:val="multilevel"/>
    <w:tmpl w:val="DF2E6E5A"/>
    <w:lvl w:ilvl="0">
      <w:start w:val="1"/>
      <w:numFmt w:val="decimal"/>
      <w:lvlText w:val="%1."/>
      <w:lvlJc w:val="left"/>
      <w:pPr>
        <w:tabs>
          <w:tab w:val="num" w:pos="1620"/>
        </w:tabs>
        <w:ind w:left="1620" w:firstLine="0"/>
      </w:pPr>
      <w:rPr>
        <w:rFonts w:ascii="Calibri" w:eastAsiaTheme="minorEastAsia" w:hAnsi="Calibri" w:cs="Calibri" w:hint="default"/>
        <w:sz w:val="30"/>
        <w:szCs w:val="30"/>
      </w:rPr>
    </w:lvl>
    <w:lvl w:ilvl="1">
      <w:start w:val="1"/>
      <w:numFmt w:val="decimal"/>
      <w:lvlText w:val="%1.%2."/>
      <w:lvlJc w:val="left"/>
      <w:pPr>
        <w:tabs>
          <w:tab w:val="num" w:pos="720"/>
        </w:tabs>
        <w:ind w:left="720" w:firstLine="0"/>
      </w:pPr>
    </w:lvl>
    <w:lvl w:ilvl="2">
      <w:start w:val="1"/>
      <w:numFmt w:val="decimal"/>
      <w:lvlText w:val="%1.%2.%3."/>
      <w:lvlJc w:val="left"/>
      <w:pPr>
        <w:tabs>
          <w:tab w:val="num" w:pos="0"/>
        </w:tabs>
        <w:ind w:left="0" w:firstLine="0"/>
      </w:pPr>
    </w:lvl>
    <w:lvl w:ilvl="3">
      <w:start w:val="1"/>
      <w:numFmt w:val="lowerLetter"/>
      <w:lvlText w:val="%4)"/>
      <w:lvlJc w:val="left"/>
      <w:pPr>
        <w:tabs>
          <w:tab w:val="num" w:pos="810"/>
        </w:tabs>
        <w:ind w:left="810" w:firstLine="0"/>
      </w:pPr>
    </w:lvl>
    <w:lvl w:ilvl="4">
      <w:start w:val="1"/>
      <w:numFmt w:val="decimal"/>
      <w:lvlText w:val="(%5)"/>
      <w:lvlJc w:val="left"/>
      <w:pPr>
        <w:tabs>
          <w:tab w:val="num" w:pos="3690"/>
        </w:tabs>
        <w:ind w:left="3690" w:firstLine="0"/>
      </w:pPr>
    </w:lvl>
    <w:lvl w:ilvl="5">
      <w:start w:val="1"/>
      <w:numFmt w:val="lowerLetter"/>
      <w:lvlText w:val="(%6)"/>
      <w:lvlJc w:val="left"/>
      <w:pPr>
        <w:tabs>
          <w:tab w:val="num" w:pos="4410"/>
        </w:tabs>
        <w:ind w:left="4410" w:firstLine="0"/>
      </w:pPr>
    </w:lvl>
    <w:lvl w:ilvl="6">
      <w:start w:val="1"/>
      <w:numFmt w:val="lowerRoman"/>
      <w:lvlText w:val="(%7)"/>
      <w:lvlJc w:val="left"/>
      <w:pPr>
        <w:tabs>
          <w:tab w:val="num" w:pos="5130"/>
        </w:tabs>
        <w:ind w:left="5130" w:firstLine="0"/>
      </w:pPr>
    </w:lvl>
    <w:lvl w:ilvl="7">
      <w:start w:val="1"/>
      <w:numFmt w:val="lowerLetter"/>
      <w:lvlText w:val="(%8)"/>
      <w:lvlJc w:val="left"/>
      <w:pPr>
        <w:tabs>
          <w:tab w:val="num" w:pos="5850"/>
        </w:tabs>
        <w:ind w:left="5850" w:firstLine="0"/>
      </w:pPr>
    </w:lvl>
    <w:lvl w:ilvl="8">
      <w:start w:val="1"/>
      <w:numFmt w:val="lowerRoman"/>
      <w:lvlText w:val="(%9)"/>
      <w:lvlJc w:val="left"/>
      <w:pPr>
        <w:tabs>
          <w:tab w:val="num" w:pos="6570"/>
        </w:tabs>
        <w:ind w:left="6570" w:firstLine="0"/>
      </w:pPr>
    </w:lvl>
  </w:abstractNum>
  <w:abstractNum w:abstractNumId="273" w15:restartNumberingAfterBreak="0">
    <w:nsid w:val="76DA6AEE"/>
    <w:multiLevelType w:val="hybridMultilevel"/>
    <w:tmpl w:val="164E35B4"/>
    <w:lvl w:ilvl="0" w:tplc="0409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74" w15:restartNumberingAfterBreak="0">
    <w:nsid w:val="76E509E4"/>
    <w:multiLevelType w:val="multilevel"/>
    <w:tmpl w:val="2CA65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5" w15:restartNumberingAfterBreak="0">
    <w:nsid w:val="77BD57BC"/>
    <w:multiLevelType w:val="hybridMultilevel"/>
    <w:tmpl w:val="034CB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7BD6C46"/>
    <w:multiLevelType w:val="hybridMultilevel"/>
    <w:tmpl w:val="2460BC58"/>
    <w:lvl w:ilvl="0" w:tplc="753AB94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7" w15:restartNumberingAfterBreak="0">
    <w:nsid w:val="785F1E3B"/>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78" w15:restartNumberingAfterBreak="0">
    <w:nsid w:val="79465675"/>
    <w:multiLevelType w:val="hybridMultilevel"/>
    <w:tmpl w:val="166C7BDE"/>
    <w:lvl w:ilvl="0" w:tplc="04090011">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79" w15:restartNumberingAfterBreak="0">
    <w:nsid w:val="79586DAD"/>
    <w:multiLevelType w:val="hybridMultilevel"/>
    <w:tmpl w:val="C0D89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A167A73"/>
    <w:multiLevelType w:val="hybridMultilevel"/>
    <w:tmpl w:val="CC461F40"/>
    <w:lvl w:ilvl="0" w:tplc="B4C2152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15:restartNumberingAfterBreak="0">
    <w:nsid w:val="7BAF37A8"/>
    <w:multiLevelType w:val="hybridMultilevel"/>
    <w:tmpl w:val="ABC068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82" w15:restartNumberingAfterBreak="0">
    <w:nsid w:val="7C9370B5"/>
    <w:multiLevelType w:val="multilevel"/>
    <w:tmpl w:val="1B84DA2E"/>
    <w:lvl w:ilvl="0">
      <w:start w:val="6"/>
      <w:numFmt w:val="decimal"/>
      <w:lvlText w:val="%1"/>
      <w:lvlJc w:val="left"/>
      <w:pPr>
        <w:ind w:left="2074" w:hanging="635"/>
      </w:pPr>
      <w:rPr>
        <w:rFonts w:hint="default"/>
      </w:rPr>
    </w:lvl>
    <w:lvl w:ilvl="1">
      <w:start w:val="1"/>
      <w:numFmt w:val="decimal"/>
      <w:lvlText w:val="%1.%2"/>
      <w:lvlJc w:val="left"/>
      <w:pPr>
        <w:ind w:left="2074" w:hanging="635"/>
        <w:jc w:val="right"/>
      </w:pPr>
      <w:rPr>
        <w:rFonts w:ascii="Calibri" w:eastAsia="Calibri" w:hAnsi="Calibri" w:hint="default"/>
        <w:sz w:val="22"/>
        <w:szCs w:val="22"/>
      </w:rPr>
    </w:lvl>
    <w:lvl w:ilvl="2">
      <w:start w:val="1"/>
      <w:numFmt w:val="lowerLetter"/>
      <w:lvlText w:val="%3."/>
      <w:lvlJc w:val="left"/>
      <w:pPr>
        <w:ind w:left="1406" w:hanging="360"/>
      </w:pPr>
      <w:rPr>
        <w:rFonts w:ascii="Calibri" w:eastAsia="Calibri" w:hAnsi="Calibri" w:hint="default"/>
        <w:sz w:val="22"/>
        <w:szCs w:val="22"/>
      </w:rPr>
    </w:lvl>
    <w:lvl w:ilvl="3">
      <w:start w:val="1"/>
      <w:numFmt w:val="lowerRoman"/>
      <w:lvlText w:val="%4."/>
      <w:lvlJc w:val="left"/>
      <w:pPr>
        <w:ind w:left="1940" w:hanging="197"/>
        <w:jc w:val="right"/>
      </w:pPr>
      <w:rPr>
        <w:rFonts w:ascii="Calibri" w:eastAsia="Calibri" w:hAnsi="Calibri" w:hint="default"/>
        <w:spacing w:val="-1"/>
        <w:sz w:val="22"/>
        <w:szCs w:val="22"/>
      </w:rPr>
    </w:lvl>
    <w:lvl w:ilvl="4">
      <w:start w:val="1"/>
      <w:numFmt w:val="bullet"/>
      <w:lvlText w:val="•"/>
      <w:lvlJc w:val="left"/>
      <w:pPr>
        <w:ind w:left="2210" w:hanging="197"/>
      </w:pPr>
      <w:rPr>
        <w:rFonts w:hint="default"/>
      </w:rPr>
    </w:lvl>
    <w:lvl w:ilvl="5">
      <w:start w:val="1"/>
      <w:numFmt w:val="bullet"/>
      <w:lvlText w:val="•"/>
      <w:lvlJc w:val="left"/>
      <w:pPr>
        <w:ind w:left="3448" w:hanging="197"/>
      </w:pPr>
      <w:rPr>
        <w:rFonts w:hint="default"/>
      </w:rPr>
    </w:lvl>
    <w:lvl w:ilvl="6">
      <w:start w:val="1"/>
      <w:numFmt w:val="bullet"/>
      <w:lvlText w:val="•"/>
      <w:lvlJc w:val="left"/>
      <w:pPr>
        <w:ind w:left="4686" w:hanging="197"/>
      </w:pPr>
      <w:rPr>
        <w:rFonts w:hint="default"/>
      </w:rPr>
    </w:lvl>
    <w:lvl w:ilvl="7">
      <w:start w:val="1"/>
      <w:numFmt w:val="bullet"/>
      <w:lvlText w:val="•"/>
      <w:lvlJc w:val="left"/>
      <w:pPr>
        <w:ind w:left="5925" w:hanging="197"/>
      </w:pPr>
      <w:rPr>
        <w:rFonts w:hint="default"/>
      </w:rPr>
    </w:lvl>
    <w:lvl w:ilvl="8">
      <w:start w:val="1"/>
      <w:numFmt w:val="bullet"/>
      <w:lvlText w:val="•"/>
      <w:lvlJc w:val="left"/>
      <w:pPr>
        <w:ind w:left="7163" w:hanging="197"/>
      </w:pPr>
      <w:rPr>
        <w:rFonts w:hint="default"/>
      </w:rPr>
    </w:lvl>
  </w:abstractNum>
  <w:abstractNum w:abstractNumId="283" w15:restartNumberingAfterBreak="0">
    <w:nsid w:val="7CEF37B3"/>
    <w:multiLevelType w:val="hybridMultilevel"/>
    <w:tmpl w:val="3B76B08A"/>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84" w15:restartNumberingAfterBreak="0">
    <w:nsid w:val="7D9922BA"/>
    <w:multiLevelType w:val="hybridMultilevel"/>
    <w:tmpl w:val="BE6004E6"/>
    <w:lvl w:ilvl="0" w:tplc="F9FCF758">
      <w:start w:val="1"/>
      <w:numFmt w:val="bullet"/>
      <w:lvlText w:val=""/>
      <w:lvlJc w:val="left"/>
      <w:pPr>
        <w:ind w:left="363" w:hanging="360"/>
      </w:pPr>
      <w:rPr>
        <w:rFonts w:ascii="Wingdings" w:hAnsi="Wingdings" w:hint="default"/>
        <w:color w:val="31849B" w:themeColor="accent5" w:themeShade="BF"/>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285" w15:restartNumberingAfterBreak="0">
    <w:nsid w:val="7E8D3FA1"/>
    <w:multiLevelType w:val="hybridMultilevel"/>
    <w:tmpl w:val="986C0E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6" w15:restartNumberingAfterBreak="0">
    <w:nsid w:val="7F192E6F"/>
    <w:multiLevelType w:val="hybridMultilevel"/>
    <w:tmpl w:val="267A6F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7FE66C23"/>
    <w:multiLevelType w:val="hybridMultilevel"/>
    <w:tmpl w:val="A42828E8"/>
    <w:lvl w:ilvl="0" w:tplc="268ACB5E">
      <w:start w:val="1"/>
      <w:numFmt w:val="lowerRoman"/>
      <w:lvlText w:val="%1."/>
      <w:lvlJc w:val="right"/>
      <w:pPr>
        <w:ind w:left="360" w:hanging="360"/>
      </w:pPr>
    </w:lvl>
    <w:lvl w:ilvl="1" w:tplc="5CAEF8BE" w:tentative="1">
      <w:start w:val="1"/>
      <w:numFmt w:val="lowerLetter"/>
      <w:lvlText w:val="%2."/>
      <w:lvlJc w:val="left"/>
      <w:pPr>
        <w:ind w:left="1080" w:hanging="360"/>
      </w:pPr>
    </w:lvl>
    <w:lvl w:ilvl="2" w:tplc="50F6627E" w:tentative="1">
      <w:start w:val="1"/>
      <w:numFmt w:val="lowerRoman"/>
      <w:lvlText w:val="%3."/>
      <w:lvlJc w:val="right"/>
      <w:pPr>
        <w:ind w:left="1800" w:hanging="180"/>
      </w:pPr>
    </w:lvl>
    <w:lvl w:ilvl="3" w:tplc="FB8494C6" w:tentative="1">
      <w:start w:val="1"/>
      <w:numFmt w:val="decimal"/>
      <w:lvlText w:val="%4."/>
      <w:lvlJc w:val="left"/>
      <w:pPr>
        <w:ind w:left="2520" w:hanging="360"/>
      </w:pPr>
    </w:lvl>
    <w:lvl w:ilvl="4" w:tplc="D9A4E2D2" w:tentative="1">
      <w:start w:val="1"/>
      <w:numFmt w:val="lowerLetter"/>
      <w:lvlText w:val="%5."/>
      <w:lvlJc w:val="left"/>
      <w:pPr>
        <w:ind w:left="3240" w:hanging="360"/>
      </w:pPr>
    </w:lvl>
    <w:lvl w:ilvl="5" w:tplc="342AACE0" w:tentative="1">
      <w:start w:val="1"/>
      <w:numFmt w:val="lowerRoman"/>
      <w:lvlText w:val="%6."/>
      <w:lvlJc w:val="right"/>
      <w:pPr>
        <w:ind w:left="3960" w:hanging="180"/>
      </w:pPr>
    </w:lvl>
    <w:lvl w:ilvl="6" w:tplc="8870A430" w:tentative="1">
      <w:start w:val="1"/>
      <w:numFmt w:val="decimal"/>
      <w:lvlText w:val="%7."/>
      <w:lvlJc w:val="left"/>
      <w:pPr>
        <w:ind w:left="4680" w:hanging="360"/>
      </w:pPr>
    </w:lvl>
    <w:lvl w:ilvl="7" w:tplc="47F26EF6" w:tentative="1">
      <w:start w:val="1"/>
      <w:numFmt w:val="lowerLetter"/>
      <w:lvlText w:val="%8."/>
      <w:lvlJc w:val="left"/>
      <w:pPr>
        <w:ind w:left="5400" w:hanging="360"/>
      </w:pPr>
    </w:lvl>
    <w:lvl w:ilvl="8" w:tplc="6DF81E44" w:tentative="1">
      <w:start w:val="1"/>
      <w:numFmt w:val="lowerRoman"/>
      <w:lvlText w:val="%9."/>
      <w:lvlJc w:val="right"/>
      <w:pPr>
        <w:ind w:left="6120" w:hanging="180"/>
      </w:pPr>
    </w:lvl>
  </w:abstractNum>
  <w:num w:numId="1">
    <w:abstractNumId w:val="0"/>
  </w:num>
  <w:num w:numId="2">
    <w:abstractNumId w:val="4"/>
  </w:num>
  <w:num w:numId="3">
    <w:abstractNumId w:val="6"/>
  </w:num>
  <w:num w:numId="4">
    <w:abstractNumId w:val="7"/>
  </w:num>
  <w:num w:numId="5">
    <w:abstractNumId w:val="67"/>
  </w:num>
  <w:num w:numId="6">
    <w:abstractNumId w:val="44"/>
  </w:num>
  <w:num w:numId="7">
    <w:abstractNumId w:val="139"/>
  </w:num>
  <w:num w:numId="8">
    <w:abstractNumId w:val="258"/>
  </w:num>
  <w:num w:numId="9">
    <w:abstractNumId w:val="193"/>
  </w:num>
  <w:num w:numId="10">
    <w:abstractNumId w:val="214"/>
  </w:num>
  <w:num w:numId="11">
    <w:abstractNumId w:val="230"/>
  </w:num>
  <w:num w:numId="12">
    <w:abstractNumId w:val="175"/>
  </w:num>
  <w:num w:numId="13">
    <w:abstractNumId w:val="279"/>
  </w:num>
  <w:num w:numId="14">
    <w:abstractNumId w:val="64"/>
  </w:num>
  <w:num w:numId="15">
    <w:abstractNumId w:val="275"/>
  </w:num>
  <w:num w:numId="16">
    <w:abstractNumId w:val="63"/>
  </w:num>
  <w:num w:numId="17">
    <w:abstractNumId w:val="149"/>
  </w:num>
  <w:num w:numId="18">
    <w:abstractNumId w:val="81"/>
  </w:num>
  <w:num w:numId="19">
    <w:abstractNumId w:val="170"/>
  </w:num>
  <w:num w:numId="20">
    <w:abstractNumId w:val="54"/>
  </w:num>
  <w:num w:numId="21">
    <w:abstractNumId w:val="16"/>
  </w:num>
  <w:num w:numId="22">
    <w:abstractNumId w:val="19"/>
  </w:num>
  <w:num w:numId="23">
    <w:abstractNumId w:val="22"/>
  </w:num>
  <w:num w:numId="24">
    <w:abstractNumId w:val="23"/>
  </w:num>
  <w:num w:numId="25">
    <w:abstractNumId w:val="24"/>
  </w:num>
  <w:num w:numId="26">
    <w:abstractNumId w:val="26"/>
  </w:num>
  <w:num w:numId="27">
    <w:abstractNumId w:val="20"/>
  </w:num>
  <w:num w:numId="28">
    <w:abstractNumId w:val="21"/>
  </w:num>
  <w:num w:numId="29">
    <w:abstractNumId w:val="27"/>
  </w:num>
  <w:num w:numId="30">
    <w:abstractNumId w:val="29"/>
  </w:num>
  <w:num w:numId="31">
    <w:abstractNumId w:val="30"/>
  </w:num>
  <w:num w:numId="32">
    <w:abstractNumId w:val="34"/>
  </w:num>
  <w:num w:numId="33">
    <w:abstractNumId w:val="35"/>
  </w:num>
  <w:num w:numId="34">
    <w:abstractNumId w:val="256"/>
  </w:num>
  <w:num w:numId="35">
    <w:abstractNumId w:val="39"/>
  </w:num>
  <w:num w:numId="36">
    <w:abstractNumId w:val="72"/>
  </w:num>
  <w:num w:numId="37">
    <w:abstractNumId w:val="25"/>
  </w:num>
  <w:num w:numId="38">
    <w:abstractNumId w:val="31"/>
  </w:num>
  <w:num w:numId="39">
    <w:abstractNumId w:val="32"/>
  </w:num>
  <w:num w:numId="40">
    <w:abstractNumId w:val="33"/>
  </w:num>
  <w:num w:numId="41">
    <w:abstractNumId w:val="94"/>
  </w:num>
  <w:num w:numId="42">
    <w:abstractNumId w:val="249"/>
  </w:num>
  <w:num w:numId="43">
    <w:abstractNumId w:val="285"/>
  </w:num>
  <w:num w:numId="44">
    <w:abstractNumId w:val="136"/>
  </w:num>
  <w:num w:numId="45">
    <w:abstractNumId w:val="37"/>
  </w:num>
  <w:num w:numId="46">
    <w:abstractNumId w:val="161"/>
  </w:num>
  <w:num w:numId="47">
    <w:abstractNumId w:val="206"/>
  </w:num>
  <w:num w:numId="48">
    <w:abstractNumId w:val="123"/>
  </w:num>
  <w:num w:numId="49">
    <w:abstractNumId w:val="257"/>
  </w:num>
  <w:num w:numId="50">
    <w:abstractNumId w:val="122"/>
  </w:num>
  <w:num w:numId="51">
    <w:abstractNumId w:val="220"/>
  </w:num>
  <w:num w:numId="52">
    <w:abstractNumId w:val="117"/>
  </w:num>
  <w:num w:numId="53">
    <w:abstractNumId w:val="127"/>
  </w:num>
  <w:num w:numId="54">
    <w:abstractNumId w:val="210"/>
  </w:num>
  <w:num w:numId="55">
    <w:abstractNumId w:val="219"/>
  </w:num>
  <w:num w:numId="56">
    <w:abstractNumId w:val="261"/>
  </w:num>
  <w:num w:numId="57">
    <w:abstractNumId w:val="99"/>
  </w:num>
  <w:num w:numId="58">
    <w:abstractNumId w:val="2"/>
  </w:num>
  <w:num w:numId="59">
    <w:abstractNumId w:val="110"/>
  </w:num>
  <w:num w:numId="60">
    <w:abstractNumId w:val="176"/>
  </w:num>
  <w:num w:numId="61">
    <w:abstractNumId w:val="97"/>
  </w:num>
  <w:num w:numId="62">
    <w:abstractNumId w:val="199"/>
  </w:num>
  <w:num w:numId="63">
    <w:abstractNumId w:val="244"/>
  </w:num>
  <w:num w:numId="64">
    <w:abstractNumId w:val="178"/>
  </w:num>
  <w:num w:numId="65">
    <w:abstractNumId w:val="158"/>
  </w:num>
  <w:num w:numId="66">
    <w:abstractNumId w:val="242"/>
  </w:num>
  <w:num w:numId="67">
    <w:abstractNumId w:val="68"/>
  </w:num>
  <w:num w:numId="68">
    <w:abstractNumId w:val="222"/>
  </w:num>
  <w:num w:numId="69">
    <w:abstractNumId w:val="148"/>
  </w:num>
  <w:num w:numId="70">
    <w:abstractNumId w:val="116"/>
  </w:num>
  <w:num w:numId="71">
    <w:abstractNumId w:val="52"/>
  </w:num>
  <w:num w:numId="72">
    <w:abstractNumId w:val="147"/>
  </w:num>
  <w:num w:numId="73">
    <w:abstractNumId w:val="144"/>
  </w:num>
  <w:num w:numId="74">
    <w:abstractNumId w:val="243"/>
  </w:num>
  <w:num w:numId="75">
    <w:abstractNumId w:val="129"/>
  </w:num>
  <w:num w:numId="76">
    <w:abstractNumId w:val="194"/>
  </w:num>
  <w:num w:numId="77">
    <w:abstractNumId w:val="164"/>
  </w:num>
  <w:num w:numId="78">
    <w:abstractNumId w:val="85"/>
  </w:num>
  <w:num w:numId="79">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4"/>
  </w:num>
  <w:num w:numId="81">
    <w:abstractNumId w:val="106"/>
  </w:num>
  <w:num w:numId="82">
    <w:abstractNumId w:val="42"/>
  </w:num>
  <w:num w:numId="83">
    <w:abstractNumId w:val="105"/>
  </w:num>
  <w:num w:numId="84">
    <w:abstractNumId w:val="118"/>
  </w:num>
  <w:num w:numId="85">
    <w:abstractNumId w:val="100"/>
  </w:num>
  <w:num w:numId="86">
    <w:abstractNumId w:val="87"/>
  </w:num>
  <w:num w:numId="87">
    <w:abstractNumId w:val="43"/>
  </w:num>
  <w:num w:numId="88">
    <w:abstractNumId w:val="197"/>
  </w:num>
  <w:num w:numId="89">
    <w:abstractNumId w:val="159"/>
  </w:num>
  <w:num w:numId="90">
    <w:abstractNumId w:val="151"/>
  </w:num>
  <w:num w:numId="91">
    <w:abstractNumId w:val="287"/>
  </w:num>
  <w:num w:numId="92">
    <w:abstractNumId w:val="200"/>
  </w:num>
  <w:num w:numId="93">
    <w:abstractNumId w:val="229"/>
  </w:num>
  <w:num w:numId="94">
    <w:abstractNumId w:val="88"/>
  </w:num>
  <w:num w:numId="95">
    <w:abstractNumId w:val="260"/>
  </w:num>
  <w:num w:numId="96">
    <w:abstractNumId w:val="134"/>
  </w:num>
  <w:num w:numId="97">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6"/>
  </w:num>
  <w:num w:numId="99">
    <w:abstractNumId w:val="217"/>
  </w:num>
  <w:num w:numId="100">
    <w:abstractNumId w:val="81"/>
  </w:num>
  <w:num w:numId="101">
    <w:abstractNumId w:val="81"/>
  </w:num>
  <w:num w:numId="102">
    <w:abstractNumId w:val="81"/>
  </w:num>
  <w:num w:numId="103">
    <w:abstractNumId w:val="81"/>
  </w:num>
  <w:num w:numId="104">
    <w:abstractNumId w:val="81"/>
  </w:num>
  <w:num w:numId="105">
    <w:abstractNumId w:val="81"/>
  </w:num>
  <w:num w:numId="106">
    <w:abstractNumId w:val="81"/>
  </w:num>
  <w:num w:numId="107">
    <w:abstractNumId w:val="81"/>
  </w:num>
  <w:num w:numId="108">
    <w:abstractNumId w:val="81"/>
  </w:num>
  <w:num w:numId="109">
    <w:abstractNumId w:val="81"/>
  </w:num>
  <w:num w:numId="110">
    <w:abstractNumId w:val="81"/>
  </w:num>
  <w:num w:numId="111">
    <w:abstractNumId w:val="81"/>
  </w:num>
  <w:num w:numId="112">
    <w:abstractNumId w:val="81"/>
  </w:num>
  <w:num w:numId="113">
    <w:abstractNumId w:val="81"/>
  </w:num>
  <w:num w:numId="114">
    <w:abstractNumId w:val="81"/>
  </w:num>
  <w:num w:numId="115">
    <w:abstractNumId w:val="81"/>
  </w:num>
  <w:num w:numId="116">
    <w:abstractNumId w:val="81"/>
  </w:num>
  <w:num w:numId="117">
    <w:abstractNumId w:val="196"/>
  </w:num>
  <w:num w:numId="118">
    <w:abstractNumId w:val="81"/>
  </w:num>
  <w:num w:numId="119">
    <w:abstractNumId w:val="81"/>
  </w:num>
  <w:num w:numId="120">
    <w:abstractNumId w:val="263"/>
  </w:num>
  <w:num w:numId="121">
    <w:abstractNumId w:val="264"/>
  </w:num>
  <w:num w:numId="122">
    <w:abstractNumId w:val="278"/>
  </w:num>
  <w:num w:numId="123">
    <w:abstractNumId w:val="160"/>
  </w:num>
  <w:num w:numId="124">
    <w:abstractNumId w:val="102"/>
  </w:num>
  <w:num w:numId="125">
    <w:abstractNumId w:val="265"/>
  </w:num>
  <w:num w:numId="126">
    <w:abstractNumId w:val="211"/>
  </w:num>
  <w:num w:numId="127">
    <w:abstractNumId w:val="283"/>
  </w:num>
  <w:num w:numId="128">
    <w:abstractNumId w:val="234"/>
  </w:num>
  <w:num w:numId="129">
    <w:abstractNumId w:val="245"/>
  </w:num>
  <w:num w:numId="130">
    <w:abstractNumId w:val="224"/>
  </w:num>
  <w:num w:numId="131">
    <w:abstractNumId w:val="212"/>
  </w:num>
  <w:num w:numId="132">
    <w:abstractNumId w:val="218"/>
  </w:num>
  <w:num w:numId="133">
    <w:abstractNumId w:val="81"/>
  </w:num>
  <w:num w:numId="134">
    <w:abstractNumId w:val="81"/>
  </w:num>
  <w:num w:numId="135">
    <w:abstractNumId w:val="81"/>
  </w:num>
  <w:num w:numId="136">
    <w:abstractNumId w:val="81"/>
  </w:num>
  <w:num w:numId="137">
    <w:abstractNumId w:val="81"/>
  </w:num>
  <w:num w:numId="138">
    <w:abstractNumId w:val="81"/>
  </w:num>
  <w:num w:numId="139">
    <w:abstractNumId w:val="81"/>
  </w:num>
  <w:num w:numId="140">
    <w:abstractNumId w:val="81"/>
  </w:num>
  <w:num w:numId="141">
    <w:abstractNumId w:val="81"/>
  </w:num>
  <w:num w:numId="142">
    <w:abstractNumId w:val="81"/>
  </w:num>
  <w:num w:numId="143">
    <w:abstractNumId w:val="81"/>
  </w:num>
  <w:num w:numId="144">
    <w:abstractNumId w:val="81"/>
  </w:num>
  <w:num w:numId="145">
    <w:abstractNumId w:val="81"/>
  </w:num>
  <w:num w:numId="146">
    <w:abstractNumId w:val="81"/>
  </w:num>
  <w:num w:numId="147">
    <w:abstractNumId w:val="81"/>
  </w:num>
  <w:num w:numId="148">
    <w:abstractNumId w:val="81"/>
  </w:num>
  <w:num w:numId="149">
    <w:abstractNumId w:val="81"/>
  </w:num>
  <w:num w:numId="150">
    <w:abstractNumId w:val="81"/>
  </w:num>
  <w:num w:numId="151">
    <w:abstractNumId w:val="81"/>
  </w:num>
  <w:num w:numId="152">
    <w:abstractNumId w:val="81"/>
  </w:num>
  <w:num w:numId="153">
    <w:abstractNumId w:val="81"/>
  </w:num>
  <w:num w:numId="154">
    <w:abstractNumId w:val="81"/>
  </w:num>
  <w:num w:numId="155">
    <w:abstractNumId w:val="124"/>
  </w:num>
  <w:num w:numId="156">
    <w:abstractNumId w:val="57"/>
  </w:num>
  <w:num w:numId="157">
    <w:abstractNumId w:val="81"/>
  </w:num>
  <w:num w:numId="158">
    <w:abstractNumId w:val="81"/>
  </w:num>
  <w:num w:numId="159">
    <w:abstractNumId w:val="81"/>
  </w:num>
  <w:num w:numId="160">
    <w:abstractNumId w:val="81"/>
  </w:num>
  <w:num w:numId="161">
    <w:abstractNumId w:val="81"/>
  </w:num>
  <w:num w:numId="162">
    <w:abstractNumId w:val="70"/>
  </w:num>
  <w:num w:numId="163">
    <w:abstractNumId w:val="103"/>
  </w:num>
  <w:num w:numId="164">
    <w:abstractNumId w:val="250"/>
  </w:num>
  <w:num w:numId="165">
    <w:abstractNumId w:val="81"/>
  </w:num>
  <w:num w:numId="166">
    <w:abstractNumId w:val="81"/>
  </w:num>
  <w:num w:numId="167">
    <w:abstractNumId w:val="81"/>
  </w:num>
  <w:num w:numId="168">
    <w:abstractNumId w:val="81"/>
  </w:num>
  <w:num w:numId="169">
    <w:abstractNumId w:val="81"/>
  </w:num>
  <w:num w:numId="170">
    <w:abstractNumId w:val="81"/>
  </w:num>
  <w:num w:numId="171">
    <w:abstractNumId w:val="81"/>
  </w:num>
  <w:num w:numId="172">
    <w:abstractNumId w:val="81"/>
  </w:num>
  <w:num w:numId="173">
    <w:abstractNumId w:val="49"/>
  </w:num>
  <w:num w:numId="174">
    <w:abstractNumId w:val="202"/>
  </w:num>
  <w:num w:numId="175">
    <w:abstractNumId w:val="192"/>
  </w:num>
  <w:num w:numId="176">
    <w:abstractNumId w:val="45"/>
  </w:num>
  <w:num w:numId="177">
    <w:abstractNumId w:val="81"/>
  </w:num>
  <w:num w:numId="178">
    <w:abstractNumId w:val="189"/>
  </w:num>
  <w:num w:numId="179">
    <w:abstractNumId w:val="221"/>
  </w:num>
  <w:num w:numId="180">
    <w:abstractNumId w:val="81"/>
  </w:num>
  <w:num w:numId="181">
    <w:abstractNumId w:val="81"/>
  </w:num>
  <w:num w:numId="182">
    <w:abstractNumId w:val="81"/>
  </w:num>
  <w:num w:numId="183">
    <w:abstractNumId w:val="81"/>
  </w:num>
  <w:num w:numId="184">
    <w:abstractNumId w:val="81"/>
  </w:num>
  <w:num w:numId="185">
    <w:abstractNumId w:val="254"/>
  </w:num>
  <w:num w:numId="186">
    <w:abstractNumId w:val="169"/>
  </w:num>
  <w:num w:numId="187">
    <w:abstractNumId w:val="146"/>
  </w:num>
  <w:num w:numId="188">
    <w:abstractNumId w:val="53"/>
  </w:num>
  <w:num w:numId="189">
    <w:abstractNumId w:val="81"/>
  </w:num>
  <w:num w:numId="190">
    <w:abstractNumId w:val="81"/>
  </w:num>
  <w:num w:numId="191">
    <w:abstractNumId w:val="81"/>
  </w:num>
  <w:num w:numId="192">
    <w:abstractNumId w:val="81"/>
  </w:num>
  <w:num w:numId="193">
    <w:abstractNumId w:val="81"/>
  </w:num>
  <w:num w:numId="194">
    <w:abstractNumId w:val="81"/>
  </w:num>
  <w:num w:numId="195">
    <w:abstractNumId w:val="81"/>
  </w:num>
  <w:num w:numId="196">
    <w:abstractNumId w:val="81"/>
  </w:num>
  <w:num w:numId="197">
    <w:abstractNumId w:val="81"/>
  </w:num>
  <w:num w:numId="198">
    <w:abstractNumId w:val="81"/>
  </w:num>
  <w:num w:numId="199">
    <w:abstractNumId w:val="81"/>
  </w:num>
  <w:num w:numId="200">
    <w:abstractNumId w:val="81"/>
  </w:num>
  <w:num w:numId="201">
    <w:abstractNumId w:val="81"/>
  </w:num>
  <w:num w:numId="202">
    <w:abstractNumId w:val="166"/>
  </w:num>
  <w:num w:numId="203">
    <w:abstractNumId w:val="81"/>
  </w:num>
  <w:num w:numId="204">
    <w:abstractNumId w:val="81"/>
  </w:num>
  <w:num w:numId="205">
    <w:abstractNumId w:val="81"/>
  </w:num>
  <w:num w:numId="206">
    <w:abstractNumId w:val="81"/>
  </w:num>
  <w:num w:numId="207">
    <w:abstractNumId w:val="81"/>
  </w:num>
  <w:num w:numId="208">
    <w:abstractNumId w:val="81"/>
  </w:num>
  <w:num w:numId="209">
    <w:abstractNumId w:val="81"/>
  </w:num>
  <w:num w:numId="210">
    <w:abstractNumId w:val="81"/>
  </w:num>
  <w:num w:numId="211">
    <w:abstractNumId w:val="81"/>
  </w:num>
  <w:num w:numId="212">
    <w:abstractNumId w:val="81"/>
  </w:num>
  <w:num w:numId="213">
    <w:abstractNumId w:val="246"/>
  </w:num>
  <w:num w:numId="214">
    <w:abstractNumId w:val="186"/>
  </w:num>
  <w:num w:numId="215">
    <w:abstractNumId w:val="252"/>
  </w:num>
  <w:num w:numId="216">
    <w:abstractNumId w:val="187"/>
  </w:num>
  <w:num w:numId="217">
    <w:abstractNumId w:val="81"/>
  </w:num>
  <w:num w:numId="218">
    <w:abstractNumId w:val="81"/>
  </w:num>
  <w:num w:numId="219">
    <w:abstractNumId w:val="81"/>
  </w:num>
  <w:num w:numId="220">
    <w:abstractNumId w:val="81"/>
  </w:num>
  <w:num w:numId="221">
    <w:abstractNumId w:val="81"/>
  </w:num>
  <w:num w:numId="222">
    <w:abstractNumId w:val="81"/>
  </w:num>
  <w:num w:numId="223">
    <w:abstractNumId w:val="81"/>
  </w:num>
  <w:num w:numId="224">
    <w:abstractNumId w:val="181"/>
  </w:num>
  <w:num w:numId="225">
    <w:abstractNumId w:val="101"/>
  </w:num>
  <w:num w:numId="226">
    <w:abstractNumId w:val="76"/>
  </w:num>
  <w:num w:numId="227">
    <w:abstractNumId w:val="36"/>
  </w:num>
  <w:num w:numId="228">
    <w:abstractNumId w:val="81"/>
  </w:num>
  <w:num w:numId="229">
    <w:abstractNumId w:val="89"/>
  </w:num>
  <w:num w:numId="230">
    <w:abstractNumId w:val="81"/>
  </w:num>
  <w:num w:numId="231">
    <w:abstractNumId w:val="81"/>
  </w:num>
  <w:num w:numId="232">
    <w:abstractNumId w:val="81"/>
  </w:num>
  <w:num w:numId="233">
    <w:abstractNumId w:val="81"/>
  </w:num>
  <w:num w:numId="234">
    <w:abstractNumId w:val="81"/>
  </w:num>
  <w:num w:numId="235">
    <w:abstractNumId w:val="81"/>
  </w:num>
  <w:num w:numId="236">
    <w:abstractNumId w:val="81"/>
  </w:num>
  <w:num w:numId="237">
    <w:abstractNumId w:val="81"/>
  </w:num>
  <w:num w:numId="238">
    <w:abstractNumId w:val="81"/>
  </w:num>
  <w:num w:numId="239">
    <w:abstractNumId w:val="81"/>
  </w:num>
  <w:num w:numId="240">
    <w:abstractNumId w:val="78"/>
  </w:num>
  <w:num w:numId="241">
    <w:abstractNumId w:val="4"/>
  </w:num>
  <w:num w:numId="242">
    <w:abstractNumId w:val="4"/>
  </w:num>
  <w:num w:numId="243">
    <w:abstractNumId w:val="4"/>
  </w:num>
  <w:num w:numId="244">
    <w:abstractNumId w:val="81"/>
  </w:num>
  <w:num w:numId="245">
    <w:abstractNumId w:val="284"/>
  </w:num>
  <w:num w:numId="246">
    <w:abstractNumId w:val="56"/>
  </w:num>
  <w:num w:numId="247">
    <w:abstractNumId w:val="184"/>
  </w:num>
  <w:num w:numId="248">
    <w:abstractNumId w:val="108"/>
  </w:num>
  <w:num w:numId="249">
    <w:abstractNumId w:val="236"/>
  </w:num>
  <w:num w:numId="250">
    <w:abstractNumId w:val="81"/>
  </w:num>
  <w:num w:numId="251">
    <w:abstractNumId w:val="81"/>
  </w:num>
  <w:num w:numId="252">
    <w:abstractNumId w:val="81"/>
  </w:num>
  <w:num w:numId="253">
    <w:abstractNumId w:val="81"/>
  </w:num>
  <w:num w:numId="254">
    <w:abstractNumId w:val="81"/>
  </w:num>
  <w:num w:numId="255">
    <w:abstractNumId w:val="81"/>
  </w:num>
  <w:num w:numId="256">
    <w:abstractNumId w:val="81"/>
  </w:num>
  <w:num w:numId="257">
    <w:abstractNumId w:val="81"/>
  </w:num>
  <w:num w:numId="258">
    <w:abstractNumId w:val="81"/>
  </w:num>
  <w:num w:numId="259">
    <w:abstractNumId w:val="81"/>
  </w:num>
  <w:num w:numId="260">
    <w:abstractNumId w:val="81"/>
  </w:num>
  <w:num w:numId="261">
    <w:abstractNumId w:val="81"/>
  </w:num>
  <w:num w:numId="262">
    <w:abstractNumId w:val="81"/>
  </w:num>
  <w:num w:numId="263">
    <w:abstractNumId w:val="81"/>
  </w:num>
  <w:num w:numId="264">
    <w:abstractNumId w:val="81"/>
  </w:num>
  <w:num w:numId="265">
    <w:abstractNumId w:val="81"/>
  </w:num>
  <w:num w:numId="266">
    <w:abstractNumId w:val="81"/>
  </w:num>
  <w:num w:numId="267">
    <w:abstractNumId w:val="81"/>
  </w:num>
  <w:num w:numId="268">
    <w:abstractNumId w:val="267"/>
  </w:num>
  <w:num w:numId="269">
    <w:abstractNumId w:val="4"/>
  </w:num>
  <w:num w:numId="270">
    <w:abstractNumId w:val="4"/>
  </w:num>
  <w:num w:numId="271">
    <w:abstractNumId w:val="4"/>
  </w:num>
  <w:num w:numId="272">
    <w:abstractNumId w:val="96"/>
  </w:num>
  <w:num w:numId="273">
    <w:abstractNumId w:val="165"/>
  </w:num>
  <w:num w:numId="274">
    <w:abstractNumId w:val="276"/>
  </w:num>
  <w:num w:numId="275">
    <w:abstractNumId w:val="132"/>
  </w:num>
  <w:num w:numId="276">
    <w:abstractNumId w:val="141"/>
  </w:num>
  <w:num w:numId="277">
    <w:abstractNumId w:val="259"/>
  </w:num>
  <w:num w:numId="278">
    <w:abstractNumId w:val="95"/>
  </w:num>
  <w:num w:numId="279">
    <w:abstractNumId w:val="81"/>
  </w:num>
  <w:num w:numId="280">
    <w:abstractNumId w:val="223"/>
  </w:num>
  <w:num w:numId="281">
    <w:abstractNumId w:val="203"/>
  </w:num>
  <w:num w:numId="282">
    <w:abstractNumId w:val="271"/>
  </w:num>
  <w:num w:numId="283">
    <w:abstractNumId w:val="182"/>
  </w:num>
  <w:num w:numId="284">
    <w:abstractNumId w:val="81"/>
  </w:num>
  <w:num w:numId="285">
    <w:abstractNumId w:val="71"/>
  </w:num>
  <w:num w:numId="286">
    <w:abstractNumId w:val="81"/>
  </w:num>
  <w:num w:numId="287">
    <w:abstractNumId w:val="268"/>
  </w:num>
  <w:num w:numId="288">
    <w:abstractNumId w:val="93"/>
  </w:num>
  <w:num w:numId="289">
    <w:abstractNumId w:val="119"/>
  </w:num>
  <w:num w:numId="290">
    <w:abstractNumId w:val="168"/>
  </w:num>
  <w:num w:numId="291">
    <w:abstractNumId w:val="125"/>
  </w:num>
  <w:num w:numId="292">
    <w:abstractNumId w:val="240"/>
  </w:num>
  <w:num w:numId="293">
    <w:abstractNumId w:val="205"/>
  </w:num>
  <w:num w:numId="294">
    <w:abstractNumId w:val="143"/>
  </w:num>
  <w:num w:numId="295">
    <w:abstractNumId w:val="280"/>
  </w:num>
  <w:num w:numId="296">
    <w:abstractNumId w:val="107"/>
  </w:num>
  <w:num w:numId="297">
    <w:abstractNumId w:val="74"/>
  </w:num>
  <w:num w:numId="298">
    <w:abstractNumId w:val="133"/>
  </w:num>
  <w:num w:numId="299">
    <w:abstractNumId w:val="241"/>
  </w:num>
  <w:num w:numId="300">
    <w:abstractNumId w:val="73"/>
  </w:num>
  <w:num w:numId="301">
    <w:abstractNumId w:val="79"/>
  </w:num>
  <w:num w:numId="302">
    <w:abstractNumId w:val="81"/>
  </w:num>
  <w:num w:numId="303">
    <w:abstractNumId w:val="81"/>
  </w:num>
  <w:num w:numId="304">
    <w:abstractNumId w:val="81"/>
  </w:num>
  <w:num w:numId="305">
    <w:abstractNumId w:val="81"/>
  </w:num>
  <w:num w:numId="306">
    <w:abstractNumId w:val="90"/>
  </w:num>
  <w:num w:numId="307">
    <w:abstractNumId w:val="272"/>
  </w:num>
  <w:num w:numId="308">
    <w:abstractNumId w:val="81"/>
  </w:num>
  <w:num w:numId="309">
    <w:abstractNumId w:val="81"/>
  </w:num>
  <w:num w:numId="310">
    <w:abstractNumId w:val="81"/>
  </w:num>
  <w:num w:numId="311">
    <w:abstractNumId w:val="4"/>
  </w:num>
  <w:num w:numId="312">
    <w:abstractNumId w:val="4"/>
  </w:num>
  <w:num w:numId="313">
    <w:abstractNumId w:val="81"/>
  </w:num>
  <w:num w:numId="314">
    <w:abstractNumId w:val="81"/>
  </w:num>
  <w:num w:numId="315">
    <w:abstractNumId w:val="81"/>
  </w:num>
  <w:num w:numId="316">
    <w:abstractNumId w:val="81"/>
  </w:num>
  <w:num w:numId="317">
    <w:abstractNumId w:val="81"/>
  </w:num>
  <w:num w:numId="318">
    <w:abstractNumId w:val="81"/>
  </w:num>
  <w:num w:numId="319">
    <w:abstractNumId w:val="81"/>
  </w:num>
  <w:num w:numId="320">
    <w:abstractNumId w:val="81"/>
  </w:num>
  <w:num w:numId="321">
    <w:abstractNumId w:val="81"/>
  </w:num>
  <w:num w:numId="322">
    <w:abstractNumId w:val="81"/>
  </w:num>
  <w:num w:numId="323">
    <w:abstractNumId w:val="81"/>
  </w:num>
  <w:num w:numId="324">
    <w:abstractNumId w:val="81"/>
  </w:num>
  <w:num w:numId="325">
    <w:abstractNumId w:val="81"/>
  </w:num>
  <w:num w:numId="326">
    <w:abstractNumId w:val="81"/>
  </w:num>
  <w:num w:numId="327">
    <w:abstractNumId w:val="81"/>
  </w:num>
  <w:num w:numId="328">
    <w:abstractNumId w:val="81"/>
  </w:num>
  <w:num w:numId="329">
    <w:abstractNumId w:val="81"/>
  </w:num>
  <w:num w:numId="330">
    <w:abstractNumId w:val="137"/>
  </w:num>
  <w:num w:numId="331">
    <w:abstractNumId w:val="81"/>
  </w:num>
  <w:num w:numId="332">
    <w:abstractNumId w:val="81"/>
  </w:num>
  <w:num w:numId="333">
    <w:abstractNumId w:val="81"/>
  </w:num>
  <w:num w:numId="334">
    <w:abstractNumId w:val="81"/>
  </w:num>
  <w:num w:numId="335">
    <w:abstractNumId w:val="81"/>
  </w:num>
  <w:num w:numId="336">
    <w:abstractNumId w:val="81"/>
  </w:num>
  <w:num w:numId="337">
    <w:abstractNumId w:val="81"/>
  </w:num>
  <w:num w:numId="338">
    <w:abstractNumId w:val="81"/>
  </w:num>
  <w:num w:numId="339">
    <w:abstractNumId w:val="81"/>
  </w:num>
  <w:num w:numId="340">
    <w:abstractNumId w:val="81"/>
  </w:num>
  <w:num w:numId="341">
    <w:abstractNumId w:val="81"/>
  </w:num>
  <w:num w:numId="342">
    <w:abstractNumId w:val="81"/>
  </w:num>
  <w:num w:numId="343">
    <w:abstractNumId w:val="81"/>
  </w:num>
  <w:num w:numId="344">
    <w:abstractNumId w:val="81"/>
  </w:num>
  <w:num w:numId="345">
    <w:abstractNumId w:val="81"/>
  </w:num>
  <w:num w:numId="346">
    <w:abstractNumId w:val="81"/>
  </w:num>
  <w:num w:numId="347">
    <w:abstractNumId w:val="81"/>
  </w:num>
  <w:num w:numId="348">
    <w:abstractNumId w:val="81"/>
  </w:num>
  <w:num w:numId="349">
    <w:abstractNumId w:val="81"/>
  </w:num>
  <w:num w:numId="350">
    <w:abstractNumId w:val="81"/>
  </w:num>
  <w:num w:numId="351">
    <w:abstractNumId w:val="81"/>
  </w:num>
  <w:num w:numId="352">
    <w:abstractNumId w:val="81"/>
  </w:num>
  <w:num w:numId="353">
    <w:abstractNumId w:val="81"/>
  </w:num>
  <w:num w:numId="354">
    <w:abstractNumId w:val="81"/>
  </w:num>
  <w:num w:numId="355">
    <w:abstractNumId w:val="81"/>
  </w:num>
  <w:num w:numId="356">
    <w:abstractNumId w:val="81"/>
  </w:num>
  <w:num w:numId="357">
    <w:abstractNumId w:val="81"/>
  </w:num>
  <w:num w:numId="358">
    <w:abstractNumId w:val="81"/>
  </w:num>
  <w:num w:numId="359">
    <w:abstractNumId w:val="81"/>
  </w:num>
  <w:num w:numId="360">
    <w:abstractNumId w:val="81"/>
  </w:num>
  <w:num w:numId="361">
    <w:abstractNumId w:val="81"/>
  </w:num>
  <w:num w:numId="362">
    <w:abstractNumId w:val="81"/>
  </w:num>
  <w:num w:numId="363">
    <w:abstractNumId w:val="81"/>
  </w:num>
  <w:num w:numId="364">
    <w:abstractNumId w:val="81"/>
  </w:num>
  <w:num w:numId="365">
    <w:abstractNumId w:val="81"/>
  </w:num>
  <w:num w:numId="366">
    <w:abstractNumId w:val="81"/>
  </w:num>
  <w:num w:numId="367">
    <w:abstractNumId w:val="81"/>
  </w:num>
  <w:num w:numId="368">
    <w:abstractNumId w:val="81"/>
  </w:num>
  <w:num w:numId="369">
    <w:abstractNumId w:val="81"/>
  </w:num>
  <w:num w:numId="370">
    <w:abstractNumId w:val="81"/>
  </w:num>
  <w:num w:numId="371">
    <w:abstractNumId w:val="81"/>
  </w:num>
  <w:num w:numId="372">
    <w:abstractNumId w:val="81"/>
  </w:num>
  <w:num w:numId="373">
    <w:abstractNumId w:val="81"/>
  </w:num>
  <w:num w:numId="374">
    <w:abstractNumId w:val="81"/>
  </w:num>
  <w:num w:numId="375">
    <w:abstractNumId w:val="81"/>
  </w:num>
  <w:num w:numId="376">
    <w:abstractNumId w:val="81"/>
  </w:num>
  <w:num w:numId="377">
    <w:abstractNumId w:val="81"/>
  </w:num>
  <w:num w:numId="378">
    <w:abstractNumId w:val="81"/>
  </w:num>
  <w:num w:numId="379">
    <w:abstractNumId w:val="81"/>
  </w:num>
  <w:num w:numId="380">
    <w:abstractNumId w:val="81"/>
  </w:num>
  <w:num w:numId="381">
    <w:abstractNumId w:val="81"/>
  </w:num>
  <w:num w:numId="382">
    <w:abstractNumId w:val="81"/>
  </w:num>
  <w:num w:numId="383">
    <w:abstractNumId w:val="81"/>
  </w:num>
  <w:num w:numId="384">
    <w:abstractNumId w:val="81"/>
  </w:num>
  <w:num w:numId="385">
    <w:abstractNumId w:val="81"/>
  </w:num>
  <w:num w:numId="386">
    <w:abstractNumId w:val="81"/>
  </w:num>
  <w:num w:numId="387">
    <w:abstractNumId w:val="81"/>
  </w:num>
  <w:num w:numId="388">
    <w:abstractNumId w:val="81"/>
  </w:num>
  <w:num w:numId="389">
    <w:abstractNumId w:val="81"/>
  </w:num>
  <w:num w:numId="390">
    <w:abstractNumId w:val="81"/>
  </w:num>
  <w:num w:numId="391">
    <w:abstractNumId w:val="81"/>
  </w:num>
  <w:num w:numId="392">
    <w:abstractNumId w:val="81"/>
  </w:num>
  <w:num w:numId="393">
    <w:abstractNumId w:val="81"/>
  </w:num>
  <w:num w:numId="394">
    <w:abstractNumId w:val="81"/>
  </w:num>
  <w:num w:numId="395">
    <w:abstractNumId w:val="81"/>
  </w:num>
  <w:num w:numId="396">
    <w:abstractNumId w:val="81"/>
  </w:num>
  <w:num w:numId="397">
    <w:abstractNumId w:val="81"/>
  </w:num>
  <w:num w:numId="398">
    <w:abstractNumId w:val="81"/>
  </w:num>
  <w:num w:numId="399">
    <w:abstractNumId w:val="81"/>
  </w:num>
  <w:num w:numId="400">
    <w:abstractNumId w:val="81"/>
  </w:num>
  <w:num w:numId="401">
    <w:abstractNumId w:val="81"/>
  </w:num>
  <w:num w:numId="402">
    <w:abstractNumId w:val="81"/>
  </w:num>
  <w:num w:numId="403">
    <w:abstractNumId w:val="81"/>
  </w:num>
  <w:num w:numId="404">
    <w:abstractNumId w:val="81"/>
  </w:num>
  <w:num w:numId="405">
    <w:abstractNumId w:val="81"/>
  </w:num>
  <w:num w:numId="406">
    <w:abstractNumId w:val="81"/>
  </w:num>
  <w:num w:numId="407">
    <w:abstractNumId w:val="81"/>
  </w:num>
  <w:num w:numId="408">
    <w:abstractNumId w:val="81"/>
  </w:num>
  <w:num w:numId="409">
    <w:abstractNumId w:val="81"/>
  </w:num>
  <w:num w:numId="410">
    <w:abstractNumId w:val="81"/>
  </w:num>
  <w:num w:numId="411">
    <w:abstractNumId w:val="81"/>
  </w:num>
  <w:num w:numId="412">
    <w:abstractNumId w:val="81"/>
  </w:num>
  <w:num w:numId="413">
    <w:abstractNumId w:val="81"/>
  </w:num>
  <w:num w:numId="414">
    <w:abstractNumId w:val="81"/>
  </w:num>
  <w:num w:numId="415">
    <w:abstractNumId w:val="81"/>
  </w:num>
  <w:num w:numId="416">
    <w:abstractNumId w:val="81"/>
  </w:num>
  <w:num w:numId="417">
    <w:abstractNumId w:val="81"/>
  </w:num>
  <w:num w:numId="418">
    <w:abstractNumId w:val="81"/>
  </w:num>
  <w:num w:numId="419">
    <w:abstractNumId w:val="81"/>
  </w:num>
  <w:num w:numId="420">
    <w:abstractNumId w:val="81"/>
  </w:num>
  <w:num w:numId="421">
    <w:abstractNumId w:val="81"/>
  </w:num>
  <w:num w:numId="422">
    <w:abstractNumId w:val="81"/>
  </w:num>
  <w:num w:numId="423">
    <w:abstractNumId w:val="81"/>
  </w:num>
  <w:num w:numId="424">
    <w:abstractNumId w:val="81"/>
  </w:num>
  <w:num w:numId="425">
    <w:abstractNumId w:val="81"/>
  </w:num>
  <w:num w:numId="426">
    <w:abstractNumId w:val="81"/>
  </w:num>
  <w:num w:numId="427">
    <w:abstractNumId w:val="81"/>
  </w:num>
  <w:num w:numId="428">
    <w:abstractNumId w:val="81"/>
  </w:num>
  <w:num w:numId="429">
    <w:abstractNumId w:val="81"/>
  </w:num>
  <w:num w:numId="430">
    <w:abstractNumId w:val="81"/>
  </w:num>
  <w:num w:numId="431">
    <w:abstractNumId w:val="81"/>
  </w:num>
  <w:num w:numId="432">
    <w:abstractNumId w:val="81"/>
  </w:num>
  <w:num w:numId="433">
    <w:abstractNumId w:val="81"/>
  </w:num>
  <w:num w:numId="434">
    <w:abstractNumId w:val="81"/>
  </w:num>
  <w:num w:numId="435">
    <w:abstractNumId w:val="81"/>
  </w:num>
  <w:num w:numId="436">
    <w:abstractNumId w:val="81"/>
  </w:num>
  <w:num w:numId="437">
    <w:abstractNumId w:val="81"/>
  </w:num>
  <w:num w:numId="438">
    <w:abstractNumId w:val="81"/>
  </w:num>
  <w:num w:numId="439">
    <w:abstractNumId w:val="81"/>
  </w:num>
  <w:num w:numId="440">
    <w:abstractNumId w:val="81"/>
  </w:num>
  <w:num w:numId="441">
    <w:abstractNumId w:val="81"/>
  </w:num>
  <w:num w:numId="442">
    <w:abstractNumId w:val="81"/>
  </w:num>
  <w:num w:numId="443">
    <w:abstractNumId w:val="81"/>
  </w:num>
  <w:num w:numId="444">
    <w:abstractNumId w:val="81"/>
  </w:num>
  <w:num w:numId="445">
    <w:abstractNumId w:val="81"/>
  </w:num>
  <w:num w:numId="446">
    <w:abstractNumId w:val="81"/>
  </w:num>
  <w:num w:numId="447">
    <w:abstractNumId w:val="81"/>
  </w:num>
  <w:num w:numId="448">
    <w:abstractNumId w:val="81"/>
  </w:num>
  <w:num w:numId="449">
    <w:abstractNumId w:val="81"/>
  </w:num>
  <w:num w:numId="450">
    <w:abstractNumId w:val="81"/>
  </w:num>
  <w:num w:numId="451">
    <w:abstractNumId w:val="81"/>
  </w:num>
  <w:num w:numId="452">
    <w:abstractNumId w:val="81"/>
  </w:num>
  <w:num w:numId="453">
    <w:abstractNumId w:val="81"/>
  </w:num>
  <w:num w:numId="454">
    <w:abstractNumId w:val="81"/>
  </w:num>
  <w:num w:numId="455">
    <w:abstractNumId w:val="81"/>
  </w:num>
  <w:num w:numId="456">
    <w:abstractNumId w:val="81"/>
  </w:num>
  <w:num w:numId="457">
    <w:abstractNumId w:val="81"/>
  </w:num>
  <w:num w:numId="458">
    <w:abstractNumId w:val="81"/>
  </w:num>
  <w:num w:numId="459">
    <w:abstractNumId w:val="81"/>
  </w:num>
  <w:num w:numId="460">
    <w:abstractNumId w:val="81"/>
  </w:num>
  <w:num w:numId="461">
    <w:abstractNumId w:val="81"/>
  </w:num>
  <w:num w:numId="462">
    <w:abstractNumId w:val="81"/>
  </w:num>
  <w:num w:numId="463">
    <w:abstractNumId w:val="81"/>
  </w:num>
  <w:num w:numId="464">
    <w:abstractNumId w:val="81"/>
  </w:num>
  <w:num w:numId="465">
    <w:abstractNumId w:val="81"/>
  </w:num>
  <w:num w:numId="466">
    <w:abstractNumId w:val="81"/>
  </w:num>
  <w:num w:numId="467">
    <w:abstractNumId w:val="81"/>
  </w:num>
  <w:num w:numId="468">
    <w:abstractNumId w:val="81"/>
  </w:num>
  <w:num w:numId="469">
    <w:abstractNumId w:val="81"/>
  </w:num>
  <w:num w:numId="470">
    <w:abstractNumId w:val="81"/>
  </w:num>
  <w:num w:numId="471">
    <w:abstractNumId w:val="81"/>
  </w:num>
  <w:num w:numId="472">
    <w:abstractNumId w:val="81"/>
  </w:num>
  <w:num w:numId="473">
    <w:abstractNumId w:val="81"/>
  </w:num>
  <w:num w:numId="474">
    <w:abstractNumId w:val="81"/>
  </w:num>
  <w:num w:numId="475">
    <w:abstractNumId w:val="81"/>
  </w:num>
  <w:num w:numId="476">
    <w:abstractNumId w:val="81"/>
  </w:num>
  <w:num w:numId="477">
    <w:abstractNumId w:val="81"/>
  </w:num>
  <w:num w:numId="478">
    <w:abstractNumId w:val="81"/>
  </w:num>
  <w:num w:numId="479">
    <w:abstractNumId w:val="81"/>
  </w:num>
  <w:num w:numId="480">
    <w:abstractNumId w:val="81"/>
  </w:num>
  <w:num w:numId="481">
    <w:abstractNumId w:val="81"/>
  </w:num>
  <w:num w:numId="482">
    <w:abstractNumId w:val="4"/>
  </w:num>
  <w:num w:numId="483">
    <w:abstractNumId w:val="81"/>
  </w:num>
  <w:num w:numId="484">
    <w:abstractNumId w:val="81"/>
  </w:num>
  <w:num w:numId="485">
    <w:abstractNumId w:val="81"/>
  </w:num>
  <w:num w:numId="486">
    <w:abstractNumId w:val="81"/>
  </w:num>
  <w:num w:numId="487">
    <w:abstractNumId w:val="81"/>
  </w:num>
  <w:num w:numId="488">
    <w:abstractNumId w:val="81"/>
  </w:num>
  <w:num w:numId="489">
    <w:abstractNumId w:val="81"/>
  </w:num>
  <w:num w:numId="490">
    <w:abstractNumId w:val="40"/>
  </w:num>
  <w:num w:numId="491">
    <w:abstractNumId w:val="185"/>
  </w:num>
  <w:num w:numId="492">
    <w:abstractNumId w:val="58"/>
  </w:num>
  <w:num w:numId="493">
    <w:abstractNumId w:val="130"/>
  </w:num>
  <w:num w:numId="494">
    <w:abstractNumId w:val="120"/>
  </w:num>
  <w:num w:numId="495">
    <w:abstractNumId w:val="255"/>
  </w:num>
  <w:num w:numId="496">
    <w:abstractNumId w:val="274"/>
  </w:num>
  <w:num w:numId="497">
    <w:abstractNumId w:val="138"/>
  </w:num>
  <w:num w:numId="498">
    <w:abstractNumId w:val="98"/>
  </w:num>
  <w:num w:numId="499">
    <w:abstractNumId w:val="81"/>
  </w:num>
  <w:num w:numId="500">
    <w:abstractNumId w:val="81"/>
  </w:num>
  <w:num w:numId="501">
    <w:abstractNumId w:val="81"/>
  </w:num>
  <w:num w:numId="502">
    <w:abstractNumId w:val="188"/>
  </w:num>
  <w:num w:numId="503">
    <w:abstractNumId w:val="251"/>
  </w:num>
  <w:num w:numId="504">
    <w:abstractNumId w:val="66"/>
  </w:num>
  <w:num w:numId="505">
    <w:abstractNumId w:val="216"/>
  </w:num>
  <w:num w:numId="506">
    <w:abstractNumId w:val="140"/>
  </w:num>
  <w:num w:numId="507">
    <w:abstractNumId w:val="38"/>
  </w:num>
  <w:num w:numId="508">
    <w:abstractNumId w:val="128"/>
  </w:num>
  <w:num w:numId="509">
    <w:abstractNumId w:val="247"/>
  </w:num>
  <w:num w:numId="510">
    <w:abstractNumId w:val="273"/>
  </w:num>
  <w:num w:numId="511">
    <w:abstractNumId w:val="198"/>
  </w:num>
  <w:num w:numId="512">
    <w:abstractNumId w:val="121"/>
  </w:num>
  <w:num w:numId="513">
    <w:abstractNumId w:val="162"/>
  </w:num>
  <w:num w:numId="514">
    <w:abstractNumId w:val="180"/>
  </w:num>
  <w:num w:numId="515">
    <w:abstractNumId w:val="183"/>
  </w:num>
  <w:num w:numId="516">
    <w:abstractNumId w:val="92"/>
  </w:num>
  <w:num w:numId="517">
    <w:abstractNumId w:val="269"/>
  </w:num>
  <w:num w:numId="518">
    <w:abstractNumId w:val="281"/>
  </w:num>
  <w:num w:numId="519">
    <w:abstractNumId w:val="233"/>
  </w:num>
  <w:num w:numId="520">
    <w:abstractNumId w:val="60"/>
  </w:num>
  <w:num w:numId="521">
    <w:abstractNumId w:val="253"/>
  </w:num>
  <w:num w:numId="522">
    <w:abstractNumId w:val="248"/>
  </w:num>
  <w:num w:numId="523">
    <w:abstractNumId w:val="62"/>
  </w:num>
  <w:num w:numId="524">
    <w:abstractNumId w:val="50"/>
  </w:num>
  <w:num w:numId="525">
    <w:abstractNumId w:val="59"/>
  </w:num>
  <w:num w:numId="526">
    <w:abstractNumId w:val="81"/>
  </w:num>
  <w:num w:numId="527">
    <w:abstractNumId w:val="81"/>
  </w:num>
  <w:num w:numId="528">
    <w:abstractNumId w:val="81"/>
  </w:num>
  <w:num w:numId="529">
    <w:abstractNumId w:val="51"/>
  </w:num>
  <w:num w:numId="530">
    <w:abstractNumId w:val="81"/>
  </w:num>
  <w:num w:numId="531">
    <w:abstractNumId w:val="81"/>
  </w:num>
  <w:num w:numId="532">
    <w:abstractNumId w:val="81"/>
  </w:num>
  <w:num w:numId="533">
    <w:abstractNumId w:val="81"/>
  </w:num>
  <w:num w:numId="534">
    <w:abstractNumId w:val="81"/>
  </w:num>
  <w:num w:numId="535">
    <w:abstractNumId w:val="81"/>
  </w:num>
  <w:num w:numId="536">
    <w:abstractNumId w:val="81"/>
  </w:num>
  <w:num w:numId="537">
    <w:abstractNumId w:val="81"/>
  </w:num>
  <w:num w:numId="538">
    <w:abstractNumId w:val="81"/>
  </w:num>
  <w:num w:numId="539">
    <w:abstractNumId w:val="81"/>
  </w:num>
  <w:num w:numId="540">
    <w:abstractNumId w:val="81"/>
  </w:num>
  <w:num w:numId="541">
    <w:abstractNumId w:val="81"/>
  </w:num>
  <w:num w:numId="542">
    <w:abstractNumId w:val="81"/>
  </w:num>
  <w:num w:numId="543">
    <w:abstractNumId w:val="81"/>
  </w:num>
  <w:num w:numId="544">
    <w:abstractNumId w:val="86"/>
  </w:num>
  <w:num w:numId="545">
    <w:abstractNumId w:val="41"/>
  </w:num>
  <w:num w:numId="546">
    <w:abstractNumId w:val="81"/>
  </w:num>
  <w:num w:numId="547">
    <w:abstractNumId w:val="81"/>
  </w:num>
  <w:num w:numId="548">
    <w:abstractNumId w:val="81"/>
  </w:num>
  <w:num w:numId="549">
    <w:abstractNumId w:val="81"/>
  </w:num>
  <w:num w:numId="550">
    <w:abstractNumId w:val="81"/>
  </w:num>
  <w:num w:numId="551">
    <w:abstractNumId w:val="81"/>
  </w:num>
  <w:num w:numId="552">
    <w:abstractNumId w:val="81"/>
  </w:num>
  <w:num w:numId="553">
    <w:abstractNumId w:val="81"/>
  </w:num>
  <w:num w:numId="554">
    <w:abstractNumId w:val="81"/>
  </w:num>
  <w:num w:numId="555">
    <w:abstractNumId w:val="81"/>
  </w:num>
  <w:num w:numId="556">
    <w:abstractNumId w:val="81"/>
  </w:num>
  <w:num w:numId="557">
    <w:abstractNumId w:val="81"/>
  </w:num>
  <w:num w:numId="558">
    <w:abstractNumId w:val="81"/>
  </w:num>
  <w:num w:numId="559">
    <w:abstractNumId w:val="81"/>
  </w:num>
  <w:num w:numId="560">
    <w:abstractNumId w:val="81"/>
  </w:num>
  <w:num w:numId="561">
    <w:abstractNumId w:val="81"/>
  </w:num>
  <w:num w:numId="562">
    <w:abstractNumId w:val="81"/>
  </w:num>
  <w:num w:numId="563">
    <w:abstractNumId w:val="145"/>
  </w:num>
  <w:num w:numId="564">
    <w:abstractNumId w:val="81"/>
  </w:num>
  <w:num w:numId="565">
    <w:abstractNumId w:val="81"/>
  </w:num>
  <w:num w:numId="566">
    <w:abstractNumId w:val="81"/>
  </w:num>
  <w:num w:numId="567">
    <w:abstractNumId w:val="81"/>
  </w:num>
  <w:num w:numId="568">
    <w:abstractNumId w:val="81"/>
  </w:num>
  <w:num w:numId="569">
    <w:abstractNumId w:val="81"/>
  </w:num>
  <w:num w:numId="570">
    <w:abstractNumId w:val="91"/>
  </w:num>
  <w:num w:numId="571">
    <w:abstractNumId w:val="81"/>
  </w:num>
  <w:num w:numId="572">
    <w:abstractNumId w:val="81"/>
  </w:num>
  <w:num w:numId="573">
    <w:abstractNumId w:val="232"/>
  </w:num>
  <w:num w:numId="574">
    <w:abstractNumId w:val="82"/>
  </w:num>
  <w:num w:numId="575">
    <w:abstractNumId w:val="115"/>
  </w:num>
  <w:num w:numId="576">
    <w:abstractNumId w:val="109"/>
  </w:num>
  <w:num w:numId="577">
    <w:abstractNumId w:val="48"/>
  </w:num>
  <w:num w:numId="578">
    <w:abstractNumId w:val="65"/>
  </w:num>
  <w:num w:numId="579">
    <w:abstractNumId w:val="114"/>
  </w:num>
  <w:num w:numId="580">
    <w:abstractNumId w:val="77"/>
  </w:num>
  <w:num w:numId="581">
    <w:abstractNumId w:val="104"/>
  </w:num>
  <w:num w:numId="582">
    <w:abstractNumId w:val="111"/>
  </w:num>
  <w:num w:numId="583">
    <w:abstractNumId w:val="81"/>
  </w:num>
  <w:num w:numId="584">
    <w:abstractNumId w:val="81"/>
  </w:num>
  <w:num w:numId="585">
    <w:abstractNumId w:val="81"/>
  </w:num>
  <w:num w:numId="586">
    <w:abstractNumId w:val="157"/>
  </w:num>
  <w:num w:numId="587">
    <w:abstractNumId w:val="208"/>
  </w:num>
  <w:num w:numId="588">
    <w:abstractNumId w:val="209"/>
  </w:num>
  <w:num w:numId="589">
    <w:abstractNumId w:val="81"/>
  </w:num>
  <w:num w:numId="590">
    <w:abstractNumId w:val="81"/>
  </w:num>
  <w:num w:numId="591">
    <w:abstractNumId w:val="81"/>
  </w:num>
  <w:num w:numId="592">
    <w:abstractNumId w:val="81"/>
  </w:num>
  <w:num w:numId="593">
    <w:abstractNumId w:val="81"/>
  </w:num>
  <w:num w:numId="594">
    <w:abstractNumId w:val="81"/>
  </w:num>
  <w:num w:numId="595">
    <w:abstractNumId w:val="81"/>
  </w:num>
  <w:num w:numId="596">
    <w:abstractNumId w:val="81"/>
  </w:num>
  <w:num w:numId="597">
    <w:abstractNumId w:val="81"/>
  </w:num>
  <w:num w:numId="598">
    <w:abstractNumId w:val="81"/>
  </w:num>
  <w:num w:numId="599">
    <w:abstractNumId w:val="81"/>
  </w:num>
  <w:num w:numId="600">
    <w:abstractNumId w:val="81"/>
  </w:num>
  <w:num w:numId="601">
    <w:abstractNumId w:val="81"/>
  </w:num>
  <w:num w:numId="602">
    <w:abstractNumId w:val="81"/>
  </w:num>
  <w:num w:numId="603">
    <w:abstractNumId w:val="81"/>
  </w:num>
  <w:num w:numId="604">
    <w:abstractNumId w:val="81"/>
  </w:num>
  <w:num w:numId="605">
    <w:abstractNumId w:val="81"/>
  </w:num>
  <w:num w:numId="606">
    <w:abstractNumId w:val="81"/>
  </w:num>
  <w:num w:numId="607">
    <w:abstractNumId w:val="81"/>
  </w:num>
  <w:num w:numId="608">
    <w:abstractNumId w:val="81"/>
  </w:num>
  <w:num w:numId="609">
    <w:abstractNumId w:val="81"/>
  </w:num>
  <w:num w:numId="610">
    <w:abstractNumId w:val="81"/>
  </w:num>
  <w:num w:numId="611">
    <w:abstractNumId w:val="81"/>
  </w:num>
  <w:num w:numId="612">
    <w:abstractNumId w:val="81"/>
  </w:num>
  <w:num w:numId="613">
    <w:abstractNumId w:val="81"/>
  </w:num>
  <w:num w:numId="614">
    <w:abstractNumId w:val="81"/>
  </w:num>
  <w:num w:numId="615">
    <w:abstractNumId w:val="81"/>
  </w:num>
  <w:num w:numId="616">
    <w:abstractNumId w:val="81"/>
  </w:num>
  <w:num w:numId="617">
    <w:abstractNumId w:val="81"/>
  </w:num>
  <w:num w:numId="618">
    <w:abstractNumId w:val="81"/>
  </w:num>
  <w:num w:numId="619">
    <w:abstractNumId w:val="81"/>
  </w:num>
  <w:num w:numId="620">
    <w:abstractNumId w:val="81"/>
  </w:num>
  <w:num w:numId="621">
    <w:abstractNumId w:val="81"/>
  </w:num>
  <w:num w:numId="622">
    <w:abstractNumId w:val="81"/>
  </w:num>
  <w:num w:numId="623">
    <w:abstractNumId w:val="81"/>
  </w:num>
  <w:num w:numId="624">
    <w:abstractNumId w:val="81"/>
  </w:num>
  <w:num w:numId="625">
    <w:abstractNumId w:val="81"/>
  </w:num>
  <w:num w:numId="626">
    <w:abstractNumId w:val="81"/>
  </w:num>
  <w:num w:numId="627">
    <w:abstractNumId w:val="81"/>
  </w:num>
  <w:num w:numId="628">
    <w:abstractNumId w:val="81"/>
  </w:num>
  <w:num w:numId="629">
    <w:abstractNumId w:val="81"/>
  </w:num>
  <w:num w:numId="630">
    <w:abstractNumId w:val="81"/>
  </w:num>
  <w:num w:numId="631">
    <w:abstractNumId w:val="81"/>
  </w:num>
  <w:num w:numId="632">
    <w:abstractNumId w:val="81"/>
  </w:num>
  <w:num w:numId="633">
    <w:abstractNumId w:val="81"/>
  </w:num>
  <w:num w:numId="634">
    <w:abstractNumId w:val="81"/>
  </w:num>
  <w:num w:numId="635">
    <w:abstractNumId w:val="81"/>
  </w:num>
  <w:num w:numId="636">
    <w:abstractNumId w:val="81"/>
  </w:num>
  <w:num w:numId="637">
    <w:abstractNumId w:val="81"/>
  </w:num>
  <w:num w:numId="638">
    <w:abstractNumId w:val="81"/>
  </w:num>
  <w:num w:numId="639">
    <w:abstractNumId w:val="81"/>
  </w:num>
  <w:num w:numId="640">
    <w:abstractNumId w:val="81"/>
  </w:num>
  <w:num w:numId="641">
    <w:abstractNumId w:val="81"/>
  </w:num>
  <w:num w:numId="642">
    <w:abstractNumId w:val="81"/>
  </w:num>
  <w:num w:numId="643">
    <w:abstractNumId w:val="81"/>
  </w:num>
  <w:num w:numId="644">
    <w:abstractNumId w:val="81"/>
  </w:num>
  <w:num w:numId="645">
    <w:abstractNumId w:val="81"/>
  </w:num>
  <w:num w:numId="646">
    <w:abstractNumId w:val="81"/>
  </w:num>
  <w:num w:numId="647">
    <w:abstractNumId w:val="81"/>
  </w:num>
  <w:num w:numId="648">
    <w:abstractNumId w:val="81"/>
  </w:num>
  <w:num w:numId="649">
    <w:abstractNumId w:val="81"/>
  </w:num>
  <w:num w:numId="650">
    <w:abstractNumId w:val="81"/>
  </w:num>
  <w:num w:numId="651">
    <w:abstractNumId w:val="81"/>
  </w:num>
  <w:num w:numId="652">
    <w:abstractNumId w:val="81"/>
  </w:num>
  <w:num w:numId="653">
    <w:abstractNumId w:val="81"/>
  </w:num>
  <w:num w:numId="654">
    <w:abstractNumId w:val="81"/>
  </w:num>
  <w:num w:numId="655">
    <w:abstractNumId w:val="81"/>
  </w:num>
  <w:num w:numId="656">
    <w:abstractNumId w:val="81"/>
  </w:num>
  <w:num w:numId="657">
    <w:abstractNumId w:val="81"/>
  </w:num>
  <w:num w:numId="658">
    <w:abstractNumId w:val="81"/>
  </w:num>
  <w:num w:numId="659">
    <w:abstractNumId w:val="81"/>
  </w:num>
  <w:num w:numId="660">
    <w:abstractNumId w:val="81"/>
  </w:num>
  <w:num w:numId="661">
    <w:abstractNumId w:val="81"/>
  </w:num>
  <w:num w:numId="662">
    <w:abstractNumId w:val="81"/>
  </w:num>
  <w:num w:numId="663">
    <w:abstractNumId w:val="81"/>
  </w:num>
  <w:num w:numId="664">
    <w:abstractNumId w:val="81"/>
  </w:num>
  <w:num w:numId="665">
    <w:abstractNumId w:val="81"/>
  </w:num>
  <w:num w:numId="666">
    <w:abstractNumId w:val="81"/>
  </w:num>
  <w:num w:numId="667">
    <w:abstractNumId w:val="81"/>
  </w:num>
  <w:num w:numId="668">
    <w:abstractNumId w:val="81"/>
  </w:num>
  <w:num w:numId="669">
    <w:abstractNumId w:val="81"/>
  </w:num>
  <w:num w:numId="670">
    <w:abstractNumId w:val="81"/>
  </w:num>
  <w:num w:numId="671">
    <w:abstractNumId w:val="81"/>
  </w:num>
  <w:num w:numId="672">
    <w:abstractNumId w:val="81"/>
  </w:num>
  <w:num w:numId="673">
    <w:abstractNumId w:val="81"/>
  </w:num>
  <w:num w:numId="674">
    <w:abstractNumId w:val="81"/>
  </w:num>
  <w:num w:numId="675">
    <w:abstractNumId w:val="84"/>
  </w:num>
  <w:num w:numId="676">
    <w:abstractNumId w:val="225"/>
  </w:num>
  <w:num w:numId="677">
    <w:abstractNumId w:val="172"/>
  </w:num>
  <w:num w:numId="678">
    <w:abstractNumId w:val="81"/>
  </w:num>
  <w:num w:numId="679">
    <w:abstractNumId w:val="46"/>
  </w:num>
  <w:num w:numId="680">
    <w:abstractNumId w:val="83"/>
  </w:num>
  <w:num w:numId="681">
    <w:abstractNumId w:val="277"/>
  </w:num>
  <w:num w:numId="682">
    <w:abstractNumId w:val="80"/>
  </w:num>
  <w:num w:numId="683">
    <w:abstractNumId w:val="55"/>
  </w:num>
  <w:num w:numId="684">
    <w:abstractNumId w:val="231"/>
  </w:num>
  <w:num w:numId="685">
    <w:abstractNumId w:val="201"/>
  </w:num>
  <w:num w:numId="686">
    <w:abstractNumId w:val="191"/>
  </w:num>
  <w:num w:numId="687">
    <w:abstractNumId w:val="81"/>
  </w:num>
  <w:num w:numId="688">
    <w:abstractNumId w:val="142"/>
  </w:num>
  <w:num w:numId="689">
    <w:abstractNumId w:val="47"/>
  </w:num>
  <w:num w:numId="690">
    <w:abstractNumId w:val="238"/>
  </w:num>
  <w:num w:numId="691">
    <w:abstractNumId w:val="153"/>
  </w:num>
  <w:num w:numId="692">
    <w:abstractNumId w:val="282"/>
  </w:num>
  <w:num w:numId="693">
    <w:abstractNumId w:val="266"/>
  </w:num>
  <w:num w:numId="694">
    <w:abstractNumId w:val="237"/>
  </w:num>
  <w:num w:numId="695">
    <w:abstractNumId w:val="190"/>
  </w:num>
  <w:num w:numId="696">
    <w:abstractNumId w:val="228"/>
  </w:num>
  <w:num w:numId="697">
    <w:abstractNumId w:val="167"/>
  </w:num>
  <w:num w:numId="698">
    <w:abstractNumId w:val="81"/>
  </w:num>
  <w:num w:numId="699">
    <w:abstractNumId w:val="81"/>
  </w:num>
  <w:num w:numId="700">
    <w:abstractNumId w:val="61"/>
  </w:num>
  <w:num w:numId="701">
    <w:abstractNumId w:val="262"/>
  </w:num>
  <w:num w:numId="702">
    <w:abstractNumId w:val="270"/>
  </w:num>
  <w:num w:numId="703">
    <w:abstractNumId w:val="152"/>
  </w:num>
  <w:num w:numId="704">
    <w:abstractNumId w:val="163"/>
  </w:num>
  <w:num w:numId="705">
    <w:abstractNumId w:val="239"/>
  </w:num>
  <w:num w:numId="706">
    <w:abstractNumId w:val="112"/>
  </w:num>
  <w:num w:numId="707">
    <w:abstractNumId w:val="69"/>
  </w:num>
  <w:num w:numId="708">
    <w:abstractNumId w:val="213"/>
  </w:num>
  <w:num w:numId="709">
    <w:abstractNumId w:val="179"/>
  </w:num>
  <w:num w:numId="710">
    <w:abstractNumId w:val="226"/>
  </w:num>
  <w:num w:numId="711">
    <w:abstractNumId w:val="195"/>
  </w:num>
  <w:num w:numId="712">
    <w:abstractNumId w:val="173"/>
  </w:num>
  <w:num w:numId="713">
    <w:abstractNumId w:val="177"/>
  </w:num>
  <w:num w:numId="714">
    <w:abstractNumId w:val="113"/>
  </w:num>
  <w:num w:numId="715">
    <w:abstractNumId w:val="156"/>
  </w:num>
  <w:num w:numId="716">
    <w:abstractNumId w:val="286"/>
  </w:num>
  <w:num w:numId="717">
    <w:abstractNumId w:val="131"/>
  </w:num>
  <w:num w:numId="718">
    <w:abstractNumId w:val="207"/>
  </w:num>
  <w:num w:numId="719">
    <w:abstractNumId w:val="155"/>
  </w:num>
  <w:num w:numId="720">
    <w:abstractNumId w:val="75"/>
  </w:num>
  <w:num w:numId="721">
    <w:abstractNumId w:val="174"/>
  </w:num>
  <w:num w:numId="722">
    <w:abstractNumId w:val="215"/>
  </w:num>
  <w:num w:numId="723">
    <w:abstractNumId w:val="135"/>
  </w:num>
  <w:num w:numId="724">
    <w:abstractNumId w:val="235"/>
  </w:num>
  <w:num w:numId="725">
    <w:abstractNumId w:val="227"/>
  </w:num>
  <w:num w:numId="726">
    <w:abstractNumId w:val="154"/>
  </w:num>
  <w:numIdMacAtCleanup w:val="7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70"/>
  <w:hyphenationZone w:val="425"/>
  <w:drawingGridHorizontalSpacing w:val="110"/>
  <w:drawingGridVerticalSpacing w:val="0"/>
  <w:displayHorizontalDrawingGridEvery w:val="0"/>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686F"/>
    <w:rsid w:val="00000074"/>
    <w:rsid w:val="00000115"/>
    <w:rsid w:val="0000135B"/>
    <w:rsid w:val="000031A9"/>
    <w:rsid w:val="00003FAE"/>
    <w:rsid w:val="000054E2"/>
    <w:rsid w:val="000065D9"/>
    <w:rsid w:val="0000738F"/>
    <w:rsid w:val="00007D45"/>
    <w:rsid w:val="00007D9A"/>
    <w:rsid w:val="00010A55"/>
    <w:rsid w:val="0001225C"/>
    <w:rsid w:val="0001290B"/>
    <w:rsid w:val="00012EAD"/>
    <w:rsid w:val="000137D5"/>
    <w:rsid w:val="00013B11"/>
    <w:rsid w:val="000149CB"/>
    <w:rsid w:val="00014BA8"/>
    <w:rsid w:val="0001503E"/>
    <w:rsid w:val="0001532D"/>
    <w:rsid w:val="00016618"/>
    <w:rsid w:val="000166FB"/>
    <w:rsid w:val="0002019B"/>
    <w:rsid w:val="00020379"/>
    <w:rsid w:val="000204B0"/>
    <w:rsid w:val="00020850"/>
    <w:rsid w:val="00023006"/>
    <w:rsid w:val="00024556"/>
    <w:rsid w:val="000256DD"/>
    <w:rsid w:val="00026081"/>
    <w:rsid w:val="0002628F"/>
    <w:rsid w:val="0002661B"/>
    <w:rsid w:val="00027299"/>
    <w:rsid w:val="00027A2D"/>
    <w:rsid w:val="00030B16"/>
    <w:rsid w:val="00033064"/>
    <w:rsid w:val="00033F93"/>
    <w:rsid w:val="00035C79"/>
    <w:rsid w:val="0003684A"/>
    <w:rsid w:val="00036C79"/>
    <w:rsid w:val="00037633"/>
    <w:rsid w:val="00040A4E"/>
    <w:rsid w:val="000417CE"/>
    <w:rsid w:val="00041C30"/>
    <w:rsid w:val="00042AA2"/>
    <w:rsid w:val="00042F4D"/>
    <w:rsid w:val="00043062"/>
    <w:rsid w:val="0004423F"/>
    <w:rsid w:val="00044A47"/>
    <w:rsid w:val="0004513D"/>
    <w:rsid w:val="000457D4"/>
    <w:rsid w:val="00046B2C"/>
    <w:rsid w:val="000476E5"/>
    <w:rsid w:val="00047F96"/>
    <w:rsid w:val="00050F4F"/>
    <w:rsid w:val="00051465"/>
    <w:rsid w:val="00051EDD"/>
    <w:rsid w:val="00052727"/>
    <w:rsid w:val="0005463F"/>
    <w:rsid w:val="00054E86"/>
    <w:rsid w:val="00055081"/>
    <w:rsid w:val="0005515F"/>
    <w:rsid w:val="00055201"/>
    <w:rsid w:val="000553B7"/>
    <w:rsid w:val="000557E4"/>
    <w:rsid w:val="00055D78"/>
    <w:rsid w:val="000568EA"/>
    <w:rsid w:val="0006027F"/>
    <w:rsid w:val="00060561"/>
    <w:rsid w:val="00060D13"/>
    <w:rsid w:val="0006174E"/>
    <w:rsid w:val="00061A90"/>
    <w:rsid w:val="00061C89"/>
    <w:rsid w:val="00062B9E"/>
    <w:rsid w:val="000646D5"/>
    <w:rsid w:val="00064E07"/>
    <w:rsid w:val="00064EE6"/>
    <w:rsid w:val="000658E5"/>
    <w:rsid w:val="00065F6D"/>
    <w:rsid w:val="00066238"/>
    <w:rsid w:val="0006688E"/>
    <w:rsid w:val="00066D89"/>
    <w:rsid w:val="00067967"/>
    <w:rsid w:val="00070AAF"/>
    <w:rsid w:val="00071655"/>
    <w:rsid w:val="00071B80"/>
    <w:rsid w:val="00071D8C"/>
    <w:rsid w:val="00071E1E"/>
    <w:rsid w:val="00072EBD"/>
    <w:rsid w:val="00073950"/>
    <w:rsid w:val="00074049"/>
    <w:rsid w:val="00075369"/>
    <w:rsid w:val="00075D40"/>
    <w:rsid w:val="00075E5E"/>
    <w:rsid w:val="000774E5"/>
    <w:rsid w:val="0008009E"/>
    <w:rsid w:val="00080389"/>
    <w:rsid w:val="00080540"/>
    <w:rsid w:val="00080A58"/>
    <w:rsid w:val="00081447"/>
    <w:rsid w:val="00081FE8"/>
    <w:rsid w:val="00082225"/>
    <w:rsid w:val="00082F21"/>
    <w:rsid w:val="000846C8"/>
    <w:rsid w:val="00085EE4"/>
    <w:rsid w:val="0008646F"/>
    <w:rsid w:val="00086648"/>
    <w:rsid w:val="00087734"/>
    <w:rsid w:val="000906C7"/>
    <w:rsid w:val="00090A3B"/>
    <w:rsid w:val="0009184C"/>
    <w:rsid w:val="00091ED2"/>
    <w:rsid w:val="000932E0"/>
    <w:rsid w:val="00093C15"/>
    <w:rsid w:val="000953A2"/>
    <w:rsid w:val="00095562"/>
    <w:rsid w:val="00095D25"/>
    <w:rsid w:val="00095D88"/>
    <w:rsid w:val="000960E3"/>
    <w:rsid w:val="0009783C"/>
    <w:rsid w:val="000A1533"/>
    <w:rsid w:val="000A2DF6"/>
    <w:rsid w:val="000A36C8"/>
    <w:rsid w:val="000A4FCD"/>
    <w:rsid w:val="000A5053"/>
    <w:rsid w:val="000A594F"/>
    <w:rsid w:val="000A6A99"/>
    <w:rsid w:val="000A728C"/>
    <w:rsid w:val="000A7CE7"/>
    <w:rsid w:val="000B04E4"/>
    <w:rsid w:val="000B14F6"/>
    <w:rsid w:val="000B2CC9"/>
    <w:rsid w:val="000B2F31"/>
    <w:rsid w:val="000B3068"/>
    <w:rsid w:val="000B34B6"/>
    <w:rsid w:val="000B3886"/>
    <w:rsid w:val="000B40ED"/>
    <w:rsid w:val="000B444F"/>
    <w:rsid w:val="000B64DC"/>
    <w:rsid w:val="000B6AE4"/>
    <w:rsid w:val="000B6CBA"/>
    <w:rsid w:val="000B7195"/>
    <w:rsid w:val="000C0868"/>
    <w:rsid w:val="000C098F"/>
    <w:rsid w:val="000C1550"/>
    <w:rsid w:val="000C1AA3"/>
    <w:rsid w:val="000C1D2A"/>
    <w:rsid w:val="000C26A8"/>
    <w:rsid w:val="000C3DF5"/>
    <w:rsid w:val="000C3E2D"/>
    <w:rsid w:val="000C4AB9"/>
    <w:rsid w:val="000C4E32"/>
    <w:rsid w:val="000C4FDE"/>
    <w:rsid w:val="000C6543"/>
    <w:rsid w:val="000C6D37"/>
    <w:rsid w:val="000C73DC"/>
    <w:rsid w:val="000C7B92"/>
    <w:rsid w:val="000C7B93"/>
    <w:rsid w:val="000C7F4E"/>
    <w:rsid w:val="000D0143"/>
    <w:rsid w:val="000D038A"/>
    <w:rsid w:val="000D194B"/>
    <w:rsid w:val="000D1E01"/>
    <w:rsid w:val="000D2732"/>
    <w:rsid w:val="000D286E"/>
    <w:rsid w:val="000D2A1F"/>
    <w:rsid w:val="000D2DF4"/>
    <w:rsid w:val="000D342D"/>
    <w:rsid w:val="000D3EFD"/>
    <w:rsid w:val="000D419F"/>
    <w:rsid w:val="000D58AC"/>
    <w:rsid w:val="000D666C"/>
    <w:rsid w:val="000D692E"/>
    <w:rsid w:val="000E17A8"/>
    <w:rsid w:val="000E2A77"/>
    <w:rsid w:val="000E303C"/>
    <w:rsid w:val="000E3245"/>
    <w:rsid w:val="000E35DD"/>
    <w:rsid w:val="000E441B"/>
    <w:rsid w:val="000E5FC9"/>
    <w:rsid w:val="000F06AE"/>
    <w:rsid w:val="000F06D1"/>
    <w:rsid w:val="000F154B"/>
    <w:rsid w:val="000F157C"/>
    <w:rsid w:val="000F19AC"/>
    <w:rsid w:val="000F1B56"/>
    <w:rsid w:val="000F28CC"/>
    <w:rsid w:val="000F30C4"/>
    <w:rsid w:val="000F36B7"/>
    <w:rsid w:val="000F3A51"/>
    <w:rsid w:val="000F3C03"/>
    <w:rsid w:val="000F409E"/>
    <w:rsid w:val="000F40A7"/>
    <w:rsid w:val="000F4E4F"/>
    <w:rsid w:val="000F5564"/>
    <w:rsid w:val="000F571D"/>
    <w:rsid w:val="000F6A99"/>
    <w:rsid w:val="000F7165"/>
    <w:rsid w:val="000F786B"/>
    <w:rsid w:val="000F7F7F"/>
    <w:rsid w:val="001000B0"/>
    <w:rsid w:val="00100D95"/>
    <w:rsid w:val="00100FD3"/>
    <w:rsid w:val="001010A3"/>
    <w:rsid w:val="001012A6"/>
    <w:rsid w:val="00101906"/>
    <w:rsid w:val="00102069"/>
    <w:rsid w:val="00103AD6"/>
    <w:rsid w:val="001049FB"/>
    <w:rsid w:val="00105074"/>
    <w:rsid w:val="001051E0"/>
    <w:rsid w:val="0010550C"/>
    <w:rsid w:val="00105E53"/>
    <w:rsid w:val="00106502"/>
    <w:rsid w:val="00107C4D"/>
    <w:rsid w:val="00107D0C"/>
    <w:rsid w:val="001100B7"/>
    <w:rsid w:val="0011052F"/>
    <w:rsid w:val="00111AD0"/>
    <w:rsid w:val="00112766"/>
    <w:rsid w:val="00112DD5"/>
    <w:rsid w:val="0011482C"/>
    <w:rsid w:val="00114B45"/>
    <w:rsid w:val="00114D57"/>
    <w:rsid w:val="001150C6"/>
    <w:rsid w:val="00116F20"/>
    <w:rsid w:val="00117A59"/>
    <w:rsid w:val="0012026B"/>
    <w:rsid w:val="001206CB"/>
    <w:rsid w:val="00120939"/>
    <w:rsid w:val="00121456"/>
    <w:rsid w:val="00121A33"/>
    <w:rsid w:val="00122850"/>
    <w:rsid w:val="00122C4E"/>
    <w:rsid w:val="00123442"/>
    <w:rsid w:val="00123B77"/>
    <w:rsid w:val="00124300"/>
    <w:rsid w:val="00124C5E"/>
    <w:rsid w:val="0012549F"/>
    <w:rsid w:val="00125F4A"/>
    <w:rsid w:val="00126225"/>
    <w:rsid w:val="00127DEF"/>
    <w:rsid w:val="00127E81"/>
    <w:rsid w:val="001310B6"/>
    <w:rsid w:val="00131329"/>
    <w:rsid w:val="00131488"/>
    <w:rsid w:val="001318C1"/>
    <w:rsid w:val="00132D21"/>
    <w:rsid w:val="00133859"/>
    <w:rsid w:val="00133D5F"/>
    <w:rsid w:val="0013463F"/>
    <w:rsid w:val="00134C4F"/>
    <w:rsid w:val="00135E65"/>
    <w:rsid w:val="00135E75"/>
    <w:rsid w:val="00136C83"/>
    <w:rsid w:val="00136CA3"/>
    <w:rsid w:val="001402B4"/>
    <w:rsid w:val="00140D0D"/>
    <w:rsid w:val="0014196E"/>
    <w:rsid w:val="00141DE3"/>
    <w:rsid w:val="001422F1"/>
    <w:rsid w:val="001442C6"/>
    <w:rsid w:val="00144945"/>
    <w:rsid w:val="00145A2B"/>
    <w:rsid w:val="00146676"/>
    <w:rsid w:val="001474BD"/>
    <w:rsid w:val="00147AD8"/>
    <w:rsid w:val="001511B6"/>
    <w:rsid w:val="00151F92"/>
    <w:rsid w:val="001523CE"/>
    <w:rsid w:val="001523D1"/>
    <w:rsid w:val="001530DE"/>
    <w:rsid w:val="001546CB"/>
    <w:rsid w:val="00154EDE"/>
    <w:rsid w:val="001553FB"/>
    <w:rsid w:val="00155594"/>
    <w:rsid w:val="00155654"/>
    <w:rsid w:val="001560C0"/>
    <w:rsid w:val="001569D8"/>
    <w:rsid w:val="001574E8"/>
    <w:rsid w:val="001576BB"/>
    <w:rsid w:val="00160917"/>
    <w:rsid w:val="00160CCF"/>
    <w:rsid w:val="00162398"/>
    <w:rsid w:val="00162EBE"/>
    <w:rsid w:val="0016520B"/>
    <w:rsid w:val="00165339"/>
    <w:rsid w:val="001663E9"/>
    <w:rsid w:val="00166B92"/>
    <w:rsid w:val="00166DC6"/>
    <w:rsid w:val="0016735C"/>
    <w:rsid w:val="001678E2"/>
    <w:rsid w:val="00167AA8"/>
    <w:rsid w:val="00170AF9"/>
    <w:rsid w:val="00170BD0"/>
    <w:rsid w:val="00170FAF"/>
    <w:rsid w:val="00171564"/>
    <w:rsid w:val="00171CA8"/>
    <w:rsid w:val="00171D81"/>
    <w:rsid w:val="00172241"/>
    <w:rsid w:val="00173C68"/>
    <w:rsid w:val="00174D43"/>
    <w:rsid w:val="001753BE"/>
    <w:rsid w:val="00176E9C"/>
    <w:rsid w:val="00177658"/>
    <w:rsid w:val="00177864"/>
    <w:rsid w:val="001779AD"/>
    <w:rsid w:val="001800BF"/>
    <w:rsid w:val="00180787"/>
    <w:rsid w:val="00180A1B"/>
    <w:rsid w:val="00180B0A"/>
    <w:rsid w:val="00182109"/>
    <w:rsid w:val="00183875"/>
    <w:rsid w:val="00183910"/>
    <w:rsid w:val="00183D12"/>
    <w:rsid w:val="00183F25"/>
    <w:rsid w:val="00185D78"/>
    <w:rsid w:val="00185FC6"/>
    <w:rsid w:val="00187811"/>
    <w:rsid w:val="00191772"/>
    <w:rsid w:val="00192D60"/>
    <w:rsid w:val="00193181"/>
    <w:rsid w:val="00193AE5"/>
    <w:rsid w:val="00193B9C"/>
    <w:rsid w:val="001949FB"/>
    <w:rsid w:val="00194D39"/>
    <w:rsid w:val="0019508D"/>
    <w:rsid w:val="00195D0B"/>
    <w:rsid w:val="0019611A"/>
    <w:rsid w:val="001965A0"/>
    <w:rsid w:val="00196749"/>
    <w:rsid w:val="00196EB8"/>
    <w:rsid w:val="00197700"/>
    <w:rsid w:val="00197C11"/>
    <w:rsid w:val="00197E5E"/>
    <w:rsid w:val="00197FD1"/>
    <w:rsid w:val="001A00DE"/>
    <w:rsid w:val="001A0E84"/>
    <w:rsid w:val="001A123D"/>
    <w:rsid w:val="001A1BC8"/>
    <w:rsid w:val="001A1F01"/>
    <w:rsid w:val="001A2EEC"/>
    <w:rsid w:val="001A309E"/>
    <w:rsid w:val="001A314F"/>
    <w:rsid w:val="001A335F"/>
    <w:rsid w:val="001A35D5"/>
    <w:rsid w:val="001A39F5"/>
    <w:rsid w:val="001A41CF"/>
    <w:rsid w:val="001A550D"/>
    <w:rsid w:val="001A7077"/>
    <w:rsid w:val="001A7D7B"/>
    <w:rsid w:val="001A7F16"/>
    <w:rsid w:val="001B0B8E"/>
    <w:rsid w:val="001B1A82"/>
    <w:rsid w:val="001B3515"/>
    <w:rsid w:val="001B38E5"/>
    <w:rsid w:val="001B3922"/>
    <w:rsid w:val="001B4196"/>
    <w:rsid w:val="001B42CF"/>
    <w:rsid w:val="001B4449"/>
    <w:rsid w:val="001B67C2"/>
    <w:rsid w:val="001C0266"/>
    <w:rsid w:val="001C13FE"/>
    <w:rsid w:val="001C2BA4"/>
    <w:rsid w:val="001C2EC1"/>
    <w:rsid w:val="001C3D0C"/>
    <w:rsid w:val="001C3D0E"/>
    <w:rsid w:val="001C3F24"/>
    <w:rsid w:val="001C4869"/>
    <w:rsid w:val="001C4F89"/>
    <w:rsid w:val="001C586A"/>
    <w:rsid w:val="001C5A3D"/>
    <w:rsid w:val="001C7F3C"/>
    <w:rsid w:val="001D080D"/>
    <w:rsid w:val="001D0AD9"/>
    <w:rsid w:val="001D0B3F"/>
    <w:rsid w:val="001D0C8D"/>
    <w:rsid w:val="001D266B"/>
    <w:rsid w:val="001D475A"/>
    <w:rsid w:val="001D4BED"/>
    <w:rsid w:val="001D5802"/>
    <w:rsid w:val="001D6735"/>
    <w:rsid w:val="001D6A7B"/>
    <w:rsid w:val="001D70EF"/>
    <w:rsid w:val="001D7BE5"/>
    <w:rsid w:val="001E1149"/>
    <w:rsid w:val="001E13E9"/>
    <w:rsid w:val="001E2483"/>
    <w:rsid w:val="001E24C6"/>
    <w:rsid w:val="001E31F2"/>
    <w:rsid w:val="001E53E7"/>
    <w:rsid w:val="001E5645"/>
    <w:rsid w:val="001E74F3"/>
    <w:rsid w:val="001F0CF3"/>
    <w:rsid w:val="001F16B5"/>
    <w:rsid w:val="001F1DE9"/>
    <w:rsid w:val="001F2163"/>
    <w:rsid w:val="001F42AE"/>
    <w:rsid w:val="001F4367"/>
    <w:rsid w:val="001F46C4"/>
    <w:rsid w:val="001F4F3A"/>
    <w:rsid w:val="001F4FA8"/>
    <w:rsid w:val="001F5042"/>
    <w:rsid w:val="001F5593"/>
    <w:rsid w:val="001F5B51"/>
    <w:rsid w:val="001F6357"/>
    <w:rsid w:val="001F71D5"/>
    <w:rsid w:val="001F7923"/>
    <w:rsid w:val="001F7BB4"/>
    <w:rsid w:val="002008A1"/>
    <w:rsid w:val="00202F5C"/>
    <w:rsid w:val="002040E4"/>
    <w:rsid w:val="00204453"/>
    <w:rsid w:val="00204C57"/>
    <w:rsid w:val="00205142"/>
    <w:rsid w:val="002071DC"/>
    <w:rsid w:val="002113E2"/>
    <w:rsid w:val="00211FE8"/>
    <w:rsid w:val="00213A76"/>
    <w:rsid w:val="002147DB"/>
    <w:rsid w:val="00214DBD"/>
    <w:rsid w:val="0021689C"/>
    <w:rsid w:val="00216A61"/>
    <w:rsid w:val="002173EF"/>
    <w:rsid w:val="002177BA"/>
    <w:rsid w:val="00220F80"/>
    <w:rsid w:val="002211DA"/>
    <w:rsid w:val="00221705"/>
    <w:rsid w:val="00221812"/>
    <w:rsid w:val="00221ACE"/>
    <w:rsid w:val="002225A8"/>
    <w:rsid w:val="002241D4"/>
    <w:rsid w:val="0022465B"/>
    <w:rsid w:val="00225848"/>
    <w:rsid w:val="00225E7B"/>
    <w:rsid w:val="00226944"/>
    <w:rsid w:val="002275FB"/>
    <w:rsid w:val="00227626"/>
    <w:rsid w:val="00227680"/>
    <w:rsid w:val="0023067A"/>
    <w:rsid w:val="00230712"/>
    <w:rsid w:val="00230D3A"/>
    <w:rsid w:val="002316BD"/>
    <w:rsid w:val="0023315D"/>
    <w:rsid w:val="00233A02"/>
    <w:rsid w:val="00233AC4"/>
    <w:rsid w:val="0023456D"/>
    <w:rsid w:val="00234B25"/>
    <w:rsid w:val="00234F00"/>
    <w:rsid w:val="00235B50"/>
    <w:rsid w:val="00235CE1"/>
    <w:rsid w:val="0023601C"/>
    <w:rsid w:val="002368C1"/>
    <w:rsid w:val="00236953"/>
    <w:rsid w:val="00236B93"/>
    <w:rsid w:val="00236F1F"/>
    <w:rsid w:val="002370A1"/>
    <w:rsid w:val="002400FF"/>
    <w:rsid w:val="00240797"/>
    <w:rsid w:val="00240C42"/>
    <w:rsid w:val="00241156"/>
    <w:rsid w:val="002419CB"/>
    <w:rsid w:val="00241A83"/>
    <w:rsid w:val="00242907"/>
    <w:rsid w:val="00244330"/>
    <w:rsid w:val="00244F13"/>
    <w:rsid w:val="00245B5E"/>
    <w:rsid w:val="00245F3F"/>
    <w:rsid w:val="002467C8"/>
    <w:rsid w:val="00246A56"/>
    <w:rsid w:val="00246DC3"/>
    <w:rsid w:val="0024750B"/>
    <w:rsid w:val="00251652"/>
    <w:rsid w:val="002516A6"/>
    <w:rsid w:val="00251CFA"/>
    <w:rsid w:val="00251FE6"/>
    <w:rsid w:val="00253601"/>
    <w:rsid w:val="00253E22"/>
    <w:rsid w:val="00253E34"/>
    <w:rsid w:val="00254E81"/>
    <w:rsid w:val="002553ED"/>
    <w:rsid w:val="00256751"/>
    <w:rsid w:val="00256AE4"/>
    <w:rsid w:val="00257334"/>
    <w:rsid w:val="0025740A"/>
    <w:rsid w:val="00257719"/>
    <w:rsid w:val="002607A7"/>
    <w:rsid w:val="00260EF3"/>
    <w:rsid w:val="002630A1"/>
    <w:rsid w:val="002644A2"/>
    <w:rsid w:val="00264AED"/>
    <w:rsid w:val="00265801"/>
    <w:rsid w:val="00265B9C"/>
    <w:rsid w:val="002662ED"/>
    <w:rsid w:val="00266CC3"/>
    <w:rsid w:val="0026773D"/>
    <w:rsid w:val="00267BC9"/>
    <w:rsid w:val="00267F4C"/>
    <w:rsid w:val="002702B6"/>
    <w:rsid w:val="0027042C"/>
    <w:rsid w:val="002709A9"/>
    <w:rsid w:val="00270ADC"/>
    <w:rsid w:val="00271BCC"/>
    <w:rsid w:val="00271D47"/>
    <w:rsid w:val="002729B4"/>
    <w:rsid w:val="00272B70"/>
    <w:rsid w:val="00273AF1"/>
    <w:rsid w:val="00273B1B"/>
    <w:rsid w:val="00273DF1"/>
    <w:rsid w:val="0027439D"/>
    <w:rsid w:val="002743F4"/>
    <w:rsid w:val="00275594"/>
    <w:rsid w:val="00275945"/>
    <w:rsid w:val="0027699F"/>
    <w:rsid w:val="00276C21"/>
    <w:rsid w:val="0027708A"/>
    <w:rsid w:val="0027773F"/>
    <w:rsid w:val="00277AE6"/>
    <w:rsid w:val="00280A0A"/>
    <w:rsid w:val="00280D41"/>
    <w:rsid w:val="002813B3"/>
    <w:rsid w:val="00281B3C"/>
    <w:rsid w:val="00282390"/>
    <w:rsid w:val="0028266E"/>
    <w:rsid w:val="00282CC8"/>
    <w:rsid w:val="002830E8"/>
    <w:rsid w:val="00283279"/>
    <w:rsid w:val="00283D2E"/>
    <w:rsid w:val="0028598B"/>
    <w:rsid w:val="0028789E"/>
    <w:rsid w:val="00290049"/>
    <w:rsid w:val="00290A49"/>
    <w:rsid w:val="00290B03"/>
    <w:rsid w:val="002919A9"/>
    <w:rsid w:val="002933FA"/>
    <w:rsid w:val="00293C32"/>
    <w:rsid w:val="0029407E"/>
    <w:rsid w:val="00295373"/>
    <w:rsid w:val="00295415"/>
    <w:rsid w:val="00295BB7"/>
    <w:rsid w:val="002A1B7C"/>
    <w:rsid w:val="002A2EEF"/>
    <w:rsid w:val="002A3320"/>
    <w:rsid w:val="002A39AD"/>
    <w:rsid w:val="002A4572"/>
    <w:rsid w:val="002A55B8"/>
    <w:rsid w:val="002A588D"/>
    <w:rsid w:val="002A6B80"/>
    <w:rsid w:val="002B100E"/>
    <w:rsid w:val="002B1905"/>
    <w:rsid w:val="002B319F"/>
    <w:rsid w:val="002B36FF"/>
    <w:rsid w:val="002B473D"/>
    <w:rsid w:val="002B5716"/>
    <w:rsid w:val="002B5B2D"/>
    <w:rsid w:val="002B5EA2"/>
    <w:rsid w:val="002B68D9"/>
    <w:rsid w:val="002B7415"/>
    <w:rsid w:val="002B78B8"/>
    <w:rsid w:val="002C1A19"/>
    <w:rsid w:val="002C1F6E"/>
    <w:rsid w:val="002C20EF"/>
    <w:rsid w:val="002C28AF"/>
    <w:rsid w:val="002C423C"/>
    <w:rsid w:val="002C4280"/>
    <w:rsid w:val="002C4FC3"/>
    <w:rsid w:val="002C5B8B"/>
    <w:rsid w:val="002C6565"/>
    <w:rsid w:val="002C6888"/>
    <w:rsid w:val="002C71A1"/>
    <w:rsid w:val="002C7820"/>
    <w:rsid w:val="002C7B4F"/>
    <w:rsid w:val="002D066E"/>
    <w:rsid w:val="002D1071"/>
    <w:rsid w:val="002D13A7"/>
    <w:rsid w:val="002D1797"/>
    <w:rsid w:val="002D1C9D"/>
    <w:rsid w:val="002D245F"/>
    <w:rsid w:val="002D262B"/>
    <w:rsid w:val="002D27B9"/>
    <w:rsid w:val="002D288F"/>
    <w:rsid w:val="002D2E22"/>
    <w:rsid w:val="002D2ECB"/>
    <w:rsid w:val="002D2FA5"/>
    <w:rsid w:val="002D34B0"/>
    <w:rsid w:val="002D3860"/>
    <w:rsid w:val="002D45C6"/>
    <w:rsid w:val="002D48CC"/>
    <w:rsid w:val="002D4DD1"/>
    <w:rsid w:val="002D5958"/>
    <w:rsid w:val="002D5D67"/>
    <w:rsid w:val="002D62FD"/>
    <w:rsid w:val="002D6C52"/>
    <w:rsid w:val="002D798D"/>
    <w:rsid w:val="002E0257"/>
    <w:rsid w:val="002E0505"/>
    <w:rsid w:val="002E1C58"/>
    <w:rsid w:val="002E1FF6"/>
    <w:rsid w:val="002E20C1"/>
    <w:rsid w:val="002E2459"/>
    <w:rsid w:val="002E3600"/>
    <w:rsid w:val="002E4524"/>
    <w:rsid w:val="002E50FB"/>
    <w:rsid w:val="002E6E33"/>
    <w:rsid w:val="002E7196"/>
    <w:rsid w:val="002F03A1"/>
    <w:rsid w:val="002F09F2"/>
    <w:rsid w:val="002F0AB6"/>
    <w:rsid w:val="002F0FE9"/>
    <w:rsid w:val="002F44A8"/>
    <w:rsid w:val="002F44F7"/>
    <w:rsid w:val="002F54DE"/>
    <w:rsid w:val="002F5A2C"/>
    <w:rsid w:val="002F79C5"/>
    <w:rsid w:val="00300E52"/>
    <w:rsid w:val="0030125C"/>
    <w:rsid w:val="00301859"/>
    <w:rsid w:val="00301E11"/>
    <w:rsid w:val="003025C4"/>
    <w:rsid w:val="00302C50"/>
    <w:rsid w:val="00302F26"/>
    <w:rsid w:val="003033E4"/>
    <w:rsid w:val="003044BD"/>
    <w:rsid w:val="00304B82"/>
    <w:rsid w:val="003051EB"/>
    <w:rsid w:val="0030539D"/>
    <w:rsid w:val="003056F3"/>
    <w:rsid w:val="00305922"/>
    <w:rsid w:val="00306BD2"/>
    <w:rsid w:val="00306D03"/>
    <w:rsid w:val="003078AF"/>
    <w:rsid w:val="0031053A"/>
    <w:rsid w:val="00310A03"/>
    <w:rsid w:val="00310BE6"/>
    <w:rsid w:val="00310CAA"/>
    <w:rsid w:val="00310E0E"/>
    <w:rsid w:val="0031109E"/>
    <w:rsid w:val="00311213"/>
    <w:rsid w:val="00313155"/>
    <w:rsid w:val="00313849"/>
    <w:rsid w:val="003139A4"/>
    <w:rsid w:val="003139B1"/>
    <w:rsid w:val="00314CD9"/>
    <w:rsid w:val="00315497"/>
    <w:rsid w:val="003156D3"/>
    <w:rsid w:val="003159F7"/>
    <w:rsid w:val="00316E21"/>
    <w:rsid w:val="00317636"/>
    <w:rsid w:val="003219F2"/>
    <w:rsid w:val="00321CAD"/>
    <w:rsid w:val="00321CE4"/>
    <w:rsid w:val="00321D30"/>
    <w:rsid w:val="00322B30"/>
    <w:rsid w:val="00322E18"/>
    <w:rsid w:val="003234A9"/>
    <w:rsid w:val="003238EE"/>
    <w:rsid w:val="003253D8"/>
    <w:rsid w:val="00325706"/>
    <w:rsid w:val="0032576C"/>
    <w:rsid w:val="00326F1C"/>
    <w:rsid w:val="00327B5D"/>
    <w:rsid w:val="003320A0"/>
    <w:rsid w:val="00332155"/>
    <w:rsid w:val="00332BDA"/>
    <w:rsid w:val="003331DD"/>
    <w:rsid w:val="003337E6"/>
    <w:rsid w:val="00334F9A"/>
    <w:rsid w:val="003358D8"/>
    <w:rsid w:val="00335F63"/>
    <w:rsid w:val="00337235"/>
    <w:rsid w:val="003377D4"/>
    <w:rsid w:val="00337ABE"/>
    <w:rsid w:val="0034177C"/>
    <w:rsid w:val="003417E3"/>
    <w:rsid w:val="003421BC"/>
    <w:rsid w:val="003422B4"/>
    <w:rsid w:val="0034275D"/>
    <w:rsid w:val="00342BFF"/>
    <w:rsid w:val="00342E3F"/>
    <w:rsid w:val="00342F28"/>
    <w:rsid w:val="00342FBF"/>
    <w:rsid w:val="00343274"/>
    <w:rsid w:val="00343AED"/>
    <w:rsid w:val="00343E07"/>
    <w:rsid w:val="003440B7"/>
    <w:rsid w:val="00344EA5"/>
    <w:rsid w:val="00345A1A"/>
    <w:rsid w:val="00346AC7"/>
    <w:rsid w:val="00346E97"/>
    <w:rsid w:val="00347C55"/>
    <w:rsid w:val="003501B5"/>
    <w:rsid w:val="003507A1"/>
    <w:rsid w:val="00350AC4"/>
    <w:rsid w:val="00350EB5"/>
    <w:rsid w:val="00353129"/>
    <w:rsid w:val="003537C2"/>
    <w:rsid w:val="00353DE0"/>
    <w:rsid w:val="00354B1F"/>
    <w:rsid w:val="00356340"/>
    <w:rsid w:val="003571E8"/>
    <w:rsid w:val="00357DFE"/>
    <w:rsid w:val="003607FB"/>
    <w:rsid w:val="00361192"/>
    <w:rsid w:val="003611E1"/>
    <w:rsid w:val="00361253"/>
    <w:rsid w:val="0036298B"/>
    <w:rsid w:val="003629A5"/>
    <w:rsid w:val="00362C7C"/>
    <w:rsid w:val="00362CA6"/>
    <w:rsid w:val="00363755"/>
    <w:rsid w:val="003645A3"/>
    <w:rsid w:val="00364837"/>
    <w:rsid w:val="00364B75"/>
    <w:rsid w:val="003650BE"/>
    <w:rsid w:val="0036552D"/>
    <w:rsid w:val="0036760F"/>
    <w:rsid w:val="00367EC5"/>
    <w:rsid w:val="0037121B"/>
    <w:rsid w:val="003716EF"/>
    <w:rsid w:val="0037192C"/>
    <w:rsid w:val="003719F9"/>
    <w:rsid w:val="0037352B"/>
    <w:rsid w:val="003737AD"/>
    <w:rsid w:val="00373859"/>
    <w:rsid w:val="00373CF3"/>
    <w:rsid w:val="003741AD"/>
    <w:rsid w:val="00375011"/>
    <w:rsid w:val="00376956"/>
    <w:rsid w:val="00376DF0"/>
    <w:rsid w:val="00377A44"/>
    <w:rsid w:val="0038027E"/>
    <w:rsid w:val="003806EF"/>
    <w:rsid w:val="00380F5D"/>
    <w:rsid w:val="00381810"/>
    <w:rsid w:val="00382772"/>
    <w:rsid w:val="00382E36"/>
    <w:rsid w:val="00383149"/>
    <w:rsid w:val="003832E0"/>
    <w:rsid w:val="003841ED"/>
    <w:rsid w:val="00384E08"/>
    <w:rsid w:val="00385831"/>
    <w:rsid w:val="003860C1"/>
    <w:rsid w:val="003866B4"/>
    <w:rsid w:val="00387032"/>
    <w:rsid w:val="00390282"/>
    <w:rsid w:val="00390690"/>
    <w:rsid w:val="003925B5"/>
    <w:rsid w:val="00392E45"/>
    <w:rsid w:val="00393B2C"/>
    <w:rsid w:val="00394258"/>
    <w:rsid w:val="003946C0"/>
    <w:rsid w:val="003956F2"/>
    <w:rsid w:val="003961ED"/>
    <w:rsid w:val="003979C2"/>
    <w:rsid w:val="00397ED5"/>
    <w:rsid w:val="00397F0F"/>
    <w:rsid w:val="003A0D7C"/>
    <w:rsid w:val="003A2211"/>
    <w:rsid w:val="003A2920"/>
    <w:rsid w:val="003A3417"/>
    <w:rsid w:val="003A4938"/>
    <w:rsid w:val="003A4D6A"/>
    <w:rsid w:val="003A4F95"/>
    <w:rsid w:val="003A5D3E"/>
    <w:rsid w:val="003A5E04"/>
    <w:rsid w:val="003A63A4"/>
    <w:rsid w:val="003A7323"/>
    <w:rsid w:val="003A7A9D"/>
    <w:rsid w:val="003A7B6D"/>
    <w:rsid w:val="003A7FE2"/>
    <w:rsid w:val="003A7FE5"/>
    <w:rsid w:val="003B107F"/>
    <w:rsid w:val="003B1425"/>
    <w:rsid w:val="003B1BCD"/>
    <w:rsid w:val="003B3F88"/>
    <w:rsid w:val="003B426C"/>
    <w:rsid w:val="003B68D0"/>
    <w:rsid w:val="003B6F14"/>
    <w:rsid w:val="003B74D8"/>
    <w:rsid w:val="003B79FE"/>
    <w:rsid w:val="003B7A19"/>
    <w:rsid w:val="003C0C35"/>
    <w:rsid w:val="003C1326"/>
    <w:rsid w:val="003C179E"/>
    <w:rsid w:val="003C185D"/>
    <w:rsid w:val="003C1E2B"/>
    <w:rsid w:val="003C2804"/>
    <w:rsid w:val="003C3697"/>
    <w:rsid w:val="003C3717"/>
    <w:rsid w:val="003C3EC9"/>
    <w:rsid w:val="003C42E9"/>
    <w:rsid w:val="003C4A3B"/>
    <w:rsid w:val="003C5D41"/>
    <w:rsid w:val="003C6CB1"/>
    <w:rsid w:val="003C7CCC"/>
    <w:rsid w:val="003D0F0A"/>
    <w:rsid w:val="003D1CDF"/>
    <w:rsid w:val="003D44BC"/>
    <w:rsid w:val="003D4691"/>
    <w:rsid w:val="003D4D35"/>
    <w:rsid w:val="003D6DBB"/>
    <w:rsid w:val="003D6F50"/>
    <w:rsid w:val="003D7D87"/>
    <w:rsid w:val="003E0935"/>
    <w:rsid w:val="003E0D0C"/>
    <w:rsid w:val="003E3085"/>
    <w:rsid w:val="003E3FED"/>
    <w:rsid w:val="003E459E"/>
    <w:rsid w:val="003E48F1"/>
    <w:rsid w:val="003E5443"/>
    <w:rsid w:val="003E69E8"/>
    <w:rsid w:val="003E6D78"/>
    <w:rsid w:val="003E7068"/>
    <w:rsid w:val="003E760A"/>
    <w:rsid w:val="003F019A"/>
    <w:rsid w:val="003F019C"/>
    <w:rsid w:val="003F0ABD"/>
    <w:rsid w:val="003F0EED"/>
    <w:rsid w:val="003F30D8"/>
    <w:rsid w:val="003F3903"/>
    <w:rsid w:val="003F3F26"/>
    <w:rsid w:val="003F425C"/>
    <w:rsid w:val="003F4357"/>
    <w:rsid w:val="003F57F7"/>
    <w:rsid w:val="003F5D3D"/>
    <w:rsid w:val="003F605F"/>
    <w:rsid w:val="003F6E51"/>
    <w:rsid w:val="003F7B46"/>
    <w:rsid w:val="00401380"/>
    <w:rsid w:val="00401F88"/>
    <w:rsid w:val="0040243E"/>
    <w:rsid w:val="00402FBF"/>
    <w:rsid w:val="004034F8"/>
    <w:rsid w:val="00403AC5"/>
    <w:rsid w:val="00404369"/>
    <w:rsid w:val="0040537C"/>
    <w:rsid w:val="00405A4F"/>
    <w:rsid w:val="00405AD3"/>
    <w:rsid w:val="00405FBC"/>
    <w:rsid w:val="00406214"/>
    <w:rsid w:val="00407163"/>
    <w:rsid w:val="004103E0"/>
    <w:rsid w:val="0041057C"/>
    <w:rsid w:val="00410DDE"/>
    <w:rsid w:val="00411861"/>
    <w:rsid w:val="00412D4F"/>
    <w:rsid w:val="0041332B"/>
    <w:rsid w:val="0041442B"/>
    <w:rsid w:val="004149FD"/>
    <w:rsid w:val="00414A0D"/>
    <w:rsid w:val="00417226"/>
    <w:rsid w:val="00417989"/>
    <w:rsid w:val="00417A6F"/>
    <w:rsid w:val="00420737"/>
    <w:rsid w:val="00421535"/>
    <w:rsid w:val="004215EF"/>
    <w:rsid w:val="00421A57"/>
    <w:rsid w:val="00422004"/>
    <w:rsid w:val="004220C5"/>
    <w:rsid w:val="00422B5D"/>
    <w:rsid w:val="004231AD"/>
    <w:rsid w:val="0042325D"/>
    <w:rsid w:val="00423AC7"/>
    <w:rsid w:val="00423B68"/>
    <w:rsid w:val="0042444B"/>
    <w:rsid w:val="00424817"/>
    <w:rsid w:val="00424CEB"/>
    <w:rsid w:val="00426D74"/>
    <w:rsid w:val="00426DF2"/>
    <w:rsid w:val="00427640"/>
    <w:rsid w:val="00427934"/>
    <w:rsid w:val="0043004D"/>
    <w:rsid w:val="004301E2"/>
    <w:rsid w:val="00430A28"/>
    <w:rsid w:val="00430AB3"/>
    <w:rsid w:val="0043137A"/>
    <w:rsid w:val="00431F26"/>
    <w:rsid w:val="00432667"/>
    <w:rsid w:val="0043387E"/>
    <w:rsid w:val="00433B3A"/>
    <w:rsid w:val="004341AD"/>
    <w:rsid w:val="00435E76"/>
    <w:rsid w:val="004362E1"/>
    <w:rsid w:val="0043731B"/>
    <w:rsid w:val="004375E3"/>
    <w:rsid w:val="0043774B"/>
    <w:rsid w:val="004378E4"/>
    <w:rsid w:val="00440EFC"/>
    <w:rsid w:val="00441C0A"/>
    <w:rsid w:val="004440F1"/>
    <w:rsid w:val="00444147"/>
    <w:rsid w:val="00444250"/>
    <w:rsid w:val="004444F5"/>
    <w:rsid w:val="004467AC"/>
    <w:rsid w:val="00446B5A"/>
    <w:rsid w:val="00450EEF"/>
    <w:rsid w:val="004516BF"/>
    <w:rsid w:val="0045295D"/>
    <w:rsid w:val="00452DD6"/>
    <w:rsid w:val="00454071"/>
    <w:rsid w:val="0045463D"/>
    <w:rsid w:val="00454DC1"/>
    <w:rsid w:val="004556EB"/>
    <w:rsid w:val="004563A6"/>
    <w:rsid w:val="004569FB"/>
    <w:rsid w:val="00457321"/>
    <w:rsid w:val="00460239"/>
    <w:rsid w:val="00460B39"/>
    <w:rsid w:val="00460C55"/>
    <w:rsid w:val="00460CB9"/>
    <w:rsid w:val="00460D68"/>
    <w:rsid w:val="00460F16"/>
    <w:rsid w:val="00461259"/>
    <w:rsid w:val="00462B9F"/>
    <w:rsid w:val="00462E42"/>
    <w:rsid w:val="00463055"/>
    <w:rsid w:val="0046412D"/>
    <w:rsid w:val="004641D0"/>
    <w:rsid w:val="004642E8"/>
    <w:rsid w:val="0046528E"/>
    <w:rsid w:val="00465B27"/>
    <w:rsid w:val="00465BA8"/>
    <w:rsid w:val="00465D33"/>
    <w:rsid w:val="00465E1A"/>
    <w:rsid w:val="004667A7"/>
    <w:rsid w:val="00467AD5"/>
    <w:rsid w:val="00467B86"/>
    <w:rsid w:val="0047053F"/>
    <w:rsid w:val="00470A87"/>
    <w:rsid w:val="00470D2A"/>
    <w:rsid w:val="004714D5"/>
    <w:rsid w:val="004715BA"/>
    <w:rsid w:val="004715DA"/>
    <w:rsid w:val="00471F85"/>
    <w:rsid w:val="004720B3"/>
    <w:rsid w:val="00472895"/>
    <w:rsid w:val="00472FE3"/>
    <w:rsid w:val="00473083"/>
    <w:rsid w:val="0047330F"/>
    <w:rsid w:val="00474336"/>
    <w:rsid w:val="004761AC"/>
    <w:rsid w:val="004765D7"/>
    <w:rsid w:val="00476AF1"/>
    <w:rsid w:val="0047743D"/>
    <w:rsid w:val="00480133"/>
    <w:rsid w:val="00480190"/>
    <w:rsid w:val="004806E7"/>
    <w:rsid w:val="004808DB"/>
    <w:rsid w:val="00480CD8"/>
    <w:rsid w:val="0048150B"/>
    <w:rsid w:val="00481A65"/>
    <w:rsid w:val="004821E7"/>
    <w:rsid w:val="00482BEA"/>
    <w:rsid w:val="00482C78"/>
    <w:rsid w:val="00483861"/>
    <w:rsid w:val="00483BC9"/>
    <w:rsid w:val="004854BB"/>
    <w:rsid w:val="00485852"/>
    <w:rsid w:val="004858E3"/>
    <w:rsid w:val="00485BD8"/>
    <w:rsid w:val="0048647E"/>
    <w:rsid w:val="0048673A"/>
    <w:rsid w:val="0048733E"/>
    <w:rsid w:val="004879C2"/>
    <w:rsid w:val="004914B3"/>
    <w:rsid w:val="00491547"/>
    <w:rsid w:val="00491E21"/>
    <w:rsid w:val="00493EB8"/>
    <w:rsid w:val="00494FAE"/>
    <w:rsid w:val="00495457"/>
    <w:rsid w:val="0049605A"/>
    <w:rsid w:val="00496273"/>
    <w:rsid w:val="00496783"/>
    <w:rsid w:val="00496A17"/>
    <w:rsid w:val="004970AC"/>
    <w:rsid w:val="00497568"/>
    <w:rsid w:val="004A005B"/>
    <w:rsid w:val="004A03C1"/>
    <w:rsid w:val="004A03FA"/>
    <w:rsid w:val="004A0B6A"/>
    <w:rsid w:val="004A0D2B"/>
    <w:rsid w:val="004A1B4F"/>
    <w:rsid w:val="004A21DE"/>
    <w:rsid w:val="004A254B"/>
    <w:rsid w:val="004A2F91"/>
    <w:rsid w:val="004A314E"/>
    <w:rsid w:val="004A33A7"/>
    <w:rsid w:val="004A3BCD"/>
    <w:rsid w:val="004A42F3"/>
    <w:rsid w:val="004A4AB5"/>
    <w:rsid w:val="004A5179"/>
    <w:rsid w:val="004A5267"/>
    <w:rsid w:val="004A5A18"/>
    <w:rsid w:val="004A5A5B"/>
    <w:rsid w:val="004A5F7A"/>
    <w:rsid w:val="004A77BD"/>
    <w:rsid w:val="004B03E6"/>
    <w:rsid w:val="004B07F1"/>
    <w:rsid w:val="004B0928"/>
    <w:rsid w:val="004B1136"/>
    <w:rsid w:val="004B1287"/>
    <w:rsid w:val="004B28CC"/>
    <w:rsid w:val="004B3146"/>
    <w:rsid w:val="004B31A5"/>
    <w:rsid w:val="004B3857"/>
    <w:rsid w:val="004B3DFE"/>
    <w:rsid w:val="004B4B01"/>
    <w:rsid w:val="004B58EF"/>
    <w:rsid w:val="004B6B87"/>
    <w:rsid w:val="004B6F84"/>
    <w:rsid w:val="004C0502"/>
    <w:rsid w:val="004C1545"/>
    <w:rsid w:val="004C19F0"/>
    <w:rsid w:val="004C1A36"/>
    <w:rsid w:val="004C1C5C"/>
    <w:rsid w:val="004C1F17"/>
    <w:rsid w:val="004C2786"/>
    <w:rsid w:val="004C3ADB"/>
    <w:rsid w:val="004C3B4D"/>
    <w:rsid w:val="004C4857"/>
    <w:rsid w:val="004C540E"/>
    <w:rsid w:val="004C5654"/>
    <w:rsid w:val="004C5F9D"/>
    <w:rsid w:val="004C610F"/>
    <w:rsid w:val="004C6951"/>
    <w:rsid w:val="004C69B5"/>
    <w:rsid w:val="004C69CF"/>
    <w:rsid w:val="004D066D"/>
    <w:rsid w:val="004D07AF"/>
    <w:rsid w:val="004D2125"/>
    <w:rsid w:val="004D2C66"/>
    <w:rsid w:val="004D337B"/>
    <w:rsid w:val="004D35AA"/>
    <w:rsid w:val="004D3C31"/>
    <w:rsid w:val="004D58B3"/>
    <w:rsid w:val="004D5DBD"/>
    <w:rsid w:val="004D678F"/>
    <w:rsid w:val="004D6AB5"/>
    <w:rsid w:val="004D6D19"/>
    <w:rsid w:val="004D6EF8"/>
    <w:rsid w:val="004D7E09"/>
    <w:rsid w:val="004E060D"/>
    <w:rsid w:val="004E0DFB"/>
    <w:rsid w:val="004E0F27"/>
    <w:rsid w:val="004E3CC9"/>
    <w:rsid w:val="004E3E1B"/>
    <w:rsid w:val="004E4095"/>
    <w:rsid w:val="004E4198"/>
    <w:rsid w:val="004E5457"/>
    <w:rsid w:val="004E5F10"/>
    <w:rsid w:val="004E6689"/>
    <w:rsid w:val="004E6912"/>
    <w:rsid w:val="004E6A95"/>
    <w:rsid w:val="004E6ACB"/>
    <w:rsid w:val="004E6C2F"/>
    <w:rsid w:val="004E77A9"/>
    <w:rsid w:val="004E7CC2"/>
    <w:rsid w:val="004F16B2"/>
    <w:rsid w:val="004F1D1E"/>
    <w:rsid w:val="004F2013"/>
    <w:rsid w:val="004F2626"/>
    <w:rsid w:val="004F2FE6"/>
    <w:rsid w:val="004F3E09"/>
    <w:rsid w:val="004F3E0F"/>
    <w:rsid w:val="004F42CB"/>
    <w:rsid w:val="004F45F2"/>
    <w:rsid w:val="004F4B08"/>
    <w:rsid w:val="004F4E3A"/>
    <w:rsid w:val="004F662C"/>
    <w:rsid w:val="004F6A95"/>
    <w:rsid w:val="005003E1"/>
    <w:rsid w:val="00500AAA"/>
    <w:rsid w:val="0050221F"/>
    <w:rsid w:val="00503190"/>
    <w:rsid w:val="005033E7"/>
    <w:rsid w:val="00503597"/>
    <w:rsid w:val="00503EC8"/>
    <w:rsid w:val="00504D19"/>
    <w:rsid w:val="00506C8E"/>
    <w:rsid w:val="005074D8"/>
    <w:rsid w:val="00510A96"/>
    <w:rsid w:val="00510D3D"/>
    <w:rsid w:val="00513286"/>
    <w:rsid w:val="00513798"/>
    <w:rsid w:val="00514AB8"/>
    <w:rsid w:val="00516023"/>
    <w:rsid w:val="005163A3"/>
    <w:rsid w:val="00517B15"/>
    <w:rsid w:val="00520D31"/>
    <w:rsid w:val="0052240D"/>
    <w:rsid w:val="00522E78"/>
    <w:rsid w:val="00523094"/>
    <w:rsid w:val="005257A3"/>
    <w:rsid w:val="00525A18"/>
    <w:rsid w:val="00525FBB"/>
    <w:rsid w:val="00526D1E"/>
    <w:rsid w:val="00527610"/>
    <w:rsid w:val="00527787"/>
    <w:rsid w:val="00530766"/>
    <w:rsid w:val="0053096D"/>
    <w:rsid w:val="00531168"/>
    <w:rsid w:val="0053120E"/>
    <w:rsid w:val="00531ED5"/>
    <w:rsid w:val="00531F0A"/>
    <w:rsid w:val="00532C9E"/>
    <w:rsid w:val="005342AE"/>
    <w:rsid w:val="00534915"/>
    <w:rsid w:val="00534B0A"/>
    <w:rsid w:val="005359FF"/>
    <w:rsid w:val="0053658B"/>
    <w:rsid w:val="00536793"/>
    <w:rsid w:val="00536F5F"/>
    <w:rsid w:val="00540797"/>
    <w:rsid w:val="00540A77"/>
    <w:rsid w:val="00542464"/>
    <w:rsid w:val="00542A48"/>
    <w:rsid w:val="0054357E"/>
    <w:rsid w:val="00543B9C"/>
    <w:rsid w:val="00543F9D"/>
    <w:rsid w:val="00544016"/>
    <w:rsid w:val="00544479"/>
    <w:rsid w:val="00544F6F"/>
    <w:rsid w:val="00545937"/>
    <w:rsid w:val="0054731F"/>
    <w:rsid w:val="005507F1"/>
    <w:rsid w:val="00550BFC"/>
    <w:rsid w:val="00550ED0"/>
    <w:rsid w:val="0055111C"/>
    <w:rsid w:val="00554638"/>
    <w:rsid w:val="00554DF5"/>
    <w:rsid w:val="00556DCF"/>
    <w:rsid w:val="00557973"/>
    <w:rsid w:val="00557FEF"/>
    <w:rsid w:val="00560134"/>
    <w:rsid w:val="00560E5C"/>
    <w:rsid w:val="00560F75"/>
    <w:rsid w:val="00561350"/>
    <w:rsid w:val="005628E1"/>
    <w:rsid w:val="00562EB1"/>
    <w:rsid w:val="005637BB"/>
    <w:rsid w:val="00564D85"/>
    <w:rsid w:val="00564FD7"/>
    <w:rsid w:val="00566DCF"/>
    <w:rsid w:val="005679F6"/>
    <w:rsid w:val="0057288B"/>
    <w:rsid w:val="00572B05"/>
    <w:rsid w:val="00573124"/>
    <w:rsid w:val="00573AAA"/>
    <w:rsid w:val="00573D92"/>
    <w:rsid w:val="00575427"/>
    <w:rsid w:val="00575A99"/>
    <w:rsid w:val="00576937"/>
    <w:rsid w:val="00576F44"/>
    <w:rsid w:val="00580F59"/>
    <w:rsid w:val="00581CD0"/>
    <w:rsid w:val="00582A95"/>
    <w:rsid w:val="0058300B"/>
    <w:rsid w:val="00585916"/>
    <w:rsid w:val="005859AF"/>
    <w:rsid w:val="00585CCD"/>
    <w:rsid w:val="005877B6"/>
    <w:rsid w:val="005915A8"/>
    <w:rsid w:val="0059200A"/>
    <w:rsid w:val="00592CC8"/>
    <w:rsid w:val="00593023"/>
    <w:rsid w:val="005930E5"/>
    <w:rsid w:val="0059328D"/>
    <w:rsid w:val="0059390D"/>
    <w:rsid w:val="00593E2C"/>
    <w:rsid w:val="00594379"/>
    <w:rsid w:val="005948DE"/>
    <w:rsid w:val="00594951"/>
    <w:rsid w:val="00594A81"/>
    <w:rsid w:val="00594BA2"/>
    <w:rsid w:val="00594E6E"/>
    <w:rsid w:val="005950B8"/>
    <w:rsid w:val="0059554D"/>
    <w:rsid w:val="00595E44"/>
    <w:rsid w:val="00596AFD"/>
    <w:rsid w:val="00596C9D"/>
    <w:rsid w:val="00596D2E"/>
    <w:rsid w:val="00596F6A"/>
    <w:rsid w:val="0059783E"/>
    <w:rsid w:val="005A1004"/>
    <w:rsid w:val="005A166F"/>
    <w:rsid w:val="005A2ED6"/>
    <w:rsid w:val="005A357D"/>
    <w:rsid w:val="005A3A87"/>
    <w:rsid w:val="005A3C3C"/>
    <w:rsid w:val="005A5126"/>
    <w:rsid w:val="005A5DD7"/>
    <w:rsid w:val="005A5FF5"/>
    <w:rsid w:val="005A6567"/>
    <w:rsid w:val="005A6B4C"/>
    <w:rsid w:val="005B0056"/>
    <w:rsid w:val="005B061A"/>
    <w:rsid w:val="005B1DCB"/>
    <w:rsid w:val="005B2048"/>
    <w:rsid w:val="005B2458"/>
    <w:rsid w:val="005B26C7"/>
    <w:rsid w:val="005B3D01"/>
    <w:rsid w:val="005B4230"/>
    <w:rsid w:val="005B68B7"/>
    <w:rsid w:val="005B781B"/>
    <w:rsid w:val="005B7AD2"/>
    <w:rsid w:val="005C00B3"/>
    <w:rsid w:val="005C01AB"/>
    <w:rsid w:val="005C0239"/>
    <w:rsid w:val="005C0361"/>
    <w:rsid w:val="005C1993"/>
    <w:rsid w:val="005C24ED"/>
    <w:rsid w:val="005C2523"/>
    <w:rsid w:val="005C3056"/>
    <w:rsid w:val="005C332D"/>
    <w:rsid w:val="005C3720"/>
    <w:rsid w:val="005C3F12"/>
    <w:rsid w:val="005C43C7"/>
    <w:rsid w:val="005C45D2"/>
    <w:rsid w:val="005C47FD"/>
    <w:rsid w:val="005C4919"/>
    <w:rsid w:val="005C4EB4"/>
    <w:rsid w:val="005C5EE1"/>
    <w:rsid w:val="005C60F3"/>
    <w:rsid w:val="005C61B5"/>
    <w:rsid w:val="005C6E0F"/>
    <w:rsid w:val="005C73F2"/>
    <w:rsid w:val="005D002C"/>
    <w:rsid w:val="005D13FF"/>
    <w:rsid w:val="005D49FB"/>
    <w:rsid w:val="005D5130"/>
    <w:rsid w:val="005D60C6"/>
    <w:rsid w:val="005D665A"/>
    <w:rsid w:val="005D7919"/>
    <w:rsid w:val="005D7C87"/>
    <w:rsid w:val="005E0AF5"/>
    <w:rsid w:val="005E0FCF"/>
    <w:rsid w:val="005E1016"/>
    <w:rsid w:val="005E19B5"/>
    <w:rsid w:val="005E24DB"/>
    <w:rsid w:val="005E33E4"/>
    <w:rsid w:val="005E3A61"/>
    <w:rsid w:val="005E42E4"/>
    <w:rsid w:val="005E45A7"/>
    <w:rsid w:val="005E46D6"/>
    <w:rsid w:val="005E50C7"/>
    <w:rsid w:val="005E5134"/>
    <w:rsid w:val="005E6AF5"/>
    <w:rsid w:val="005F0E0D"/>
    <w:rsid w:val="005F10E9"/>
    <w:rsid w:val="005F2A4D"/>
    <w:rsid w:val="005F38B6"/>
    <w:rsid w:val="005F391D"/>
    <w:rsid w:val="005F4E96"/>
    <w:rsid w:val="005F617D"/>
    <w:rsid w:val="005F6804"/>
    <w:rsid w:val="00601B2D"/>
    <w:rsid w:val="006026A2"/>
    <w:rsid w:val="0060294B"/>
    <w:rsid w:val="006037F3"/>
    <w:rsid w:val="006038D2"/>
    <w:rsid w:val="006057FA"/>
    <w:rsid w:val="00605B74"/>
    <w:rsid w:val="00605FE7"/>
    <w:rsid w:val="00606348"/>
    <w:rsid w:val="006077C4"/>
    <w:rsid w:val="00607A79"/>
    <w:rsid w:val="00607D20"/>
    <w:rsid w:val="006100A9"/>
    <w:rsid w:val="00612760"/>
    <w:rsid w:val="00614283"/>
    <w:rsid w:val="006143F9"/>
    <w:rsid w:val="00617F4D"/>
    <w:rsid w:val="006204C8"/>
    <w:rsid w:val="00622915"/>
    <w:rsid w:val="00622EB3"/>
    <w:rsid w:val="00624077"/>
    <w:rsid w:val="00625580"/>
    <w:rsid w:val="006259AD"/>
    <w:rsid w:val="00626334"/>
    <w:rsid w:val="00626640"/>
    <w:rsid w:val="00627911"/>
    <w:rsid w:val="00630119"/>
    <w:rsid w:val="00631487"/>
    <w:rsid w:val="00631C73"/>
    <w:rsid w:val="00631E58"/>
    <w:rsid w:val="00631F60"/>
    <w:rsid w:val="00632748"/>
    <w:rsid w:val="006330FF"/>
    <w:rsid w:val="00633785"/>
    <w:rsid w:val="006337FF"/>
    <w:rsid w:val="00633EBA"/>
    <w:rsid w:val="00633F4F"/>
    <w:rsid w:val="0063431E"/>
    <w:rsid w:val="006346FE"/>
    <w:rsid w:val="00635DE9"/>
    <w:rsid w:val="0063608C"/>
    <w:rsid w:val="006370BB"/>
    <w:rsid w:val="006373F5"/>
    <w:rsid w:val="00637692"/>
    <w:rsid w:val="00637C73"/>
    <w:rsid w:val="00640412"/>
    <w:rsid w:val="006404EC"/>
    <w:rsid w:val="006406CC"/>
    <w:rsid w:val="00640C1B"/>
    <w:rsid w:val="00640DF8"/>
    <w:rsid w:val="00641849"/>
    <w:rsid w:val="00641AA7"/>
    <w:rsid w:val="00641B2B"/>
    <w:rsid w:val="006425A3"/>
    <w:rsid w:val="00642EB5"/>
    <w:rsid w:val="00643E87"/>
    <w:rsid w:val="0064475C"/>
    <w:rsid w:val="00644FA2"/>
    <w:rsid w:val="00645FBD"/>
    <w:rsid w:val="00646E8B"/>
    <w:rsid w:val="00647153"/>
    <w:rsid w:val="00647884"/>
    <w:rsid w:val="00647D86"/>
    <w:rsid w:val="00647DEC"/>
    <w:rsid w:val="0065067B"/>
    <w:rsid w:val="00650F9C"/>
    <w:rsid w:val="0065168B"/>
    <w:rsid w:val="0065183D"/>
    <w:rsid w:val="00653F1C"/>
    <w:rsid w:val="00655FB8"/>
    <w:rsid w:val="006573FD"/>
    <w:rsid w:val="006576D4"/>
    <w:rsid w:val="0065783C"/>
    <w:rsid w:val="00657FD9"/>
    <w:rsid w:val="0066119B"/>
    <w:rsid w:val="00661680"/>
    <w:rsid w:val="00661DF0"/>
    <w:rsid w:val="00662BB9"/>
    <w:rsid w:val="00663DC2"/>
    <w:rsid w:val="00665D25"/>
    <w:rsid w:val="00665F55"/>
    <w:rsid w:val="00666A9F"/>
    <w:rsid w:val="00666E61"/>
    <w:rsid w:val="006671DB"/>
    <w:rsid w:val="00667DE5"/>
    <w:rsid w:val="00667F1F"/>
    <w:rsid w:val="0067143B"/>
    <w:rsid w:val="00671680"/>
    <w:rsid w:val="00672191"/>
    <w:rsid w:val="006721B2"/>
    <w:rsid w:val="00674EDC"/>
    <w:rsid w:val="00676A97"/>
    <w:rsid w:val="00677EA9"/>
    <w:rsid w:val="00680523"/>
    <w:rsid w:val="00682696"/>
    <w:rsid w:val="00682D85"/>
    <w:rsid w:val="00682F51"/>
    <w:rsid w:val="00683502"/>
    <w:rsid w:val="00683FD4"/>
    <w:rsid w:val="00684054"/>
    <w:rsid w:val="00684271"/>
    <w:rsid w:val="00684BC6"/>
    <w:rsid w:val="00684F7A"/>
    <w:rsid w:val="00685EF1"/>
    <w:rsid w:val="00685F5E"/>
    <w:rsid w:val="0068619B"/>
    <w:rsid w:val="0068634C"/>
    <w:rsid w:val="006867C1"/>
    <w:rsid w:val="00686D54"/>
    <w:rsid w:val="00687606"/>
    <w:rsid w:val="0069079C"/>
    <w:rsid w:val="006913CC"/>
    <w:rsid w:val="00692371"/>
    <w:rsid w:val="00693374"/>
    <w:rsid w:val="00695251"/>
    <w:rsid w:val="00695481"/>
    <w:rsid w:val="00695A3D"/>
    <w:rsid w:val="00695CF0"/>
    <w:rsid w:val="00696962"/>
    <w:rsid w:val="00696D58"/>
    <w:rsid w:val="00697419"/>
    <w:rsid w:val="006977FF"/>
    <w:rsid w:val="00697EA2"/>
    <w:rsid w:val="006A1D42"/>
    <w:rsid w:val="006A35A1"/>
    <w:rsid w:val="006A3779"/>
    <w:rsid w:val="006A450C"/>
    <w:rsid w:val="006A4683"/>
    <w:rsid w:val="006A474C"/>
    <w:rsid w:val="006A48A4"/>
    <w:rsid w:val="006A4C09"/>
    <w:rsid w:val="006A7416"/>
    <w:rsid w:val="006A7E63"/>
    <w:rsid w:val="006A7EB0"/>
    <w:rsid w:val="006B0484"/>
    <w:rsid w:val="006B117B"/>
    <w:rsid w:val="006B129F"/>
    <w:rsid w:val="006B138A"/>
    <w:rsid w:val="006B2279"/>
    <w:rsid w:val="006B3881"/>
    <w:rsid w:val="006B3B95"/>
    <w:rsid w:val="006B48DD"/>
    <w:rsid w:val="006B4915"/>
    <w:rsid w:val="006B50B5"/>
    <w:rsid w:val="006B5CDB"/>
    <w:rsid w:val="006B61F3"/>
    <w:rsid w:val="006B69D7"/>
    <w:rsid w:val="006B72B5"/>
    <w:rsid w:val="006B7B4E"/>
    <w:rsid w:val="006B7FEB"/>
    <w:rsid w:val="006C07EA"/>
    <w:rsid w:val="006C0AB8"/>
    <w:rsid w:val="006C0E5B"/>
    <w:rsid w:val="006C14C0"/>
    <w:rsid w:val="006C38D3"/>
    <w:rsid w:val="006C51BE"/>
    <w:rsid w:val="006C53CB"/>
    <w:rsid w:val="006C5F02"/>
    <w:rsid w:val="006C6817"/>
    <w:rsid w:val="006C6F53"/>
    <w:rsid w:val="006C7721"/>
    <w:rsid w:val="006D2024"/>
    <w:rsid w:val="006D2248"/>
    <w:rsid w:val="006D2D8E"/>
    <w:rsid w:val="006D3EFD"/>
    <w:rsid w:val="006D4327"/>
    <w:rsid w:val="006D626F"/>
    <w:rsid w:val="006D6817"/>
    <w:rsid w:val="006D731D"/>
    <w:rsid w:val="006D7E3D"/>
    <w:rsid w:val="006E01BA"/>
    <w:rsid w:val="006E30EF"/>
    <w:rsid w:val="006E346B"/>
    <w:rsid w:val="006E38BB"/>
    <w:rsid w:val="006E40A8"/>
    <w:rsid w:val="006E42E8"/>
    <w:rsid w:val="006E52C0"/>
    <w:rsid w:val="006E6235"/>
    <w:rsid w:val="006E6E18"/>
    <w:rsid w:val="006E73BD"/>
    <w:rsid w:val="006E7862"/>
    <w:rsid w:val="006E78A5"/>
    <w:rsid w:val="006F07C8"/>
    <w:rsid w:val="006F115D"/>
    <w:rsid w:val="006F2608"/>
    <w:rsid w:val="006F2E10"/>
    <w:rsid w:val="006F3C2F"/>
    <w:rsid w:val="006F3F0A"/>
    <w:rsid w:val="006F5605"/>
    <w:rsid w:val="006F58A2"/>
    <w:rsid w:val="00701E0F"/>
    <w:rsid w:val="00701ED7"/>
    <w:rsid w:val="0070307D"/>
    <w:rsid w:val="0070312F"/>
    <w:rsid w:val="0070342D"/>
    <w:rsid w:val="00703A3A"/>
    <w:rsid w:val="00703A7D"/>
    <w:rsid w:val="007049CA"/>
    <w:rsid w:val="00704A71"/>
    <w:rsid w:val="00704BBE"/>
    <w:rsid w:val="0070509B"/>
    <w:rsid w:val="007056D7"/>
    <w:rsid w:val="00705714"/>
    <w:rsid w:val="00706FFE"/>
    <w:rsid w:val="00710F8B"/>
    <w:rsid w:val="007121E0"/>
    <w:rsid w:val="00715639"/>
    <w:rsid w:val="00716A96"/>
    <w:rsid w:val="00717612"/>
    <w:rsid w:val="00722554"/>
    <w:rsid w:val="007225DE"/>
    <w:rsid w:val="00722ABD"/>
    <w:rsid w:val="00724891"/>
    <w:rsid w:val="00724D37"/>
    <w:rsid w:val="0072586B"/>
    <w:rsid w:val="00725D85"/>
    <w:rsid w:val="00725DCD"/>
    <w:rsid w:val="00725E60"/>
    <w:rsid w:val="00725E6A"/>
    <w:rsid w:val="0072630A"/>
    <w:rsid w:val="00727A73"/>
    <w:rsid w:val="00727E4A"/>
    <w:rsid w:val="00731212"/>
    <w:rsid w:val="00731710"/>
    <w:rsid w:val="0073198D"/>
    <w:rsid w:val="00732A6F"/>
    <w:rsid w:val="0073334C"/>
    <w:rsid w:val="00733AAA"/>
    <w:rsid w:val="00733F92"/>
    <w:rsid w:val="00734A63"/>
    <w:rsid w:val="00735514"/>
    <w:rsid w:val="007358D7"/>
    <w:rsid w:val="00736489"/>
    <w:rsid w:val="00736A8B"/>
    <w:rsid w:val="0073723A"/>
    <w:rsid w:val="00740E86"/>
    <w:rsid w:val="00741443"/>
    <w:rsid w:val="007426F1"/>
    <w:rsid w:val="0074365E"/>
    <w:rsid w:val="007436CF"/>
    <w:rsid w:val="007449BB"/>
    <w:rsid w:val="00744B01"/>
    <w:rsid w:val="00745B48"/>
    <w:rsid w:val="00745EA2"/>
    <w:rsid w:val="007460B7"/>
    <w:rsid w:val="00746430"/>
    <w:rsid w:val="007468B5"/>
    <w:rsid w:val="007468D7"/>
    <w:rsid w:val="007469B7"/>
    <w:rsid w:val="00746D99"/>
    <w:rsid w:val="00746F5E"/>
    <w:rsid w:val="007473F9"/>
    <w:rsid w:val="007513FE"/>
    <w:rsid w:val="0075160D"/>
    <w:rsid w:val="0075182F"/>
    <w:rsid w:val="00751C74"/>
    <w:rsid w:val="007528AD"/>
    <w:rsid w:val="0075298A"/>
    <w:rsid w:val="007539C6"/>
    <w:rsid w:val="00753D51"/>
    <w:rsid w:val="00753E0E"/>
    <w:rsid w:val="00753FEE"/>
    <w:rsid w:val="0075429D"/>
    <w:rsid w:val="00754788"/>
    <w:rsid w:val="00754FD5"/>
    <w:rsid w:val="007554AE"/>
    <w:rsid w:val="00755F13"/>
    <w:rsid w:val="00756577"/>
    <w:rsid w:val="00756D85"/>
    <w:rsid w:val="00757C59"/>
    <w:rsid w:val="0076224B"/>
    <w:rsid w:val="00762393"/>
    <w:rsid w:val="007625EA"/>
    <w:rsid w:val="007628FC"/>
    <w:rsid w:val="00762DCD"/>
    <w:rsid w:val="007630E8"/>
    <w:rsid w:val="00763174"/>
    <w:rsid w:val="007635A1"/>
    <w:rsid w:val="00764205"/>
    <w:rsid w:val="0076424D"/>
    <w:rsid w:val="007643CD"/>
    <w:rsid w:val="00764494"/>
    <w:rsid w:val="00764DA9"/>
    <w:rsid w:val="00766C1A"/>
    <w:rsid w:val="00770CC6"/>
    <w:rsid w:val="00771156"/>
    <w:rsid w:val="007723FB"/>
    <w:rsid w:val="00772C23"/>
    <w:rsid w:val="0077392A"/>
    <w:rsid w:val="00773F68"/>
    <w:rsid w:val="0077740F"/>
    <w:rsid w:val="00782FB5"/>
    <w:rsid w:val="0078350A"/>
    <w:rsid w:val="00783F3A"/>
    <w:rsid w:val="007846A7"/>
    <w:rsid w:val="007856E8"/>
    <w:rsid w:val="00785CD5"/>
    <w:rsid w:val="00787027"/>
    <w:rsid w:val="007872CF"/>
    <w:rsid w:val="00787C38"/>
    <w:rsid w:val="0079086C"/>
    <w:rsid w:val="00790CA9"/>
    <w:rsid w:val="00790E54"/>
    <w:rsid w:val="0079119F"/>
    <w:rsid w:val="007923FB"/>
    <w:rsid w:val="00792B6B"/>
    <w:rsid w:val="00792DCA"/>
    <w:rsid w:val="007935C5"/>
    <w:rsid w:val="0079416D"/>
    <w:rsid w:val="00795C5E"/>
    <w:rsid w:val="007962D1"/>
    <w:rsid w:val="00796A0B"/>
    <w:rsid w:val="007977A6"/>
    <w:rsid w:val="007977F9"/>
    <w:rsid w:val="007A32B6"/>
    <w:rsid w:val="007A340F"/>
    <w:rsid w:val="007A4007"/>
    <w:rsid w:val="007A46C9"/>
    <w:rsid w:val="007A544F"/>
    <w:rsid w:val="007A6FD0"/>
    <w:rsid w:val="007A6FEC"/>
    <w:rsid w:val="007A71CE"/>
    <w:rsid w:val="007B0C35"/>
    <w:rsid w:val="007B1B7C"/>
    <w:rsid w:val="007B204A"/>
    <w:rsid w:val="007B2631"/>
    <w:rsid w:val="007B2828"/>
    <w:rsid w:val="007B2A28"/>
    <w:rsid w:val="007B2C41"/>
    <w:rsid w:val="007B4395"/>
    <w:rsid w:val="007B4740"/>
    <w:rsid w:val="007B543E"/>
    <w:rsid w:val="007B58AF"/>
    <w:rsid w:val="007B5B7C"/>
    <w:rsid w:val="007B6426"/>
    <w:rsid w:val="007B79C9"/>
    <w:rsid w:val="007B7FCD"/>
    <w:rsid w:val="007C0DC4"/>
    <w:rsid w:val="007C0FFA"/>
    <w:rsid w:val="007C21BB"/>
    <w:rsid w:val="007C2615"/>
    <w:rsid w:val="007C3319"/>
    <w:rsid w:val="007C3603"/>
    <w:rsid w:val="007C3FAC"/>
    <w:rsid w:val="007C636E"/>
    <w:rsid w:val="007C6E51"/>
    <w:rsid w:val="007D0097"/>
    <w:rsid w:val="007D044E"/>
    <w:rsid w:val="007D0FEC"/>
    <w:rsid w:val="007D103E"/>
    <w:rsid w:val="007D1144"/>
    <w:rsid w:val="007D1517"/>
    <w:rsid w:val="007D1ABD"/>
    <w:rsid w:val="007D2081"/>
    <w:rsid w:val="007D3077"/>
    <w:rsid w:val="007D33C1"/>
    <w:rsid w:val="007D4F2D"/>
    <w:rsid w:val="007D5FAF"/>
    <w:rsid w:val="007D662D"/>
    <w:rsid w:val="007E0BE2"/>
    <w:rsid w:val="007E19A3"/>
    <w:rsid w:val="007E1D96"/>
    <w:rsid w:val="007E252A"/>
    <w:rsid w:val="007E2FF7"/>
    <w:rsid w:val="007E323E"/>
    <w:rsid w:val="007E45DF"/>
    <w:rsid w:val="007E4653"/>
    <w:rsid w:val="007E48D5"/>
    <w:rsid w:val="007E511F"/>
    <w:rsid w:val="007E65CC"/>
    <w:rsid w:val="007E789F"/>
    <w:rsid w:val="007E7C51"/>
    <w:rsid w:val="007E7E58"/>
    <w:rsid w:val="007E7F96"/>
    <w:rsid w:val="007F089D"/>
    <w:rsid w:val="007F0AEE"/>
    <w:rsid w:val="007F22BE"/>
    <w:rsid w:val="007F2776"/>
    <w:rsid w:val="007F30FD"/>
    <w:rsid w:val="007F3B01"/>
    <w:rsid w:val="007F435F"/>
    <w:rsid w:val="007F43DC"/>
    <w:rsid w:val="007F5861"/>
    <w:rsid w:val="007F671B"/>
    <w:rsid w:val="007F72D2"/>
    <w:rsid w:val="007F7FFC"/>
    <w:rsid w:val="00800FEC"/>
    <w:rsid w:val="00801EB2"/>
    <w:rsid w:val="00801EF0"/>
    <w:rsid w:val="008020F6"/>
    <w:rsid w:val="0080234A"/>
    <w:rsid w:val="008024CC"/>
    <w:rsid w:val="008029D9"/>
    <w:rsid w:val="008032B0"/>
    <w:rsid w:val="00803749"/>
    <w:rsid w:val="00804713"/>
    <w:rsid w:val="0080477F"/>
    <w:rsid w:val="00804CB8"/>
    <w:rsid w:val="008051C7"/>
    <w:rsid w:val="00805202"/>
    <w:rsid w:val="00805410"/>
    <w:rsid w:val="00805EC4"/>
    <w:rsid w:val="00806502"/>
    <w:rsid w:val="008069F6"/>
    <w:rsid w:val="00806CF7"/>
    <w:rsid w:val="0081087B"/>
    <w:rsid w:val="00811163"/>
    <w:rsid w:val="008122DB"/>
    <w:rsid w:val="0081289E"/>
    <w:rsid w:val="008149D6"/>
    <w:rsid w:val="008150EA"/>
    <w:rsid w:val="00815F27"/>
    <w:rsid w:val="00816646"/>
    <w:rsid w:val="008177F8"/>
    <w:rsid w:val="00817E94"/>
    <w:rsid w:val="00820C57"/>
    <w:rsid w:val="00820DED"/>
    <w:rsid w:val="00821512"/>
    <w:rsid w:val="008217BD"/>
    <w:rsid w:val="0082324F"/>
    <w:rsid w:val="008240D7"/>
    <w:rsid w:val="00824BCF"/>
    <w:rsid w:val="008250A5"/>
    <w:rsid w:val="00826304"/>
    <w:rsid w:val="00826523"/>
    <w:rsid w:val="0082665F"/>
    <w:rsid w:val="00826677"/>
    <w:rsid w:val="008300BC"/>
    <w:rsid w:val="0083033C"/>
    <w:rsid w:val="00830CA4"/>
    <w:rsid w:val="0083163F"/>
    <w:rsid w:val="00831957"/>
    <w:rsid w:val="00831E3D"/>
    <w:rsid w:val="0083398E"/>
    <w:rsid w:val="00833B40"/>
    <w:rsid w:val="00833E0E"/>
    <w:rsid w:val="00834106"/>
    <w:rsid w:val="00834292"/>
    <w:rsid w:val="00834484"/>
    <w:rsid w:val="00834DC9"/>
    <w:rsid w:val="00835136"/>
    <w:rsid w:val="00835C1A"/>
    <w:rsid w:val="00836CE3"/>
    <w:rsid w:val="00837223"/>
    <w:rsid w:val="00837A59"/>
    <w:rsid w:val="00841164"/>
    <w:rsid w:val="00841B43"/>
    <w:rsid w:val="00841B83"/>
    <w:rsid w:val="00842328"/>
    <w:rsid w:val="00842E4A"/>
    <w:rsid w:val="00843B86"/>
    <w:rsid w:val="00843F73"/>
    <w:rsid w:val="008441B9"/>
    <w:rsid w:val="00845BC3"/>
    <w:rsid w:val="00845FEA"/>
    <w:rsid w:val="00847475"/>
    <w:rsid w:val="00850EE4"/>
    <w:rsid w:val="00851E97"/>
    <w:rsid w:val="008525EA"/>
    <w:rsid w:val="00853DF7"/>
    <w:rsid w:val="00854521"/>
    <w:rsid w:val="008546A5"/>
    <w:rsid w:val="00854C58"/>
    <w:rsid w:val="008557C2"/>
    <w:rsid w:val="00855D40"/>
    <w:rsid w:val="00856789"/>
    <w:rsid w:val="00860F2A"/>
    <w:rsid w:val="00861592"/>
    <w:rsid w:val="008624E4"/>
    <w:rsid w:val="00862798"/>
    <w:rsid w:val="008634D1"/>
    <w:rsid w:val="008635A2"/>
    <w:rsid w:val="00863798"/>
    <w:rsid w:val="00863903"/>
    <w:rsid w:val="00863C3D"/>
    <w:rsid w:val="008653AC"/>
    <w:rsid w:val="00865CDE"/>
    <w:rsid w:val="008676ED"/>
    <w:rsid w:val="0087027D"/>
    <w:rsid w:val="0087066C"/>
    <w:rsid w:val="00870C33"/>
    <w:rsid w:val="0087147B"/>
    <w:rsid w:val="00871663"/>
    <w:rsid w:val="008735EF"/>
    <w:rsid w:val="008739EF"/>
    <w:rsid w:val="00873CF4"/>
    <w:rsid w:val="00873D08"/>
    <w:rsid w:val="00874683"/>
    <w:rsid w:val="00874A78"/>
    <w:rsid w:val="00874BF2"/>
    <w:rsid w:val="008752F5"/>
    <w:rsid w:val="00875471"/>
    <w:rsid w:val="008756AE"/>
    <w:rsid w:val="00875C8C"/>
    <w:rsid w:val="0087662F"/>
    <w:rsid w:val="00876B57"/>
    <w:rsid w:val="00877A29"/>
    <w:rsid w:val="008804C0"/>
    <w:rsid w:val="00880FB8"/>
    <w:rsid w:val="008810AF"/>
    <w:rsid w:val="0088133D"/>
    <w:rsid w:val="0088168B"/>
    <w:rsid w:val="00881FB0"/>
    <w:rsid w:val="00882CCC"/>
    <w:rsid w:val="00883492"/>
    <w:rsid w:val="0088499C"/>
    <w:rsid w:val="00885AE1"/>
    <w:rsid w:val="00885C70"/>
    <w:rsid w:val="00886A23"/>
    <w:rsid w:val="00886A62"/>
    <w:rsid w:val="0088771D"/>
    <w:rsid w:val="0089023E"/>
    <w:rsid w:val="00890452"/>
    <w:rsid w:val="00890DFD"/>
    <w:rsid w:val="0089193F"/>
    <w:rsid w:val="0089205C"/>
    <w:rsid w:val="008925B6"/>
    <w:rsid w:val="00892998"/>
    <w:rsid w:val="00894311"/>
    <w:rsid w:val="0089460D"/>
    <w:rsid w:val="00895272"/>
    <w:rsid w:val="008973B2"/>
    <w:rsid w:val="0089776F"/>
    <w:rsid w:val="008A0C35"/>
    <w:rsid w:val="008A1DA2"/>
    <w:rsid w:val="008A21FA"/>
    <w:rsid w:val="008A28CF"/>
    <w:rsid w:val="008A3192"/>
    <w:rsid w:val="008A365F"/>
    <w:rsid w:val="008A3910"/>
    <w:rsid w:val="008A395A"/>
    <w:rsid w:val="008A3B9F"/>
    <w:rsid w:val="008A4984"/>
    <w:rsid w:val="008A4E6C"/>
    <w:rsid w:val="008A5B93"/>
    <w:rsid w:val="008A5C67"/>
    <w:rsid w:val="008A5E99"/>
    <w:rsid w:val="008A65F2"/>
    <w:rsid w:val="008A6BBB"/>
    <w:rsid w:val="008A70D9"/>
    <w:rsid w:val="008A7D0D"/>
    <w:rsid w:val="008B002C"/>
    <w:rsid w:val="008B0C77"/>
    <w:rsid w:val="008B119D"/>
    <w:rsid w:val="008B1727"/>
    <w:rsid w:val="008B19A6"/>
    <w:rsid w:val="008B1A10"/>
    <w:rsid w:val="008B1BB1"/>
    <w:rsid w:val="008B1D96"/>
    <w:rsid w:val="008B1E76"/>
    <w:rsid w:val="008B36BE"/>
    <w:rsid w:val="008B3A2F"/>
    <w:rsid w:val="008B4D11"/>
    <w:rsid w:val="008B4DBF"/>
    <w:rsid w:val="008B5703"/>
    <w:rsid w:val="008B5BAC"/>
    <w:rsid w:val="008B64ED"/>
    <w:rsid w:val="008B718F"/>
    <w:rsid w:val="008B7C41"/>
    <w:rsid w:val="008B7D94"/>
    <w:rsid w:val="008B7F00"/>
    <w:rsid w:val="008C0CCD"/>
    <w:rsid w:val="008C0E15"/>
    <w:rsid w:val="008C20E3"/>
    <w:rsid w:val="008C25BB"/>
    <w:rsid w:val="008C376E"/>
    <w:rsid w:val="008C4062"/>
    <w:rsid w:val="008C41B7"/>
    <w:rsid w:val="008C4D77"/>
    <w:rsid w:val="008C567F"/>
    <w:rsid w:val="008C5985"/>
    <w:rsid w:val="008C5BF9"/>
    <w:rsid w:val="008C6248"/>
    <w:rsid w:val="008C64E2"/>
    <w:rsid w:val="008D03A1"/>
    <w:rsid w:val="008D053F"/>
    <w:rsid w:val="008D2492"/>
    <w:rsid w:val="008D2B2C"/>
    <w:rsid w:val="008D34C9"/>
    <w:rsid w:val="008D5066"/>
    <w:rsid w:val="008D5AC5"/>
    <w:rsid w:val="008D7644"/>
    <w:rsid w:val="008E0F38"/>
    <w:rsid w:val="008E1235"/>
    <w:rsid w:val="008E1DEE"/>
    <w:rsid w:val="008E1E36"/>
    <w:rsid w:val="008E23E3"/>
    <w:rsid w:val="008E2DAE"/>
    <w:rsid w:val="008E2EF6"/>
    <w:rsid w:val="008E37C8"/>
    <w:rsid w:val="008E4F2B"/>
    <w:rsid w:val="008E4F97"/>
    <w:rsid w:val="008E5439"/>
    <w:rsid w:val="008E6F47"/>
    <w:rsid w:val="008E7153"/>
    <w:rsid w:val="008E79BB"/>
    <w:rsid w:val="008F03CA"/>
    <w:rsid w:val="008F0D8C"/>
    <w:rsid w:val="008F13B2"/>
    <w:rsid w:val="008F1997"/>
    <w:rsid w:val="008F1D79"/>
    <w:rsid w:val="008F20D9"/>
    <w:rsid w:val="008F27BD"/>
    <w:rsid w:val="008F29B7"/>
    <w:rsid w:val="008F2DB3"/>
    <w:rsid w:val="008F3728"/>
    <w:rsid w:val="008F3C50"/>
    <w:rsid w:val="008F43B1"/>
    <w:rsid w:val="008F4809"/>
    <w:rsid w:val="008F495F"/>
    <w:rsid w:val="008F5088"/>
    <w:rsid w:val="008F50B6"/>
    <w:rsid w:val="008F5907"/>
    <w:rsid w:val="008F5AB0"/>
    <w:rsid w:val="008F7B63"/>
    <w:rsid w:val="008F7F54"/>
    <w:rsid w:val="0090030B"/>
    <w:rsid w:val="0090080D"/>
    <w:rsid w:val="00900E5E"/>
    <w:rsid w:val="009015AC"/>
    <w:rsid w:val="00901D30"/>
    <w:rsid w:val="00901EAB"/>
    <w:rsid w:val="00903C3B"/>
    <w:rsid w:val="009045B5"/>
    <w:rsid w:val="009054F3"/>
    <w:rsid w:val="00905CE3"/>
    <w:rsid w:val="009072E3"/>
    <w:rsid w:val="00907DF4"/>
    <w:rsid w:val="00910438"/>
    <w:rsid w:val="009111B1"/>
    <w:rsid w:val="00911779"/>
    <w:rsid w:val="0091196C"/>
    <w:rsid w:val="00911CC9"/>
    <w:rsid w:val="009123D1"/>
    <w:rsid w:val="009125E5"/>
    <w:rsid w:val="00912EA7"/>
    <w:rsid w:val="009132EF"/>
    <w:rsid w:val="0091477C"/>
    <w:rsid w:val="00914867"/>
    <w:rsid w:val="00914C55"/>
    <w:rsid w:val="00915ACB"/>
    <w:rsid w:val="009165AA"/>
    <w:rsid w:val="00916AF0"/>
    <w:rsid w:val="00917127"/>
    <w:rsid w:val="00917962"/>
    <w:rsid w:val="00917E2D"/>
    <w:rsid w:val="00920339"/>
    <w:rsid w:val="009218D6"/>
    <w:rsid w:val="00921B17"/>
    <w:rsid w:val="00921F75"/>
    <w:rsid w:val="00922170"/>
    <w:rsid w:val="00923C8B"/>
    <w:rsid w:val="00926503"/>
    <w:rsid w:val="00926872"/>
    <w:rsid w:val="0092720F"/>
    <w:rsid w:val="00927301"/>
    <w:rsid w:val="00927DC2"/>
    <w:rsid w:val="00930D08"/>
    <w:rsid w:val="00931201"/>
    <w:rsid w:val="00931787"/>
    <w:rsid w:val="00931DEA"/>
    <w:rsid w:val="009323D1"/>
    <w:rsid w:val="0093240E"/>
    <w:rsid w:val="0093287C"/>
    <w:rsid w:val="00932C66"/>
    <w:rsid w:val="00932D9B"/>
    <w:rsid w:val="00933115"/>
    <w:rsid w:val="009331AC"/>
    <w:rsid w:val="00933305"/>
    <w:rsid w:val="00933527"/>
    <w:rsid w:val="00934657"/>
    <w:rsid w:val="00934BA1"/>
    <w:rsid w:val="00935095"/>
    <w:rsid w:val="0093524B"/>
    <w:rsid w:val="00935612"/>
    <w:rsid w:val="009357E1"/>
    <w:rsid w:val="00936256"/>
    <w:rsid w:val="00936F06"/>
    <w:rsid w:val="00937626"/>
    <w:rsid w:val="009379CA"/>
    <w:rsid w:val="009416D9"/>
    <w:rsid w:val="00942296"/>
    <w:rsid w:val="009424EB"/>
    <w:rsid w:val="009424EF"/>
    <w:rsid w:val="0094281C"/>
    <w:rsid w:val="00943290"/>
    <w:rsid w:val="009433FB"/>
    <w:rsid w:val="0094378B"/>
    <w:rsid w:val="00943B59"/>
    <w:rsid w:val="00944AED"/>
    <w:rsid w:val="00945C72"/>
    <w:rsid w:val="009474BF"/>
    <w:rsid w:val="00947BB3"/>
    <w:rsid w:val="0095001C"/>
    <w:rsid w:val="0095010D"/>
    <w:rsid w:val="00950342"/>
    <w:rsid w:val="00950B93"/>
    <w:rsid w:val="00950F03"/>
    <w:rsid w:val="00951B57"/>
    <w:rsid w:val="00951D87"/>
    <w:rsid w:val="0095216C"/>
    <w:rsid w:val="00952BE5"/>
    <w:rsid w:val="0095374B"/>
    <w:rsid w:val="00953F34"/>
    <w:rsid w:val="009540AB"/>
    <w:rsid w:val="00955667"/>
    <w:rsid w:val="00955866"/>
    <w:rsid w:val="0095611D"/>
    <w:rsid w:val="00956573"/>
    <w:rsid w:val="00956E5F"/>
    <w:rsid w:val="00957DB2"/>
    <w:rsid w:val="009607BD"/>
    <w:rsid w:val="00960DBC"/>
    <w:rsid w:val="009615C6"/>
    <w:rsid w:val="00961642"/>
    <w:rsid w:val="00962114"/>
    <w:rsid w:val="00962DBD"/>
    <w:rsid w:val="00963378"/>
    <w:rsid w:val="009636A3"/>
    <w:rsid w:val="00963875"/>
    <w:rsid w:val="009638AE"/>
    <w:rsid w:val="0096736F"/>
    <w:rsid w:val="00967461"/>
    <w:rsid w:val="00967BC2"/>
    <w:rsid w:val="00971A13"/>
    <w:rsid w:val="00972194"/>
    <w:rsid w:val="009721B2"/>
    <w:rsid w:val="00972200"/>
    <w:rsid w:val="00972486"/>
    <w:rsid w:val="00972B7F"/>
    <w:rsid w:val="00974683"/>
    <w:rsid w:val="0097468C"/>
    <w:rsid w:val="0097472A"/>
    <w:rsid w:val="009757A6"/>
    <w:rsid w:val="009776D7"/>
    <w:rsid w:val="00977CB6"/>
    <w:rsid w:val="009802F2"/>
    <w:rsid w:val="009807B8"/>
    <w:rsid w:val="009816D5"/>
    <w:rsid w:val="0098185F"/>
    <w:rsid w:val="00981AFB"/>
    <w:rsid w:val="00982384"/>
    <w:rsid w:val="00982409"/>
    <w:rsid w:val="009824EC"/>
    <w:rsid w:val="0098570E"/>
    <w:rsid w:val="009857ED"/>
    <w:rsid w:val="00985E3A"/>
    <w:rsid w:val="00986704"/>
    <w:rsid w:val="009873AA"/>
    <w:rsid w:val="009876AF"/>
    <w:rsid w:val="00987AC9"/>
    <w:rsid w:val="00987B04"/>
    <w:rsid w:val="009909BA"/>
    <w:rsid w:val="0099164E"/>
    <w:rsid w:val="00991AA2"/>
    <w:rsid w:val="009929FF"/>
    <w:rsid w:val="009936B1"/>
    <w:rsid w:val="009942D9"/>
    <w:rsid w:val="0099606D"/>
    <w:rsid w:val="00996953"/>
    <w:rsid w:val="009A0AD3"/>
    <w:rsid w:val="009A23C1"/>
    <w:rsid w:val="009A261F"/>
    <w:rsid w:val="009A31C7"/>
    <w:rsid w:val="009A3D10"/>
    <w:rsid w:val="009A4239"/>
    <w:rsid w:val="009A43E1"/>
    <w:rsid w:val="009A4736"/>
    <w:rsid w:val="009A4D7F"/>
    <w:rsid w:val="009A5019"/>
    <w:rsid w:val="009A52A6"/>
    <w:rsid w:val="009A5772"/>
    <w:rsid w:val="009A5961"/>
    <w:rsid w:val="009A5CEC"/>
    <w:rsid w:val="009A6A95"/>
    <w:rsid w:val="009A6D18"/>
    <w:rsid w:val="009A76FA"/>
    <w:rsid w:val="009B0089"/>
    <w:rsid w:val="009B012E"/>
    <w:rsid w:val="009B0D11"/>
    <w:rsid w:val="009B1FB4"/>
    <w:rsid w:val="009B2086"/>
    <w:rsid w:val="009B261E"/>
    <w:rsid w:val="009B2723"/>
    <w:rsid w:val="009B296A"/>
    <w:rsid w:val="009B3FAC"/>
    <w:rsid w:val="009B5122"/>
    <w:rsid w:val="009B5280"/>
    <w:rsid w:val="009B5409"/>
    <w:rsid w:val="009B5643"/>
    <w:rsid w:val="009B608D"/>
    <w:rsid w:val="009B6254"/>
    <w:rsid w:val="009B72C4"/>
    <w:rsid w:val="009B7536"/>
    <w:rsid w:val="009C034D"/>
    <w:rsid w:val="009C0CF8"/>
    <w:rsid w:val="009C2543"/>
    <w:rsid w:val="009C3B24"/>
    <w:rsid w:val="009C3BAB"/>
    <w:rsid w:val="009C53B0"/>
    <w:rsid w:val="009C5A15"/>
    <w:rsid w:val="009C69C1"/>
    <w:rsid w:val="009C6DC5"/>
    <w:rsid w:val="009C704F"/>
    <w:rsid w:val="009C7958"/>
    <w:rsid w:val="009C7969"/>
    <w:rsid w:val="009D1A55"/>
    <w:rsid w:val="009D50DD"/>
    <w:rsid w:val="009D5194"/>
    <w:rsid w:val="009D6A33"/>
    <w:rsid w:val="009D77E4"/>
    <w:rsid w:val="009E0B28"/>
    <w:rsid w:val="009E1CC6"/>
    <w:rsid w:val="009E1CE0"/>
    <w:rsid w:val="009E1F5E"/>
    <w:rsid w:val="009E21A3"/>
    <w:rsid w:val="009E278D"/>
    <w:rsid w:val="009E28BD"/>
    <w:rsid w:val="009E2B3E"/>
    <w:rsid w:val="009E3A94"/>
    <w:rsid w:val="009E4440"/>
    <w:rsid w:val="009E4BB9"/>
    <w:rsid w:val="009E59E2"/>
    <w:rsid w:val="009E5A96"/>
    <w:rsid w:val="009E61BC"/>
    <w:rsid w:val="009E6D13"/>
    <w:rsid w:val="009F0428"/>
    <w:rsid w:val="009F0E3A"/>
    <w:rsid w:val="009F15F9"/>
    <w:rsid w:val="009F17C6"/>
    <w:rsid w:val="009F2196"/>
    <w:rsid w:val="009F22A3"/>
    <w:rsid w:val="009F249B"/>
    <w:rsid w:val="009F261F"/>
    <w:rsid w:val="009F2A2E"/>
    <w:rsid w:val="009F4350"/>
    <w:rsid w:val="009F496E"/>
    <w:rsid w:val="009F4AEA"/>
    <w:rsid w:val="009F5579"/>
    <w:rsid w:val="009F5635"/>
    <w:rsid w:val="009F69A3"/>
    <w:rsid w:val="009F6DF9"/>
    <w:rsid w:val="009F7195"/>
    <w:rsid w:val="00A009FD"/>
    <w:rsid w:val="00A021AF"/>
    <w:rsid w:val="00A023CE"/>
    <w:rsid w:val="00A0250F"/>
    <w:rsid w:val="00A0300B"/>
    <w:rsid w:val="00A0329E"/>
    <w:rsid w:val="00A033D7"/>
    <w:rsid w:val="00A04E96"/>
    <w:rsid w:val="00A053BD"/>
    <w:rsid w:val="00A074B3"/>
    <w:rsid w:val="00A07DB4"/>
    <w:rsid w:val="00A1076C"/>
    <w:rsid w:val="00A11208"/>
    <w:rsid w:val="00A1170E"/>
    <w:rsid w:val="00A117C5"/>
    <w:rsid w:val="00A11DF4"/>
    <w:rsid w:val="00A1200B"/>
    <w:rsid w:val="00A132EA"/>
    <w:rsid w:val="00A15700"/>
    <w:rsid w:val="00A16852"/>
    <w:rsid w:val="00A169E6"/>
    <w:rsid w:val="00A16CFD"/>
    <w:rsid w:val="00A17771"/>
    <w:rsid w:val="00A17AF3"/>
    <w:rsid w:val="00A20DF0"/>
    <w:rsid w:val="00A20FDA"/>
    <w:rsid w:val="00A213C8"/>
    <w:rsid w:val="00A22076"/>
    <w:rsid w:val="00A22CC7"/>
    <w:rsid w:val="00A254D0"/>
    <w:rsid w:val="00A257C8"/>
    <w:rsid w:val="00A25925"/>
    <w:rsid w:val="00A2654C"/>
    <w:rsid w:val="00A26DFB"/>
    <w:rsid w:val="00A27111"/>
    <w:rsid w:val="00A3006B"/>
    <w:rsid w:val="00A30746"/>
    <w:rsid w:val="00A307E8"/>
    <w:rsid w:val="00A319AC"/>
    <w:rsid w:val="00A31F41"/>
    <w:rsid w:val="00A3223C"/>
    <w:rsid w:val="00A32A5E"/>
    <w:rsid w:val="00A33792"/>
    <w:rsid w:val="00A35B2E"/>
    <w:rsid w:val="00A36008"/>
    <w:rsid w:val="00A37481"/>
    <w:rsid w:val="00A377A8"/>
    <w:rsid w:val="00A404A9"/>
    <w:rsid w:val="00A40A2A"/>
    <w:rsid w:val="00A413F4"/>
    <w:rsid w:val="00A41A88"/>
    <w:rsid w:val="00A4227B"/>
    <w:rsid w:val="00A42ECE"/>
    <w:rsid w:val="00A4445B"/>
    <w:rsid w:val="00A448FA"/>
    <w:rsid w:val="00A44DED"/>
    <w:rsid w:val="00A455B6"/>
    <w:rsid w:val="00A45BB5"/>
    <w:rsid w:val="00A464E3"/>
    <w:rsid w:val="00A47E73"/>
    <w:rsid w:val="00A51A4F"/>
    <w:rsid w:val="00A520EE"/>
    <w:rsid w:val="00A5227C"/>
    <w:rsid w:val="00A5249A"/>
    <w:rsid w:val="00A53C84"/>
    <w:rsid w:val="00A53FD7"/>
    <w:rsid w:val="00A54B98"/>
    <w:rsid w:val="00A54DB4"/>
    <w:rsid w:val="00A54FD2"/>
    <w:rsid w:val="00A55F80"/>
    <w:rsid w:val="00A56B49"/>
    <w:rsid w:val="00A56B9E"/>
    <w:rsid w:val="00A56FE0"/>
    <w:rsid w:val="00A57479"/>
    <w:rsid w:val="00A577FD"/>
    <w:rsid w:val="00A57B58"/>
    <w:rsid w:val="00A61AB1"/>
    <w:rsid w:val="00A63616"/>
    <w:rsid w:val="00A637DC"/>
    <w:rsid w:val="00A64CEC"/>
    <w:rsid w:val="00A64DE3"/>
    <w:rsid w:val="00A64E5F"/>
    <w:rsid w:val="00A66D13"/>
    <w:rsid w:val="00A66D5C"/>
    <w:rsid w:val="00A67752"/>
    <w:rsid w:val="00A70F50"/>
    <w:rsid w:val="00A71B7F"/>
    <w:rsid w:val="00A71EAD"/>
    <w:rsid w:val="00A7368E"/>
    <w:rsid w:val="00A736E2"/>
    <w:rsid w:val="00A74907"/>
    <w:rsid w:val="00A7490B"/>
    <w:rsid w:val="00A74D41"/>
    <w:rsid w:val="00A7559D"/>
    <w:rsid w:val="00A803F9"/>
    <w:rsid w:val="00A81F98"/>
    <w:rsid w:val="00A8201E"/>
    <w:rsid w:val="00A82462"/>
    <w:rsid w:val="00A83326"/>
    <w:rsid w:val="00A8658C"/>
    <w:rsid w:val="00A86959"/>
    <w:rsid w:val="00A86EAF"/>
    <w:rsid w:val="00A871E7"/>
    <w:rsid w:val="00A87283"/>
    <w:rsid w:val="00A900A4"/>
    <w:rsid w:val="00A90256"/>
    <w:rsid w:val="00A9114E"/>
    <w:rsid w:val="00A93B44"/>
    <w:rsid w:val="00A9481A"/>
    <w:rsid w:val="00A94DEE"/>
    <w:rsid w:val="00A95651"/>
    <w:rsid w:val="00A969B7"/>
    <w:rsid w:val="00A969C5"/>
    <w:rsid w:val="00A96C30"/>
    <w:rsid w:val="00A97859"/>
    <w:rsid w:val="00A97AFD"/>
    <w:rsid w:val="00AA077A"/>
    <w:rsid w:val="00AA0D09"/>
    <w:rsid w:val="00AA2C1C"/>
    <w:rsid w:val="00AA4AFC"/>
    <w:rsid w:val="00AA4DCF"/>
    <w:rsid w:val="00AA58DB"/>
    <w:rsid w:val="00AA679A"/>
    <w:rsid w:val="00AA69FF"/>
    <w:rsid w:val="00AA7723"/>
    <w:rsid w:val="00AA7A22"/>
    <w:rsid w:val="00AA7F16"/>
    <w:rsid w:val="00AB079F"/>
    <w:rsid w:val="00AB2B82"/>
    <w:rsid w:val="00AB3AB7"/>
    <w:rsid w:val="00AB43DF"/>
    <w:rsid w:val="00AB450D"/>
    <w:rsid w:val="00AB4BDA"/>
    <w:rsid w:val="00AB57B6"/>
    <w:rsid w:val="00AB678E"/>
    <w:rsid w:val="00AB6D69"/>
    <w:rsid w:val="00AB6D8C"/>
    <w:rsid w:val="00AB7032"/>
    <w:rsid w:val="00AC0053"/>
    <w:rsid w:val="00AC2484"/>
    <w:rsid w:val="00AC2FE2"/>
    <w:rsid w:val="00AC30A8"/>
    <w:rsid w:val="00AC33D6"/>
    <w:rsid w:val="00AC3519"/>
    <w:rsid w:val="00AC35D1"/>
    <w:rsid w:val="00AC3600"/>
    <w:rsid w:val="00AC395A"/>
    <w:rsid w:val="00AC42AB"/>
    <w:rsid w:val="00AC441B"/>
    <w:rsid w:val="00AC450B"/>
    <w:rsid w:val="00AC4EBD"/>
    <w:rsid w:val="00AC5A8A"/>
    <w:rsid w:val="00AC6617"/>
    <w:rsid w:val="00AC7341"/>
    <w:rsid w:val="00AC7A57"/>
    <w:rsid w:val="00AC7DFD"/>
    <w:rsid w:val="00AC7FF7"/>
    <w:rsid w:val="00AD02EA"/>
    <w:rsid w:val="00AD0358"/>
    <w:rsid w:val="00AD0FD1"/>
    <w:rsid w:val="00AD10CE"/>
    <w:rsid w:val="00AD1EB1"/>
    <w:rsid w:val="00AD2610"/>
    <w:rsid w:val="00AD27FE"/>
    <w:rsid w:val="00AD2858"/>
    <w:rsid w:val="00AD2905"/>
    <w:rsid w:val="00AD2A53"/>
    <w:rsid w:val="00AD2CF0"/>
    <w:rsid w:val="00AD2D35"/>
    <w:rsid w:val="00AD3199"/>
    <w:rsid w:val="00AD3949"/>
    <w:rsid w:val="00AD5C21"/>
    <w:rsid w:val="00AD6784"/>
    <w:rsid w:val="00AD6A71"/>
    <w:rsid w:val="00AD6C34"/>
    <w:rsid w:val="00AD7149"/>
    <w:rsid w:val="00AD721D"/>
    <w:rsid w:val="00AD74B7"/>
    <w:rsid w:val="00AD75FA"/>
    <w:rsid w:val="00AD7CB2"/>
    <w:rsid w:val="00AD7CEF"/>
    <w:rsid w:val="00AE02A6"/>
    <w:rsid w:val="00AE0DD9"/>
    <w:rsid w:val="00AE1CCF"/>
    <w:rsid w:val="00AE34B0"/>
    <w:rsid w:val="00AE4A2F"/>
    <w:rsid w:val="00AE57BD"/>
    <w:rsid w:val="00AE5D48"/>
    <w:rsid w:val="00AE5E07"/>
    <w:rsid w:val="00AE5EFC"/>
    <w:rsid w:val="00AE7305"/>
    <w:rsid w:val="00AF07ED"/>
    <w:rsid w:val="00AF1039"/>
    <w:rsid w:val="00AF28FE"/>
    <w:rsid w:val="00AF34CC"/>
    <w:rsid w:val="00AF37B4"/>
    <w:rsid w:val="00AF3A1C"/>
    <w:rsid w:val="00AF3A3E"/>
    <w:rsid w:val="00AF3C21"/>
    <w:rsid w:val="00AF4ED3"/>
    <w:rsid w:val="00AF5692"/>
    <w:rsid w:val="00AF5F87"/>
    <w:rsid w:val="00AF76CE"/>
    <w:rsid w:val="00B001B7"/>
    <w:rsid w:val="00B008A0"/>
    <w:rsid w:val="00B01A44"/>
    <w:rsid w:val="00B01AD9"/>
    <w:rsid w:val="00B01CB2"/>
    <w:rsid w:val="00B01F2D"/>
    <w:rsid w:val="00B0215A"/>
    <w:rsid w:val="00B0259B"/>
    <w:rsid w:val="00B02C78"/>
    <w:rsid w:val="00B03C27"/>
    <w:rsid w:val="00B04194"/>
    <w:rsid w:val="00B0558B"/>
    <w:rsid w:val="00B05EC2"/>
    <w:rsid w:val="00B06D9A"/>
    <w:rsid w:val="00B07710"/>
    <w:rsid w:val="00B11FD4"/>
    <w:rsid w:val="00B1300B"/>
    <w:rsid w:val="00B13209"/>
    <w:rsid w:val="00B15520"/>
    <w:rsid w:val="00B1665A"/>
    <w:rsid w:val="00B21988"/>
    <w:rsid w:val="00B21A16"/>
    <w:rsid w:val="00B21C61"/>
    <w:rsid w:val="00B21FEE"/>
    <w:rsid w:val="00B22060"/>
    <w:rsid w:val="00B2394C"/>
    <w:rsid w:val="00B239C2"/>
    <w:rsid w:val="00B2659E"/>
    <w:rsid w:val="00B265B6"/>
    <w:rsid w:val="00B26CAB"/>
    <w:rsid w:val="00B30AAB"/>
    <w:rsid w:val="00B31008"/>
    <w:rsid w:val="00B316B2"/>
    <w:rsid w:val="00B31816"/>
    <w:rsid w:val="00B31C7D"/>
    <w:rsid w:val="00B3204F"/>
    <w:rsid w:val="00B324C1"/>
    <w:rsid w:val="00B324D4"/>
    <w:rsid w:val="00B33660"/>
    <w:rsid w:val="00B3370A"/>
    <w:rsid w:val="00B33F72"/>
    <w:rsid w:val="00B34434"/>
    <w:rsid w:val="00B364C3"/>
    <w:rsid w:val="00B419C7"/>
    <w:rsid w:val="00B43D82"/>
    <w:rsid w:val="00B45E0E"/>
    <w:rsid w:val="00B46154"/>
    <w:rsid w:val="00B4743A"/>
    <w:rsid w:val="00B47FD5"/>
    <w:rsid w:val="00B50FF8"/>
    <w:rsid w:val="00B518E7"/>
    <w:rsid w:val="00B52B39"/>
    <w:rsid w:val="00B52D9E"/>
    <w:rsid w:val="00B5302B"/>
    <w:rsid w:val="00B5346E"/>
    <w:rsid w:val="00B537BB"/>
    <w:rsid w:val="00B53E03"/>
    <w:rsid w:val="00B53F20"/>
    <w:rsid w:val="00B55E4B"/>
    <w:rsid w:val="00B56821"/>
    <w:rsid w:val="00B57ABC"/>
    <w:rsid w:val="00B57CBA"/>
    <w:rsid w:val="00B62A34"/>
    <w:rsid w:val="00B63BA3"/>
    <w:rsid w:val="00B64165"/>
    <w:rsid w:val="00B646D3"/>
    <w:rsid w:val="00B647A8"/>
    <w:rsid w:val="00B650AC"/>
    <w:rsid w:val="00B6516D"/>
    <w:rsid w:val="00B65B67"/>
    <w:rsid w:val="00B65CD0"/>
    <w:rsid w:val="00B65D1E"/>
    <w:rsid w:val="00B66854"/>
    <w:rsid w:val="00B67D23"/>
    <w:rsid w:val="00B67E56"/>
    <w:rsid w:val="00B70A83"/>
    <w:rsid w:val="00B711D2"/>
    <w:rsid w:val="00B71EF8"/>
    <w:rsid w:val="00B72C63"/>
    <w:rsid w:val="00B72C87"/>
    <w:rsid w:val="00B73656"/>
    <w:rsid w:val="00B73A37"/>
    <w:rsid w:val="00B73AD6"/>
    <w:rsid w:val="00B74BB1"/>
    <w:rsid w:val="00B7569D"/>
    <w:rsid w:val="00B76925"/>
    <w:rsid w:val="00B769D2"/>
    <w:rsid w:val="00B76AC7"/>
    <w:rsid w:val="00B76C0B"/>
    <w:rsid w:val="00B77182"/>
    <w:rsid w:val="00B800F8"/>
    <w:rsid w:val="00B80268"/>
    <w:rsid w:val="00B80813"/>
    <w:rsid w:val="00B80B71"/>
    <w:rsid w:val="00B812B8"/>
    <w:rsid w:val="00B82330"/>
    <w:rsid w:val="00B8426F"/>
    <w:rsid w:val="00B844EA"/>
    <w:rsid w:val="00B8475E"/>
    <w:rsid w:val="00B84941"/>
    <w:rsid w:val="00B8514E"/>
    <w:rsid w:val="00B85359"/>
    <w:rsid w:val="00B85454"/>
    <w:rsid w:val="00B8556C"/>
    <w:rsid w:val="00B856BD"/>
    <w:rsid w:val="00B85B82"/>
    <w:rsid w:val="00B8605D"/>
    <w:rsid w:val="00B86062"/>
    <w:rsid w:val="00B8679A"/>
    <w:rsid w:val="00B86D17"/>
    <w:rsid w:val="00B86E72"/>
    <w:rsid w:val="00B87079"/>
    <w:rsid w:val="00B875F9"/>
    <w:rsid w:val="00B87979"/>
    <w:rsid w:val="00B9069F"/>
    <w:rsid w:val="00B928C4"/>
    <w:rsid w:val="00B94F07"/>
    <w:rsid w:val="00B9570A"/>
    <w:rsid w:val="00B95A8A"/>
    <w:rsid w:val="00B95AFA"/>
    <w:rsid w:val="00B966C8"/>
    <w:rsid w:val="00B97B6C"/>
    <w:rsid w:val="00BA0041"/>
    <w:rsid w:val="00BA00FC"/>
    <w:rsid w:val="00BA0279"/>
    <w:rsid w:val="00BA07DB"/>
    <w:rsid w:val="00BA0F4A"/>
    <w:rsid w:val="00BA1312"/>
    <w:rsid w:val="00BA1361"/>
    <w:rsid w:val="00BA1B39"/>
    <w:rsid w:val="00BA2924"/>
    <w:rsid w:val="00BA2E6D"/>
    <w:rsid w:val="00BA2EC6"/>
    <w:rsid w:val="00BA4312"/>
    <w:rsid w:val="00BA4648"/>
    <w:rsid w:val="00BA46A9"/>
    <w:rsid w:val="00BA4E66"/>
    <w:rsid w:val="00BA4FE1"/>
    <w:rsid w:val="00BA52CF"/>
    <w:rsid w:val="00BA62A6"/>
    <w:rsid w:val="00BA739C"/>
    <w:rsid w:val="00BA77A3"/>
    <w:rsid w:val="00BA7836"/>
    <w:rsid w:val="00BB006E"/>
    <w:rsid w:val="00BB0805"/>
    <w:rsid w:val="00BB1E0B"/>
    <w:rsid w:val="00BB28C3"/>
    <w:rsid w:val="00BB2909"/>
    <w:rsid w:val="00BB3138"/>
    <w:rsid w:val="00BB3A21"/>
    <w:rsid w:val="00BB3AB2"/>
    <w:rsid w:val="00BB4218"/>
    <w:rsid w:val="00BB46A4"/>
    <w:rsid w:val="00BB49F3"/>
    <w:rsid w:val="00BB5F3C"/>
    <w:rsid w:val="00BB64C7"/>
    <w:rsid w:val="00BB67E2"/>
    <w:rsid w:val="00BB7AEA"/>
    <w:rsid w:val="00BC0A5F"/>
    <w:rsid w:val="00BC1470"/>
    <w:rsid w:val="00BC151E"/>
    <w:rsid w:val="00BC1ADF"/>
    <w:rsid w:val="00BC1F18"/>
    <w:rsid w:val="00BC2459"/>
    <w:rsid w:val="00BC37DD"/>
    <w:rsid w:val="00BC3BA7"/>
    <w:rsid w:val="00BC3ECB"/>
    <w:rsid w:val="00BC5CE6"/>
    <w:rsid w:val="00BC6B82"/>
    <w:rsid w:val="00BC765D"/>
    <w:rsid w:val="00BC76AE"/>
    <w:rsid w:val="00BC7A98"/>
    <w:rsid w:val="00BD01E4"/>
    <w:rsid w:val="00BD058E"/>
    <w:rsid w:val="00BD0A01"/>
    <w:rsid w:val="00BD1BC2"/>
    <w:rsid w:val="00BD21E2"/>
    <w:rsid w:val="00BD227C"/>
    <w:rsid w:val="00BD27DC"/>
    <w:rsid w:val="00BD27F0"/>
    <w:rsid w:val="00BD2D34"/>
    <w:rsid w:val="00BD30BA"/>
    <w:rsid w:val="00BD31B0"/>
    <w:rsid w:val="00BD3204"/>
    <w:rsid w:val="00BD3584"/>
    <w:rsid w:val="00BD3A99"/>
    <w:rsid w:val="00BD4323"/>
    <w:rsid w:val="00BD438F"/>
    <w:rsid w:val="00BD55F5"/>
    <w:rsid w:val="00BD5AE3"/>
    <w:rsid w:val="00BD5D6E"/>
    <w:rsid w:val="00BD657D"/>
    <w:rsid w:val="00BD7476"/>
    <w:rsid w:val="00BE0727"/>
    <w:rsid w:val="00BE0CB3"/>
    <w:rsid w:val="00BE1A18"/>
    <w:rsid w:val="00BE1B56"/>
    <w:rsid w:val="00BE1E99"/>
    <w:rsid w:val="00BE1F5D"/>
    <w:rsid w:val="00BE2167"/>
    <w:rsid w:val="00BE276C"/>
    <w:rsid w:val="00BE314A"/>
    <w:rsid w:val="00BE408D"/>
    <w:rsid w:val="00BE4718"/>
    <w:rsid w:val="00BE48CF"/>
    <w:rsid w:val="00BE49E3"/>
    <w:rsid w:val="00BE4E75"/>
    <w:rsid w:val="00BE5BBE"/>
    <w:rsid w:val="00BE5CFF"/>
    <w:rsid w:val="00BE7C40"/>
    <w:rsid w:val="00BF0F4B"/>
    <w:rsid w:val="00BF12C7"/>
    <w:rsid w:val="00BF1716"/>
    <w:rsid w:val="00BF1D29"/>
    <w:rsid w:val="00BF2CA3"/>
    <w:rsid w:val="00BF2ED1"/>
    <w:rsid w:val="00BF3E38"/>
    <w:rsid w:val="00BF40C0"/>
    <w:rsid w:val="00BF4211"/>
    <w:rsid w:val="00BF45F4"/>
    <w:rsid w:val="00BF4817"/>
    <w:rsid w:val="00BF5B56"/>
    <w:rsid w:val="00BF5C2A"/>
    <w:rsid w:val="00BF5CC4"/>
    <w:rsid w:val="00BF5F41"/>
    <w:rsid w:val="00BF6BA0"/>
    <w:rsid w:val="00BF6E1F"/>
    <w:rsid w:val="00BF7B3A"/>
    <w:rsid w:val="00BF7DAB"/>
    <w:rsid w:val="00C02C19"/>
    <w:rsid w:val="00C03124"/>
    <w:rsid w:val="00C0327E"/>
    <w:rsid w:val="00C037D7"/>
    <w:rsid w:val="00C03BB2"/>
    <w:rsid w:val="00C03FFD"/>
    <w:rsid w:val="00C05AC8"/>
    <w:rsid w:val="00C06210"/>
    <w:rsid w:val="00C07A7B"/>
    <w:rsid w:val="00C07C2D"/>
    <w:rsid w:val="00C100B1"/>
    <w:rsid w:val="00C10BCF"/>
    <w:rsid w:val="00C11058"/>
    <w:rsid w:val="00C11E24"/>
    <w:rsid w:val="00C12E15"/>
    <w:rsid w:val="00C13318"/>
    <w:rsid w:val="00C137C2"/>
    <w:rsid w:val="00C14661"/>
    <w:rsid w:val="00C1498D"/>
    <w:rsid w:val="00C166C0"/>
    <w:rsid w:val="00C16742"/>
    <w:rsid w:val="00C167CC"/>
    <w:rsid w:val="00C16873"/>
    <w:rsid w:val="00C1689C"/>
    <w:rsid w:val="00C16E82"/>
    <w:rsid w:val="00C1706D"/>
    <w:rsid w:val="00C173B5"/>
    <w:rsid w:val="00C17B47"/>
    <w:rsid w:val="00C17B6E"/>
    <w:rsid w:val="00C203D0"/>
    <w:rsid w:val="00C20A34"/>
    <w:rsid w:val="00C227E9"/>
    <w:rsid w:val="00C2436E"/>
    <w:rsid w:val="00C25E3E"/>
    <w:rsid w:val="00C26ABA"/>
    <w:rsid w:val="00C26C7D"/>
    <w:rsid w:val="00C27175"/>
    <w:rsid w:val="00C30566"/>
    <w:rsid w:val="00C30793"/>
    <w:rsid w:val="00C307B0"/>
    <w:rsid w:val="00C32089"/>
    <w:rsid w:val="00C349A8"/>
    <w:rsid w:val="00C34D38"/>
    <w:rsid w:val="00C352FC"/>
    <w:rsid w:val="00C35438"/>
    <w:rsid w:val="00C35B7B"/>
    <w:rsid w:val="00C35F7C"/>
    <w:rsid w:val="00C3640F"/>
    <w:rsid w:val="00C366FA"/>
    <w:rsid w:val="00C36B04"/>
    <w:rsid w:val="00C36FA9"/>
    <w:rsid w:val="00C40580"/>
    <w:rsid w:val="00C41240"/>
    <w:rsid w:val="00C41DCB"/>
    <w:rsid w:val="00C421AE"/>
    <w:rsid w:val="00C43BDA"/>
    <w:rsid w:val="00C43CC5"/>
    <w:rsid w:val="00C45E4A"/>
    <w:rsid w:val="00C46D99"/>
    <w:rsid w:val="00C47ADD"/>
    <w:rsid w:val="00C47C23"/>
    <w:rsid w:val="00C47D18"/>
    <w:rsid w:val="00C51A0A"/>
    <w:rsid w:val="00C51B65"/>
    <w:rsid w:val="00C52060"/>
    <w:rsid w:val="00C54C17"/>
    <w:rsid w:val="00C552D9"/>
    <w:rsid w:val="00C55550"/>
    <w:rsid w:val="00C5595D"/>
    <w:rsid w:val="00C563EA"/>
    <w:rsid w:val="00C56648"/>
    <w:rsid w:val="00C56959"/>
    <w:rsid w:val="00C56DEE"/>
    <w:rsid w:val="00C57C20"/>
    <w:rsid w:val="00C600F9"/>
    <w:rsid w:val="00C60A53"/>
    <w:rsid w:val="00C60C14"/>
    <w:rsid w:val="00C60EB0"/>
    <w:rsid w:val="00C6169B"/>
    <w:rsid w:val="00C61C6A"/>
    <w:rsid w:val="00C620C9"/>
    <w:rsid w:val="00C62403"/>
    <w:rsid w:val="00C63ACC"/>
    <w:rsid w:val="00C655DB"/>
    <w:rsid w:val="00C66432"/>
    <w:rsid w:val="00C66732"/>
    <w:rsid w:val="00C67098"/>
    <w:rsid w:val="00C67438"/>
    <w:rsid w:val="00C70AAB"/>
    <w:rsid w:val="00C70EC5"/>
    <w:rsid w:val="00C71A1A"/>
    <w:rsid w:val="00C725CC"/>
    <w:rsid w:val="00C726DF"/>
    <w:rsid w:val="00C72FF6"/>
    <w:rsid w:val="00C73976"/>
    <w:rsid w:val="00C74040"/>
    <w:rsid w:val="00C74831"/>
    <w:rsid w:val="00C74954"/>
    <w:rsid w:val="00C751C2"/>
    <w:rsid w:val="00C7591D"/>
    <w:rsid w:val="00C76ACA"/>
    <w:rsid w:val="00C76F3F"/>
    <w:rsid w:val="00C774CE"/>
    <w:rsid w:val="00C80CD9"/>
    <w:rsid w:val="00C80F50"/>
    <w:rsid w:val="00C81106"/>
    <w:rsid w:val="00C813C9"/>
    <w:rsid w:val="00C81F49"/>
    <w:rsid w:val="00C82088"/>
    <w:rsid w:val="00C82DD5"/>
    <w:rsid w:val="00C82EA8"/>
    <w:rsid w:val="00C83409"/>
    <w:rsid w:val="00C834DC"/>
    <w:rsid w:val="00C83714"/>
    <w:rsid w:val="00C86CFB"/>
    <w:rsid w:val="00C87262"/>
    <w:rsid w:val="00C903B3"/>
    <w:rsid w:val="00C90BA2"/>
    <w:rsid w:val="00C90E39"/>
    <w:rsid w:val="00C91FEF"/>
    <w:rsid w:val="00C92979"/>
    <w:rsid w:val="00C92E7A"/>
    <w:rsid w:val="00C9398D"/>
    <w:rsid w:val="00C95B3A"/>
    <w:rsid w:val="00C95D9C"/>
    <w:rsid w:val="00C970FC"/>
    <w:rsid w:val="00C97417"/>
    <w:rsid w:val="00C976D1"/>
    <w:rsid w:val="00CA0767"/>
    <w:rsid w:val="00CA17E6"/>
    <w:rsid w:val="00CA2470"/>
    <w:rsid w:val="00CA28A2"/>
    <w:rsid w:val="00CA29DE"/>
    <w:rsid w:val="00CA2B2E"/>
    <w:rsid w:val="00CA3E4F"/>
    <w:rsid w:val="00CA4340"/>
    <w:rsid w:val="00CA438E"/>
    <w:rsid w:val="00CA4E58"/>
    <w:rsid w:val="00CA4FC7"/>
    <w:rsid w:val="00CA566B"/>
    <w:rsid w:val="00CA5B5A"/>
    <w:rsid w:val="00CA6417"/>
    <w:rsid w:val="00CA6563"/>
    <w:rsid w:val="00CA6D37"/>
    <w:rsid w:val="00CA75F8"/>
    <w:rsid w:val="00CB05E3"/>
    <w:rsid w:val="00CB0F6C"/>
    <w:rsid w:val="00CB15E5"/>
    <w:rsid w:val="00CB1EBD"/>
    <w:rsid w:val="00CB1F9C"/>
    <w:rsid w:val="00CB2241"/>
    <w:rsid w:val="00CB2F9A"/>
    <w:rsid w:val="00CB48A3"/>
    <w:rsid w:val="00CB49C4"/>
    <w:rsid w:val="00CB531B"/>
    <w:rsid w:val="00CB638F"/>
    <w:rsid w:val="00CB6AC0"/>
    <w:rsid w:val="00CB73F5"/>
    <w:rsid w:val="00CB78EF"/>
    <w:rsid w:val="00CB7C67"/>
    <w:rsid w:val="00CC0E60"/>
    <w:rsid w:val="00CC0FBA"/>
    <w:rsid w:val="00CC17B7"/>
    <w:rsid w:val="00CC1B33"/>
    <w:rsid w:val="00CC348D"/>
    <w:rsid w:val="00CC3DBD"/>
    <w:rsid w:val="00CC4ACB"/>
    <w:rsid w:val="00CC536A"/>
    <w:rsid w:val="00CC547E"/>
    <w:rsid w:val="00CC5551"/>
    <w:rsid w:val="00CC6B92"/>
    <w:rsid w:val="00CC6EA5"/>
    <w:rsid w:val="00CD1EDD"/>
    <w:rsid w:val="00CD27F9"/>
    <w:rsid w:val="00CD2A5C"/>
    <w:rsid w:val="00CD2E3D"/>
    <w:rsid w:val="00CD2E9C"/>
    <w:rsid w:val="00CD368B"/>
    <w:rsid w:val="00CD496C"/>
    <w:rsid w:val="00CD4F0C"/>
    <w:rsid w:val="00CD58C1"/>
    <w:rsid w:val="00CD5D8D"/>
    <w:rsid w:val="00CD64DC"/>
    <w:rsid w:val="00CD6C7F"/>
    <w:rsid w:val="00CD723C"/>
    <w:rsid w:val="00CD73CF"/>
    <w:rsid w:val="00CD74C1"/>
    <w:rsid w:val="00CD7770"/>
    <w:rsid w:val="00CD7B73"/>
    <w:rsid w:val="00CD7C7D"/>
    <w:rsid w:val="00CE00B1"/>
    <w:rsid w:val="00CE0335"/>
    <w:rsid w:val="00CE0C6F"/>
    <w:rsid w:val="00CE3131"/>
    <w:rsid w:val="00CE3F10"/>
    <w:rsid w:val="00CE43AE"/>
    <w:rsid w:val="00CE5F39"/>
    <w:rsid w:val="00CE67B4"/>
    <w:rsid w:val="00CE72C6"/>
    <w:rsid w:val="00CF0E0B"/>
    <w:rsid w:val="00CF12FE"/>
    <w:rsid w:val="00CF2047"/>
    <w:rsid w:val="00CF21ED"/>
    <w:rsid w:val="00CF3015"/>
    <w:rsid w:val="00CF4255"/>
    <w:rsid w:val="00CF4F5E"/>
    <w:rsid w:val="00CF50CA"/>
    <w:rsid w:val="00CF5BD8"/>
    <w:rsid w:val="00CF647C"/>
    <w:rsid w:val="00CF7D57"/>
    <w:rsid w:val="00CF7F02"/>
    <w:rsid w:val="00D0146A"/>
    <w:rsid w:val="00D01979"/>
    <w:rsid w:val="00D019B1"/>
    <w:rsid w:val="00D01FE7"/>
    <w:rsid w:val="00D023C0"/>
    <w:rsid w:val="00D0249E"/>
    <w:rsid w:val="00D025C0"/>
    <w:rsid w:val="00D028E8"/>
    <w:rsid w:val="00D029B2"/>
    <w:rsid w:val="00D0385E"/>
    <w:rsid w:val="00D064A8"/>
    <w:rsid w:val="00D06591"/>
    <w:rsid w:val="00D06DC4"/>
    <w:rsid w:val="00D06FA2"/>
    <w:rsid w:val="00D0752E"/>
    <w:rsid w:val="00D07F62"/>
    <w:rsid w:val="00D10273"/>
    <w:rsid w:val="00D10BCA"/>
    <w:rsid w:val="00D1138D"/>
    <w:rsid w:val="00D130F2"/>
    <w:rsid w:val="00D13D5C"/>
    <w:rsid w:val="00D15645"/>
    <w:rsid w:val="00D15815"/>
    <w:rsid w:val="00D15FC3"/>
    <w:rsid w:val="00D16CAB"/>
    <w:rsid w:val="00D17057"/>
    <w:rsid w:val="00D173F7"/>
    <w:rsid w:val="00D217B0"/>
    <w:rsid w:val="00D21DD1"/>
    <w:rsid w:val="00D23BBD"/>
    <w:rsid w:val="00D23C9E"/>
    <w:rsid w:val="00D23E88"/>
    <w:rsid w:val="00D242BC"/>
    <w:rsid w:val="00D26294"/>
    <w:rsid w:val="00D26A79"/>
    <w:rsid w:val="00D27AE7"/>
    <w:rsid w:val="00D3091A"/>
    <w:rsid w:val="00D3096A"/>
    <w:rsid w:val="00D31D43"/>
    <w:rsid w:val="00D3256D"/>
    <w:rsid w:val="00D32E83"/>
    <w:rsid w:val="00D33928"/>
    <w:rsid w:val="00D368B2"/>
    <w:rsid w:val="00D371E4"/>
    <w:rsid w:val="00D377BF"/>
    <w:rsid w:val="00D37983"/>
    <w:rsid w:val="00D4010F"/>
    <w:rsid w:val="00D40D68"/>
    <w:rsid w:val="00D41282"/>
    <w:rsid w:val="00D42416"/>
    <w:rsid w:val="00D43822"/>
    <w:rsid w:val="00D44068"/>
    <w:rsid w:val="00D44070"/>
    <w:rsid w:val="00D44613"/>
    <w:rsid w:val="00D44708"/>
    <w:rsid w:val="00D45BD0"/>
    <w:rsid w:val="00D46F79"/>
    <w:rsid w:val="00D4760F"/>
    <w:rsid w:val="00D479E5"/>
    <w:rsid w:val="00D50312"/>
    <w:rsid w:val="00D511E0"/>
    <w:rsid w:val="00D5127B"/>
    <w:rsid w:val="00D52CE4"/>
    <w:rsid w:val="00D54067"/>
    <w:rsid w:val="00D54AED"/>
    <w:rsid w:val="00D55253"/>
    <w:rsid w:val="00D557A7"/>
    <w:rsid w:val="00D557B0"/>
    <w:rsid w:val="00D559EB"/>
    <w:rsid w:val="00D55B81"/>
    <w:rsid w:val="00D560A9"/>
    <w:rsid w:val="00D57628"/>
    <w:rsid w:val="00D601B3"/>
    <w:rsid w:val="00D61D4D"/>
    <w:rsid w:val="00D62FF7"/>
    <w:rsid w:val="00D63AD3"/>
    <w:rsid w:val="00D63B02"/>
    <w:rsid w:val="00D64915"/>
    <w:rsid w:val="00D65A56"/>
    <w:rsid w:val="00D66956"/>
    <w:rsid w:val="00D67B4D"/>
    <w:rsid w:val="00D67F10"/>
    <w:rsid w:val="00D67F82"/>
    <w:rsid w:val="00D701A2"/>
    <w:rsid w:val="00D7111A"/>
    <w:rsid w:val="00D73398"/>
    <w:rsid w:val="00D73631"/>
    <w:rsid w:val="00D73C9A"/>
    <w:rsid w:val="00D7547E"/>
    <w:rsid w:val="00D7557D"/>
    <w:rsid w:val="00D75F90"/>
    <w:rsid w:val="00D76366"/>
    <w:rsid w:val="00D764A8"/>
    <w:rsid w:val="00D768ED"/>
    <w:rsid w:val="00D774EF"/>
    <w:rsid w:val="00D77709"/>
    <w:rsid w:val="00D77A26"/>
    <w:rsid w:val="00D8028B"/>
    <w:rsid w:val="00D8028D"/>
    <w:rsid w:val="00D8038E"/>
    <w:rsid w:val="00D8125A"/>
    <w:rsid w:val="00D825F9"/>
    <w:rsid w:val="00D828ED"/>
    <w:rsid w:val="00D836DC"/>
    <w:rsid w:val="00D83FED"/>
    <w:rsid w:val="00D8454A"/>
    <w:rsid w:val="00D84962"/>
    <w:rsid w:val="00D85782"/>
    <w:rsid w:val="00D85A75"/>
    <w:rsid w:val="00D85CE5"/>
    <w:rsid w:val="00D85F33"/>
    <w:rsid w:val="00D865E4"/>
    <w:rsid w:val="00D86942"/>
    <w:rsid w:val="00D87295"/>
    <w:rsid w:val="00D919D5"/>
    <w:rsid w:val="00D924E6"/>
    <w:rsid w:val="00D92817"/>
    <w:rsid w:val="00D92D30"/>
    <w:rsid w:val="00D94011"/>
    <w:rsid w:val="00D94620"/>
    <w:rsid w:val="00D964B4"/>
    <w:rsid w:val="00D965D0"/>
    <w:rsid w:val="00D96D36"/>
    <w:rsid w:val="00D97493"/>
    <w:rsid w:val="00DA08FD"/>
    <w:rsid w:val="00DA0EA9"/>
    <w:rsid w:val="00DA1A41"/>
    <w:rsid w:val="00DA202E"/>
    <w:rsid w:val="00DA2299"/>
    <w:rsid w:val="00DA2452"/>
    <w:rsid w:val="00DA2B48"/>
    <w:rsid w:val="00DA321A"/>
    <w:rsid w:val="00DA351C"/>
    <w:rsid w:val="00DA4888"/>
    <w:rsid w:val="00DA5533"/>
    <w:rsid w:val="00DA5593"/>
    <w:rsid w:val="00DA5772"/>
    <w:rsid w:val="00DA5BE8"/>
    <w:rsid w:val="00DA79EE"/>
    <w:rsid w:val="00DA7D3D"/>
    <w:rsid w:val="00DB018C"/>
    <w:rsid w:val="00DB0452"/>
    <w:rsid w:val="00DB1942"/>
    <w:rsid w:val="00DB1D6D"/>
    <w:rsid w:val="00DB2844"/>
    <w:rsid w:val="00DB28E1"/>
    <w:rsid w:val="00DB30EF"/>
    <w:rsid w:val="00DB3957"/>
    <w:rsid w:val="00DB3DDA"/>
    <w:rsid w:val="00DB3F55"/>
    <w:rsid w:val="00DB60FB"/>
    <w:rsid w:val="00DB6914"/>
    <w:rsid w:val="00DB78E0"/>
    <w:rsid w:val="00DC03E0"/>
    <w:rsid w:val="00DC08F0"/>
    <w:rsid w:val="00DC14D9"/>
    <w:rsid w:val="00DC175A"/>
    <w:rsid w:val="00DC20DA"/>
    <w:rsid w:val="00DC2776"/>
    <w:rsid w:val="00DC288C"/>
    <w:rsid w:val="00DC3202"/>
    <w:rsid w:val="00DC34E4"/>
    <w:rsid w:val="00DC3946"/>
    <w:rsid w:val="00DC3C06"/>
    <w:rsid w:val="00DC65C3"/>
    <w:rsid w:val="00DC714C"/>
    <w:rsid w:val="00DC75CB"/>
    <w:rsid w:val="00DC7A4C"/>
    <w:rsid w:val="00DD0D80"/>
    <w:rsid w:val="00DD13D4"/>
    <w:rsid w:val="00DD1F6A"/>
    <w:rsid w:val="00DD3066"/>
    <w:rsid w:val="00DD358D"/>
    <w:rsid w:val="00DD460C"/>
    <w:rsid w:val="00DD5276"/>
    <w:rsid w:val="00DD65A6"/>
    <w:rsid w:val="00DD713A"/>
    <w:rsid w:val="00DD7833"/>
    <w:rsid w:val="00DE0325"/>
    <w:rsid w:val="00DE040F"/>
    <w:rsid w:val="00DE07F2"/>
    <w:rsid w:val="00DE08C6"/>
    <w:rsid w:val="00DE36F8"/>
    <w:rsid w:val="00DE3A91"/>
    <w:rsid w:val="00DE4296"/>
    <w:rsid w:val="00DE4703"/>
    <w:rsid w:val="00DE5709"/>
    <w:rsid w:val="00DE699B"/>
    <w:rsid w:val="00DE79A9"/>
    <w:rsid w:val="00DE7B3C"/>
    <w:rsid w:val="00DF106A"/>
    <w:rsid w:val="00DF1E9E"/>
    <w:rsid w:val="00DF31B3"/>
    <w:rsid w:val="00DF34C7"/>
    <w:rsid w:val="00DF3966"/>
    <w:rsid w:val="00DF49D5"/>
    <w:rsid w:val="00DF5074"/>
    <w:rsid w:val="00DF60D4"/>
    <w:rsid w:val="00DF6569"/>
    <w:rsid w:val="00DF705A"/>
    <w:rsid w:val="00DF73E6"/>
    <w:rsid w:val="00DF7DF4"/>
    <w:rsid w:val="00E00F67"/>
    <w:rsid w:val="00E01014"/>
    <w:rsid w:val="00E01066"/>
    <w:rsid w:val="00E016FC"/>
    <w:rsid w:val="00E019F7"/>
    <w:rsid w:val="00E0210B"/>
    <w:rsid w:val="00E03B0E"/>
    <w:rsid w:val="00E03E8F"/>
    <w:rsid w:val="00E05D14"/>
    <w:rsid w:val="00E0617B"/>
    <w:rsid w:val="00E06FD7"/>
    <w:rsid w:val="00E07D82"/>
    <w:rsid w:val="00E1010D"/>
    <w:rsid w:val="00E1275B"/>
    <w:rsid w:val="00E127F7"/>
    <w:rsid w:val="00E12AC9"/>
    <w:rsid w:val="00E13B5E"/>
    <w:rsid w:val="00E13CD9"/>
    <w:rsid w:val="00E13D42"/>
    <w:rsid w:val="00E151E1"/>
    <w:rsid w:val="00E168E6"/>
    <w:rsid w:val="00E17569"/>
    <w:rsid w:val="00E17F4B"/>
    <w:rsid w:val="00E17FB8"/>
    <w:rsid w:val="00E20A13"/>
    <w:rsid w:val="00E21181"/>
    <w:rsid w:val="00E228A2"/>
    <w:rsid w:val="00E23952"/>
    <w:rsid w:val="00E23D47"/>
    <w:rsid w:val="00E249B0"/>
    <w:rsid w:val="00E25E1D"/>
    <w:rsid w:val="00E2610C"/>
    <w:rsid w:val="00E2621E"/>
    <w:rsid w:val="00E2669C"/>
    <w:rsid w:val="00E269BA"/>
    <w:rsid w:val="00E274B8"/>
    <w:rsid w:val="00E27BB2"/>
    <w:rsid w:val="00E27FDF"/>
    <w:rsid w:val="00E30122"/>
    <w:rsid w:val="00E30C7F"/>
    <w:rsid w:val="00E310EF"/>
    <w:rsid w:val="00E3122C"/>
    <w:rsid w:val="00E31D18"/>
    <w:rsid w:val="00E33288"/>
    <w:rsid w:val="00E33ACF"/>
    <w:rsid w:val="00E34628"/>
    <w:rsid w:val="00E34C34"/>
    <w:rsid w:val="00E34C47"/>
    <w:rsid w:val="00E34D4E"/>
    <w:rsid w:val="00E364CA"/>
    <w:rsid w:val="00E36E69"/>
    <w:rsid w:val="00E376EC"/>
    <w:rsid w:val="00E41045"/>
    <w:rsid w:val="00E4346C"/>
    <w:rsid w:val="00E43950"/>
    <w:rsid w:val="00E43C0E"/>
    <w:rsid w:val="00E450F7"/>
    <w:rsid w:val="00E456D4"/>
    <w:rsid w:val="00E45782"/>
    <w:rsid w:val="00E4591E"/>
    <w:rsid w:val="00E4686F"/>
    <w:rsid w:val="00E46BD9"/>
    <w:rsid w:val="00E46D84"/>
    <w:rsid w:val="00E471EA"/>
    <w:rsid w:val="00E4749A"/>
    <w:rsid w:val="00E4775D"/>
    <w:rsid w:val="00E4783D"/>
    <w:rsid w:val="00E47C26"/>
    <w:rsid w:val="00E47E28"/>
    <w:rsid w:val="00E47EDC"/>
    <w:rsid w:val="00E50788"/>
    <w:rsid w:val="00E51114"/>
    <w:rsid w:val="00E514E4"/>
    <w:rsid w:val="00E51924"/>
    <w:rsid w:val="00E51DCA"/>
    <w:rsid w:val="00E52BFC"/>
    <w:rsid w:val="00E5383A"/>
    <w:rsid w:val="00E53BF8"/>
    <w:rsid w:val="00E54399"/>
    <w:rsid w:val="00E5489B"/>
    <w:rsid w:val="00E55353"/>
    <w:rsid w:val="00E55396"/>
    <w:rsid w:val="00E554E2"/>
    <w:rsid w:val="00E5589B"/>
    <w:rsid w:val="00E56DB3"/>
    <w:rsid w:val="00E5746F"/>
    <w:rsid w:val="00E5786A"/>
    <w:rsid w:val="00E60B65"/>
    <w:rsid w:val="00E62389"/>
    <w:rsid w:val="00E63374"/>
    <w:rsid w:val="00E64ADE"/>
    <w:rsid w:val="00E656A5"/>
    <w:rsid w:val="00E66591"/>
    <w:rsid w:val="00E665EF"/>
    <w:rsid w:val="00E66EDE"/>
    <w:rsid w:val="00E709A5"/>
    <w:rsid w:val="00E714DF"/>
    <w:rsid w:val="00E71647"/>
    <w:rsid w:val="00E71EE6"/>
    <w:rsid w:val="00E71F8D"/>
    <w:rsid w:val="00E720B8"/>
    <w:rsid w:val="00E73901"/>
    <w:rsid w:val="00E74078"/>
    <w:rsid w:val="00E740B9"/>
    <w:rsid w:val="00E7458F"/>
    <w:rsid w:val="00E749DB"/>
    <w:rsid w:val="00E75744"/>
    <w:rsid w:val="00E75ECA"/>
    <w:rsid w:val="00E8054F"/>
    <w:rsid w:val="00E80739"/>
    <w:rsid w:val="00E8094E"/>
    <w:rsid w:val="00E8113F"/>
    <w:rsid w:val="00E8214D"/>
    <w:rsid w:val="00E821DD"/>
    <w:rsid w:val="00E82938"/>
    <w:rsid w:val="00E83112"/>
    <w:rsid w:val="00E8344E"/>
    <w:rsid w:val="00E840CD"/>
    <w:rsid w:val="00E84414"/>
    <w:rsid w:val="00E845C2"/>
    <w:rsid w:val="00E846BB"/>
    <w:rsid w:val="00E856B9"/>
    <w:rsid w:val="00E85C61"/>
    <w:rsid w:val="00E85D32"/>
    <w:rsid w:val="00E861DB"/>
    <w:rsid w:val="00E86687"/>
    <w:rsid w:val="00E86ACD"/>
    <w:rsid w:val="00E902E5"/>
    <w:rsid w:val="00E9250E"/>
    <w:rsid w:val="00E92FE2"/>
    <w:rsid w:val="00E93659"/>
    <w:rsid w:val="00E93D44"/>
    <w:rsid w:val="00E94FA6"/>
    <w:rsid w:val="00E952CA"/>
    <w:rsid w:val="00E964D7"/>
    <w:rsid w:val="00E966DD"/>
    <w:rsid w:val="00E97547"/>
    <w:rsid w:val="00E97BF3"/>
    <w:rsid w:val="00EA099D"/>
    <w:rsid w:val="00EA1278"/>
    <w:rsid w:val="00EA136E"/>
    <w:rsid w:val="00EA21CB"/>
    <w:rsid w:val="00EA2792"/>
    <w:rsid w:val="00EA38DF"/>
    <w:rsid w:val="00EA3B4F"/>
    <w:rsid w:val="00EA3D7A"/>
    <w:rsid w:val="00EA3F08"/>
    <w:rsid w:val="00EA440D"/>
    <w:rsid w:val="00EA51F9"/>
    <w:rsid w:val="00EA5D12"/>
    <w:rsid w:val="00EA67D4"/>
    <w:rsid w:val="00EA73C3"/>
    <w:rsid w:val="00EA79C9"/>
    <w:rsid w:val="00EB0683"/>
    <w:rsid w:val="00EB06F9"/>
    <w:rsid w:val="00EB098A"/>
    <w:rsid w:val="00EB0EB4"/>
    <w:rsid w:val="00EB16BC"/>
    <w:rsid w:val="00EB2953"/>
    <w:rsid w:val="00EB2CDB"/>
    <w:rsid w:val="00EB32D1"/>
    <w:rsid w:val="00EB3558"/>
    <w:rsid w:val="00EB381F"/>
    <w:rsid w:val="00EB3DEB"/>
    <w:rsid w:val="00EB4A94"/>
    <w:rsid w:val="00EB51BD"/>
    <w:rsid w:val="00EB6091"/>
    <w:rsid w:val="00EB6C54"/>
    <w:rsid w:val="00EB7464"/>
    <w:rsid w:val="00EB759E"/>
    <w:rsid w:val="00EB7E65"/>
    <w:rsid w:val="00EC1B37"/>
    <w:rsid w:val="00EC2E82"/>
    <w:rsid w:val="00EC3F4D"/>
    <w:rsid w:val="00EC47EE"/>
    <w:rsid w:val="00EC4D4B"/>
    <w:rsid w:val="00EC5D3F"/>
    <w:rsid w:val="00EC6310"/>
    <w:rsid w:val="00EC72C5"/>
    <w:rsid w:val="00ED04A2"/>
    <w:rsid w:val="00ED0773"/>
    <w:rsid w:val="00ED1059"/>
    <w:rsid w:val="00ED18F3"/>
    <w:rsid w:val="00ED2E97"/>
    <w:rsid w:val="00ED3E29"/>
    <w:rsid w:val="00ED4994"/>
    <w:rsid w:val="00ED4C3C"/>
    <w:rsid w:val="00ED4F6E"/>
    <w:rsid w:val="00ED5536"/>
    <w:rsid w:val="00ED6231"/>
    <w:rsid w:val="00ED6947"/>
    <w:rsid w:val="00ED782B"/>
    <w:rsid w:val="00ED7E38"/>
    <w:rsid w:val="00EE0D56"/>
    <w:rsid w:val="00EE1850"/>
    <w:rsid w:val="00EE1A20"/>
    <w:rsid w:val="00EE2B30"/>
    <w:rsid w:val="00EE324A"/>
    <w:rsid w:val="00EE4090"/>
    <w:rsid w:val="00EE4A75"/>
    <w:rsid w:val="00EE53BC"/>
    <w:rsid w:val="00EE695C"/>
    <w:rsid w:val="00EF03CD"/>
    <w:rsid w:val="00EF0EF5"/>
    <w:rsid w:val="00EF156D"/>
    <w:rsid w:val="00EF1DE4"/>
    <w:rsid w:val="00EF1E46"/>
    <w:rsid w:val="00EF217E"/>
    <w:rsid w:val="00EF2461"/>
    <w:rsid w:val="00EF25E5"/>
    <w:rsid w:val="00EF30CB"/>
    <w:rsid w:val="00EF326B"/>
    <w:rsid w:val="00EF4CB8"/>
    <w:rsid w:val="00EF4E03"/>
    <w:rsid w:val="00EF55DC"/>
    <w:rsid w:val="00EF6141"/>
    <w:rsid w:val="00EF64C6"/>
    <w:rsid w:val="00EF65D5"/>
    <w:rsid w:val="00EF78CF"/>
    <w:rsid w:val="00EF7F22"/>
    <w:rsid w:val="00F00249"/>
    <w:rsid w:val="00F007E9"/>
    <w:rsid w:val="00F00A4D"/>
    <w:rsid w:val="00F011E8"/>
    <w:rsid w:val="00F01208"/>
    <w:rsid w:val="00F01B10"/>
    <w:rsid w:val="00F01D4D"/>
    <w:rsid w:val="00F0209C"/>
    <w:rsid w:val="00F0228C"/>
    <w:rsid w:val="00F034B7"/>
    <w:rsid w:val="00F046CB"/>
    <w:rsid w:val="00F053B3"/>
    <w:rsid w:val="00F0540E"/>
    <w:rsid w:val="00F05B77"/>
    <w:rsid w:val="00F06004"/>
    <w:rsid w:val="00F06A2A"/>
    <w:rsid w:val="00F07045"/>
    <w:rsid w:val="00F071FD"/>
    <w:rsid w:val="00F07A0D"/>
    <w:rsid w:val="00F07E79"/>
    <w:rsid w:val="00F1023D"/>
    <w:rsid w:val="00F1043E"/>
    <w:rsid w:val="00F11AC8"/>
    <w:rsid w:val="00F11C95"/>
    <w:rsid w:val="00F11C9A"/>
    <w:rsid w:val="00F124D6"/>
    <w:rsid w:val="00F12C09"/>
    <w:rsid w:val="00F13322"/>
    <w:rsid w:val="00F1340A"/>
    <w:rsid w:val="00F135C2"/>
    <w:rsid w:val="00F14103"/>
    <w:rsid w:val="00F14C0E"/>
    <w:rsid w:val="00F16843"/>
    <w:rsid w:val="00F16E24"/>
    <w:rsid w:val="00F16E4E"/>
    <w:rsid w:val="00F20B7C"/>
    <w:rsid w:val="00F222E6"/>
    <w:rsid w:val="00F22631"/>
    <w:rsid w:val="00F2293C"/>
    <w:rsid w:val="00F23651"/>
    <w:rsid w:val="00F23A13"/>
    <w:rsid w:val="00F23ABA"/>
    <w:rsid w:val="00F23EF8"/>
    <w:rsid w:val="00F24A0C"/>
    <w:rsid w:val="00F24D99"/>
    <w:rsid w:val="00F25548"/>
    <w:rsid w:val="00F25C85"/>
    <w:rsid w:val="00F26045"/>
    <w:rsid w:val="00F26197"/>
    <w:rsid w:val="00F26D43"/>
    <w:rsid w:val="00F276DF"/>
    <w:rsid w:val="00F277F9"/>
    <w:rsid w:val="00F30F16"/>
    <w:rsid w:val="00F30F1A"/>
    <w:rsid w:val="00F313F0"/>
    <w:rsid w:val="00F32453"/>
    <w:rsid w:val="00F333B1"/>
    <w:rsid w:val="00F3348B"/>
    <w:rsid w:val="00F34BA4"/>
    <w:rsid w:val="00F35427"/>
    <w:rsid w:val="00F3593D"/>
    <w:rsid w:val="00F36F6C"/>
    <w:rsid w:val="00F37626"/>
    <w:rsid w:val="00F40020"/>
    <w:rsid w:val="00F4074B"/>
    <w:rsid w:val="00F40E87"/>
    <w:rsid w:val="00F4282F"/>
    <w:rsid w:val="00F4513D"/>
    <w:rsid w:val="00F45334"/>
    <w:rsid w:val="00F46C25"/>
    <w:rsid w:val="00F46CB6"/>
    <w:rsid w:val="00F4751E"/>
    <w:rsid w:val="00F4766E"/>
    <w:rsid w:val="00F47E17"/>
    <w:rsid w:val="00F51460"/>
    <w:rsid w:val="00F51D9E"/>
    <w:rsid w:val="00F51DCB"/>
    <w:rsid w:val="00F52624"/>
    <w:rsid w:val="00F52CE7"/>
    <w:rsid w:val="00F5388C"/>
    <w:rsid w:val="00F53D64"/>
    <w:rsid w:val="00F547EC"/>
    <w:rsid w:val="00F562FE"/>
    <w:rsid w:val="00F56761"/>
    <w:rsid w:val="00F57E76"/>
    <w:rsid w:val="00F57F28"/>
    <w:rsid w:val="00F607B6"/>
    <w:rsid w:val="00F619E5"/>
    <w:rsid w:val="00F623A8"/>
    <w:rsid w:val="00F63565"/>
    <w:rsid w:val="00F63F60"/>
    <w:rsid w:val="00F6410F"/>
    <w:rsid w:val="00F64F21"/>
    <w:rsid w:val="00F65A3A"/>
    <w:rsid w:val="00F66235"/>
    <w:rsid w:val="00F66377"/>
    <w:rsid w:val="00F71159"/>
    <w:rsid w:val="00F71864"/>
    <w:rsid w:val="00F73153"/>
    <w:rsid w:val="00F7370C"/>
    <w:rsid w:val="00F73964"/>
    <w:rsid w:val="00F73A15"/>
    <w:rsid w:val="00F73F47"/>
    <w:rsid w:val="00F7429E"/>
    <w:rsid w:val="00F75A8D"/>
    <w:rsid w:val="00F762CB"/>
    <w:rsid w:val="00F7676F"/>
    <w:rsid w:val="00F7701B"/>
    <w:rsid w:val="00F770DC"/>
    <w:rsid w:val="00F8009A"/>
    <w:rsid w:val="00F8140C"/>
    <w:rsid w:val="00F82020"/>
    <w:rsid w:val="00F822D4"/>
    <w:rsid w:val="00F83655"/>
    <w:rsid w:val="00F83AE2"/>
    <w:rsid w:val="00F84790"/>
    <w:rsid w:val="00F84BDD"/>
    <w:rsid w:val="00F84C06"/>
    <w:rsid w:val="00F8681E"/>
    <w:rsid w:val="00F86CBC"/>
    <w:rsid w:val="00F87851"/>
    <w:rsid w:val="00F90183"/>
    <w:rsid w:val="00F91292"/>
    <w:rsid w:val="00F92242"/>
    <w:rsid w:val="00F925F0"/>
    <w:rsid w:val="00F92E63"/>
    <w:rsid w:val="00F945C6"/>
    <w:rsid w:val="00F94C4F"/>
    <w:rsid w:val="00F94CA7"/>
    <w:rsid w:val="00F95253"/>
    <w:rsid w:val="00F95406"/>
    <w:rsid w:val="00F954E0"/>
    <w:rsid w:val="00F96431"/>
    <w:rsid w:val="00F9705C"/>
    <w:rsid w:val="00FA0BE6"/>
    <w:rsid w:val="00FA10FF"/>
    <w:rsid w:val="00FA1573"/>
    <w:rsid w:val="00FA1F80"/>
    <w:rsid w:val="00FA25E7"/>
    <w:rsid w:val="00FA3650"/>
    <w:rsid w:val="00FA3A95"/>
    <w:rsid w:val="00FA3B57"/>
    <w:rsid w:val="00FA4E0F"/>
    <w:rsid w:val="00FA52B8"/>
    <w:rsid w:val="00FA59EB"/>
    <w:rsid w:val="00FA5AB1"/>
    <w:rsid w:val="00FA5BD9"/>
    <w:rsid w:val="00FA617C"/>
    <w:rsid w:val="00FA6ED8"/>
    <w:rsid w:val="00FA6F7A"/>
    <w:rsid w:val="00FA7752"/>
    <w:rsid w:val="00FA777C"/>
    <w:rsid w:val="00FA7902"/>
    <w:rsid w:val="00FA7D98"/>
    <w:rsid w:val="00FB0570"/>
    <w:rsid w:val="00FB0826"/>
    <w:rsid w:val="00FB0938"/>
    <w:rsid w:val="00FB16B7"/>
    <w:rsid w:val="00FB2B30"/>
    <w:rsid w:val="00FB2E25"/>
    <w:rsid w:val="00FB4E41"/>
    <w:rsid w:val="00FB4F69"/>
    <w:rsid w:val="00FB5493"/>
    <w:rsid w:val="00FB6E78"/>
    <w:rsid w:val="00FB7282"/>
    <w:rsid w:val="00FB740C"/>
    <w:rsid w:val="00FB7C13"/>
    <w:rsid w:val="00FC03CF"/>
    <w:rsid w:val="00FC10C0"/>
    <w:rsid w:val="00FC1233"/>
    <w:rsid w:val="00FC1409"/>
    <w:rsid w:val="00FC1CA1"/>
    <w:rsid w:val="00FC208B"/>
    <w:rsid w:val="00FC4FBC"/>
    <w:rsid w:val="00FC5131"/>
    <w:rsid w:val="00FC65D7"/>
    <w:rsid w:val="00FC6F20"/>
    <w:rsid w:val="00FC7AB8"/>
    <w:rsid w:val="00FC7E33"/>
    <w:rsid w:val="00FC7E54"/>
    <w:rsid w:val="00FD005D"/>
    <w:rsid w:val="00FD0A00"/>
    <w:rsid w:val="00FD0B84"/>
    <w:rsid w:val="00FD30BA"/>
    <w:rsid w:val="00FD3590"/>
    <w:rsid w:val="00FD38C2"/>
    <w:rsid w:val="00FD3963"/>
    <w:rsid w:val="00FD43F3"/>
    <w:rsid w:val="00FD45AE"/>
    <w:rsid w:val="00FD51F2"/>
    <w:rsid w:val="00FD5438"/>
    <w:rsid w:val="00FD54D0"/>
    <w:rsid w:val="00FD58DA"/>
    <w:rsid w:val="00FD5FD6"/>
    <w:rsid w:val="00FD686E"/>
    <w:rsid w:val="00FD6C77"/>
    <w:rsid w:val="00FE15DF"/>
    <w:rsid w:val="00FE222F"/>
    <w:rsid w:val="00FE3AE8"/>
    <w:rsid w:val="00FE402F"/>
    <w:rsid w:val="00FE4298"/>
    <w:rsid w:val="00FE7938"/>
    <w:rsid w:val="00FF16DB"/>
    <w:rsid w:val="00FF2AC1"/>
    <w:rsid w:val="00FF2F36"/>
    <w:rsid w:val="00FF33EF"/>
    <w:rsid w:val="00FF3BED"/>
    <w:rsid w:val="00FF4BDA"/>
    <w:rsid w:val="00FF607F"/>
    <w:rsid w:val="00FF61BC"/>
    <w:rsid w:val="00FF7C2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29E7991"/>
  <w15:docId w15:val="{1B2C6EBA-8D66-473C-9B23-63B11CFE59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1" w:qFormat="1"/>
    <w:lsdException w:name="heading 3" w:uiPriority="1" w:qFormat="1"/>
    <w:lsdException w:name="heading 4" w:uiPriority="0" w:qFormat="1"/>
    <w:lsdException w:name="heading 5" w:uiPriority="1"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2"/>
    <w:lsdException w:name="Colorful List Accent 3" w:uiPriority="67"/>
    <w:lsdException w:name="Colorful Grid Accent 3" w:uiPriority="68"/>
    <w:lsdException w:name="Light Shading Accent 4" w:uiPriority="69"/>
    <w:lsdException w:name="Light List Accent 4" w:uiPriority="66"/>
    <w:lsdException w:name="Light Grid Accent 4" w:uiPriority="67"/>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7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9"/>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0" w:qFormat="1"/>
    <w:lsdException w:name="Medium List 2 Accent 6" w:uiPriority="21" w:qFormat="1"/>
    <w:lsdException w:name="Medium Grid 1 Accent 6" w:uiPriority="0"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4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3950"/>
    <w:rPr>
      <w:lang w:val="en-GB"/>
    </w:rPr>
  </w:style>
  <w:style w:type="paragraph" w:styleId="Heading1">
    <w:name w:val="heading 1"/>
    <w:basedOn w:val="Normal"/>
    <w:next w:val="Normal"/>
    <w:link w:val="Heading1Char"/>
    <w:uiPriority w:val="9"/>
    <w:qFormat/>
    <w:rsid w:val="00E43950"/>
    <w:pPr>
      <w:keepNext/>
      <w:keepLines/>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Heading2">
    <w:name w:val="heading 2"/>
    <w:aliases w:val="h2,Paranum,Chpt,Titolo 2"/>
    <w:basedOn w:val="Normal"/>
    <w:next w:val="Normal"/>
    <w:link w:val="Heading2Char"/>
    <w:uiPriority w:val="1"/>
    <w:unhideWhenUsed/>
    <w:qFormat/>
    <w:rsid w:val="00E43950"/>
    <w:pPr>
      <w:keepNext/>
      <w:keepLines/>
      <w:spacing w:before="360" w:after="0"/>
      <w:outlineLvl w:val="1"/>
    </w:pPr>
    <w:rPr>
      <w:rFonts w:asciiTheme="majorHAnsi" w:eastAsiaTheme="majorEastAsia" w:hAnsiTheme="majorHAnsi" w:cstheme="majorBidi"/>
      <w:b/>
      <w:bCs/>
      <w:smallCaps/>
      <w:color w:val="000000" w:themeColor="text1"/>
      <w:sz w:val="28"/>
      <w:szCs w:val="28"/>
    </w:rPr>
  </w:style>
  <w:style w:type="paragraph" w:styleId="Heading3">
    <w:name w:val="heading 3"/>
    <w:aliases w:val="h3 sub heading,Heading 3 Char"/>
    <w:basedOn w:val="Normal"/>
    <w:next w:val="Normal"/>
    <w:uiPriority w:val="1"/>
    <w:unhideWhenUsed/>
    <w:qFormat/>
    <w:rsid w:val="00E43950"/>
    <w:pPr>
      <w:keepNext/>
      <w:keepLines/>
      <w:spacing w:before="200" w:after="0"/>
      <w:outlineLvl w:val="2"/>
    </w:pPr>
    <w:rPr>
      <w:rFonts w:asciiTheme="majorHAnsi" w:eastAsiaTheme="majorEastAsia" w:hAnsiTheme="majorHAnsi" w:cstheme="majorBidi"/>
      <w:b/>
      <w:bCs/>
      <w:color w:val="000000" w:themeColor="text1"/>
    </w:rPr>
  </w:style>
  <w:style w:type="paragraph" w:styleId="Heading4">
    <w:name w:val="heading 4"/>
    <w:aliases w:val="Sub-Clause Sub-paragraph, Sub-Clause Sub-paragraph,ClauseSubSub_No&amp;Name"/>
    <w:basedOn w:val="Normal"/>
    <w:next w:val="Normal"/>
    <w:link w:val="Heading4Char"/>
    <w:unhideWhenUsed/>
    <w:qFormat/>
    <w:rsid w:val="00E43950"/>
    <w:pPr>
      <w:keepNext/>
      <w:keepLines/>
      <w:spacing w:before="200" w:after="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1"/>
    <w:unhideWhenUsed/>
    <w:qFormat/>
    <w:rsid w:val="00E43950"/>
    <w:pPr>
      <w:keepNext/>
      <w:keepLines/>
      <w:spacing w:before="200" w:after="0"/>
      <w:outlineLvl w:val="4"/>
    </w:pPr>
    <w:rPr>
      <w:rFonts w:asciiTheme="majorHAnsi" w:eastAsiaTheme="majorEastAsia" w:hAnsiTheme="majorHAnsi" w:cstheme="majorBidi"/>
      <w:color w:val="17365D" w:themeColor="text2" w:themeShade="BF"/>
    </w:rPr>
  </w:style>
  <w:style w:type="paragraph" w:styleId="Heading6">
    <w:name w:val="heading 6"/>
    <w:basedOn w:val="Normal"/>
    <w:next w:val="Normal"/>
    <w:link w:val="Heading6Char"/>
    <w:unhideWhenUsed/>
    <w:qFormat/>
    <w:rsid w:val="00E43950"/>
    <w:pPr>
      <w:keepNext/>
      <w:keepLines/>
      <w:spacing w:before="200" w:after="0"/>
      <w:outlineLvl w:val="5"/>
    </w:pPr>
    <w:rPr>
      <w:rFonts w:asciiTheme="majorHAnsi" w:eastAsiaTheme="majorEastAsia" w:hAnsiTheme="majorHAnsi" w:cstheme="majorBidi"/>
      <w:i/>
      <w:iCs/>
      <w:color w:val="17365D" w:themeColor="text2" w:themeShade="BF"/>
    </w:rPr>
  </w:style>
  <w:style w:type="paragraph" w:styleId="Heading7">
    <w:name w:val="heading 7"/>
    <w:basedOn w:val="Normal"/>
    <w:next w:val="Normal"/>
    <w:link w:val="Heading7Char"/>
    <w:unhideWhenUsed/>
    <w:qFormat/>
    <w:rsid w:val="00E4395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E4395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E4395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1">
    <w:name w:val="WW8Num2z1"/>
    <w:rPr>
      <w:rFonts w:ascii="Symbol" w:hAnsi="Symbol"/>
    </w:rPr>
  </w:style>
  <w:style w:type="character" w:customStyle="1" w:styleId="WW8Num3z0">
    <w:name w:val="WW8Num3z0"/>
    <w:rPr>
      <w:rFonts w:ascii="Symbol" w:hAnsi="Symbol"/>
    </w:rPr>
  </w:style>
  <w:style w:type="character" w:customStyle="1" w:styleId="WW8Num4z0">
    <w:name w:val="WW8Num4z0"/>
    <w:rPr>
      <w:rFonts w:ascii="Symbol" w:hAnsi="Symbol"/>
    </w:rPr>
  </w:style>
  <w:style w:type="character" w:customStyle="1" w:styleId="WW8Num5z0">
    <w:name w:val="WW8Num5z0"/>
    <w:rPr>
      <w:rFonts w:ascii="Times New Roman" w:hAnsi="Times New Roman" w:cs="Times New Roman"/>
    </w:rPr>
  </w:style>
  <w:style w:type="character" w:customStyle="1" w:styleId="WW8Num5z1">
    <w:name w:val="WW8Num5z1"/>
    <w:rPr>
      <w:rFonts w:ascii="Symbol" w:hAnsi="Symbol"/>
    </w:rPr>
  </w:style>
  <w:style w:type="character" w:customStyle="1" w:styleId="WW8Num5z4">
    <w:name w:val="WW8Num5z4"/>
    <w:rPr>
      <w:rFonts w:ascii="Courier New" w:hAnsi="Courier New" w:cs="Courier New"/>
    </w:rPr>
  </w:style>
  <w:style w:type="character" w:customStyle="1" w:styleId="WW8Num6z0">
    <w:name w:val="WW8Num6z0"/>
    <w:rPr>
      <w:rFonts w:ascii="Symbol" w:hAnsi="Symbol"/>
    </w:rPr>
  </w:style>
  <w:style w:type="character" w:customStyle="1" w:styleId="WW8Num7z0">
    <w:name w:val="WW8Num7z0"/>
    <w:rPr>
      <w:rFonts w:ascii="Monotype Sorts" w:hAnsi="Monotype Sorts"/>
      <w:b/>
      <w:i w:val="0"/>
      <w:color w:val="6CBE50"/>
      <w:sz w:val="24"/>
    </w:rPr>
  </w:style>
  <w:style w:type="character" w:customStyle="1" w:styleId="WW8Num8z0">
    <w:name w:val="WW8Num8z0"/>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lang w:val="x-none" w:eastAsia="x-none" w:bidi="x-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9z0">
    <w:name w:val="WW8Num9z0"/>
    <w:rPr>
      <w:rFonts w:ascii="Wingdings" w:hAnsi="Wingdings"/>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4z1">
    <w:name w:val="WW8Num4z1"/>
    <w:rPr>
      <w:rFonts w:ascii="Symbol" w:hAnsi="Symbol"/>
    </w:rPr>
  </w:style>
  <w:style w:type="character" w:customStyle="1" w:styleId="WW8Num6z1">
    <w:name w:val="WW8Num6z1"/>
    <w:rPr>
      <w:rFonts w:ascii="Symbol" w:hAnsi="Symbol"/>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9z1">
    <w:name w:val="WW8Num9z1"/>
    <w:rPr>
      <w:rFonts w:ascii="Courier New" w:hAnsi="Courier New" w:cs="Courier New"/>
    </w:rPr>
  </w:style>
  <w:style w:type="character" w:customStyle="1" w:styleId="WW8Num9z3">
    <w:name w:val="WW8Num9z3"/>
    <w:rPr>
      <w:rFonts w:ascii="Symbol" w:hAnsi="Symbol"/>
    </w:rPr>
  </w:style>
  <w:style w:type="character" w:customStyle="1" w:styleId="WW8Num12z0">
    <w:name w:val="WW8Num12z0"/>
    <w:rPr>
      <w:rFonts w:ascii="Wingdings" w:hAnsi="Wingdings"/>
      <w:sz w:val="16"/>
    </w:rPr>
  </w:style>
  <w:style w:type="character" w:customStyle="1" w:styleId="WW8Num13z0">
    <w:name w:val="WW8Num13z0"/>
    <w:rPr>
      <w:rFonts w:ascii="Symbol" w:hAnsi="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5z0">
    <w:name w:val="WW8Num15z0"/>
    <w:rPr>
      <w:rFonts w:ascii="Wingdings" w:hAnsi="Wingdings"/>
      <w:b/>
      <w:i w:val="0"/>
      <w:color w:val="000080"/>
      <w:sz w:val="28"/>
    </w:rPr>
  </w:style>
  <w:style w:type="character" w:customStyle="1" w:styleId="WW8Num16z0">
    <w:name w:val="WW8Num16z0"/>
    <w:rPr>
      <w:rFonts w:ascii="Symbol" w:hAnsi="Symbol" w:cs="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cs="Wingdings"/>
    </w:rPr>
  </w:style>
  <w:style w:type="character" w:customStyle="1" w:styleId="WW8Num17z0">
    <w:name w:val="WW8Num17z0"/>
    <w:rPr>
      <w:rFonts w:ascii="Symbol" w:hAnsi="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rPr>
  </w:style>
  <w:style w:type="character" w:customStyle="1" w:styleId="WW8Num18z0">
    <w:name w:val="WW8Num18z0"/>
    <w:rPr>
      <w:rFonts w:ascii="Wingdings" w:hAnsi="Wingdings"/>
    </w:rPr>
  </w:style>
  <w:style w:type="character" w:customStyle="1" w:styleId="WW8Num18z1">
    <w:name w:val="WW8Num18z1"/>
    <w:rPr>
      <w:rFonts w:ascii="Symbol" w:hAnsi="Symbol"/>
    </w:rPr>
  </w:style>
  <w:style w:type="character" w:customStyle="1" w:styleId="WW8Num18z4">
    <w:name w:val="WW8Num18z4"/>
    <w:rPr>
      <w:rFonts w:ascii="Courier New" w:hAnsi="Courier New" w:cs="Courier New"/>
    </w:rPr>
  </w:style>
  <w:style w:type="character" w:customStyle="1" w:styleId="WW8Num19z0">
    <w:name w:val="WW8Num19z0"/>
    <w:rPr>
      <w:rFonts w:ascii="Symbol" w:hAnsi="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rPr>
  </w:style>
  <w:style w:type="character" w:customStyle="1" w:styleId="WW8Num22z0">
    <w:name w:val="WW8Num22z0"/>
    <w:rPr>
      <w:rFonts w:ascii="Wingdings" w:hAnsi="Wingdings"/>
      <w:color w:val="000080"/>
      <w:sz w:val="20"/>
    </w:rPr>
  </w:style>
  <w:style w:type="character" w:customStyle="1" w:styleId="WW8Num23z0">
    <w:name w:val="WW8Num23z0"/>
    <w:rPr>
      <w:rFonts w:ascii="Wingdings" w:hAnsi="Wingdings"/>
      <w:color w:val="000080"/>
      <w:sz w:val="24"/>
    </w:rPr>
  </w:style>
  <w:style w:type="character" w:customStyle="1" w:styleId="WW8Num24z0">
    <w:name w:val="WW8Num24z0"/>
    <w:rPr>
      <w:rFonts w:ascii="Wingdings" w:hAnsi="Wingdings"/>
      <w:color w:val="auto"/>
    </w:rPr>
  </w:style>
  <w:style w:type="character" w:customStyle="1" w:styleId="WW8Num24z1">
    <w:name w:val="WW8Num24z1"/>
    <w:rPr>
      <w:rFonts w:ascii="Courier New" w:hAnsi="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5z0">
    <w:name w:val="WW8Num25z0"/>
    <w:rPr>
      <w:rFonts w:ascii="Wingdings" w:hAnsi="Wingdings"/>
      <w:sz w:val="20"/>
    </w:rPr>
  </w:style>
  <w:style w:type="character" w:customStyle="1" w:styleId="WW8Num26z0">
    <w:name w:val="WW8Num26z0"/>
    <w:rPr>
      <w:rFonts w:cs="Times New Roman"/>
    </w:rPr>
  </w:style>
  <w:style w:type="character" w:customStyle="1" w:styleId="WW8Num28z0">
    <w:name w:val="WW8Num28z0"/>
    <w:rPr>
      <w:rFonts w:ascii="Symbol" w:hAnsi="Symbol"/>
      <w:sz w:val="16"/>
    </w:rPr>
  </w:style>
  <w:style w:type="character" w:customStyle="1" w:styleId="WW8Num29z0">
    <w:name w:val="WW8Num29z0"/>
    <w:rPr>
      <w:rFonts w:ascii="SymbolMT" w:eastAsia="Times New Roman" w:hAnsi="SymbolMT"/>
    </w:rPr>
  </w:style>
  <w:style w:type="character" w:customStyle="1" w:styleId="WW8Num29z1">
    <w:name w:val="WW8Num29z1"/>
    <w:rPr>
      <w:rFonts w:ascii="Courier New" w:hAnsi="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0z0">
    <w:name w:val="WW8Num30z0"/>
    <w:rPr>
      <w:rFonts w:ascii="Symbol" w:hAnsi="Symbol"/>
      <w:color w:val="auto"/>
    </w:rPr>
  </w:style>
  <w:style w:type="character" w:customStyle="1" w:styleId="WW8Num30z1">
    <w:name w:val="WW8Num30z1"/>
    <w:rPr>
      <w:rFonts w:ascii="Wingdings" w:hAnsi="Wingdings"/>
    </w:rPr>
  </w:style>
  <w:style w:type="character" w:customStyle="1" w:styleId="WW8Num30z3">
    <w:name w:val="WW8Num30z3"/>
    <w:rPr>
      <w:rFonts w:ascii="Symbol" w:hAnsi="Symbol"/>
    </w:rPr>
  </w:style>
  <w:style w:type="character" w:customStyle="1" w:styleId="WW8Num30z4">
    <w:name w:val="WW8Num30z4"/>
    <w:rPr>
      <w:rFonts w:ascii="Courier New" w:hAnsi="Courier New"/>
    </w:rPr>
  </w:style>
  <w:style w:type="character" w:customStyle="1" w:styleId="WW8Num31z0">
    <w:name w:val="WW8Num31z0"/>
    <w:rPr>
      <w:rFonts w:ascii="Monotype Sorts" w:hAnsi="Monotype Sorts"/>
      <w:sz w:val="20"/>
    </w:rPr>
  </w:style>
  <w:style w:type="character" w:customStyle="1" w:styleId="WW8Num32z0">
    <w:name w:val="WW8Num32z0"/>
    <w:rPr>
      <w:rFonts w:ascii="Symbol" w:hAnsi="Symbol"/>
    </w:rPr>
  </w:style>
  <w:style w:type="character" w:customStyle="1" w:styleId="WW8Num32z1">
    <w:name w:val="WW8Num32z1"/>
    <w:rPr>
      <w:rFonts w:ascii="Times New Roman" w:eastAsia="Times New Roman" w:hAnsi="Times New Roman" w:cs="Times New Roman"/>
    </w:rPr>
  </w:style>
  <w:style w:type="character" w:customStyle="1" w:styleId="WW8Num32z2">
    <w:name w:val="WW8Num32z2"/>
    <w:rPr>
      <w:rFonts w:ascii="Wingdings" w:hAnsi="Wingdings"/>
    </w:rPr>
  </w:style>
  <w:style w:type="character" w:customStyle="1" w:styleId="WW8Num32z4">
    <w:name w:val="WW8Num32z4"/>
    <w:rPr>
      <w:rFonts w:ascii="Courier New" w:hAnsi="Courier New" w:cs="Courier New"/>
    </w:rPr>
  </w:style>
  <w:style w:type="character" w:customStyle="1" w:styleId="WW8Num33z0">
    <w:name w:val="WW8Num33z0"/>
    <w:rPr>
      <w:rFonts w:ascii="Courier New" w:hAnsi="Courier New" w:cs="Courier New"/>
    </w:rPr>
  </w:style>
  <w:style w:type="character" w:customStyle="1" w:styleId="WW8Num33z2">
    <w:name w:val="WW8Num33z2"/>
    <w:rPr>
      <w:rFonts w:ascii="Wingdings" w:hAnsi="Wingdings"/>
    </w:rPr>
  </w:style>
  <w:style w:type="character" w:customStyle="1" w:styleId="WW8Num33z3">
    <w:name w:val="WW8Num33z3"/>
    <w:rPr>
      <w:rFonts w:ascii="Symbol" w:hAnsi="Symbol"/>
    </w:rPr>
  </w:style>
  <w:style w:type="character" w:styleId="LineNumber">
    <w:name w:val="line number"/>
    <w:basedOn w:val="DefaultParagraphFont"/>
    <w:semiHidden/>
  </w:style>
  <w:style w:type="character" w:customStyle="1" w:styleId="FootnoteCharacters">
    <w:name w:val="Footnote Characters"/>
    <w:rPr>
      <w:position w:val="3"/>
      <w:sz w:val="16"/>
      <w:szCs w:val="16"/>
    </w:rPr>
  </w:style>
  <w:style w:type="character" w:styleId="PageNumber">
    <w:name w:val="page number"/>
    <w:basedOn w:val="DefaultParagraphFont"/>
  </w:style>
  <w:style w:type="character" w:styleId="Hyperlink">
    <w:name w:val="Hyperlink"/>
    <w:uiPriority w:val="99"/>
    <w:rPr>
      <w:vanish/>
      <w:color w:val="0000FF"/>
      <w:u w:val="single"/>
    </w:rPr>
  </w:style>
  <w:style w:type="character" w:styleId="FollowedHyperlink">
    <w:name w:val="FollowedHyperlink"/>
    <w:uiPriority w:val="99"/>
    <w:rPr>
      <w:vanish/>
      <w:color w:val="800080"/>
      <w:u w:val="single"/>
    </w:rPr>
  </w:style>
  <w:style w:type="character" w:styleId="CommentReference">
    <w:name w:val="annotation reference"/>
    <w:rPr>
      <w:sz w:val="16"/>
      <w:szCs w:val="16"/>
    </w:rPr>
  </w:style>
  <w:style w:type="character" w:customStyle="1" w:styleId="h2Char">
    <w:name w:val="h2 Char"/>
    <w:rPr>
      <w:rFonts w:ascii="Arial" w:hAnsi="Arial"/>
      <w:b/>
      <w:bCs/>
      <w:smallCaps/>
      <w:color w:val="000080"/>
      <w:sz w:val="30"/>
      <w:szCs w:val="30"/>
      <w:lang w:val="fr-FR" w:eastAsia="ar-SA" w:bidi="ar-SA"/>
    </w:rPr>
  </w:style>
  <w:style w:type="character" w:customStyle="1" w:styleId="ToCheckCar">
    <w:name w:val="To Check Car"/>
    <w:rPr>
      <w:rFonts w:ascii="Palatino Linotype" w:hAnsi="Palatino Linotype"/>
      <w:b/>
      <w:bCs/>
      <w:color w:val="FF0000"/>
      <w:sz w:val="32"/>
      <w:szCs w:val="22"/>
      <w:lang w:val="fr-FR" w:eastAsia="ar-SA" w:bidi="ar-SA"/>
    </w:rPr>
  </w:style>
  <w:style w:type="character" w:customStyle="1" w:styleId="ztitreCar">
    <w:name w:val="ztitre Car"/>
    <w:rPr>
      <w:rFonts w:ascii="Arial" w:hAnsi="Arial"/>
      <w:sz w:val="24"/>
      <w:szCs w:val="24"/>
      <w:lang w:val="fr-FR" w:eastAsia="ar-SA" w:bidi="ar-SA"/>
    </w:rPr>
  </w:style>
  <w:style w:type="character" w:customStyle="1" w:styleId="CharChar1">
    <w:name w:val="Char Char1"/>
    <w:rPr>
      <w:rFonts w:ascii="Century Gothic" w:hAnsi="Century Gothic"/>
      <w:b/>
      <w:bCs/>
      <w:color w:val="808080"/>
      <w:sz w:val="26"/>
      <w:szCs w:val="26"/>
      <w:lang w:val="fr-FR" w:eastAsia="ar-SA" w:bidi="ar-SA"/>
      <w14:shadow w14:blurRad="50800" w14:dist="38100" w14:dir="2700000" w14:sx="100000" w14:sy="100000" w14:kx="0" w14:ky="0" w14:algn="tl">
        <w14:srgbClr w14:val="000000">
          <w14:alpha w14:val="60000"/>
        </w14:srgbClr>
      </w14:shadow>
    </w:rPr>
  </w:style>
  <w:style w:type="character" w:customStyle="1" w:styleId="h3subheadingCharChar">
    <w:name w:val="h3 sub heading Char Char"/>
    <w:rPr>
      <w:rFonts w:ascii="Arial" w:hAnsi="Arial" w:cs="Arial"/>
      <w:b/>
      <w:bCs/>
      <w:sz w:val="26"/>
      <w:szCs w:val="26"/>
      <w:lang w:val="en-GB" w:eastAsia="ar-SA" w:bidi="ar-SA"/>
    </w:rPr>
  </w:style>
  <w:style w:type="character" w:customStyle="1" w:styleId="CharChar">
    <w:name w:val="Char Char"/>
    <w:aliases w:val="ADB Char,Boston 10 Char,FOOTNOTES Char,Font: Geneva 9 Char,Footnote Text Char Char Char Char,Footnote Text Char1 Char Char,Footnote Text Char2 Char,Footnote Text Char2 Char Char Char Char,Footnote text Char,f Char,A Char,ADB Char1,C Char"/>
    <w:qFormat/>
    <w:rsid w:val="00090A3B"/>
    <w:rPr>
      <w:sz w:val="24"/>
      <w:szCs w:val="24"/>
      <w:lang w:val="en-GB" w:eastAsia="ar-SA" w:bidi="ar-SA"/>
    </w:rPr>
  </w:style>
  <w:style w:type="character" w:styleId="HTMLTypewriter">
    <w:name w:val="HTML Typewriter"/>
    <w:semiHidden/>
    <w:rPr>
      <w:rFonts w:ascii="Courier New" w:eastAsia="Times New Roman" w:hAnsi="Courier New" w:cs="Courier New"/>
      <w:sz w:val="20"/>
      <w:szCs w:val="20"/>
    </w:rPr>
  </w:style>
  <w:style w:type="character" w:customStyle="1" w:styleId="yshortcuts">
    <w:name w:val="yshortcuts"/>
    <w:basedOn w:val="DefaultParagraphFont"/>
  </w:style>
  <w:style w:type="character" w:customStyle="1" w:styleId="Bullet1Char">
    <w:name w:val="Bullet1 Char"/>
    <w:rPr>
      <w:rFonts w:ascii="Palatino Linotype" w:hAnsi="Palatino Linotype"/>
      <w:bCs/>
      <w:sz w:val="22"/>
      <w:szCs w:val="24"/>
      <w:lang w:val="en-GB" w:eastAsia="ar-SA" w:bidi="ar-SA"/>
    </w:rPr>
  </w:style>
  <w:style w:type="character" w:customStyle="1" w:styleId="NumberingiChar">
    <w:name w:val="Numbering i. Char"/>
    <w:rPr>
      <w:sz w:val="24"/>
      <w:szCs w:val="24"/>
      <w:lang w:val="en-US" w:eastAsia="ar-SA" w:bidi="ar-SA"/>
    </w:rPr>
  </w:style>
  <w:style w:type="character" w:customStyle="1" w:styleId="Numbering2Char">
    <w:name w:val="Numbering 2 Char"/>
    <w:rPr>
      <w:sz w:val="24"/>
      <w:szCs w:val="24"/>
      <w:lang w:val="en-US" w:eastAsia="ar-SA" w:bidi="ar-SA"/>
    </w:rPr>
  </w:style>
  <w:style w:type="character" w:customStyle="1" w:styleId="ListParagraphChar">
    <w:name w:val="List Paragraph Char"/>
    <w:aliases w:val="Bullets Char,Akapit z listą BS Char,Bullet spaced Char,List Paragraph (numbered (a)) Char,List Paragraph 1 Char,List Paragraph1 Char,List_Paragraph Char,Main numbered paragraph Char,Multilevel para_II Char,NUMBERED PARAGRAPH Char"/>
    <w:uiPriority w:val="34"/>
    <w:qFormat/>
    <w:rPr>
      <w:rFonts w:eastAsia="Calibri"/>
      <w:sz w:val="24"/>
      <w:szCs w:val="24"/>
      <w:lang w:val="en-GB" w:eastAsia="ar-SA" w:bidi="ar-SA"/>
    </w:rPr>
  </w:style>
  <w:style w:type="character" w:customStyle="1" w:styleId="NumberingChar">
    <w:name w:val="Numbering Char"/>
    <w:rPr>
      <w:rFonts w:eastAsia="Calibri"/>
      <w:sz w:val="24"/>
      <w:szCs w:val="24"/>
      <w:lang w:val="en-US" w:eastAsia="ar-SA" w:bidi="ar-SA"/>
    </w:rPr>
  </w:style>
  <w:style w:type="character" w:customStyle="1" w:styleId="singlespaceChar">
    <w:name w:val="single space Char"/>
    <w:aliases w:val="fn Char,ADB Char Char,Footnote Text Char1 Char Char Char Char,Footnote Text Char1 Char1 Char,Footnote Text Char2 Char Char Char,Footnote text Char Char,fn Знак Char1"/>
    <w:uiPriority w:val="99"/>
    <w:rPr>
      <w:sz w:val="18"/>
      <w:szCs w:val="18"/>
      <w:lang w:val="en-US" w:eastAsia="ar-SA" w:bidi="ar-SA"/>
    </w:rPr>
  </w:style>
  <w:style w:type="character" w:styleId="Strong">
    <w:name w:val="Strong"/>
    <w:basedOn w:val="DefaultParagraphFont"/>
    <w:qFormat/>
    <w:rsid w:val="00E43950"/>
    <w:rPr>
      <w:b/>
      <w:bCs/>
      <w:color w:val="000000" w:themeColor="text1"/>
    </w:rPr>
  </w:style>
  <w:style w:type="character" w:customStyle="1" w:styleId="Bullets2Char">
    <w:name w:val="Bullets2 Char"/>
    <w:rPr>
      <w:rFonts w:ascii="Palatino Linotype" w:eastAsia="Calibri" w:hAnsi="Palatino Linotype"/>
      <w:sz w:val="22"/>
      <w:szCs w:val="24"/>
      <w:lang w:val="en-GB" w:eastAsia="ar-SA" w:bidi="ar-SA"/>
    </w:rPr>
  </w:style>
  <w:style w:type="character" w:customStyle="1" w:styleId="FooterChar">
    <w:name w:val="Footer Char"/>
    <w:rPr>
      <w:rFonts w:ascii="Arial" w:hAnsi="Arial"/>
      <w:lang w:val="fr-FR"/>
    </w:rPr>
  </w:style>
  <w:style w:type="character" w:styleId="FootnoteReference">
    <w:name w:val="footnote reference"/>
    <w:aliases w:val="ftref,16 Point,Footnote Reference Number,Footnote Reference_LVL6,Footnote Reference_LVL61,Footnote Reference_LVL62,Footnote Reference_LVL63,Footnote Reference_LVL64,SUPERS,Superscript 6 Point,fr,Знак сноски-FN, BVI fnr,BVI fnr,Ref,f,R"/>
    <w:link w:val="CarattereCarattereCharCharCharCharCharCharZchn"/>
    <w:uiPriority w:val="99"/>
    <w:qFormat/>
    <w:rPr>
      <w:vertAlign w:val="superscript"/>
    </w:rPr>
  </w:style>
  <w:style w:type="character" w:customStyle="1" w:styleId="EndnoteCharacters">
    <w:name w:val="Endnote Characters"/>
    <w:rPr>
      <w:vertAlign w:val="superscript"/>
    </w:rPr>
  </w:style>
  <w:style w:type="character" w:customStyle="1" w:styleId="WW-EndnoteCharacters">
    <w:name w:val="WW-Endnote Characters"/>
  </w:style>
  <w:style w:type="character" w:styleId="EndnoteReference">
    <w:name w:val="endnote reference"/>
    <w:uiPriority w:val="99"/>
    <w:semiHidden/>
    <w:rPr>
      <w:vertAlign w:val="superscript"/>
    </w:rPr>
  </w:style>
  <w:style w:type="paragraph" w:customStyle="1" w:styleId="Heading">
    <w:name w:val="Heading"/>
    <w:basedOn w:val="Normal"/>
    <w:next w:val="BodyText"/>
    <w:pPr>
      <w:keepNext/>
      <w:spacing w:before="240"/>
    </w:pPr>
    <w:rPr>
      <w:rFonts w:eastAsia="MS Mincho" w:cs="Tahoma"/>
      <w:sz w:val="28"/>
      <w:szCs w:val="28"/>
    </w:rPr>
  </w:style>
  <w:style w:type="paragraph" w:styleId="BodyText">
    <w:name w:val="Body Text"/>
    <w:aliases w:val="Body Text bullets,(Main Text),date,Body Text (Main text)"/>
    <w:basedOn w:val="Normal"/>
    <w:link w:val="BodyTextChar"/>
    <w:qFormat/>
    <w:rPr>
      <w:rFonts w:ascii="TimesNewRomanPSMT" w:hAnsi="TimesNewRomanPSMT" w:cs="Times New Roman"/>
      <w:bCs/>
      <w:color w:val="000000"/>
      <w:lang w:val="x-none"/>
    </w:rPr>
  </w:style>
  <w:style w:type="paragraph" w:styleId="List">
    <w:name w:val="List"/>
    <w:basedOn w:val="BodyText"/>
    <w:rPr>
      <w:rFonts w:cs="Tahoma"/>
    </w:rPr>
  </w:style>
  <w:style w:type="paragraph" w:styleId="Caption">
    <w:name w:val="caption"/>
    <w:aliases w:val="Caption Char Char Char,Caption1,Caption1 Char,Figure Head,Figure Head Znak,Figure Head Znak Znak,Table title,WB Caption"/>
    <w:basedOn w:val="Normal"/>
    <w:next w:val="Normal"/>
    <w:link w:val="CaptionChar"/>
    <w:unhideWhenUsed/>
    <w:qFormat/>
    <w:rsid w:val="00E43950"/>
    <w:pPr>
      <w:spacing w:after="200" w:line="240" w:lineRule="auto"/>
    </w:pPr>
    <w:rPr>
      <w:i/>
      <w:iCs/>
      <w:color w:val="1F497D" w:themeColor="text2"/>
      <w:sz w:val="18"/>
      <w:szCs w:val="18"/>
    </w:rPr>
  </w:style>
  <w:style w:type="paragraph" w:customStyle="1" w:styleId="Index">
    <w:name w:val="Index"/>
    <w:basedOn w:val="Normal"/>
    <w:pPr>
      <w:suppressLineNumbers/>
    </w:pPr>
    <w:rPr>
      <w:rFonts w:cs="Tahoma"/>
    </w:rPr>
  </w:style>
  <w:style w:type="paragraph" w:customStyle="1" w:styleId="ztitre">
    <w:name w:val="ztitre"/>
    <w:next w:val="Normal"/>
    <w:pPr>
      <w:keepNext/>
      <w:keepLines/>
      <w:tabs>
        <w:tab w:val="left" w:pos="567"/>
      </w:tabs>
      <w:suppressAutoHyphens/>
      <w:spacing w:before="240" w:after="180"/>
      <w:ind w:left="720" w:hanging="360"/>
      <w:jc w:val="both"/>
    </w:pPr>
    <w:rPr>
      <w:rFonts w:ascii="Arial" w:eastAsia="Arial" w:hAnsi="Arial" w:cs="Tms Rmn"/>
      <w:sz w:val="24"/>
      <w:szCs w:val="24"/>
      <w:lang w:val="fr-FR" w:eastAsia="ar-SA"/>
    </w:rPr>
  </w:style>
  <w:style w:type="paragraph" w:customStyle="1" w:styleId="znormal">
    <w:name w:val="znormal"/>
    <w:pPr>
      <w:suppressAutoHyphens/>
      <w:spacing w:after="180"/>
      <w:ind w:left="720" w:hanging="360"/>
      <w:jc w:val="both"/>
    </w:pPr>
    <w:rPr>
      <w:rFonts w:eastAsia="Arial" w:cs="Tms Rmn"/>
      <w:sz w:val="24"/>
      <w:szCs w:val="24"/>
      <w:lang w:val="fr-FR" w:eastAsia="ar-SA"/>
    </w:rPr>
  </w:style>
  <w:style w:type="paragraph" w:customStyle="1" w:styleId="ps">
    <w:name w:val="ps"/>
    <w:basedOn w:val="znormal"/>
    <w:pPr>
      <w:keepLines/>
      <w:spacing w:before="240" w:after="0"/>
    </w:pPr>
    <w:rPr>
      <w:rFonts w:ascii="Palatino Linotype" w:hAnsi="Palatino Linotype"/>
      <w:sz w:val="22"/>
      <w:szCs w:val="22"/>
    </w:rPr>
  </w:style>
  <w:style w:type="paragraph" w:styleId="TOC4">
    <w:name w:val="toc 4"/>
    <w:basedOn w:val="Normal"/>
    <w:uiPriority w:val="39"/>
    <w:pPr>
      <w:spacing w:after="0"/>
      <w:ind w:left="660"/>
    </w:pPr>
    <w:rPr>
      <w:rFonts w:ascii="Calibri" w:hAnsi="Calibri"/>
      <w:bCs/>
      <w:sz w:val="18"/>
      <w:szCs w:val="18"/>
    </w:rPr>
  </w:style>
  <w:style w:type="paragraph" w:styleId="TOC3">
    <w:name w:val="toc 3"/>
    <w:basedOn w:val="Normal"/>
    <w:uiPriority w:val="39"/>
    <w:pPr>
      <w:spacing w:after="0"/>
      <w:ind w:left="440"/>
    </w:pPr>
    <w:rPr>
      <w:rFonts w:ascii="Calibri" w:hAnsi="Calibri"/>
      <w:bCs/>
      <w:i/>
      <w:iCs/>
      <w:sz w:val="20"/>
    </w:rPr>
  </w:style>
  <w:style w:type="paragraph" w:styleId="TOC2">
    <w:name w:val="toc 2"/>
    <w:basedOn w:val="Normal"/>
    <w:next w:val="Normal"/>
    <w:uiPriority w:val="39"/>
    <w:qFormat/>
    <w:pPr>
      <w:spacing w:after="0"/>
      <w:ind w:left="220"/>
    </w:pPr>
    <w:rPr>
      <w:rFonts w:ascii="Calibri" w:hAnsi="Calibri"/>
      <w:bCs/>
      <w:smallCaps/>
      <w:sz w:val="20"/>
    </w:rPr>
  </w:style>
  <w:style w:type="paragraph" w:styleId="TOC1">
    <w:name w:val="toc 1"/>
    <w:basedOn w:val="ztitre"/>
    <w:next w:val="Normal"/>
    <w:uiPriority w:val="39"/>
    <w:qFormat/>
    <w:pPr>
      <w:keepNext w:val="0"/>
      <w:keepLines w:val="0"/>
      <w:tabs>
        <w:tab w:val="clear" w:pos="567"/>
      </w:tabs>
      <w:spacing w:before="120" w:after="120"/>
      <w:ind w:left="0" w:firstLine="0"/>
      <w:jc w:val="left"/>
    </w:pPr>
    <w:rPr>
      <w:rFonts w:ascii="Calibri" w:eastAsia="Times New Roman" w:hAnsi="Calibri"/>
      <w:b/>
      <w:bCs/>
      <w:caps/>
      <w:sz w:val="20"/>
      <w:szCs w:val="20"/>
      <w:lang w:val="en-US"/>
    </w:rPr>
  </w:style>
  <w:style w:type="paragraph" w:customStyle="1" w:styleId="zcellule">
    <w:name w:val="zcellule"/>
    <w:pPr>
      <w:keepLines/>
      <w:suppressAutoHyphens/>
      <w:spacing w:before="80" w:after="80"/>
      <w:ind w:left="720" w:hanging="360"/>
      <w:jc w:val="both"/>
    </w:pPr>
    <w:rPr>
      <w:rFonts w:ascii="Arial" w:eastAsia="Arial" w:hAnsi="Arial" w:cs="Tms Rmn"/>
      <w:lang w:val="fr-FR" w:eastAsia="ar-SA"/>
    </w:rPr>
  </w:style>
  <w:style w:type="paragraph" w:styleId="Footer">
    <w:name w:val="footer"/>
    <w:basedOn w:val="zcellule"/>
    <w:pPr>
      <w:tabs>
        <w:tab w:val="right" w:pos="8788"/>
      </w:tabs>
    </w:pPr>
    <w:rPr>
      <w:rFonts w:cs="Arial"/>
      <w:sz w:val="18"/>
      <w:szCs w:val="18"/>
      <w:lang w:val="en-GB"/>
    </w:rPr>
  </w:style>
  <w:style w:type="paragraph" w:styleId="Header">
    <w:name w:val="header"/>
    <w:aliases w:val="Char"/>
    <w:basedOn w:val="zcellule"/>
    <w:link w:val="HeaderChar"/>
    <w:pPr>
      <w:pBdr>
        <w:bottom w:val="single" w:sz="4" w:space="6" w:color="000000"/>
      </w:pBdr>
      <w:spacing w:after="240"/>
    </w:pPr>
    <w:rPr>
      <w:rFonts w:cs="Times New Roman"/>
      <w:i/>
      <w:iCs/>
    </w:rPr>
  </w:style>
  <w:style w:type="paragraph" w:customStyle="1" w:styleId="cc">
    <w:name w:val="cc"/>
    <w:basedOn w:val="zcellule"/>
    <w:pPr>
      <w:jc w:val="center"/>
    </w:pPr>
  </w:style>
  <w:style w:type="paragraph" w:customStyle="1" w:styleId="cea">
    <w:name w:val="cea"/>
    <w:basedOn w:val="zcellule"/>
    <w:pPr>
      <w:ind w:left="0" w:firstLine="0"/>
    </w:pPr>
  </w:style>
  <w:style w:type="paragraph" w:customStyle="1" w:styleId="ceb">
    <w:name w:val="ceb"/>
    <w:basedOn w:val="cea"/>
    <w:pPr>
      <w:tabs>
        <w:tab w:val="left" w:pos="709"/>
      </w:tabs>
      <w:ind w:left="369"/>
    </w:pPr>
  </w:style>
  <w:style w:type="paragraph" w:customStyle="1" w:styleId="cg">
    <w:name w:val="cg"/>
    <w:basedOn w:val="zcellule"/>
  </w:style>
  <w:style w:type="paragraph" w:customStyle="1" w:styleId="ta">
    <w:name w:val="ta"/>
    <w:basedOn w:val="ztitre"/>
    <w:next w:val="ps"/>
    <w:pPr>
      <w:spacing w:after="1080"/>
      <w:jc w:val="center"/>
    </w:pPr>
    <w:rPr>
      <w:b/>
      <w:bCs/>
      <w:caps/>
      <w:sz w:val="32"/>
      <w:szCs w:val="32"/>
    </w:rPr>
  </w:style>
  <w:style w:type="paragraph" w:customStyle="1" w:styleId="ea">
    <w:name w:val="ea"/>
    <w:basedOn w:val="znormal"/>
    <w:pPr>
      <w:keepLines/>
      <w:spacing w:before="120" w:after="0"/>
      <w:ind w:left="0" w:firstLine="0"/>
    </w:pPr>
    <w:rPr>
      <w:rFonts w:ascii="Palatino Linotype" w:hAnsi="Palatino Linotype"/>
      <w:sz w:val="22"/>
      <w:szCs w:val="22"/>
    </w:rPr>
  </w:style>
  <w:style w:type="paragraph" w:customStyle="1" w:styleId="eb">
    <w:name w:val="eb"/>
    <w:basedOn w:val="znormal"/>
    <w:pPr>
      <w:keepLines/>
      <w:tabs>
        <w:tab w:val="left" w:pos="680"/>
      </w:tabs>
      <w:spacing w:before="60" w:after="0"/>
      <w:ind w:left="349" w:firstLine="0"/>
    </w:pPr>
    <w:rPr>
      <w:rFonts w:ascii="Palatino Linotype" w:hAnsi="Palatino Linotype"/>
      <w:sz w:val="22"/>
      <w:szCs w:val="22"/>
    </w:rPr>
  </w:style>
  <w:style w:type="paragraph" w:customStyle="1" w:styleId="ec">
    <w:name w:val="ec"/>
    <w:basedOn w:val="znormal"/>
    <w:pPr>
      <w:keepLines/>
      <w:tabs>
        <w:tab w:val="left" w:pos="993"/>
      </w:tabs>
      <w:ind w:left="633" w:firstLine="0"/>
    </w:pPr>
    <w:rPr>
      <w:rFonts w:ascii="Palatino Linotype" w:hAnsi="Palatino Linotype"/>
      <w:sz w:val="22"/>
      <w:szCs w:val="22"/>
    </w:rPr>
  </w:style>
  <w:style w:type="paragraph" w:customStyle="1" w:styleId="cd">
    <w:name w:val="cd"/>
    <w:basedOn w:val="cg"/>
    <w:pPr>
      <w:jc w:val="right"/>
    </w:pPr>
  </w:style>
  <w:style w:type="paragraph" w:customStyle="1" w:styleId="T1">
    <w:name w:val="T1"/>
    <w:basedOn w:val="Normal"/>
    <w:next w:val="ps"/>
    <w:pPr>
      <w:keepNext/>
      <w:keepLines/>
      <w:spacing w:before="360" w:after="0"/>
    </w:pPr>
    <w:rPr>
      <w:rFonts w:ascii="Helvetica-Narrow" w:hAnsi="Helvetica-Narrow"/>
      <w:smallCaps/>
      <w:sz w:val="26"/>
      <w:szCs w:val="26"/>
    </w:rPr>
  </w:style>
  <w:style w:type="paragraph" w:customStyle="1" w:styleId="eas">
    <w:name w:val="eas"/>
    <w:basedOn w:val="ea"/>
    <w:pPr>
      <w:spacing w:before="60"/>
      <w:ind w:left="360"/>
    </w:pPr>
  </w:style>
  <w:style w:type="paragraph" w:customStyle="1" w:styleId="ebs">
    <w:name w:val="ebs"/>
    <w:basedOn w:val="eb"/>
    <w:pPr>
      <w:ind w:left="709"/>
    </w:pPr>
  </w:style>
  <w:style w:type="paragraph" w:customStyle="1" w:styleId="ecs">
    <w:name w:val="ecs"/>
    <w:basedOn w:val="ec"/>
    <w:pPr>
      <w:tabs>
        <w:tab w:val="left" w:pos="360"/>
      </w:tabs>
      <w:ind w:left="360"/>
    </w:pPr>
  </w:style>
  <w:style w:type="paragraph" w:customStyle="1" w:styleId="ceas">
    <w:name w:val="ceas"/>
    <w:basedOn w:val="cea"/>
    <w:pPr>
      <w:spacing w:before="0"/>
    </w:pPr>
  </w:style>
  <w:style w:type="paragraph" w:customStyle="1" w:styleId="cebs">
    <w:name w:val="cebs"/>
    <w:basedOn w:val="ceb"/>
    <w:pPr>
      <w:spacing w:before="0"/>
    </w:pPr>
  </w:style>
  <w:style w:type="paragraph" w:styleId="FootnoteText">
    <w:name w:val="footnote text"/>
    <w:aliases w:val="Fußnote,Footnote,WB-Fußnotentext,WB-Fußnotentext Char Char,Fußnotentext Char,single space,footnote text, Char1 Char,Footnote Char1,Footnote Text Char,Footnote Text Char Char Char,Footnote Text Char Char,fn,ADB,Char1 Char,ft,Geneva, Char,Ch"/>
    <w:basedOn w:val="Normal"/>
    <w:link w:val="FootnoteTextChar1"/>
    <w:uiPriority w:val="99"/>
    <w:qFormat/>
    <w:pPr>
      <w:tabs>
        <w:tab w:val="left" w:pos="284"/>
      </w:tabs>
      <w:ind w:left="284" w:hanging="284"/>
    </w:pPr>
    <w:rPr>
      <w:rFonts w:ascii="Times New Roman" w:hAnsi="Times New Roman" w:cs="Times New Roman"/>
      <w:bCs/>
      <w:sz w:val="18"/>
      <w:szCs w:val="18"/>
    </w:rPr>
  </w:style>
  <w:style w:type="paragraph" w:customStyle="1" w:styleId="T2">
    <w:name w:val="T2"/>
    <w:basedOn w:val="Normal"/>
    <w:next w:val="Normal"/>
    <w:pPr>
      <w:keepNext/>
      <w:keepLines/>
      <w:spacing w:before="300" w:after="0"/>
    </w:pPr>
    <w:rPr>
      <w:rFonts w:ascii="Helvetica-Narrow" w:hAnsi="Helvetica-Narrow"/>
      <w:sz w:val="26"/>
      <w:szCs w:val="26"/>
    </w:rPr>
  </w:style>
  <w:style w:type="paragraph" w:customStyle="1" w:styleId="source">
    <w:name w:val="source"/>
    <w:basedOn w:val="ps"/>
    <w:pPr>
      <w:spacing w:before="0"/>
      <w:jc w:val="right"/>
    </w:pPr>
    <w:rPr>
      <w:i/>
      <w:iCs/>
      <w:sz w:val="12"/>
      <w:szCs w:val="12"/>
    </w:rPr>
  </w:style>
  <w:style w:type="paragraph" w:customStyle="1" w:styleId="Annexes">
    <w:name w:val="Annexes"/>
    <w:basedOn w:val="ps"/>
    <w:next w:val="AnnexeA"/>
    <w:pPr>
      <w:pBdr>
        <w:top w:val="single" w:sz="4" w:space="20" w:color="000000" w:shadow="1"/>
        <w:left w:val="single" w:sz="4" w:space="10" w:color="000000" w:shadow="1"/>
        <w:bottom w:val="single" w:sz="4" w:space="20" w:color="000000" w:shadow="1"/>
        <w:right w:val="single" w:sz="4" w:space="10" w:color="000000" w:shadow="1"/>
      </w:pBdr>
      <w:shd w:val="clear" w:color="auto" w:fill="00618D"/>
      <w:spacing w:before="6000"/>
      <w:ind w:left="227" w:right="227" w:firstLine="0"/>
      <w:jc w:val="center"/>
    </w:pPr>
    <w:rPr>
      <w:rFonts w:ascii="Arial" w:hAnsi="Arial"/>
      <w:b/>
      <w:bCs/>
      <w:caps/>
      <w:outline/>
      <w:color w:val="FFFFFF" w:themeColor="background1"/>
      <w:spacing w:val="40"/>
      <w:sz w:val="48"/>
      <w:szCs w:val="4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paragraph" w:customStyle="1" w:styleId="AnnexeA">
    <w:name w:val="Annexe_A"/>
    <w:basedOn w:val="Annexes"/>
    <w:next w:val="ps"/>
    <w:pPr>
      <w:pageBreakBefore/>
      <w:pBdr>
        <w:top w:val="none" w:sz="0" w:space="0" w:color="auto"/>
        <w:left w:val="none" w:sz="0" w:space="0" w:color="auto"/>
        <w:bottom w:val="none" w:sz="0" w:space="0" w:color="auto"/>
        <w:right w:val="none" w:sz="0" w:space="0" w:color="auto"/>
      </w:pBdr>
      <w:shd w:val="clear" w:color="auto" w:fill="auto"/>
      <w:tabs>
        <w:tab w:val="left" w:pos="8675"/>
      </w:tabs>
      <w:ind w:left="0" w:right="0"/>
    </w:pPr>
    <w:rPr>
      <w:rFonts w:cs="Times New Roman"/>
      <w:bCs w:val="0"/>
      <w:caps w:val="0"/>
      <w:color w:val="00FFFF"/>
      <w14:shadow w14:blurRad="50800" w14:dist="38100" w14:dir="2700000" w14:sx="100000" w14:sy="100000" w14:kx="0" w14:ky="0" w14:algn="tl">
        <w14:srgbClr w14:val="000000">
          <w14:alpha w14:val="60000"/>
        </w14:srgbClr>
      </w14:shadow>
    </w:rPr>
  </w:style>
  <w:style w:type="paragraph" w:customStyle="1" w:styleId="Image">
    <w:name w:val="Image"/>
    <w:basedOn w:val="ps"/>
    <w:pPr>
      <w:spacing w:before="120"/>
      <w:jc w:val="center"/>
    </w:pPr>
  </w:style>
  <w:style w:type="paragraph" w:customStyle="1" w:styleId="titre">
    <w:name w:val="titre"/>
    <w:basedOn w:val="ta"/>
    <w:pPr>
      <w:pBdr>
        <w:top w:val="single" w:sz="8" w:space="5" w:color="008080"/>
        <w:left w:val="single" w:sz="8" w:space="5" w:color="008080"/>
        <w:bottom w:val="single" w:sz="8" w:space="5" w:color="008080"/>
        <w:right w:val="single" w:sz="8" w:space="5" w:color="008080"/>
      </w:pBdr>
      <w:ind w:left="0" w:right="-1" w:firstLine="0"/>
    </w:pPr>
    <w:rPr>
      <w:caps w:val="0"/>
      <w:sz w:val="40"/>
      <w:szCs w:val="40"/>
      <w14:shadow w14:blurRad="50800" w14:dist="38100" w14:dir="2700000" w14:sx="100000" w14:sy="100000" w14:kx="0" w14:ky="0" w14:algn="tl">
        <w14:srgbClr w14:val="000000">
          <w14:alpha w14:val="60000"/>
        </w14:srgbClr>
      </w14:shadow>
    </w:rPr>
  </w:style>
  <w:style w:type="paragraph" w:customStyle="1" w:styleId="ean">
    <w:name w:val="ean"/>
    <w:basedOn w:val="ea"/>
  </w:style>
  <w:style w:type="paragraph" w:customStyle="1" w:styleId="prambule">
    <w:name w:val="préambule"/>
    <w:basedOn w:val="Heading1"/>
    <w:next w:val="Normal"/>
    <w:pPr>
      <w:pBdr>
        <w:bottom w:val="none" w:sz="0" w:space="0" w:color="auto"/>
      </w:pBdr>
      <w:spacing w:before="600" w:after="720"/>
      <w:ind w:left="425" w:hanging="425"/>
      <w:jc w:val="center"/>
    </w:pPr>
    <w:rPr>
      <w:rFonts w:ascii="Tahoma" w:hAnsi="Tahoma"/>
    </w:rPr>
  </w:style>
  <w:style w:type="paragraph" w:customStyle="1" w:styleId="ean-a">
    <w:name w:val="ean-a)"/>
    <w:basedOn w:val="ean"/>
  </w:style>
  <w:style w:type="paragraph" w:styleId="TOC5">
    <w:name w:val="toc 5"/>
    <w:basedOn w:val="Normal"/>
    <w:next w:val="Normal"/>
    <w:uiPriority w:val="39"/>
    <w:pPr>
      <w:spacing w:after="0"/>
      <w:ind w:left="880"/>
    </w:pPr>
    <w:rPr>
      <w:rFonts w:ascii="Calibri" w:hAnsi="Calibri"/>
      <w:bCs/>
      <w:sz w:val="18"/>
      <w:szCs w:val="18"/>
    </w:rPr>
  </w:style>
  <w:style w:type="paragraph" w:styleId="TOC6">
    <w:name w:val="toc 6"/>
    <w:basedOn w:val="Normal"/>
    <w:next w:val="Normal"/>
    <w:uiPriority w:val="39"/>
    <w:pPr>
      <w:spacing w:after="0"/>
      <w:ind w:left="1100"/>
    </w:pPr>
    <w:rPr>
      <w:rFonts w:ascii="Calibri" w:hAnsi="Calibri"/>
      <w:bCs/>
      <w:sz w:val="18"/>
      <w:szCs w:val="18"/>
    </w:rPr>
  </w:style>
  <w:style w:type="paragraph" w:styleId="TOC7">
    <w:name w:val="toc 7"/>
    <w:basedOn w:val="Normal"/>
    <w:next w:val="Normal"/>
    <w:uiPriority w:val="39"/>
    <w:pPr>
      <w:spacing w:after="0"/>
      <w:ind w:left="1320"/>
    </w:pPr>
    <w:rPr>
      <w:rFonts w:ascii="Calibri" w:hAnsi="Calibri"/>
      <w:bCs/>
      <w:sz w:val="18"/>
      <w:szCs w:val="18"/>
    </w:rPr>
  </w:style>
  <w:style w:type="paragraph" w:styleId="TOC8">
    <w:name w:val="toc 8"/>
    <w:basedOn w:val="Normal"/>
    <w:next w:val="Normal"/>
    <w:uiPriority w:val="39"/>
    <w:pPr>
      <w:spacing w:after="0"/>
      <w:ind w:left="1540"/>
    </w:pPr>
    <w:rPr>
      <w:rFonts w:ascii="Calibri" w:hAnsi="Calibri"/>
      <w:bCs/>
      <w:sz w:val="18"/>
      <w:szCs w:val="18"/>
    </w:rPr>
  </w:style>
  <w:style w:type="paragraph" w:styleId="TOC9">
    <w:name w:val="toc 9"/>
    <w:basedOn w:val="Normal"/>
    <w:next w:val="Normal"/>
    <w:uiPriority w:val="39"/>
    <w:pPr>
      <w:spacing w:after="0"/>
      <w:ind w:left="1760"/>
    </w:pPr>
    <w:rPr>
      <w:rFonts w:ascii="Calibri" w:hAnsi="Calibri"/>
      <w:bCs/>
      <w:sz w:val="18"/>
      <w:szCs w:val="18"/>
    </w:rPr>
  </w:style>
  <w:style w:type="paragraph" w:customStyle="1" w:styleId="T3">
    <w:name w:val="T3"/>
    <w:basedOn w:val="znormal"/>
    <w:next w:val="Normal"/>
    <w:pPr>
      <w:keepNext/>
      <w:keepLines/>
      <w:spacing w:before="240" w:after="0"/>
    </w:pPr>
    <w:rPr>
      <w:rFonts w:ascii="Helvetica-Narrow" w:hAnsi="Helvetica-Narrow"/>
      <w:b/>
      <w:bCs/>
      <w:i/>
      <w:iCs/>
      <w:sz w:val="26"/>
      <w:szCs w:val="26"/>
    </w:rPr>
  </w:style>
  <w:style w:type="paragraph" w:customStyle="1" w:styleId="AnnexeB">
    <w:name w:val="Annexe_B"/>
    <w:basedOn w:val="AnnexeA"/>
    <w:rPr>
      <w:smallCaps/>
      <w:color w:val="000080"/>
      <w:sz w:val="36"/>
      <w:szCs w:val="36"/>
    </w:rPr>
  </w:style>
  <w:style w:type="paragraph" w:styleId="TableofFigures">
    <w:name w:val="table of figures"/>
    <w:aliases w:val="Ariel Narrow,List of tables"/>
    <w:basedOn w:val="Normal"/>
    <w:next w:val="Normal"/>
    <w:uiPriority w:val="99"/>
    <w:pPr>
      <w:tabs>
        <w:tab w:val="right" w:leader="dot" w:pos="8778"/>
      </w:tabs>
      <w:spacing w:before="20" w:after="0"/>
      <w:ind w:left="1134" w:right="567" w:hanging="1134"/>
    </w:pPr>
    <w:rPr>
      <w:bCs/>
    </w:rPr>
  </w:style>
  <w:style w:type="paragraph" w:customStyle="1" w:styleId="chapitre">
    <w:name w:val="chapitre"/>
    <w:basedOn w:val="ta"/>
    <w:next w:val="ps"/>
    <w:pPr>
      <w:pBdr>
        <w:top w:val="single" w:sz="8" w:space="10" w:color="000000" w:shadow="1"/>
        <w:left w:val="single" w:sz="8" w:space="10" w:color="000000" w:shadow="1"/>
        <w:bottom w:val="single" w:sz="8" w:space="10" w:color="000000" w:shadow="1"/>
        <w:right w:val="single" w:sz="8" w:space="10" w:color="000000" w:shadow="1"/>
      </w:pBdr>
      <w:tabs>
        <w:tab w:val="left" w:pos="8420"/>
      </w:tabs>
      <w:ind w:left="284" w:right="284" w:firstLine="0"/>
    </w:pPr>
    <w:rPr>
      <w:w w:val="120"/>
      <w14:shadow w14:blurRad="50800" w14:dist="38100" w14:dir="2700000" w14:sx="100000" w14:sy="100000" w14:kx="0" w14:ky="0" w14:algn="tl">
        <w14:srgbClr w14:val="000000">
          <w14:alpha w14:val="60000"/>
        </w14:srgbClr>
      </w14:shadow>
    </w:rPr>
  </w:style>
  <w:style w:type="paragraph" w:customStyle="1" w:styleId="ps00centr">
    <w:name w:val="ps00 centré"/>
    <w:basedOn w:val="ps"/>
    <w:pPr>
      <w:spacing w:before="0"/>
      <w:jc w:val="center"/>
    </w:pPr>
    <w:rPr>
      <w:lang w:val="en-US"/>
    </w:rPr>
  </w:style>
  <w:style w:type="paragraph" w:customStyle="1" w:styleId="ceana">
    <w:name w:val="cean a)"/>
    <w:basedOn w:val="Normal"/>
    <w:pPr>
      <w:ind w:left="29"/>
    </w:pPr>
    <w:rPr>
      <w:bCs/>
    </w:rPr>
  </w:style>
  <w:style w:type="paragraph" w:customStyle="1" w:styleId="cean">
    <w:name w:val="cean"/>
    <w:basedOn w:val="Normal"/>
    <w:pPr>
      <w:tabs>
        <w:tab w:val="left" w:pos="360"/>
      </w:tabs>
      <w:ind w:left="360" w:hanging="360"/>
    </w:pPr>
    <w:rPr>
      <w:bCs/>
    </w:rPr>
  </w:style>
  <w:style w:type="paragraph" w:customStyle="1" w:styleId="cec">
    <w:name w:val="cec"/>
    <w:basedOn w:val="cg"/>
    <w:pPr>
      <w:ind w:left="745" w:firstLine="0"/>
    </w:pPr>
  </w:style>
  <w:style w:type="paragraph" w:customStyle="1" w:styleId="ed">
    <w:name w:val="ed"/>
    <w:basedOn w:val="ec"/>
    <w:pPr>
      <w:ind w:left="0"/>
    </w:pPr>
  </w:style>
  <w:style w:type="paragraph" w:styleId="ListBullet">
    <w:name w:val="List Bullet"/>
    <w:basedOn w:val="Normal"/>
    <w:semiHidden/>
    <w:rPr>
      <w:rFonts w:ascii="TimesNewRomanPSMT" w:hAnsi="TimesNewRomanPSMT"/>
      <w:bCs/>
      <w:color w:val="000000"/>
      <w:lang w:val="mk-MK"/>
    </w:rPr>
  </w:style>
  <w:style w:type="paragraph" w:styleId="ListBullet2">
    <w:name w:val="List Bullet 2"/>
    <w:basedOn w:val="Normal"/>
    <w:rPr>
      <w:rFonts w:ascii="Univers Condensed" w:hAnsi="Univers Condensed"/>
      <w:bCs/>
      <w:sz w:val="24"/>
      <w:szCs w:val="24"/>
    </w:rPr>
  </w:style>
  <w:style w:type="paragraph" w:customStyle="1" w:styleId="Paragraphe">
    <w:name w:val="Paragraphe"/>
    <w:basedOn w:val="Normal"/>
    <w:pPr>
      <w:spacing w:before="120" w:after="0"/>
    </w:pPr>
    <w:rPr>
      <w:rFonts w:ascii="Times New Roman" w:hAnsi="Times New Roman"/>
      <w:bCs/>
      <w:sz w:val="24"/>
      <w:szCs w:val="24"/>
    </w:rPr>
  </w:style>
  <w:style w:type="paragraph" w:customStyle="1" w:styleId="ea03">
    <w:name w:val="ea 03"/>
    <w:basedOn w:val="ea"/>
    <w:pPr>
      <w:tabs>
        <w:tab w:val="left" w:pos="360"/>
      </w:tabs>
      <w:spacing w:before="60"/>
      <w:ind w:left="357" w:hanging="357"/>
    </w:pPr>
  </w:style>
  <w:style w:type="paragraph" w:styleId="CommentText">
    <w:name w:val="annotation text"/>
    <w:basedOn w:val="Normal"/>
  </w:style>
  <w:style w:type="paragraph" w:styleId="CommentSubject">
    <w:name w:val="annotation subject"/>
    <w:basedOn w:val="CommentText"/>
    <w:next w:val="CommentText"/>
  </w:style>
  <w:style w:type="paragraph" w:styleId="BalloonText">
    <w:name w:val="Balloon Text"/>
    <w:basedOn w:val="Normal"/>
    <w:rPr>
      <w:rFonts w:ascii="Tahoma" w:hAnsi="Tahoma" w:cs="Tahoma"/>
      <w:sz w:val="16"/>
      <w:szCs w:val="16"/>
    </w:rPr>
  </w:style>
  <w:style w:type="paragraph" w:customStyle="1" w:styleId="TxBrc44">
    <w:name w:val="TxBr_c44"/>
    <w:basedOn w:val="Normal"/>
    <w:pPr>
      <w:widowControl w:val="0"/>
      <w:spacing w:line="240" w:lineRule="atLeast"/>
      <w:jc w:val="center"/>
    </w:pPr>
    <w:rPr>
      <w:rFonts w:ascii="Times New Roman" w:hAnsi="Times New Roman"/>
      <w:bCs/>
      <w:sz w:val="24"/>
    </w:rPr>
  </w:style>
  <w:style w:type="paragraph" w:customStyle="1" w:styleId="ToCheck">
    <w:name w:val="To Check"/>
    <w:basedOn w:val="ps"/>
    <w:rPr>
      <w:b/>
      <w:bCs/>
      <w:color w:val="FF0000"/>
      <w:sz w:val="32"/>
    </w:rPr>
  </w:style>
  <w:style w:type="paragraph" w:customStyle="1" w:styleId="Listepucesdernire">
    <w:name w:val="Liste à puces (dernière)"/>
    <w:basedOn w:val="ListBullet"/>
    <w:next w:val="Normal"/>
    <w:pPr>
      <w:tabs>
        <w:tab w:val="left" w:pos="360"/>
        <w:tab w:val="left" w:pos="504"/>
      </w:tabs>
      <w:overflowPunct w:val="0"/>
      <w:autoSpaceDE w:val="0"/>
      <w:spacing w:before="40" w:after="180"/>
      <w:ind w:left="-846" w:right="357"/>
      <w:textAlignment w:val="baseline"/>
    </w:pPr>
    <w:rPr>
      <w:rFonts w:ascii="Times New Roman" w:hAnsi="Times New Roman"/>
      <w:szCs w:val="20"/>
      <w:lang w:val="en-US"/>
    </w:rPr>
  </w:style>
  <w:style w:type="paragraph" w:styleId="ListNumber">
    <w:name w:val="List Number"/>
    <w:basedOn w:val="Normal"/>
    <w:rPr>
      <w:rFonts w:ascii="Times New Roman" w:hAnsi="Times New Roman"/>
      <w:bCs/>
      <w:sz w:val="24"/>
      <w:szCs w:val="24"/>
    </w:rPr>
  </w:style>
  <w:style w:type="paragraph" w:customStyle="1" w:styleId="Listenumrospremire">
    <w:name w:val="Liste à numéros (première)"/>
    <w:basedOn w:val="ListNumber"/>
    <w:pPr>
      <w:overflowPunct w:val="0"/>
      <w:autoSpaceDE w:val="0"/>
      <w:spacing w:after="40"/>
      <w:textAlignment w:val="baseline"/>
    </w:pPr>
    <w:rPr>
      <w:sz w:val="22"/>
      <w:szCs w:val="20"/>
      <w:lang w:val="fr-FR"/>
    </w:rPr>
  </w:style>
  <w:style w:type="paragraph" w:customStyle="1" w:styleId="PucesNum">
    <w:name w:val="Puces Num"/>
    <w:basedOn w:val="ps"/>
    <w:next w:val="ps"/>
    <w:pPr>
      <w:tabs>
        <w:tab w:val="left" w:pos="360"/>
      </w:tabs>
      <w:ind w:left="-360" w:firstLine="0"/>
    </w:pPr>
  </w:style>
  <w:style w:type="paragraph" w:customStyle="1" w:styleId="MediumGrid21">
    <w:name w:val="Medium Grid 21"/>
    <w:link w:val="MediumGrid2Char"/>
    <w:uiPriority w:val="1"/>
    <w:pPr>
      <w:suppressAutoHyphens/>
      <w:spacing w:after="180"/>
      <w:ind w:left="11" w:right="6" w:hanging="360"/>
      <w:jc w:val="both"/>
    </w:pPr>
    <w:rPr>
      <w:rFonts w:ascii="Calibri" w:eastAsia="Calibri" w:hAnsi="Calibri"/>
      <w:lang w:val="mk-MK" w:eastAsia="ar-SA"/>
    </w:rPr>
  </w:style>
  <w:style w:type="paragraph" w:styleId="BodyText3">
    <w:name w:val="Body Text 3"/>
    <w:basedOn w:val="Normal"/>
    <w:link w:val="BodyText3Char"/>
    <w:semiHidden/>
    <w:rPr>
      <w:rFonts w:ascii="Times New Roman" w:hAnsi="Times New Roman" w:cs="Times New Roman"/>
      <w:bCs/>
      <w:sz w:val="16"/>
      <w:szCs w:val="16"/>
    </w:rPr>
  </w:style>
  <w:style w:type="paragraph" w:customStyle="1" w:styleId="Outline1">
    <w:name w:val="Outline1"/>
    <w:basedOn w:val="Normal"/>
    <w:next w:val="Outline2"/>
    <w:pPr>
      <w:keepNext/>
      <w:tabs>
        <w:tab w:val="left" w:pos="360"/>
      </w:tabs>
      <w:spacing w:before="240" w:after="0"/>
    </w:pPr>
    <w:rPr>
      <w:rFonts w:ascii="Times New Roman" w:hAnsi="Times New Roman"/>
      <w:bCs/>
      <w:kern w:val="1"/>
      <w:sz w:val="24"/>
    </w:rPr>
  </w:style>
  <w:style w:type="paragraph" w:customStyle="1" w:styleId="Outline2">
    <w:name w:val="Outline2"/>
    <w:basedOn w:val="Normal"/>
    <w:pPr>
      <w:tabs>
        <w:tab w:val="left" w:pos="864"/>
      </w:tabs>
      <w:spacing w:before="240" w:after="0"/>
      <w:ind w:left="-216"/>
    </w:pPr>
    <w:rPr>
      <w:rFonts w:ascii="Times New Roman" w:hAnsi="Times New Roman"/>
      <w:bCs/>
      <w:kern w:val="1"/>
      <w:sz w:val="24"/>
    </w:rPr>
  </w:style>
  <w:style w:type="paragraph" w:customStyle="1" w:styleId="Outline3">
    <w:name w:val="Outline3"/>
    <w:basedOn w:val="Normal"/>
    <w:pPr>
      <w:tabs>
        <w:tab w:val="left" w:pos="1368"/>
      </w:tabs>
      <w:spacing w:before="240" w:after="0"/>
      <w:ind w:left="-432"/>
    </w:pPr>
    <w:rPr>
      <w:rFonts w:ascii="Times New Roman" w:hAnsi="Times New Roman"/>
      <w:bCs/>
      <w:kern w:val="1"/>
      <w:sz w:val="24"/>
    </w:rPr>
  </w:style>
  <w:style w:type="paragraph" w:customStyle="1" w:styleId="Outline4">
    <w:name w:val="Outline4"/>
    <w:basedOn w:val="Normal"/>
    <w:pPr>
      <w:tabs>
        <w:tab w:val="left" w:pos="1872"/>
      </w:tabs>
      <w:spacing w:before="240" w:after="0"/>
      <w:ind w:left="-360"/>
    </w:pPr>
    <w:rPr>
      <w:rFonts w:ascii="Times New Roman" w:hAnsi="Times New Roman"/>
      <w:bCs/>
      <w:kern w:val="1"/>
      <w:sz w:val="24"/>
    </w:rPr>
  </w:style>
  <w:style w:type="paragraph" w:styleId="BodyTextIndent">
    <w:name w:val="Body Text Indent"/>
    <w:basedOn w:val="Normal"/>
    <w:link w:val="BodyTextIndentChar"/>
    <w:semiHidden/>
    <w:pPr>
      <w:ind w:left="283"/>
    </w:pPr>
    <w:rPr>
      <w:rFonts w:ascii="Times New Roman" w:hAnsi="Times New Roman" w:cs="Times New Roman"/>
      <w:bCs/>
      <w:sz w:val="24"/>
      <w:szCs w:val="24"/>
    </w:rPr>
  </w:style>
  <w:style w:type="paragraph" w:customStyle="1" w:styleId="BankNormal">
    <w:name w:val="BankNormal"/>
    <w:basedOn w:val="Normal"/>
    <w:pPr>
      <w:spacing w:after="240"/>
    </w:pPr>
    <w:rPr>
      <w:rFonts w:ascii="Times New Roman" w:hAnsi="Times New Roman"/>
      <w:bCs/>
      <w:sz w:val="24"/>
    </w:rPr>
  </w:style>
  <w:style w:type="paragraph" w:styleId="NormalWeb">
    <w:name w:val="Normal (Web)"/>
    <w:basedOn w:val="Normal"/>
    <w:pPr>
      <w:spacing w:before="100" w:after="100"/>
    </w:pPr>
    <w:rPr>
      <w:rFonts w:ascii="Times New Roman" w:hAnsi="Times New Roman"/>
      <w:bCs/>
      <w:sz w:val="24"/>
      <w:szCs w:val="24"/>
      <w:lang w:val="fr-FR"/>
    </w:rPr>
  </w:style>
  <w:style w:type="paragraph" w:customStyle="1" w:styleId="SectionedBullet">
    <w:name w:val="SectionedBullet"/>
    <w:basedOn w:val="Normal"/>
    <w:pPr>
      <w:spacing w:before="160"/>
    </w:pPr>
    <w:rPr>
      <w:rFonts w:ascii="Times New Roman" w:hAnsi="Times New Roman"/>
      <w:bCs/>
      <w:kern w:val="1"/>
      <w:sz w:val="24"/>
      <w:szCs w:val="24"/>
      <w:lang w:val="en-AU"/>
    </w:rPr>
  </w:style>
  <w:style w:type="paragraph" w:customStyle="1" w:styleId="Bullet1">
    <w:name w:val="Bullet1"/>
    <w:basedOn w:val="ps"/>
    <w:qFormat/>
    <w:rsid w:val="00FA3A95"/>
    <w:pPr>
      <w:numPr>
        <w:numId w:val="2"/>
      </w:numPr>
      <w:spacing w:before="60" w:after="60"/>
    </w:pPr>
    <w:rPr>
      <w:rFonts w:ascii="Arial" w:hAnsi="Arial"/>
      <w:bCs/>
      <w:szCs w:val="24"/>
      <w:lang w:val="en-GB"/>
    </w:rPr>
  </w:style>
  <w:style w:type="paragraph" w:customStyle="1" w:styleId="Numberingi">
    <w:name w:val="Numbering i."/>
    <w:basedOn w:val="Normal"/>
    <w:next w:val="Normal"/>
    <w:pPr>
      <w:spacing w:before="160" w:after="240"/>
    </w:pPr>
    <w:rPr>
      <w:rFonts w:ascii="Times New Roman" w:hAnsi="Times New Roman"/>
      <w:bCs/>
      <w:sz w:val="24"/>
      <w:szCs w:val="24"/>
    </w:rPr>
  </w:style>
  <w:style w:type="paragraph" w:customStyle="1" w:styleId="Numbering2">
    <w:name w:val="Numbering 2"/>
    <w:basedOn w:val="Normal"/>
    <w:pPr>
      <w:spacing w:before="160" w:after="240"/>
    </w:pPr>
    <w:rPr>
      <w:rFonts w:ascii="Times New Roman" w:hAnsi="Times New Roman"/>
      <w:bCs/>
      <w:sz w:val="24"/>
      <w:szCs w:val="24"/>
    </w:rPr>
  </w:style>
  <w:style w:type="paragraph" w:customStyle="1" w:styleId="ColorfulList-Accent11">
    <w:name w:val="Colorful List - Accent 11"/>
    <w:aliases w:val="Bullets,Akapit z listą BS,Bullet spaced,List Paragraph (numbered (a)),List Paragraph 1,List Paragraph1,List_Paragraph,Main numbered paragraph,Multilevel para_II,NUMBERED PARAGRAPH,Numbered Paragraph,Paragraphe de liste"/>
    <w:basedOn w:val="Normal"/>
    <w:qFormat/>
    <w:pPr>
      <w:spacing w:before="120" w:after="240"/>
      <w:ind w:left="720"/>
    </w:pPr>
    <w:rPr>
      <w:rFonts w:ascii="Times New Roman" w:eastAsia="Calibri" w:hAnsi="Times New Roman"/>
      <w:bCs/>
      <w:sz w:val="24"/>
      <w:szCs w:val="24"/>
    </w:rPr>
  </w:style>
  <w:style w:type="paragraph" w:customStyle="1" w:styleId="GridTable31">
    <w:name w:val="Grid Table 31"/>
    <w:basedOn w:val="Heading1"/>
    <w:next w:val="Normal"/>
    <w:uiPriority w:val="39"/>
    <w:pPr>
      <w:pBdr>
        <w:bottom w:val="none" w:sz="0" w:space="0" w:color="auto"/>
      </w:pBdr>
      <w:spacing w:before="480" w:after="0" w:line="276" w:lineRule="auto"/>
    </w:pPr>
    <w:rPr>
      <w:rFonts w:ascii="Cambria" w:eastAsia="Calibri" w:hAnsi="Cambria"/>
      <w:caps/>
      <w:color w:val="365F91"/>
      <w:sz w:val="28"/>
      <w:szCs w:val="28"/>
    </w:rPr>
  </w:style>
  <w:style w:type="paragraph" w:customStyle="1" w:styleId="Numbering">
    <w:name w:val="Numbering"/>
    <w:basedOn w:val="ColorfulList-Accent11"/>
    <w:pPr>
      <w:numPr>
        <w:numId w:val="3"/>
      </w:numPr>
      <w:tabs>
        <w:tab w:val="left" w:pos="360"/>
      </w:tabs>
      <w:ind w:left="-873" w:firstLine="0"/>
    </w:pPr>
    <w:rPr>
      <w:rFonts w:eastAsia="Times New Roman"/>
      <w:lang w:val="en-US"/>
    </w:rPr>
  </w:style>
  <w:style w:type="paragraph" w:customStyle="1" w:styleId="Bullets2">
    <w:name w:val="Bullets2"/>
    <w:basedOn w:val="ColorfulList-Accent11"/>
    <w:pPr>
      <w:numPr>
        <w:numId w:val="4"/>
      </w:numPr>
      <w:spacing w:after="120"/>
      <w:ind w:left="-229" w:firstLine="0"/>
    </w:pPr>
    <w:rPr>
      <w:rFonts w:ascii="Palatino Linotype" w:hAnsi="Palatino Linotype"/>
      <w:sz w:val="22"/>
    </w:rPr>
  </w:style>
  <w:style w:type="paragraph" w:customStyle="1" w:styleId="DefaultParagraphFont1">
    <w:name w:val="Default Paragraph Font1"/>
    <w:basedOn w:val="Normal"/>
    <w:pPr>
      <w:spacing w:line="240" w:lineRule="exact"/>
    </w:pPr>
    <w:rPr>
      <w:rFonts w:ascii="Tahoma" w:hAnsi="Tahoma"/>
      <w:bCs/>
    </w:rPr>
  </w:style>
  <w:style w:type="paragraph" w:customStyle="1" w:styleId="PDSHeading2">
    <w:name w:val="PDS Heading 2"/>
    <w:next w:val="Normal"/>
    <w:pPr>
      <w:keepNext/>
      <w:suppressAutoHyphens/>
      <w:spacing w:after="180"/>
      <w:ind w:left="720" w:hanging="360"/>
      <w:jc w:val="both"/>
    </w:pPr>
    <w:rPr>
      <w:rFonts w:eastAsia="Arial" w:cs="Tms Rmn"/>
      <w:b/>
      <w:sz w:val="24"/>
      <w:lang w:eastAsia="ar-SA"/>
    </w:rPr>
  </w:style>
  <w:style w:type="paragraph" w:styleId="BodyText2">
    <w:name w:val="Body Text 2"/>
    <w:basedOn w:val="Normal"/>
    <w:pPr>
      <w:jc w:val="center"/>
    </w:pPr>
  </w:style>
  <w:style w:type="paragraph" w:styleId="BodyTextIndent2">
    <w:name w:val="Body Text Indent 2"/>
    <w:basedOn w:val="Normal"/>
    <w:semiHidden/>
    <w:pPr>
      <w:ind w:left="-142" w:firstLine="142"/>
      <w:jc w:val="center"/>
    </w:pPr>
  </w:style>
  <w:style w:type="paragraph" w:customStyle="1" w:styleId="Contents10">
    <w:name w:val="Contents 10"/>
    <w:basedOn w:val="Index"/>
    <w:pPr>
      <w:tabs>
        <w:tab w:val="right" w:leader="dot" w:pos="9637"/>
      </w:tabs>
      <w:ind w:left="2547"/>
    </w:p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rPr>
  </w:style>
  <w:style w:type="paragraph" w:customStyle="1" w:styleId="Framecontents">
    <w:name w:val="Frame contents"/>
    <w:basedOn w:val="BodyText"/>
  </w:style>
  <w:style w:type="paragraph" w:styleId="DocumentMap">
    <w:name w:val="Document Map"/>
    <w:basedOn w:val="Normal"/>
    <w:semiHidden/>
    <w:unhideWhenUsed/>
    <w:rPr>
      <w:rFonts w:ascii="Tahoma" w:hAnsi="Tahoma" w:cs="Tahoma"/>
      <w:sz w:val="16"/>
      <w:szCs w:val="16"/>
    </w:rPr>
  </w:style>
  <w:style w:type="character" w:customStyle="1" w:styleId="CharChar6">
    <w:name w:val="Char Char6"/>
    <w:semiHidden/>
    <w:rPr>
      <w:rFonts w:ascii="Tahoma" w:hAnsi="Tahoma" w:cs="Tahoma"/>
      <w:b/>
      <w:bCs/>
      <w:sz w:val="16"/>
      <w:szCs w:val="16"/>
      <w:lang w:eastAsia="ar-SA"/>
    </w:rPr>
  </w:style>
  <w:style w:type="paragraph" w:customStyle="1" w:styleId="Story">
    <w:name w:val="Story"/>
    <w:basedOn w:val="Normal"/>
    <w:pPr>
      <w:spacing w:line="480" w:lineRule="auto"/>
    </w:pPr>
    <w:rPr>
      <w:rFonts w:ascii="Times New Roman" w:hAnsi="Times New Roman" w:cs="Times New Roman"/>
      <w:b/>
      <w:bCs/>
      <w:sz w:val="24"/>
    </w:rPr>
  </w:style>
  <w:style w:type="paragraph" w:styleId="Title">
    <w:name w:val="Title"/>
    <w:basedOn w:val="Normal"/>
    <w:next w:val="Normal"/>
    <w:link w:val="TitleChar"/>
    <w:qFormat/>
    <w:rsid w:val="00E43950"/>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CharChar5">
    <w:name w:val="Char Char5"/>
    <w:rPr>
      <w:b/>
      <w:bCs/>
      <w:sz w:val="24"/>
      <w:lang w:eastAsia="ar-SA"/>
    </w:rPr>
  </w:style>
  <w:style w:type="paragraph" w:customStyle="1" w:styleId="ModelNrmlDouble">
    <w:name w:val="ModelNrmlDouble"/>
    <w:basedOn w:val="Normal"/>
    <w:link w:val="ModelNrmlDoubleChar"/>
    <w:pPr>
      <w:spacing w:after="360" w:line="480" w:lineRule="auto"/>
      <w:ind w:firstLine="720"/>
    </w:pPr>
    <w:rPr>
      <w:rFonts w:ascii="Times New Roman" w:hAnsi="Times New Roman" w:cs="Times New Roman"/>
      <w:b/>
      <w:bCs/>
      <w:lang w:val="x-none"/>
    </w:rPr>
  </w:style>
  <w:style w:type="paragraph" w:customStyle="1" w:styleId="ModelDoubleNoIndent">
    <w:name w:val="ModelDoubleNoIndent"/>
    <w:basedOn w:val="ModelNrmlDouble"/>
    <w:pPr>
      <w:ind w:firstLine="0"/>
    </w:pPr>
    <w:rPr>
      <w:u w:val="single"/>
    </w:rPr>
  </w:style>
  <w:style w:type="paragraph" w:customStyle="1" w:styleId="ModelNrmlSingle">
    <w:name w:val="ModelNrmlSingle"/>
    <w:basedOn w:val="Normal"/>
    <w:link w:val="ModelNrmlSingleChar"/>
    <w:pPr>
      <w:spacing w:after="240"/>
      <w:ind w:firstLine="720"/>
    </w:pPr>
    <w:rPr>
      <w:rFonts w:ascii="Times New Roman" w:hAnsi="Times New Roman" w:cs="Times New Roman"/>
      <w:b/>
      <w:bCs/>
      <w:lang w:val="x-none"/>
    </w:rPr>
  </w:style>
  <w:style w:type="character" w:customStyle="1" w:styleId="CharChar8">
    <w:name w:val="Char Char8"/>
    <w:rPr>
      <w:rFonts w:ascii="Arial" w:eastAsia="Arial" w:hAnsi="Arial" w:cs="Tms Rmn"/>
      <w:i/>
      <w:iCs/>
      <w:lang w:val="fr-FR" w:eastAsia="ar-SA"/>
    </w:rPr>
  </w:style>
  <w:style w:type="paragraph" w:styleId="Subtitle">
    <w:name w:val="Subtitle"/>
    <w:basedOn w:val="Normal"/>
    <w:next w:val="Normal"/>
    <w:link w:val="SubtitleChar"/>
    <w:uiPriority w:val="11"/>
    <w:qFormat/>
    <w:rsid w:val="00E43950"/>
    <w:pPr>
      <w:numPr>
        <w:ilvl w:val="1"/>
      </w:numPr>
    </w:pPr>
    <w:rPr>
      <w:color w:val="5A5A5A" w:themeColor="text1" w:themeTint="A5"/>
      <w:spacing w:val="10"/>
    </w:rPr>
  </w:style>
  <w:style w:type="character" w:customStyle="1" w:styleId="CharChar4">
    <w:name w:val="Char Char4"/>
    <w:rPr>
      <w:rFonts w:ascii="Cambria" w:eastAsia="Times New Roman" w:hAnsi="Cambria" w:cs="Times New Roman"/>
      <w:b/>
      <w:bCs/>
      <w:sz w:val="24"/>
      <w:szCs w:val="24"/>
      <w:lang w:eastAsia="ar-SA"/>
    </w:rPr>
  </w:style>
  <w:style w:type="table" w:styleId="TableGrid">
    <w:name w:val="Table Grid"/>
    <w:aliases w:val="Tabla Microsoft Servicios"/>
    <w:basedOn w:val="TableNormal"/>
    <w:uiPriority w:val="39"/>
    <w:rsid w:val="00EF25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pPr>
      <w:numPr>
        <w:numId w:val="5"/>
      </w:numPr>
      <w:spacing w:before="120" w:after="240"/>
    </w:pPr>
    <w:rPr>
      <w:rFonts w:ascii="Times New Roman" w:hAnsi="Times New Roman" w:cs="Times New Roman"/>
      <w:b/>
      <w:bCs/>
      <w:sz w:val="24"/>
      <w:szCs w:val="24"/>
    </w:rPr>
  </w:style>
  <w:style w:type="character" w:customStyle="1" w:styleId="CarCar">
    <w:name w:val="Car Car"/>
    <w:rPr>
      <w:rFonts w:ascii="Century Gothic" w:hAnsi="Century Gothic"/>
      <w:b/>
      <w:bCs/>
      <w:color w:val="808080"/>
      <w:sz w:val="26"/>
      <w:szCs w:val="26"/>
      <w:lang w:val="fr-FR" w:eastAsia="fr-FR" w:bidi="ar-SA"/>
      <w14:shadow w14:blurRad="50800" w14:dist="38100" w14:dir="2700000" w14:sx="100000" w14:sy="100000" w14:kx="0" w14:ky="0" w14:algn="tl">
        <w14:srgbClr w14:val="000000">
          <w14:alpha w14:val="60000"/>
        </w14:srgbClr>
      </w14:shadow>
    </w:rPr>
  </w:style>
  <w:style w:type="character" w:customStyle="1" w:styleId="psCar">
    <w:name w:val="ps Car"/>
    <w:rPr>
      <w:rFonts w:ascii="Palatino Linotype" w:eastAsia="Arial" w:hAnsi="Palatino Linotype" w:cs="Tms Rmn"/>
      <w:sz w:val="22"/>
      <w:szCs w:val="22"/>
      <w:lang w:val="fr-FR" w:eastAsia="ar-SA"/>
    </w:rPr>
  </w:style>
  <w:style w:type="paragraph" w:customStyle="1" w:styleId="Outline">
    <w:name w:val="Outline"/>
    <w:basedOn w:val="Normal"/>
    <w:rsid w:val="004C610F"/>
    <w:pPr>
      <w:spacing w:before="240"/>
    </w:pPr>
    <w:rPr>
      <w:rFonts w:ascii="Times New Roman Bold" w:hAnsi="Times New Roman Bold" w:cs="Times New Roman"/>
      <w:b/>
      <w:bCs/>
      <w:caps/>
      <w:kern w:val="28"/>
      <w:sz w:val="24"/>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rPr>
  </w:style>
  <w:style w:type="character" w:customStyle="1" w:styleId="WW8Num2z0">
    <w:name w:val="WW8Num2z0"/>
    <w:rPr>
      <w:rFonts w:ascii="Symbol" w:hAnsi="Symbol"/>
    </w:rPr>
  </w:style>
  <w:style w:type="character" w:customStyle="1" w:styleId="WW8Num2z2">
    <w:name w:val="WW8Num2z2"/>
    <w:rPr>
      <w:rFonts w:ascii="Wingdings" w:hAnsi="Wingdings"/>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4z2">
    <w:name w:val="WW8Num4z2"/>
    <w:rPr>
      <w:rFonts w:ascii="Wingdings" w:hAnsi="Wingdings"/>
    </w:rPr>
  </w:style>
  <w:style w:type="character" w:customStyle="1" w:styleId="WW8Num6z2">
    <w:name w:val="WW8Num6z2"/>
    <w:rPr>
      <w:rFonts w:ascii="Wingdings" w:hAnsi="Wingdings"/>
    </w:rPr>
  </w:style>
  <w:style w:type="character" w:customStyle="1" w:styleId="WW8Num6z4">
    <w:name w:val="WW8Num6z4"/>
    <w:rPr>
      <w:rFonts w:ascii="Courier New" w:hAnsi="Courier New" w:cs="Courier New"/>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9z2">
    <w:name w:val="WW8Num9z2"/>
    <w:rPr>
      <w:rFonts w:ascii="Wingdings" w:hAnsi="Wingdings"/>
    </w:rPr>
  </w:style>
  <w:style w:type="character" w:customStyle="1" w:styleId="WW8Num10z0">
    <w:name w:val="WW8Num10z0"/>
    <w:rPr>
      <w:rFonts w:ascii="Symbol" w:hAnsi="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1z0">
    <w:name w:val="WW8Num11z0"/>
    <w:rPr>
      <w:rFonts w:ascii="Symbol" w:hAnsi="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4z0">
    <w:name w:val="WW8Num14z0"/>
    <w:rPr>
      <w:rFonts w:ascii="Symbol" w:hAnsi="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8z2">
    <w:name w:val="WW8Num18z2"/>
    <w:rPr>
      <w:rFonts w:ascii="Wingdings" w:hAnsi="Wingdings"/>
    </w:rPr>
  </w:style>
  <w:style w:type="character" w:customStyle="1" w:styleId="WW8Num19z3">
    <w:name w:val="WW8Num19z3"/>
    <w:rPr>
      <w:rFonts w:ascii="Symbol" w:hAnsi="Symbol"/>
    </w:rPr>
  </w:style>
  <w:style w:type="character" w:customStyle="1" w:styleId="WW8Num20z0">
    <w:name w:val="WW8Num20z0"/>
    <w:rPr>
      <w:rFonts w:ascii="Symbol" w:hAnsi="Symbol"/>
      <w:color w:val="auto"/>
      <w:sz w:val="24"/>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0z3">
    <w:name w:val="WW8Num20z3"/>
    <w:rPr>
      <w:rFonts w:ascii="Symbol" w:hAnsi="Symbol"/>
    </w:rPr>
  </w:style>
  <w:style w:type="character" w:customStyle="1" w:styleId="WW8Num21z0">
    <w:name w:val="WW8Num21z0"/>
    <w:rPr>
      <w:rFonts w:ascii="Symbol" w:hAnsi="Symbol"/>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rPr>
  </w:style>
  <w:style w:type="character" w:customStyle="1" w:styleId="WW8Num27z0">
    <w:name w:val="WW8Num27z0"/>
    <w:rPr>
      <w:rFonts w:ascii="Symbol" w:hAnsi="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30z2">
    <w:name w:val="WW8Num30z2"/>
    <w:rPr>
      <w:rFonts w:ascii="Wingdings" w:hAnsi="Wingdings"/>
    </w:rPr>
  </w:style>
  <w:style w:type="character" w:customStyle="1" w:styleId="WW8Num31z1">
    <w:name w:val="WW8Num31z1"/>
    <w:rPr>
      <w:rFonts w:ascii="Courier New" w:hAnsi="Courier New" w:cs="Courier New"/>
    </w:rPr>
  </w:style>
  <w:style w:type="character" w:customStyle="1" w:styleId="WW8Num31z5">
    <w:name w:val="WW8Num31z5"/>
    <w:rPr>
      <w:rFonts w:ascii="Wingdings" w:hAnsi="Wingdings"/>
    </w:rPr>
  </w:style>
  <w:style w:type="character" w:customStyle="1" w:styleId="WW8Num34z0">
    <w:name w:val="WW8Num34z0"/>
    <w:rPr>
      <w:rFonts w:ascii="Symbol" w:hAnsi="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rPr>
  </w:style>
  <w:style w:type="character" w:customStyle="1" w:styleId="WW8Num35z0">
    <w:name w:val="WW8Num35z0"/>
    <w:rPr>
      <w:rFonts w:ascii="Symbol" w:hAnsi="Symbol"/>
    </w:rPr>
  </w:style>
  <w:style w:type="character" w:customStyle="1" w:styleId="WW8Num35z1">
    <w:name w:val="WW8Num35z1"/>
    <w:rPr>
      <w:rFonts w:ascii="Courier New" w:hAnsi="Courier New" w:cs="Courier New"/>
    </w:rPr>
  </w:style>
  <w:style w:type="character" w:customStyle="1" w:styleId="WW8Num35z2">
    <w:name w:val="WW8Num35z2"/>
    <w:rPr>
      <w:rFonts w:ascii="Wingdings" w:hAnsi="Wingdings"/>
    </w:rPr>
  </w:style>
  <w:style w:type="character" w:customStyle="1" w:styleId="WW8Num36z0">
    <w:name w:val="WW8Num36z0"/>
    <w:rPr>
      <w:rFonts w:ascii="Symbol" w:hAnsi="Symbol"/>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rPr>
  </w:style>
  <w:style w:type="character" w:customStyle="1" w:styleId="WW8Num37z0">
    <w:name w:val="WW8Num37z0"/>
    <w:rPr>
      <w:rFonts w:ascii="Symbol" w:hAnsi="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rPr>
  </w:style>
  <w:style w:type="character" w:customStyle="1" w:styleId="WW8Num39z0">
    <w:name w:val="WW8Num39z0"/>
    <w:rPr>
      <w:rFonts w:ascii="Symbol" w:hAnsi="Symbol"/>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rPr>
  </w:style>
  <w:style w:type="character" w:customStyle="1" w:styleId="WW8Num40z0">
    <w:name w:val="WW8Num40z0"/>
    <w:rPr>
      <w:rFonts w:ascii="Symbol" w:hAnsi="Symbol"/>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rPr>
  </w:style>
  <w:style w:type="character" w:customStyle="1" w:styleId="WW8Num41z0">
    <w:name w:val="WW8Num41z0"/>
    <w:rPr>
      <w:rFonts w:ascii="Symbol" w:hAnsi="Symbol"/>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rPr>
  </w:style>
  <w:style w:type="character" w:customStyle="1" w:styleId="WW8Num42z0">
    <w:name w:val="WW8Num42z0"/>
    <w:rPr>
      <w:rFonts w:ascii="Symbol" w:hAnsi="Symbol"/>
    </w:rPr>
  </w:style>
  <w:style w:type="character" w:customStyle="1" w:styleId="WW8Num42z1">
    <w:name w:val="WW8Num42z1"/>
    <w:rPr>
      <w:rFonts w:ascii="Courier New" w:hAnsi="Courier New" w:cs="Courier New"/>
    </w:rPr>
  </w:style>
  <w:style w:type="character" w:customStyle="1" w:styleId="WW8Num42z2">
    <w:name w:val="WW8Num42z2"/>
    <w:rPr>
      <w:rFonts w:ascii="Wingdings" w:hAnsi="Wingdings"/>
    </w:rPr>
  </w:style>
  <w:style w:type="character" w:customStyle="1" w:styleId="WW8Num43z0">
    <w:name w:val="WW8Num43z0"/>
    <w:rPr>
      <w:rFonts w:ascii="Symbol" w:hAnsi="Symbol"/>
    </w:rPr>
  </w:style>
  <w:style w:type="character" w:customStyle="1" w:styleId="WW8Num43z1">
    <w:name w:val="WW8Num43z1"/>
    <w:rPr>
      <w:rFonts w:ascii="Courier New" w:hAnsi="Courier New" w:cs="Courier New"/>
    </w:rPr>
  </w:style>
  <w:style w:type="character" w:customStyle="1" w:styleId="WW8Num43z2">
    <w:name w:val="WW8Num43z2"/>
    <w:rPr>
      <w:rFonts w:ascii="Wingdings" w:hAnsi="Wingdings"/>
    </w:rPr>
  </w:style>
  <w:style w:type="character" w:customStyle="1" w:styleId="WW8Num44z0">
    <w:name w:val="WW8Num44z0"/>
    <w:rPr>
      <w:rFonts w:ascii="Symbol" w:hAnsi="Symbol"/>
    </w:rPr>
  </w:style>
  <w:style w:type="character" w:customStyle="1" w:styleId="WW8Num44z1">
    <w:name w:val="WW8Num44z1"/>
    <w:rPr>
      <w:rFonts w:ascii="Courier New" w:hAnsi="Courier New" w:cs="Courier New"/>
    </w:rPr>
  </w:style>
  <w:style w:type="character" w:customStyle="1" w:styleId="WW8Num44z2">
    <w:name w:val="WW8Num44z2"/>
    <w:rPr>
      <w:rFonts w:ascii="Wingdings" w:hAnsi="Wingdings"/>
    </w:rPr>
  </w:style>
  <w:style w:type="character" w:customStyle="1" w:styleId="WW8Num45z0">
    <w:name w:val="WW8Num45z0"/>
    <w:rPr>
      <w:rFonts w:ascii="Symbol" w:hAnsi="Symbol"/>
    </w:rPr>
  </w:style>
  <w:style w:type="character" w:customStyle="1" w:styleId="WW8Num45z1">
    <w:name w:val="WW8Num45z1"/>
    <w:rPr>
      <w:rFonts w:ascii="Courier New" w:hAnsi="Courier New" w:cs="Courier New"/>
    </w:rPr>
  </w:style>
  <w:style w:type="character" w:customStyle="1" w:styleId="WW8Num45z2">
    <w:name w:val="WW8Num45z2"/>
    <w:rPr>
      <w:rFonts w:ascii="Wingdings" w:hAnsi="Wingdings"/>
    </w:rPr>
  </w:style>
  <w:style w:type="character" w:customStyle="1" w:styleId="WW8Num46z0">
    <w:name w:val="WW8Num46z0"/>
    <w:rPr>
      <w:rFonts w:ascii="Symbol" w:hAnsi="Symbol"/>
    </w:rPr>
  </w:style>
  <w:style w:type="character" w:customStyle="1" w:styleId="WW8Num46z1">
    <w:name w:val="WW8Num46z1"/>
    <w:rPr>
      <w:rFonts w:ascii="Courier New" w:hAnsi="Courier New" w:cs="Courier New"/>
    </w:rPr>
  </w:style>
  <w:style w:type="character" w:customStyle="1" w:styleId="WW8Num46z2">
    <w:name w:val="WW8Num46z2"/>
    <w:rPr>
      <w:rFonts w:ascii="Wingdings" w:hAnsi="Wingdings"/>
    </w:rPr>
  </w:style>
  <w:style w:type="character" w:customStyle="1" w:styleId="WW8Num47z0">
    <w:name w:val="WW8Num47z0"/>
    <w:rPr>
      <w:rFonts w:ascii="Symbol" w:hAnsi="Symbol"/>
    </w:rPr>
  </w:style>
  <w:style w:type="character" w:customStyle="1" w:styleId="WW8Num47z1">
    <w:name w:val="WW8Num47z1"/>
    <w:rPr>
      <w:rFonts w:ascii="Courier New" w:hAnsi="Courier New" w:cs="Courier New"/>
    </w:rPr>
  </w:style>
  <w:style w:type="character" w:customStyle="1" w:styleId="WW8Num47z2">
    <w:name w:val="WW8Num47z2"/>
    <w:rPr>
      <w:rFonts w:ascii="Wingdings" w:hAnsi="Wingdings"/>
    </w:rPr>
  </w:style>
  <w:style w:type="character" w:customStyle="1" w:styleId="WW8Num48z0">
    <w:name w:val="WW8Num48z0"/>
    <w:rPr>
      <w:rFonts w:ascii="Symbol" w:hAnsi="Symbol"/>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rPr>
  </w:style>
  <w:style w:type="character" w:customStyle="1" w:styleId="WW8Num49z0">
    <w:name w:val="WW8Num49z0"/>
    <w:rPr>
      <w:rFonts w:ascii="Symbol" w:hAnsi="Symbol"/>
    </w:rPr>
  </w:style>
  <w:style w:type="character" w:customStyle="1" w:styleId="WW8Num49z1">
    <w:name w:val="WW8Num49z1"/>
    <w:rPr>
      <w:rFonts w:ascii="Courier New" w:hAnsi="Courier New" w:cs="Courier New"/>
    </w:rPr>
  </w:style>
  <w:style w:type="character" w:customStyle="1" w:styleId="WW8Num49z2">
    <w:name w:val="WW8Num49z2"/>
    <w:rPr>
      <w:rFonts w:ascii="Wingdings" w:hAnsi="Wingdings"/>
    </w:rPr>
  </w:style>
  <w:style w:type="character" w:customStyle="1" w:styleId="WW8Num50z0">
    <w:name w:val="WW8Num50z0"/>
    <w:rPr>
      <w:rFonts w:ascii="Symbol" w:hAnsi="Symbol"/>
      <w:b w:val="0"/>
      <w:i w:val="0"/>
      <w:color w:val="auto"/>
    </w:rPr>
  </w:style>
  <w:style w:type="character" w:customStyle="1" w:styleId="WW8Num50z1">
    <w:name w:val="WW8Num50z1"/>
    <w:rPr>
      <w:rFonts w:ascii="Arial" w:eastAsia="Times New Roman" w:hAnsi="Arial" w:cs="Arial"/>
    </w:rPr>
  </w:style>
  <w:style w:type="character" w:customStyle="1" w:styleId="WW8Num50z2">
    <w:name w:val="WW8Num50z2"/>
    <w:rPr>
      <w:rFonts w:ascii="Wingdings" w:hAnsi="Wingdings"/>
    </w:rPr>
  </w:style>
  <w:style w:type="character" w:customStyle="1" w:styleId="WW8Num50z3">
    <w:name w:val="WW8Num50z3"/>
    <w:rPr>
      <w:rFonts w:ascii="Symbol" w:hAnsi="Symbol"/>
    </w:rPr>
  </w:style>
  <w:style w:type="character" w:customStyle="1" w:styleId="WW8Num50z4">
    <w:name w:val="WW8Num50z4"/>
    <w:rPr>
      <w:rFonts w:ascii="Courier New" w:hAnsi="Courier New" w:cs="Courier New"/>
    </w:rPr>
  </w:style>
  <w:style w:type="character" w:customStyle="1" w:styleId="WW8Num51z0">
    <w:name w:val="WW8Num51z0"/>
    <w:rPr>
      <w:rFonts w:ascii="Symbol" w:hAnsi="Symbol"/>
    </w:rPr>
  </w:style>
  <w:style w:type="character" w:customStyle="1" w:styleId="WW8Num51z1">
    <w:name w:val="WW8Num51z1"/>
    <w:rPr>
      <w:rFonts w:ascii="Courier New" w:hAnsi="Courier New" w:cs="Courier New"/>
    </w:rPr>
  </w:style>
  <w:style w:type="character" w:customStyle="1" w:styleId="WW8Num51z2">
    <w:name w:val="WW8Num51z2"/>
    <w:rPr>
      <w:rFonts w:ascii="Wingdings" w:hAnsi="Wingdings"/>
    </w:rPr>
  </w:style>
  <w:style w:type="character" w:customStyle="1" w:styleId="WW8Num52z0">
    <w:name w:val="WW8Num52z0"/>
    <w:rPr>
      <w:rFonts w:ascii="Symbol" w:hAnsi="Symbol"/>
    </w:rPr>
  </w:style>
  <w:style w:type="character" w:customStyle="1" w:styleId="WW8Num52z1">
    <w:name w:val="WW8Num52z1"/>
    <w:rPr>
      <w:rFonts w:ascii="Courier New" w:hAnsi="Courier New" w:cs="Courier New"/>
    </w:rPr>
  </w:style>
  <w:style w:type="character" w:customStyle="1" w:styleId="WW8Num52z2">
    <w:name w:val="WW8Num52z2"/>
    <w:rPr>
      <w:rFonts w:ascii="Wingdings" w:hAnsi="Wingdings"/>
    </w:rPr>
  </w:style>
  <w:style w:type="character" w:customStyle="1" w:styleId="WW8Num53z0">
    <w:name w:val="WW8Num53z0"/>
    <w:rPr>
      <w:rFonts w:ascii="Symbol" w:hAnsi="Symbol"/>
    </w:rPr>
  </w:style>
  <w:style w:type="character" w:customStyle="1" w:styleId="WW8Num53z1">
    <w:name w:val="WW8Num53z1"/>
    <w:rPr>
      <w:rFonts w:ascii="Courier New" w:hAnsi="Courier New" w:cs="Courier New"/>
    </w:rPr>
  </w:style>
  <w:style w:type="character" w:customStyle="1" w:styleId="WW8Num53z2">
    <w:name w:val="WW8Num53z2"/>
    <w:rPr>
      <w:rFonts w:ascii="Wingdings" w:hAnsi="Wingdings"/>
    </w:rPr>
  </w:style>
  <w:style w:type="character" w:customStyle="1" w:styleId="WW8Num54z0">
    <w:name w:val="WW8Num54z0"/>
    <w:rPr>
      <w:rFonts w:ascii="Symbol" w:hAnsi="Symbol"/>
    </w:rPr>
  </w:style>
  <w:style w:type="character" w:customStyle="1" w:styleId="WW8Num54z1">
    <w:name w:val="WW8Num54z1"/>
    <w:rPr>
      <w:rFonts w:ascii="Courier New" w:hAnsi="Courier New" w:cs="Courier New"/>
    </w:rPr>
  </w:style>
  <w:style w:type="character" w:customStyle="1" w:styleId="WW8Num54z2">
    <w:name w:val="WW8Num54z2"/>
    <w:rPr>
      <w:rFonts w:ascii="Wingdings" w:hAnsi="Wingdings"/>
    </w:rPr>
  </w:style>
  <w:style w:type="character" w:customStyle="1" w:styleId="WW8Num55z0">
    <w:name w:val="WW8Num55z0"/>
    <w:rPr>
      <w:rFonts w:ascii="Symbol" w:hAnsi="Symbol"/>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rPr>
  </w:style>
  <w:style w:type="character" w:customStyle="1" w:styleId="WW8Num56z0">
    <w:name w:val="WW8Num56z0"/>
    <w:rPr>
      <w:rFonts w:ascii="Symbol" w:hAnsi="Symbol"/>
    </w:rPr>
  </w:style>
  <w:style w:type="character" w:customStyle="1" w:styleId="WW8Num56z1">
    <w:name w:val="WW8Num56z1"/>
    <w:rPr>
      <w:rFonts w:ascii="Courier New" w:hAnsi="Courier New" w:cs="Courier New"/>
    </w:rPr>
  </w:style>
  <w:style w:type="character" w:customStyle="1" w:styleId="WW8Num56z2">
    <w:name w:val="WW8Num56z2"/>
    <w:rPr>
      <w:rFonts w:ascii="Wingdings" w:hAnsi="Wingdings"/>
    </w:rPr>
  </w:style>
  <w:style w:type="character" w:customStyle="1" w:styleId="WW8Num57z0">
    <w:name w:val="WW8Num57z0"/>
    <w:rPr>
      <w:rFonts w:ascii="Symbol" w:hAnsi="Symbol"/>
    </w:rPr>
  </w:style>
  <w:style w:type="character" w:customStyle="1" w:styleId="WW8Num57z1">
    <w:name w:val="WW8Num57z1"/>
    <w:rPr>
      <w:rFonts w:ascii="Courier New" w:hAnsi="Courier New" w:cs="Courier New"/>
    </w:rPr>
  </w:style>
  <w:style w:type="character" w:customStyle="1" w:styleId="WW8Num57z2">
    <w:name w:val="WW8Num57z2"/>
    <w:rPr>
      <w:rFonts w:ascii="Wingdings" w:hAnsi="Wingdings"/>
    </w:rPr>
  </w:style>
  <w:style w:type="character" w:customStyle="1" w:styleId="WW8Num59z0">
    <w:name w:val="WW8Num59z0"/>
    <w:rPr>
      <w:rFonts w:ascii="Symbol" w:hAnsi="Symbol"/>
    </w:rPr>
  </w:style>
  <w:style w:type="character" w:customStyle="1" w:styleId="WW8Num59z2">
    <w:name w:val="WW8Num59z2"/>
    <w:rPr>
      <w:rFonts w:ascii="Wingdings" w:hAnsi="Wingdings"/>
    </w:rPr>
  </w:style>
  <w:style w:type="character" w:customStyle="1" w:styleId="WW8Num59z4">
    <w:name w:val="WW8Num59z4"/>
    <w:rPr>
      <w:rFonts w:ascii="Courier New" w:hAnsi="Courier New"/>
    </w:rPr>
  </w:style>
  <w:style w:type="character" w:customStyle="1" w:styleId="WW8Num60z0">
    <w:name w:val="WW8Num60z0"/>
    <w:rPr>
      <w:rFonts w:ascii="Symbol" w:hAnsi="Symbol"/>
      <w:b w:val="0"/>
      <w:i w:val="0"/>
      <w:color w:val="auto"/>
    </w:rPr>
  </w:style>
  <w:style w:type="character" w:customStyle="1" w:styleId="WW8Num60z1">
    <w:name w:val="WW8Num60z1"/>
    <w:rPr>
      <w:rFonts w:ascii="Courier New" w:hAnsi="Courier New" w:cs="Courier New"/>
    </w:rPr>
  </w:style>
  <w:style w:type="character" w:customStyle="1" w:styleId="WW8Num60z2">
    <w:name w:val="WW8Num60z2"/>
    <w:rPr>
      <w:rFonts w:ascii="Wingdings" w:hAnsi="Wingdings"/>
    </w:rPr>
  </w:style>
  <w:style w:type="character" w:customStyle="1" w:styleId="WW8Num60z3">
    <w:name w:val="WW8Num60z3"/>
    <w:rPr>
      <w:rFonts w:ascii="Symbol" w:hAnsi="Symbol"/>
    </w:rPr>
  </w:style>
  <w:style w:type="character" w:customStyle="1" w:styleId="WW8Num61z0">
    <w:name w:val="WW8Num61z0"/>
    <w:rPr>
      <w:rFonts w:ascii="Symbol" w:hAnsi="Symbol"/>
      <w:b w:val="0"/>
      <w:i w:val="0"/>
      <w:color w:val="auto"/>
    </w:rPr>
  </w:style>
  <w:style w:type="character" w:customStyle="1" w:styleId="WW8Num61z1">
    <w:name w:val="WW8Num61z1"/>
    <w:rPr>
      <w:rFonts w:ascii="Courier New" w:hAnsi="Courier New" w:cs="Courier New"/>
    </w:rPr>
  </w:style>
  <w:style w:type="character" w:customStyle="1" w:styleId="WW8Num61z2">
    <w:name w:val="WW8Num61z2"/>
    <w:rPr>
      <w:rFonts w:ascii="Wingdings" w:hAnsi="Wingdings"/>
    </w:rPr>
  </w:style>
  <w:style w:type="character" w:customStyle="1" w:styleId="WW8Num61z3">
    <w:name w:val="WW8Num61z3"/>
    <w:rPr>
      <w:rFonts w:ascii="Symbol" w:hAnsi="Symbol"/>
    </w:rPr>
  </w:style>
  <w:style w:type="character" w:customStyle="1" w:styleId="WW8Num62z0">
    <w:name w:val="WW8Num62z0"/>
    <w:rPr>
      <w:rFonts w:ascii="Symbol" w:hAnsi="Symbol"/>
    </w:rPr>
  </w:style>
  <w:style w:type="character" w:customStyle="1" w:styleId="WW8Num63z0">
    <w:name w:val="WW8Num63z0"/>
    <w:rPr>
      <w:rFonts w:ascii="Symbol" w:hAnsi="Symbol"/>
    </w:rPr>
  </w:style>
  <w:style w:type="character" w:customStyle="1" w:styleId="WW8Num63z1">
    <w:name w:val="WW8Num63z1"/>
    <w:rPr>
      <w:rFonts w:ascii="Courier New" w:hAnsi="Courier New" w:cs="Courier New"/>
    </w:rPr>
  </w:style>
  <w:style w:type="character" w:customStyle="1" w:styleId="WW8Num63z2">
    <w:name w:val="WW8Num63z2"/>
    <w:rPr>
      <w:rFonts w:ascii="Wingdings" w:hAnsi="Wingdings"/>
    </w:rPr>
  </w:style>
  <w:style w:type="character" w:customStyle="1" w:styleId="WW8Num64z0">
    <w:name w:val="WW8Num64z0"/>
    <w:rPr>
      <w:rFonts w:ascii="Symbol" w:hAnsi="Symbol"/>
    </w:rPr>
  </w:style>
  <w:style w:type="character" w:customStyle="1" w:styleId="WW8Num64z1">
    <w:name w:val="WW8Num64z1"/>
    <w:rPr>
      <w:rFonts w:ascii="Symbol" w:hAnsi="Symbol"/>
      <w:b w:val="0"/>
      <w:i w:val="0"/>
      <w:color w:val="auto"/>
    </w:rPr>
  </w:style>
  <w:style w:type="character" w:customStyle="1" w:styleId="WW8Num64z2">
    <w:name w:val="WW8Num64z2"/>
    <w:rPr>
      <w:rFonts w:ascii="Wingdings" w:hAnsi="Wingdings"/>
    </w:rPr>
  </w:style>
  <w:style w:type="character" w:customStyle="1" w:styleId="WW8Num64z4">
    <w:name w:val="WW8Num64z4"/>
    <w:rPr>
      <w:rFonts w:ascii="Courier New" w:hAnsi="Courier New" w:cs="Courier New"/>
    </w:rPr>
  </w:style>
  <w:style w:type="character" w:customStyle="1" w:styleId="WW8Num65z0">
    <w:name w:val="WW8Num65z0"/>
    <w:rPr>
      <w:rFonts w:ascii="Symbol" w:hAnsi="Symbol"/>
    </w:rPr>
  </w:style>
  <w:style w:type="character" w:customStyle="1" w:styleId="WW8Num65z1">
    <w:name w:val="WW8Num65z1"/>
    <w:rPr>
      <w:rFonts w:ascii="Courier New" w:hAnsi="Courier New" w:cs="Courier New"/>
    </w:rPr>
  </w:style>
  <w:style w:type="character" w:customStyle="1" w:styleId="WW8Num65z2">
    <w:name w:val="WW8Num65z2"/>
    <w:rPr>
      <w:rFonts w:ascii="Wingdings" w:hAnsi="Wingdings"/>
    </w:rPr>
  </w:style>
  <w:style w:type="character" w:customStyle="1" w:styleId="WW8Num66z0">
    <w:name w:val="WW8Num66z0"/>
    <w:rPr>
      <w:rFonts w:ascii="Symbol" w:hAnsi="Symbol"/>
    </w:rPr>
  </w:style>
  <w:style w:type="character" w:customStyle="1" w:styleId="WW8Num66z1">
    <w:name w:val="WW8Num66z1"/>
    <w:rPr>
      <w:rFonts w:ascii="Courier New" w:hAnsi="Courier New" w:cs="Courier New"/>
    </w:rPr>
  </w:style>
  <w:style w:type="character" w:customStyle="1" w:styleId="WW8Num66z2">
    <w:name w:val="WW8Num66z2"/>
    <w:rPr>
      <w:rFonts w:ascii="Wingdings" w:hAnsi="Wingdings"/>
    </w:rPr>
  </w:style>
  <w:style w:type="character" w:customStyle="1" w:styleId="WW8Num67z0">
    <w:name w:val="WW8Num67z0"/>
    <w:rPr>
      <w:rFonts w:ascii="Symbol" w:hAnsi="Symbol"/>
    </w:rPr>
  </w:style>
  <w:style w:type="character" w:customStyle="1" w:styleId="WW8Num67z1">
    <w:name w:val="WW8Num67z1"/>
    <w:rPr>
      <w:rFonts w:ascii="Courier New" w:hAnsi="Courier New" w:cs="Courier New"/>
    </w:rPr>
  </w:style>
  <w:style w:type="character" w:customStyle="1" w:styleId="WW8Num67z2">
    <w:name w:val="WW8Num67z2"/>
    <w:rPr>
      <w:rFonts w:ascii="Wingdings" w:hAnsi="Wingdings"/>
    </w:rPr>
  </w:style>
  <w:style w:type="character" w:customStyle="1" w:styleId="WW8Num68z0">
    <w:name w:val="WW8Num68z0"/>
    <w:rPr>
      <w:rFonts w:ascii="Symbol" w:hAnsi="Symbol"/>
    </w:rPr>
  </w:style>
  <w:style w:type="character" w:customStyle="1" w:styleId="WW8Num68z1">
    <w:name w:val="WW8Num68z1"/>
    <w:rPr>
      <w:rFonts w:ascii="Courier New" w:hAnsi="Courier New" w:cs="Courier New"/>
    </w:rPr>
  </w:style>
  <w:style w:type="character" w:customStyle="1" w:styleId="WW8Num68z2">
    <w:name w:val="WW8Num68z2"/>
    <w:rPr>
      <w:rFonts w:ascii="Wingdings" w:hAnsi="Wingdings"/>
    </w:rPr>
  </w:style>
  <w:style w:type="character" w:customStyle="1" w:styleId="WW8Num69z0">
    <w:name w:val="WW8Num69z0"/>
    <w:rPr>
      <w:rFonts w:ascii="Symbol" w:hAnsi="Symbol"/>
      <w:color w:val="auto"/>
      <w:sz w:val="24"/>
    </w:rPr>
  </w:style>
  <w:style w:type="character" w:customStyle="1" w:styleId="WW8Num69z1">
    <w:name w:val="WW8Num69z1"/>
    <w:rPr>
      <w:rFonts w:ascii="Courier New" w:hAnsi="Courier New" w:cs="Courier New"/>
    </w:rPr>
  </w:style>
  <w:style w:type="character" w:customStyle="1" w:styleId="WW8Num69z2">
    <w:name w:val="WW8Num69z2"/>
    <w:rPr>
      <w:rFonts w:ascii="Wingdings" w:hAnsi="Wingdings"/>
    </w:rPr>
  </w:style>
  <w:style w:type="character" w:customStyle="1" w:styleId="WW8Num69z3">
    <w:name w:val="WW8Num69z3"/>
    <w:rPr>
      <w:rFonts w:ascii="Symbol" w:hAnsi="Symbol"/>
    </w:rPr>
  </w:style>
  <w:style w:type="character" w:customStyle="1" w:styleId="WW8Num70z0">
    <w:name w:val="WW8Num70z0"/>
    <w:rPr>
      <w:rFonts w:ascii="Symbol" w:hAnsi="Symbol"/>
    </w:rPr>
  </w:style>
  <w:style w:type="character" w:customStyle="1" w:styleId="WW8Num70z1">
    <w:name w:val="WW8Num70z1"/>
    <w:rPr>
      <w:rFonts w:ascii="Courier New" w:hAnsi="Courier New" w:cs="Courier New"/>
    </w:rPr>
  </w:style>
  <w:style w:type="character" w:customStyle="1" w:styleId="WW8Num70z2">
    <w:name w:val="WW8Num70z2"/>
    <w:rPr>
      <w:rFonts w:ascii="Wingdings" w:hAnsi="Wingdings"/>
    </w:rPr>
  </w:style>
  <w:style w:type="character" w:customStyle="1" w:styleId="WW8Num71z0">
    <w:name w:val="WW8Num71z0"/>
    <w:rPr>
      <w:rFonts w:ascii="Symbol" w:hAnsi="Symbol"/>
    </w:rPr>
  </w:style>
  <w:style w:type="character" w:customStyle="1" w:styleId="WW8Num71z1">
    <w:name w:val="WW8Num71z1"/>
    <w:rPr>
      <w:rFonts w:ascii="Courier New" w:hAnsi="Courier New" w:cs="Courier New"/>
    </w:rPr>
  </w:style>
  <w:style w:type="character" w:customStyle="1" w:styleId="WW8Num71z2">
    <w:name w:val="WW8Num71z2"/>
    <w:rPr>
      <w:rFonts w:ascii="Wingdings" w:hAnsi="Wingdings"/>
    </w:rPr>
  </w:style>
  <w:style w:type="character" w:customStyle="1" w:styleId="WW8Num72z0">
    <w:name w:val="WW8Num72z0"/>
    <w:rPr>
      <w:rFonts w:ascii="Symbol" w:hAnsi="Symbol"/>
    </w:rPr>
  </w:style>
  <w:style w:type="character" w:customStyle="1" w:styleId="WW8Num72z1">
    <w:name w:val="WW8Num72z1"/>
    <w:rPr>
      <w:rFonts w:ascii="Courier New" w:hAnsi="Courier New" w:cs="Courier New"/>
    </w:rPr>
  </w:style>
  <w:style w:type="character" w:customStyle="1" w:styleId="WW8Num72z2">
    <w:name w:val="WW8Num72z2"/>
    <w:rPr>
      <w:rFonts w:ascii="Wingdings" w:hAnsi="Wingdings"/>
    </w:rPr>
  </w:style>
  <w:style w:type="character" w:customStyle="1" w:styleId="WW8Num73z0">
    <w:name w:val="WW8Num73z0"/>
    <w:rPr>
      <w:rFonts w:ascii="Symbol" w:hAnsi="Symbol"/>
    </w:rPr>
  </w:style>
  <w:style w:type="character" w:customStyle="1" w:styleId="WW8Num73z1">
    <w:name w:val="WW8Num73z1"/>
    <w:rPr>
      <w:rFonts w:ascii="Courier New" w:hAnsi="Courier New" w:cs="Courier New"/>
    </w:rPr>
  </w:style>
  <w:style w:type="character" w:customStyle="1" w:styleId="WW8Num73z2">
    <w:name w:val="WW8Num73z2"/>
    <w:rPr>
      <w:rFonts w:ascii="Wingdings" w:hAnsi="Wingdings"/>
    </w:rPr>
  </w:style>
  <w:style w:type="character" w:customStyle="1" w:styleId="WW8Num74z0">
    <w:name w:val="WW8Num74z0"/>
    <w:rPr>
      <w:rFonts w:ascii="Symbol" w:hAnsi="Symbol"/>
    </w:rPr>
  </w:style>
  <w:style w:type="character" w:customStyle="1" w:styleId="WW8Num74z1">
    <w:name w:val="WW8Num74z1"/>
    <w:rPr>
      <w:rFonts w:ascii="Courier New" w:hAnsi="Courier New" w:cs="Courier New"/>
    </w:rPr>
  </w:style>
  <w:style w:type="character" w:customStyle="1" w:styleId="WW8Num74z2">
    <w:name w:val="WW8Num74z2"/>
    <w:rPr>
      <w:rFonts w:ascii="Wingdings" w:hAnsi="Wingdings"/>
    </w:rPr>
  </w:style>
  <w:style w:type="character" w:customStyle="1" w:styleId="WW8Num75z0">
    <w:name w:val="WW8Num75z0"/>
    <w:rPr>
      <w:rFonts w:ascii="Symbol" w:hAnsi="Symbol"/>
    </w:rPr>
  </w:style>
  <w:style w:type="character" w:customStyle="1" w:styleId="WW8Num75z1">
    <w:name w:val="WW8Num75z1"/>
    <w:rPr>
      <w:rFonts w:ascii="Courier New" w:hAnsi="Courier New" w:cs="Courier New"/>
    </w:rPr>
  </w:style>
  <w:style w:type="character" w:customStyle="1" w:styleId="WW8Num75z2">
    <w:name w:val="WW8Num75z2"/>
    <w:rPr>
      <w:rFonts w:ascii="Wingdings" w:hAnsi="Wingdings"/>
    </w:rPr>
  </w:style>
  <w:style w:type="character" w:customStyle="1" w:styleId="DefaultParagraphFont2">
    <w:name w:val="Default Paragraph Font2"/>
  </w:style>
  <w:style w:type="character" w:customStyle="1" w:styleId="a">
    <w:name w:val="Знаци на фуснота"/>
    <w:rPr>
      <w:vertAlign w:val="superscript"/>
    </w:rPr>
  </w:style>
  <w:style w:type="character" w:customStyle="1" w:styleId="CharacterStyle1">
    <w:name w:val="Character Style 1"/>
    <w:rPr>
      <w:sz w:val="20"/>
      <w:szCs w:val="20"/>
    </w:rPr>
  </w:style>
  <w:style w:type="character" w:customStyle="1" w:styleId="CharChar2">
    <w:name w:val="Char Char2"/>
    <w:rPr>
      <w:b/>
      <w:sz w:val="24"/>
      <w:lang w:val="en-US" w:eastAsia="ar-SA" w:bidi="ar-SA"/>
    </w:rPr>
  </w:style>
  <w:style w:type="character" w:customStyle="1" w:styleId="indent1">
    <w:name w:val="indent1"/>
    <w:basedOn w:val="DefaultParagraphFont2"/>
  </w:style>
  <w:style w:type="paragraph" w:customStyle="1" w:styleId="a0">
    <w:name w:val="Заглавие"/>
    <w:basedOn w:val="Normal"/>
    <w:next w:val="BodyText"/>
    <w:pPr>
      <w:keepNext/>
      <w:spacing w:before="240"/>
    </w:pPr>
    <w:rPr>
      <w:rFonts w:ascii="Helvetica" w:eastAsia="HG Mincho Light J" w:hAnsi="Helvetica" w:cs="Tahoma"/>
      <w:b/>
      <w:bCs/>
      <w:sz w:val="28"/>
      <w:szCs w:val="28"/>
    </w:rPr>
  </w:style>
  <w:style w:type="paragraph" w:customStyle="1" w:styleId="a1">
    <w:name w:val="Наслов"/>
    <w:basedOn w:val="Normal"/>
    <w:pPr>
      <w:suppressLineNumbers/>
      <w:spacing w:before="120"/>
    </w:pPr>
    <w:rPr>
      <w:rFonts w:ascii="Times" w:hAnsi="Times" w:cs="Tahoma"/>
      <w:b/>
      <w:bCs/>
      <w:i/>
      <w:iCs/>
      <w:sz w:val="24"/>
      <w:szCs w:val="24"/>
    </w:rPr>
  </w:style>
  <w:style w:type="paragraph" w:customStyle="1" w:styleId="a2">
    <w:name w:val="Индекс"/>
    <w:basedOn w:val="Normal"/>
    <w:pPr>
      <w:suppressLineNumbers/>
    </w:pPr>
    <w:rPr>
      <w:rFonts w:ascii="Times" w:hAnsi="Times" w:cs="Tahoma"/>
      <w:b/>
      <w:bCs/>
      <w:sz w:val="24"/>
    </w:rPr>
  </w:style>
  <w:style w:type="paragraph" w:styleId="Date">
    <w:name w:val="Date"/>
    <w:basedOn w:val="Normal"/>
    <w:next w:val="Normal"/>
    <w:semiHidden/>
    <w:rPr>
      <w:rFonts w:ascii="Times New Roman" w:hAnsi="Times New Roman" w:cs="Times New Roman"/>
      <w:b/>
      <w:bCs/>
      <w:sz w:val="24"/>
    </w:rPr>
  </w:style>
  <w:style w:type="character" w:customStyle="1" w:styleId="CharChar3">
    <w:name w:val="Char Char3"/>
    <w:rPr>
      <w:sz w:val="24"/>
      <w:lang w:eastAsia="ar-SA"/>
    </w:rPr>
  </w:style>
  <w:style w:type="paragraph" w:customStyle="1" w:styleId="Heading1a">
    <w:name w:val="Heading 1a"/>
    <w:basedOn w:val="Normal"/>
    <w:next w:val="Normal"/>
    <w:pPr>
      <w:keepNext/>
      <w:keepLines/>
      <w:tabs>
        <w:tab w:val="num" w:pos="0"/>
      </w:tabs>
      <w:spacing w:before="1440" w:after="240"/>
      <w:jc w:val="center"/>
      <w:outlineLvl w:val="0"/>
    </w:pPr>
    <w:rPr>
      <w:rFonts w:ascii="Times New Roman" w:hAnsi="Times New Roman" w:cs="Times New Roman"/>
      <w:bCs/>
      <w:caps/>
      <w:sz w:val="32"/>
      <w:szCs w:val="24"/>
    </w:rPr>
  </w:style>
  <w:style w:type="paragraph" w:customStyle="1" w:styleId="MainParanoChapter">
    <w:name w:val="Main Para no Chapter #"/>
    <w:basedOn w:val="Normal"/>
    <w:pPr>
      <w:tabs>
        <w:tab w:val="num" w:pos="720"/>
      </w:tabs>
      <w:spacing w:after="240"/>
      <w:ind w:left="720" w:hanging="720"/>
      <w:outlineLvl w:val="1"/>
    </w:pPr>
    <w:rPr>
      <w:rFonts w:ascii="Times New Roman" w:hAnsi="Times New Roman" w:cs="Times New Roman"/>
      <w:b/>
      <w:bCs/>
      <w:sz w:val="24"/>
      <w:szCs w:val="24"/>
    </w:rPr>
  </w:style>
  <w:style w:type="paragraph" w:customStyle="1" w:styleId="Sub-Para1underX">
    <w:name w:val="Sub-Para 1 under X."/>
    <w:basedOn w:val="Normal"/>
    <w:pPr>
      <w:tabs>
        <w:tab w:val="num" w:pos="720"/>
      </w:tabs>
      <w:spacing w:after="240"/>
      <w:ind w:left="720" w:hanging="360"/>
      <w:outlineLvl w:val="2"/>
    </w:pPr>
    <w:rPr>
      <w:rFonts w:ascii="Times New Roman" w:hAnsi="Times New Roman" w:cs="Times New Roman"/>
      <w:b/>
      <w:bCs/>
      <w:sz w:val="24"/>
      <w:szCs w:val="24"/>
    </w:rPr>
  </w:style>
  <w:style w:type="paragraph" w:customStyle="1" w:styleId="Sub-Para2underX">
    <w:name w:val="Sub-Para 2 under X."/>
    <w:basedOn w:val="Normal"/>
    <w:pPr>
      <w:tabs>
        <w:tab w:val="num" w:pos="1080"/>
      </w:tabs>
      <w:spacing w:after="240"/>
      <w:ind w:left="1080" w:hanging="360"/>
      <w:outlineLvl w:val="3"/>
    </w:pPr>
    <w:rPr>
      <w:rFonts w:ascii="Times New Roman" w:hAnsi="Times New Roman" w:cs="Times New Roman"/>
      <w:b/>
      <w:bCs/>
      <w:sz w:val="24"/>
      <w:szCs w:val="24"/>
    </w:rPr>
  </w:style>
  <w:style w:type="paragraph" w:customStyle="1" w:styleId="Sub-Para3underX">
    <w:name w:val="Sub-Para 3 under X."/>
    <w:basedOn w:val="Normal"/>
    <w:pPr>
      <w:tabs>
        <w:tab w:val="num" w:pos="1440"/>
      </w:tabs>
      <w:spacing w:after="240"/>
      <w:ind w:left="1440" w:hanging="360"/>
      <w:outlineLvl w:val="4"/>
    </w:pPr>
    <w:rPr>
      <w:rFonts w:ascii="Times New Roman" w:hAnsi="Times New Roman" w:cs="Times New Roman"/>
      <w:b/>
      <w:bCs/>
      <w:sz w:val="24"/>
      <w:szCs w:val="24"/>
    </w:rPr>
  </w:style>
  <w:style w:type="paragraph" w:customStyle="1" w:styleId="Sub-Para4underX">
    <w:name w:val="Sub-Para 4 under X."/>
    <w:basedOn w:val="Normal"/>
    <w:pPr>
      <w:tabs>
        <w:tab w:val="num" w:pos="1800"/>
      </w:tabs>
      <w:spacing w:after="240"/>
      <w:ind w:left="1800" w:hanging="360"/>
      <w:outlineLvl w:val="5"/>
    </w:pPr>
    <w:rPr>
      <w:rFonts w:ascii="Times New Roman" w:hAnsi="Times New Roman" w:cs="Times New Roman"/>
      <w:b/>
      <w:bCs/>
      <w:sz w:val="24"/>
      <w:szCs w:val="24"/>
    </w:rPr>
  </w:style>
  <w:style w:type="paragraph" w:customStyle="1" w:styleId="StyleMainParanoChapterJustified3">
    <w:name w:val="Style Main Para no Chapter # + Justified3"/>
    <w:basedOn w:val="MainParanoChapter"/>
    <w:pPr>
      <w:tabs>
        <w:tab w:val="clear" w:pos="720"/>
      </w:tabs>
      <w:spacing w:after="120"/>
      <w:ind w:left="0" w:firstLine="0"/>
      <w:outlineLvl w:val="9"/>
    </w:pPr>
    <w:rPr>
      <w:szCs w:val="20"/>
    </w:rPr>
  </w:style>
  <w:style w:type="paragraph" w:customStyle="1" w:styleId="03EPRregularparagraphs">
    <w:name w:val="(03) EPR regular paragraphs"/>
    <w:basedOn w:val="Normal"/>
    <w:rPr>
      <w:rFonts w:ascii="Times New Roman" w:hAnsi="Times New Roman" w:cs="Times New Roman"/>
      <w:b/>
      <w:bCs/>
    </w:rPr>
  </w:style>
  <w:style w:type="paragraph" w:customStyle="1" w:styleId="Leernachxx">
    <w:name w:val="Leer nach Üxx"/>
    <w:basedOn w:val="Normal"/>
    <w:next w:val="BodyText"/>
    <w:rPr>
      <w:rFonts w:ascii="Verdana" w:hAnsi="Verdana" w:cs="Times New Roman"/>
      <w:b/>
      <w:bCs/>
      <w:color w:val="FF9900"/>
    </w:rPr>
  </w:style>
  <w:style w:type="paragraph" w:customStyle="1" w:styleId="Tableaunormal">
    <w:name w:val="Tableau normal"/>
    <w:basedOn w:val="Normal"/>
    <w:pPr>
      <w:spacing w:before="60" w:after="60"/>
    </w:pPr>
    <w:rPr>
      <w:rFonts w:cs="Times New Roman"/>
      <w:b/>
      <w:bCs/>
      <w:szCs w:val="24"/>
    </w:rPr>
  </w:style>
  <w:style w:type="paragraph" w:customStyle="1" w:styleId="MainParawithChapter">
    <w:name w:val="Main Para with Chapter#"/>
    <w:basedOn w:val="Normal"/>
    <w:pPr>
      <w:spacing w:after="240"/>
    </w:pPr>
    <w:rPr>
      <w:rFonts w:ascii="Times New Roman" w:hAnsi="Times New Roman" w:cs="Times New Roman"/>
      <w:b/>
      <w:bCs/>
      <w:sz w:val="24"/>
      <w:szCs w:val="24"/>
    </w:rPr>
  </w:style>
  <w:style w:type="paragraph" w:customStyle="1" w:styleId="Style1">
    <w:name w:val="Style 1"/>
    <w:pPr>
      <w:widowControl w:val="0"/>
      <w:suppressAutoHyphens/>
      <w:autoSpaceDE w:val="0"/>
      <w:spacing w:before="288" w:after="180"/>
      <w:ind w:left="720" w:hanging="360"/>
      <w:jc w:val="both"/>
    </w:pPr>
    <w:rPr>
      <w:rFonts w:eastAsia="Arial"/>
      <w:lang w:eastAsia="ar-SA"/>
    </w:rPr>
  </w:style>
  <w:style w:type="paragraph" w:customStyle="1" w:styleId="Style20">
    <w:name w:val="Style 2"/>
    <w:pPr>
      <w:widowControl w:val="0"/>
      <w:suppressAutoHyphens/>
      <w:autoSpaceDE w:val="0"/>
      <w:spacing w:after="180"/>
      <w:ind w:left="720" w:hanging="360"/>
      <w:jc w:val="both"/>
    </w:pPr>
    <w:rPr>
      <w:rFonts w:eastAsia="Arial"/>
      <w:lang w:eastAsia="ar-SA"/>
    </w:rPr>
  </w:style>
  <w:style w:type="paragraph" w:customStyle="1" w:styleId="Tabellentext">
    <w:name w:val="Tabellentext"/>
    <w:basedOn w:val="BodyText"/>
    <w:pPr>
      <w:spacing w:before="80" w:after="40" w:line="180" w:lineRule="exact"/>
    </w:pPr>
    <w:rPr>
      <w:rFonts w:ascii="Verdana" w:hAnsi="Verdana"/>
      <w:color w:val="auto"/>
      <w:sz w:val="16"/>
      <w:szCs w:val="20"/>
      <w:lang w:val="en-GB"/>
    </w:rPr>
  </w:style>
  <w:style w:type="paragraph" w:customStyle="1" w:styleId="l1">
    <w:name w:val="l1"/>
    <w:basedOn w:val="Normal"/>
    <w:pPr>
      <w:spacing w:before="51" w:after="51"/>
      <w:ind w:left="244"/>
    </w:pPr>
    <w:rPr>
      <w:rFonts w:ascii="Times New Roman" w:hAnsi="Times New Roman" w:cs="Times New Roman"/>
      <w:b/>
      <w:bCs/>
      <w:sz w:val="24"/>
      <w:szCs w:val="24"/>
      <w:lang w:val="ru-RU"/>
    </w:rPr>
  </w:style>
  <w:style w:type="paragraph" w:customStyle="1" w:styleId="a3">
    <w:name w:val="Содржина на табела"/>
    <w:basedOn w:val="Normal"/>
    <w:pPr>
      <w:suppressLineNumbers/>
    </w:pPr>
    <w:rPr>
      <w:rFonts w:ascii="Times New Roman" w:hAnsi="Times New Roman" w:cs="Times New Roman"/>
      <w:b/>
      <w:bCs/>
      <w:sz w:val="24"/>
    </w:rPr>
  </w:style>
  <w:style w:type="paragraph" w:customStyle="1" w:styleId="a4">
    <w:name w:val="Заглавие на табела"/>
    <w:basedOn w:val="a3"/>
    <w:pPr>
      <w:jc w:val="center"/>
    </w:pPr>
    <w:rPr>
      <w:b w:val="0"/>
      <w:bCs w:val="0"/>
    </w:rPr>
  </w:style>
  <w:style w:type="paragraph" w:customStyle="1" w:styleId="10">
    <w:name w:val="Содржина 10"/>
    <w:basedOn w:val="a2"/>
    <w:pPr>
      <w:tabs>
        <w:tab w:val="right" w:leader="dot" w:pos="9637"/>
      </w:tabs>
      <w:ind w:left="2547"/>
    </w:pPr>
  </w:style>
  <w:style w:type="paragraph" w:customStyle="1" w:styleId="a5">
    <w:name w:val="Содржина на рамка"/>
    <w:basedOn w:val="BodyText"/>
    <w:rPr>
      <w:rFonts w:ascii="Times New Roman" w:hAnsi="Times New Roman"/>
      <w:color w:val="auto"/>
      <w:sz w:val="24"/>
      <w:szCs w:val="24"/>
    </w:rPr>
  </w:style>
  <w:style w:type="paragraph" w:customStyle="1" w:styleId="CharCharCharChar">
    <w:name w:val="Char Char Char Char"/>
    <w:basedOn w:val="Normal"/>
    <w:pPr>
      <w:spacing w:line="240" w:lineRule="exact"/>
    </w:pPr>
    <w:rPr>
      <w:rFonts w:ascii="Tahoma" w:hAnsi="Tahoma" w:cs="Times New Roman"/>
      <w:b/>
      <w:bCs/>
    </w:rPr>
  </w:style>
  <w:style w:type="paragraph" w:customStyle="1" w:styleId="Default">
    <w:name w:val="Default"/>
    <w:pPr>
      <w:autoSpaceDE w:val="0"/>
      <w:autoSpaceDN w:val="0"/>
      <w:adjustRightInd w:val="0"/>
      <w:spacing w:after="180"/>
      <w:ind w:left="720" w:hanging="360"/>
      <w:jc w:val="both"/>
    </w:pPr>
    <w:rPr>
      <w:rFonts w:ascii="TimesNewRoman" w:hAnsi="TimesNewRoman" w:cs="TimesNewRoman"/>
    </w:rPr>
  </w:style>
  <w:style w:type="character" w:customStyle="1" w:styleId="Style12pt">
    <w:name w:val="Style 12 pt"/>
    <w:rPr>
      <w:b/>
      <w:sz w:val="24"/>
    </w:rPr>
  </w:style>
  <w:style w:type="character" w:customStyle="1" w:styleId="Heading4CharChar">
    <w:name w:val="Heading 4 Char Char"/>
    <w:aliases w:val="Heading 4 Char Char Char Char"/>
    <w:rPr>
      <w:rFonts w:ascii="Arial" w:hAnsi="Arial"/>
      <w:b/>
      <w:bCs/>
      <w:sz w:val="28"/>
      <w:szCs w:val="28"/>
      <w:lang w:val="en-GB" w:eastAsia="en-US" w:bidi="ar-SA"/>
    </w:rPr>
  </w:style>
  <w:style w:type="paragraph" w:customStyle="1" w:styleId="PDSHeading1">
    <w:name w:val="PDSHeading1"/>
    <w:next w:val="Normal"/>
    <w:pPr>
      <w:spacing w:after="180"/>
      <w:ind w:left="720" w:hanging="360"/>
      <w:jc w:val="both"/>
    </w:pPr>
    <w:rPr>
      <w:b/>
      <w:sz w:val="24"/>
    </w:rPr>
  </w:style>
  <w:style w:type="character" w:customStyle="1" w:styleId="zaglavietabela1">
    <w:name w:val="zaglavietabela1"/>
    <w:rPr>
      <w:rFonts w:ascii="Verdana" w:hAnsi="Verdana" w:hint="default"/>
      <w:b/>
      <w:bCs/>
      <w:color w:val="5A697A"/>
      <w:sz w:val="20"/>
      <w:szCs w:val="20"/>
    </w:rPr>
  </w:style>
  <w:style w:type="paragraph" w:customStyle="1" w:styleId="Einrckung1">
    <w:name w:val="Einrückung 1"/>
    <w:basedOn w:val="Normal"/>
    <w:pPr>
      <w:ind w:left="851" w:hanging="851"/>
    </w:pPr>
    <w:rPr>
      <w:rFonts w:cs="Times New Roman"/>
      <w:b/>
      <w:bCs/>
      <w:lang w:val="de-DE"/>
    </w:rPr>
  </w:style>
  <w:style w:type="paragraph" w:customStyle="1" w:styleId="Einrckung2">
    <w:name w:val="Einrückung 2"/>
    <w:basedOn w:val="Normal"/>
    <w:pPr>
      <w:ind w:left="1701" w:hanging="851"/>
    </w:pPr>
    <w:rPr>
      <w:rFonts w:cs="Times New Roman"/>
      <w:b/>
      <w:bCs/>
      <w:lang w:val="de-DE"/>
    </w:rPr>
  </w:style>
  <w:style w:type="paragraph" w:customStyle="1" w:styleId="Style10">
    <w:name w:val="Style1"/>
    <w:basedOn w:val="Normal"/>
    <w:pPr>
      <w:tabs>
        <w:tab w:val="left" w:pos="360"/>
      </w:tabs>
    </w:pPr>
    <w:rPr>
      <w:rFonts w:ascii="Times New Roman" w:hAnsi="Times New Roman" w:cs="Times New Roman"/>
      <w:b/>
      <w:bCs/>
    </w:rPr>
  </w:style>
  <w:style w:type="paragraph" w:customStyle="1" w:styleId="bodytext0">
    <w:name w:val="body_text"/>
    <w:basedOn w:val="Normal"/>
    <w:pPr>
      <w:spacing w:before="120"/>
    </w:pPr>
    <w:rPr>
      <w:rFonts w:ascii="Times New Roman" w:hAnsi="Times New Roman" w:cs="Times New Roman"/>
      <w:b/>
      <w:bCs/>
    </w:rPr>
  </w:style>
  <w:style w:type="paragraph" w:customStyle="1" w:styleId="5">
    <w:name w:val="заголовок 5"/>
    <w:basedOn w:val="Normal"/>
    <w:next w:val="Normal"/>
    <w:pPr>
      <w:spacing w:after="240"/>
    </w:pPr>
    <w:rPr>
      <w:rFonts w:ascii="Times New Roman" w:hAnsi="Times New Roman" w:cs="Times New Roman"/>
      <w:b/>
      <w:bCs/>
      <w:sz w:val="24"/>
    </w:rPr>
  </w:style>
  <w:style w:type="paragraph" w:customStyle="1" w:styleId="TableText">
    <w:name w:val="Table Text"/>
    <w:basedOn w:val="Normal"/>
    <w:pPr>
      <w:ind w:left="14"/>
    </w:pPr>
    <w:rPr>
      <w:rFonts w:cs="Times New Roman"/>
      <w:b/>
      <w:bCs/>
      <w:spacing w:val="-5"/>
      <w:sz w:val="16"/>
    </w:rPr>
  </w:style>
  <w:style w:type="paragraph" w:customStyle="1" w:styleId="StyleTableHeader10pt">
    <w:name w:val="Style Table Header + 10 pt"/>
    <w:basedOn w:val="Normal"/>
    <w:pPr>
      <w:spacing w:before="60"/>
      <w:jc w:val="center"/>
    </w:pPr>
    <w:rPr>
      <w:rFonts w:cs="Times New Roman"/>
      <w:spacing w:val="-5"/>
    </w:rPr>
  </w:style>
  <w:style w:type="paragraph" w:customStyle="1" w:styleId="FieldText">
    <w:name w:val="FieldText"/>
    <w:basedOn w:val="Normal"/>
    <w:pPr>
      <w:widowControl w:val="0"/>
    </w:pPr>
    <w:rPr>
      <w:rFonts w:cs="Times New Roman"/>
      <w:b/>
      <w:bCs/>
    </w:rPr>
  </w:style>
  <w:style w:type="paragraph" w:customStyle="1" w:styleId="PDSAnnexHeading">
    <w:name w:val="PDS Annex Heading"/>
    <w:next w:val="Normal"/>
    <w:pPr>
      <w:keepNext/>
      <w:spacing w:after="120"/>
      <w:ind w:left="720" w:hanging="360"/>
      <w:jc w:val="center"/>
    </w:pPr>
    <w:rPr>
      <w:b/>
      <w:sz w:val="24"/>
    </w:rPr>
  </w:style>
  <w:style w:type="character" w:customStyle="1" w:styleId="h2Char1">
    <w:name w:val="h2 Char1"/>
    <w:aliases w:val="Paranum Char,Chpt Char,Titolo 2 Char Char"/>
    <w:rPr>
      <w:rFonts w:ascii="Arial" w:eastAsia="Arial" w:hAnsi="Arial" w:cs="Tms Rmn"/>
      <w:b/>
      <w:bCs/>
      <w:smallCaps/>
      <w:color w:val="000080"/>
      <w:sz w:val="30"/>
      <w:szCs w:val="30"/>
      <w:lang w:val="fr-FR" w:eastAsia="ar-SA"/>
    </w:rPr>
  </w:style>
  <w:style w:type="character" w:customStyle="1" w:styleId="CharChar9">
    <w:name w:val="Char Char9"/>
    <w:rPr>
      <w:rFonts w:ascii="TimesNewRomanPSMT" w:hAnsi="TimesNewRomanPSMT" w:cs="Tms Rmn"/>
      <w:color w:val="000000"/>
      <w:sz w:val="22"/>
      <w:szCs w:val="22"/>
      <w:lang w:eastAsia="ar-SA"/>
    </w:rPr>
  </w:style>
  <w:style w:type="character" w:customStyle="1" w:styleId="CharChar7">
    <w:name w:val="Char Char7"/>
    <w:rPr>
      <w:rFonts w:ascii="Arial" w:hAnsi="Arial" w:cs="Tms Rmn"/>
      <w:b/>
      <w:bCs/>
      <w:lang w:eastAsia="ar-SA"/>
    </w:rPr>
  </w:style>
  <w:style w:type="character" w:customStyle="1" w:styleId="FootnoteTextChar1">
    <w:name w:val="Footnote Text Char1"/>
    <w:aliases w:val="Fußnote Char,Footnote Char,WB-Fußnotentext Char,WB-Fußnotentext Char Char Char,Fußnotentext Char Char,single space Char1,footnote text Char, Char1 Char Char,Footnote Char1 Char,Footnote Text Char Char1,Footnote Text Char Char Char1"/>
    <w:link w:val="FootnoteText"/>
    <w:uiPriority w:val="99"/>
    <w:locked/>
    <w:rsid w:val="009072E3"/>
    <w:rPr>
      <w:rFonts w:cs="Tms Rmn"/>
      <w:sz w:val="18"/>
      <w:szCs w:val="18"/>
      <w:lang w:val="en-US" w:eastAsia="ar-SA"/>
    </w:rPr>
  </w:style>
  <w:style w:type="paragraph" w:customStyle="1" w:styleId="num">
    <w:name w:val="num"/>
    <w:basedOn w:val="Normal"/>
    <w:qFormat/>
    <w:rsid w:val="00AF5F87"/>
    <w:pPr>
      <w:spacing w:before="120"/>
    </w:pPr>
  </w:style>
  <w:style w:type="paragraph" w:customStyle="1" w:styleId="Table">
    <w:name w:val="Table"/>
    <w:basedOn w:val="ps"/>
    <w:link w:val="TableChar"/>
    <w:rsid w:val="003056F3"/>
    <w:pPr>
      <w:keepNext/>
      <w:spacing w:before="60" w:after="60"/>
      <w:ind w:left="0" w:firstLine="0"/>
      <w:jc w:val="left"/>
    </w:pPr>
    <w:rPr>
      <w:rFonts w:ascii="Arial" w:hAnsi="Arial" w:cs="Times New Roman"/>
      <w:sz w:val="20"/>
      <w:lang w:val="en-US"/>
    </w:rPr>
  </w:style>
  <w:style w:type="paragraph" w:customStyle="1" w:styleId="Annex">
    <w:name w:val="Annex"/>
    <w:basedOn w:val="Heading2"/>
    <w:rsid w:val="0053120E"/>
    <w:rPr>
      <w:rFonts w:cs="Arial"/>
    </w:rPr>
  </w:style>
  <w:style w:type="paragraph" w:customStyle="1" w:styleId="Numbered">
    <w:name w:val="Numbered"/>
    <w:basedOn w:val="Header"/>
    <w:link w:val="NumberedChar"/>
    <w:rsid w:val="00433B3A"/>
    <w:pPr>
      <w:keepLines w:val="0"/>
      <w:numPr>
        <w:numId w:val="6"/>
      </w:numPr>
      <w:pBdr>
        <w:bottom w:val="none" w:sz="0" w:space="0" w:color="auto"/>
      </w:pBdr>
      <w:suppressAutoHyphens w:val="0"/>
      <w:spacing w:before="240"/>
      <w:ind w:left="720"/>
    </w:pPr>
    <w:rPr>
      <w:rFonts w:ascii="Times New Roman" w:eastAsia="Times New Roman" w:hAnsi="Times New Roman"/>
      <w:i w:val="0"/>
      <w:iCs w:val="0"/>
      <w:sz w:val="24"/>
      <w:lang w:val="x-none" w:eastAsia="x-none"/>
    </w:rPr>
  </w:style>
  <w:style w:type="character" w:customStyle="1" w:styleId="NumberedChar">
    <w:name w:val="Numbered Char"/>
    <w:link w:val="Numbered"/>
    <w:rsid w:val="00433B3A"/>
    <w:rPr>
      <w:rFonts w:ascii="Times New Roman" w:eastAsia="Times New Roman" w:hAnsi="Times New Roman" w:cs="Times New Roman"/>
      <w:sz w:val="24"/>
      <w:lang w:val="x-none" w:eastAsia="x-none"/>
    </w:rPr>
  </w:style>
  <w:style w:type="paragraph" w:styleId="HTMLPreformatted">
    <w:name w:val="HTML Preformatted"/>
    <w:basedOn w:val="Normal"/>
    <w:link w:val="HTMLPreformattedChar"/>
    <w:uiPriority w:val="99"/>
    <w:unhideWhenUsed/>
    <w:rsid w:val="00C559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Times New Roman"/>
      <w:bCs/>
      <w:sz w:val="20"/>
      <w:lang w:val="x-none" w:eastAsia="x-none"/>
    </w:rPr>
  </w:style>
  <w:style w:type="character" w:customStyle="1" w:styleId="HTMLPreformattedChar">
    <w:name w:val="HTML Preformatted Char"/>
    <w:link w:val="HTMLPreformatted"/>
    <w:uiPriority w:val="99"/>
    <w:rsid w:val="00C5595D"/>
    <w:rPr>
      <w:rFonts w:ascii="Courier New" w:hAnsi="Courier New" w:cs="Courier New"/>
    </w:rPr>
  </w:style>
  <w:style w:type="character" w:customStyle="1" w:styleId="TitleChar">
    <w:name w:val="Title Char"/>
    <w:basedOn w:val="DefaultParagraphFont"/>
    <w:link w:val="Title"/>
    <w:rsid w:val="00E43950"/>
    <w:rPr>
      <w:rFonts w:asciiTheme="majorHAnsi" w:eastAsiaTheme="majorEastAsia" w:hAnsiTheme="majorHAnsi" w:cstheme="majorBidi"/>
      <w:color w:val="000000" w:themeColor="text1"/>
      <w:sz w:val="56"/>
      <w:szCs w:val="56"/>
    </w:rPr>
  </w:style>
  <w:style w:type="character" w:customStyle="1" w:styleId="HeaderChar">
    <w:name w:val="Header Char"/>
    <w:aliases w:val="Char Char10"/>
    <w:link w:val="Header"/>
    <w:rsid w:val="00D8028B"/>
    <w:rPr>
      <w:rFonts w:ascii="Arial" w:eastAsia="Arial" w:hAnsi="Arial" w:cs="Tms Rmn"/>
      <w:i/>
      <w:iCs/>
      <w:lang w:val="fr-FR" w:eastAsia="ar-SA"/>
    </w:rPr>
  </w:style>
  <w:style w:type="character" w:customStyle="1" w:styleId="DefaultParagraphFont3">
    <w:name w:val="Default Paragraph Font3"/>
    <w:semiHidden/>
    <w:rsid w:val="009B7536"/>
  </w:style>
  <w:style w:type="character" w:customStyle="1" w:styleId="st">
    <w:name w:val="st"/>
    <w:rsid w:val="009B7536"/>
  </w:style>
  <w:style w:type="character" w:customStyle="1" w:styleId="BodyTextChar">
    <w:name w:val="Body Text Char"/>
    <w:aliases w:val="Body Text bullets Char,(Main Text) Char1,date Char1,Body Text (Main text) Char1"/>
    <w:link w:val="BodyText"/>
    <w:rsid w:val="009B7536"/>
    <w:rPr>
      <w:rFonts w:ascii="TimesNewRomanPSMT" w:hAnsi="TimesNewRomanPSMT" w:cs="Tms Rmn"/>
      <w:color w:val="000000"/>
      <w:sz w:val="22"/>
      <w:szCs w:val="22"/>
      <w:lang w:eastAsia="ar-SA"/>
    </w:rPr>
  </w:style>
  <w:style w:type="character" w:customStyle="1" w:styleId="longtext">
    <w:name w:val="long_text"/>
    <w:rsid w:val="009B7536"/>
  </w:style>
  <w:style w:type="table" w:customStyle="1" w:styleId="TableGrid1">
    <w:name w:val="Table Grid1"/>
    <w:basedOn w:val="TableNormal"/>
    <w:next w:val="TableGrid"/>
    <w:uiPriority w:val="59"/>
    <w:rsid w:val="009B7536"/>
    <w:rPr>
      <w:rFonts w:ascii="Calibri" w:eastAsia="Calibri" w:hAnsi="Calibri"/>
      <w:lang w:val="mk-M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B753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diumGrid2Char">
    <w:name w:val="Medium Grid 2 Char"/>
    <w:link w:val="MediumGrid21"/>
    <w:uiPriority w:val="1"/>
    <w:rsid w:val="009B7536"/>
    <w:rPr>
      <w:rFonts w:ascii="Calibri" w:eastAsia="Calibri" w:hAnsi="Calibri"/>
      <w:sz w:val="22"/>
      <w:szCs w:val="22"/>
      <w:lang w:eastAsia="ar-SA" w:bidi="ar-SA"/>
    </w:rPr>
  </w:style>
  <w:style w:type="character" w:customStyle="1" w:styleId="apple-converted-space">
    <w:name w:val="apple-converted-space"/>
    <w:rsid w:val="009B7536"/>
  </w:style>
  <w:style w:type="character" w:customStyle="1" w:styleId="hps">
    <w:name w:val="hps"/>
    <w:rsid w:val="009B7536"/>
  </w:style>
  <w:style w:type="character" w:customStyle="1" w:styleId="WW8Num1z4">
    <w:name w:val="WW8Num1z4"/>
    <w:rsid w:val="004D337B"/>
    <w:rPr>
      <w:rFonts w:ascii="Courier New" w:hAnsi="Courier New" w:cs="Courier New"/>
    </w:rPr>
  </w:style>
  <w:style w:type="character" w:customStyle="1" w:styleId="WW8Num4z3">
    <w:name w:val="WW8Num4z3"/>
    <w:rsid w:val="004D337B"/>
  </w:style>
  <w:style w:type="character" w:customStyle="1" w:styleId="WW8Num4z4">
    <w:name w:val="WW8Num4z4"/>
    <w:rsid w:val="004D337B"/>
  </w:style>
  <w:style w:type="character" w:customStyle="1" w:styleId="WW8Num4z5">
    <w:name w:val="WW8Num4z5"/>
    <w:rsid w:val="004D337B"/>
  </w:style>
  <w:style w:type="character" w:customStyle="1" w:styleId="WW8Num4z6">
    <w:name w:val="WW8Num4z6"/>
    <w:rsid w:val="004D337B"/>
  </w:style>
  <w:style w:type="character" w:customStyle="1" w:styleId="WW8Num4z7">
    <w:name w:val="WW8Num4z7"/>
    <w:rsid w:val="004D337B"/>
  </w:style>
  <w:style w:type="character" w:customStyle="1" w:styleId="WW8Num4z8">
    <w:name w:val="WW8Num4z8"/>
    <w:rsid w:val="004D337B"/>
  </w:style>
  <w:style w:type="character" w:customStyle="1" w:styleId="WW8Num5z2">
    <w:name w:val="WW8Num5z2"/>
    <w:rsid w:val="004D337B"/>
  </w:style>
  <w:style w:type="character" w:customStyle="1" w:styleId="WW8Num5z3">
    <w:name w:val="WW8Num5z3"/>
    <w:rsid w:val="004D337B"/>
  </w:style>
  <w:style w:type="character" w:customStyle="1" w:styleId="WW8Num5z5">
    <w:name w:val="WW8Num5z5"/>
    <w:rsid w:val="004D337B"/>
  </w:style>
  <w:style w:type="character" w:customStyle="1" w:styleId="WW8Num5z6">
    <w:name w:val="WW8Num5z6"/>
    <w:rsid w:val="004D337B"/>
  </w:style>
  <w:style w:type="character" w:customStyle="1" w:styleId="WW8Num5z7">
    <w:name w:val="WW8Num5z7"/>
    <w:rsid w:val="004D337B"/>
  </w:style>
  <w:style w:type="character" w:customStyle="1" w:styleId="WW8Num5z8">
    <w:name w:val="WW8Num5z8"/>
    <w:rsid w:val="004D337B"/>
  </w:style>
  <w:style w:type="character" w:customStyle="1" w:styleId="WW8Num8z3">
    <w:name w:val="WW8Num8z3"/>
    <w:rsid w:val="004D337B"/>
  </w:style>
  <w:style w:type="character" w:customStyle="1" w:styleId="WW8Num8z4">
    <w:name w:val="WW8Num8z4"/>
    <w:rsid w:val="004D337B"/>
  </w:style>
  <w:style w:type="character" w:customStyle="1" w:styleId="WW8Num8z5">
    <w:name w:val="WW8Num8z5"/>
    <w:rsid w:val="004D337B"/>
  </w:style>
  <w:style w:type="character" w:customStyle="1" w:styleId="WW8Num8z6">
    <w:name w:val="WW8Num8z6"/>
    <w:rsid w:val="004D337B"/>
  </w:style>
  <w:style w:type="character" w:customStyle="1" w:styleId="WW8Num8z7">
    <w:name w:val="WW8Num8z7"/>
    <w:rsid w:val="004D337B"/>
  </w:style>
  <w:style w:type="character" w:customStyle="1" w:styleId="WW8Num8z8">
    <w:name w:val="WW8Num8z8"/>
    <w:rsid w:val="004D337B"/>
  </w:style>
  <w:style w:type="character" w:customStyle="1" w:styleId="WW8Num12z3">
    <w:name w:val="WW8Num12z3"/>
    <w:rsid w:val="004D337B"/>
    <w:rPr>
      <w:rFonts w:ascii="Symbol" w:hAnsi="Symbol" w:cs="Symbol" w:hint="default"/>
    </w:rPr>
  </w:style>
  <w:style w:type="character" w:customStyle="1" w:styleId="WW8Num14z3">
    <w:name w:val="WW8Num14z3"/>
    <w:rsid w:val="004D337B"/>
    <w:rPr>
      <w:rFonts w:ascii="Symbol" w:hAnsi="Symbol" w:cs="Symbol" w:hint="default"/>
    </w:rPr>
  </w:style>
  <w:style w:type="character" w:customStyle="1" w:styleId="WW8Num18z3">
    <w:name w:val="WW8Num18z3"/>
    <w:rsid w:val="004D337B"/>
    <w:rPr>
      <w:rFonts w:ascii="Symbol" w:hAnsi="Symbol" w:cs="Symbol" w:hint="default"/>
    </w:rPr>
  </w:style>
  <w:style w:type="character" w:customStyle="1" w:styleId="WW8Num21z3">
    <w:name w:val="WW8Num21z3"/>
    <w:rsid w:val="004D337B"/>
  </w:style>
  <w:style w:type="character" w:customStyle="1" w:styleId="WW8Num21z4">
    <w:name w:val="WW8Num21z4"/>
    <w:rsid w:val="004D337B"/>
  </w:style>
  <w:style w:type="character" w:customStyle="1" w:styleId="WW8Num21z5">
    <w:name w:val="WW8Num21z5"/>
    <w:rsid w:val="004D337B"/>
  </w:style>
  <w:style w:type="character" w:customStyle="1" w:styleId="WW8Num21z6">
    <w:name w:val="WW8Num21z6"/>
    <w:rsid w:val="004D337B"/>
  </w:style>
  <w:style w:type="character" w:customStyle="1" w:styleId="WW8Num21z7">
    <w:name w:val="WW8Num21z7"/>
    <w:rsid w:val="004D337B"/>
  </w:style>
  <w:style w:type="character" w:customStyle="1" w:styleId="WW8Num21z8">
    <w:name w:val="WW8Num21z8"/>
    <w:rsid w:val="004D337B"/>
  </w:style>
  <w:style w:type="character" w:customStyle="1" w:styleId="WW8Num23z4">
    <w:name w:val="WW8Num23z4"/>
    <w:rsid w:val="004D337B"/>
    <w:rPr>
      <w:rFonts w:ascii="Courier New" w:hAnsi="Courier New" w:cs="Courier New" w:hint="default"/>
    </w:rPr>
  </w:style>
  <w:style w:type="character" w:customStyle="1" w:styleId="WW8Num24z4">
    <w:name w:val="WW8Num24z4"/>
    <w:rsid w:val="004D337B"/>
  </w:style>
  <w:style w:type="character" w:customStyle="1" w:styleId="WW8Num24z5">
    <w:name w:val="WW8Num24z5"/>
    <w:rsid w:val="004D337B"/>
  </w:style>
  <w:style w:type="character" w:customStyle="1" w:styleId="WW8Num24z6">
    <w:name w:val="WW8Num24z6"/>
    <w:rsid w:val="004D337B"/>
  </w:style>
  <w:style w:type="character" w:customStyle="1" w:styleId="WW8Num24z7">
    <w:name w:val="WW8Num24z7"/>
    <w:rsid w:val="004D337B"/>
  </w:style>
  <w:style w:type="character" w:customStyle="1" w:styleId="WW8Num24z8">
    <w:name w:val="WW8Num24z8"/>
    <w:rsid w:val="004D337B"/>
  </w:style>
  <w:style w:type="character" w:customStyle="1" w:styleId="WW8Num25z3">
    <w:name w:val="WW8Num25z3"/>
    <w:rsid w:val="004D337B"/>
  </w:style>
  <w:style w:type="character" w:customStyle="1" w:styleId="WW8Num25z4">
    <w:name w:val="WW8Num25z4"/>
    <w:rsid w:val="004D337B"/>
  </w:style>
  <w:style w:type="character" w:customStyle="1" w:styleId="WW8Num25z5">
    <w:name w:val="WW8Num25z5"/>
    <w:rsid w:val="004D337B"/>
  </w:style>
  <w:style w:type="character" w:customStyle="1" w:styleId="WW8Num25z6">
    <w:name w:val="WW8Num25z6"/>
    <w:rsid w:val="004D337B"/>
  </w:style>
  <w:style w:type="character" w:customStyle="1" w:styleId="WW8Num25z7">
    <w:name w:val="WW8Num25z7"/>
    <w:rsid w:val="004D337B"/>
  </w:style>
  <w:style w:type="character" w:customStyle="1" w:styleId="WW8Num25z8">
    <w:name w:val="WW8Num25z8"/>
    <w:rsid w:val="004D337B"/>
  </w:style>
  <w:style w:type="character" w:customStyle="1" w:styleId="WW8Num26z4">
    <w:name w:val="WW8Num26z4"/>
    <w:rsid w:val="004D337B"/>
    <w:rPr>
      <w:rFonts w:ascii="Courier New" w:hAnsi="Courier New" w:cs="Courier New" w:hint="default"/>
    </w:rPr>
  </w:style>
  <w:style w:type="character" w:customStyle="1" w:styleId="WW8Num30z5">
    <w:name w:val="WW8Num30z5"/>
    <w:rsid w:val="004D337B"/>
  </w:style>
  <w:style w:type="character" w:customStyle="1" w:styleId="WW8Num30z6">
    <w:name w:val="WW8Num30z6"/>
    <w:rsid w:val="004D337B"/>
  </w:style>
  <w:style w:type="character" w:customStyle="1" w:styleId="WW8Num30z7">
    <w:name w:val="WW8Num30z7"/>
    <w:rsid w:val="004D337B"/>
  </w:style>
  <w:style w:type="character" w:customStyle="1" w:styleId="WW8Num30z8">
    <w:name w:val="WW8Num30z8"/>
    <w:rsid w:val="004D337B"/>
  </w:style>
  <w:style w:type="character" w:customStyle="1" w:styleId="WW8Num31z2">
    <w:name w:val="WW8Num31z2"/>
    <w:rsid w:val="004D337B"/>
    <w:rPr>
      <w:rFonts w:ascii="Wingdings" w:hAnsi="Wingdings" w:cs="Wingdings" w:hint="default"/>
    </w:rPr>
  </w:style>
  <w:style w:type="character" w:customStyle="1" w:styleId="WW8Num31z3">
    <w:name w:val="WW8Num31z3"/>
    <w:rsid w:val="004D337B"/>
    <w:rPr>
      <w:rFonts w:ascii="Symbol" w:hAnsi="Symbol" w:cs="Symbol" w:hint="default"/>
    </w:rPr>
  </w:style>
  <w:style w:type="character" w:customStyle="1" w:styleId="WW8Num33z1">
    <w:name w:val="WW8Num33z1"/>
    <w:rsid w:val="004D337B"/>
    <w:rPr>
      <w:rFonts w:ascii="Courier New" w:hAnsi="Courier New" w:cs="Courier New" w:hint="default"/>
    </w:rPr>
  </w:style>
  <w:style w:type="character" w:customStyle="1" w:styleId="WW8Num35z3">
    <w:name w:val="WW8Num35z3"/>
    <w:rsid w:val="004D337B"/>
    <w:rPr>
      <w:rFonts w:ascii="Arial" w:hAnsi="Arial" w:cs="Arial" w:hint="default"/>
      <w:b w:val="0"/>
      <w:i w:val="0"/>
      <w:spacing w:val="0"/>
      <w:sz w:val="20"/>
    </w:rPr>
  </w:style>
  <w:style w:type="character" w:customStyle="1" w:styleId="WW8Num35z4">
    <w:name w:val="WW8Num35z4"/>
    <w:rsid w:val="004D337B"/>
    <w:rPr>
      <w:rFonts w:ascii="Arial" w:hAnsi="Arial" w:cs="Arial" w:hint="default"/>
      <w:color w:val="000000"/>
    </w:rPr>
  </w:style>
  <w:style w:type="character" w:customStyle="1" w:styleId="WW8Num35z5">
    <w:name w:val="WW8Num35z5"/>
    <w:rsid w:val="004D337B"/>
    <w:rPr>
      <w:rFonts w:hint="default"/>
      <w:b w:val="0"/>
      <w:i w:val="0"/>
      <w:sz w:val="20"/>
      <w:szCs w:val="20"/>
    </w:rPr>
  </w:style>
  <w:style w:type="character" w:customStyle="1" w:styleId="WW8Num35z6">
    <w:name w:val="WW8Num35z6"/>
    <w:rsid w:val="004D337B"/>
    <w:rPr>
      <w:rFonts w:hint="default"/>
    </w:rPr>
  </w:style>
  <w:style w:type="character" w:customStyle="1" w:styleId="WW8Num36z3">
    <w:name w:val="WW8Num36z3"/>
    <w:rsid w:val="004D337B"/>
  </w:style>
  <w:style w:type="character" w:customStyle="1" w:styleId="WW8Num36z4">
    <w:name w:val="WW8Num36z4"/>
    <w:rsid w:val="004D337B"/>
  </w:style>
  <w:style w:type="character" w:customStyle="1" w:styleId="WW8Num36z5">
    <w:name w:val="WW8Num36z5"/>
    <w:rsid w:val="004D337B"/>
  </w:style>
  <w:style w:type="character" w:customStyle="1" w:styleId="WW8Num36z6">
    <w:name w:val="WW8Num36z6"/>
    <w:rsid w:val="004D337B"/>
  </w:style>
  <w:style w:type="character" w:customStyle="1" w:styleId="WW8Num36z7">
    <w:name w:val="WW8Num36z7"/>
    <w:rsid w:val="004D337B"/>
  </w:style>
  <w:style w:type="character" w:customStyle="1" w:styleId="WW8Num36z8">
    <w:name w:val="WW8Num36z8"/>
    <w:rsid w:val="004D337B"/>
  </w:style>
  <w:style w:type="character" w:customStyle="1" w:styleId="WW8Num37z5">
    <w:name w:val="WW8Num37z5"/>
    <w:rsid w:val="004D337B"/>
    <w:rPr>
      <w:rFonts w:ascii="Wingdings" w:hAnsi="Wingdings" w:cs="Wingdings" w:hint="default"/>
    </w:rPr>
  </w:style>
  <w:style w:type="character" w:customStyle="1" w:styleId="Heading1Char">
    <w:name w:val="Heading 1 Char"/>
    <w:basedOn w:val="DefaultParagraphFont"/>
    <w:link w:val="Heading1"/>
    <w:uiPriority w:val="9"/>
    <w:rsid w:val="00E43950"/>
    <w:rPr>
      <w:rFonts w:asciiTheme="majorHAnsi" w:eastAsiaTheme="majorEastAsia" w:hAnsiTheme="majorHAnsi" w:cstheme="majorBidi"/>
      <w:b/>
      <w:bCs/>
      <w:smallCaps/>
      <w:color w:val="000000" w:themeColor="text1"/>
      <w:sz w:val="36"/>
      <w:szCs w:val="36"/>
    </w:rPr>
  </w:style>
  <w:style w:type="character" w:customStyle="1" w:styleId="Heading4Char">
    <w:name w:val="Heading 4 Char"/>
    <w:aliases w:val="Sub-Clause Sub-paragraph Char, Sub-Clause Sub-paragraph Char,ClauseSubSub_No&amp;Name Char"/>
    <w:basedOn w:val="DefaultParagraphFont"/>
    <w:link w:val="Heading4"/>
    <w:rsid w:val="00E43950"/>
    <w:rPr>
      <w:rFonts w:asciiTheme="majorHAnsi" w:eastAsiaTheme="majorEastAsia" w:hAnsiTheme="majorHAnsi" w:cstheme="majorBidi"/>
      <w:b/>
      <w:bCs/>
      <w:i/>
      <w:iCs/>
      <w:color w:val="000000" w:themeColor="text1"/>
      <w:lang w:val="en-GB"/>
    </w:rPr>
  </w:style>
  <w:style w:type="character" w:customStyle="1" w:styleId="Heading5Char">
    <w:name w:val="Heading 5 Char"/>
    <w:basedOn w:val="DefaultParagraphFont"/>
    <w:link w:val="Heading5"/>
    <w:uiPriority w:val="1"/>
    <w:rsid w:val="00E43950"/>
    <w:rPr>
      <w:rFonts w:asciiTheme="majorHAnsi" w:eastAsiaTheme="majorEastAsia" w:hAnsiTheme="majorHAnsi" w:cstheme="majorBidi"/>
      <w:color w:val="17365D" w:themeColor="text2" w:themeShade="BF"/>
      <w:lang w:val="en-GB"/>
    </w:rPr>
  </w:style>
  <w:style w:type="character" w:customStyle="1" w:styleId="Heading6Char">
    <w:name w:val="Heading 6 Char"/>
    <w:basedOn w:val="DefaultParagraphFont"/>
    <w:link w:val="Heading6"/>
    <w:rsid w:val="00E43950"/>
    <w:rPr>
      <w:rFonts w:asciiTheme="majorHAnsi" w:eastAsiaTheme="majorEastAsia" w:hAnsiTheme="majorHAnsi" w:cstheme="majorBidi"/>
      <w:i/>
      <w:iCs/>
      <w:color w:val="17365D" w:themeColor="text2" w:themeShade="BF"/>
    </w:rPr>
  </w:style>
  <w:style w:type="character" w:customStyle="1" w:styleId="Heading7Char">
    <w:name w:val="Heading 7 Char"/>
    <w:basedOn w:val="DefaultParagraphFont"/>
    <w:link w:val="Heading7"/>
    <w:rsid w:val="00E43950"/>
    <w:rPr>
      <w:rFonts w:asciiTheme="majorHAnsi" w:eastAsiaTheme="majorEastAsia" w:hAnsiTheme="majorHAnsi" w:cstheme="majorBidi"/>
      <w:i/>
      <w:iCs/>
      <w:color w:val="404040" w:themeColor="text1" w:themeTint="BF"/>
    </w:rPr>
  </w:style>
  <w:style w:type="character" w:customStyle="1" w:styleId="BodyText2Char">
    <w:name w:val="Body Text 2 Char"/>
    <w:rsid w:val="004D337B"/>
    <w:rPr>
      <w:rFonts w:ascii="Arial" w:eastAsia="Times New Roman" w:hAnsi="Arial" w:cs="Arial"/>
      <w:szCs w:val="24"/>
      <w:lang w:val="en-US"/>
    </w:rPr>
  </w:style>
  <w:style w:type="character" w:customStyle="1" w:styleId="Heading2Char">
    <w:name w:val="Heading 2 Char"/>
    <w:aliases w:val="h2 Char2,Paranum Char1,Chpt Char1,Titolo 2 Char"/>
    <w:basedOn w:val="DefaultParagraphFont"/>
    <w:link w:val="Heading2"/>
    <w:uiPriority w:val="1"/>
    <w:rsid w:val="00E43950"/>
    <w:rPr>
      <w:rFonts w:asciiTheme="majorHAnsi" w:eastAsiaTheme="majorEastAsia" w:hAnsiTheme="majorHAnsi" w:cstheme="majorBidi"/>
      <w:b/>
      <w:bCs/>
      <w:smallCaps/>
      <w:color w:val="000000" w:themeColor="text1"/>
      <w:sz w:val="28"/>
      <w:szCs w:val="28"/>
      <w:lang w:val="en-GB"/>
    </w:rPr>
  </w:style>
  <w:style w:type="character" w:customStyle="1" w:styleId="Text1Char">
    <w:name w:val="Text 1 Char"/>
    <w:rsid w:val="004D337B"/>
    <w:rPr>
      <w:rFonts w:ascii="Times New Roman" w:eastAsia="Times New Roman" w:hAnsi="Times New Roman" w:cs="Times New Roman"/>
      <w:sz w:val="24"/>
      <w:szCs w:val="24"/>
      <w:lang w:val="en-GB"/>
    </w:rPr>
  </w:style>
  <w:style w:type="character" w:customStyle="1" w:styleId="CommentTextChar">
    <w:name w:val="Comment Text Char"/>
    <w:basedOn w:val="DefaultParagraphFont"/>
    <w:rsid w:val="004D337B"/>
  </w:style>
  <w:style w:type="character" w:customStyle="1" w:styleId="CommentSubjectChar">
    <w:name w:val="Comment Subject Char"/>
    <w:rsid w:val="004D337B"/>
    <w:rPr>
      <w:b/>
      <w:bCs/>
    </w:rPr>
  </w:style>
  <w:style w:type="character" w:customStyle="1" w:styleId="BalloonTextChar">
    <w:name w:val="Balloon Text Char"/>
    <w:rsid w:val="004D337B"/>
    <w:rPr>
      <w:rFonts w:ascii="Tahoma" w:hAnsi="Tahoma" w:cs="Tahoma"/>
      <w:sz w:val="16"/>
      <w:szCs w:val="16"/>
    </w:rPr>
  </w:style>
  <w:style w:type="character" w:customStyle="1" w:styleId="SubtitleChar">
    <w:name w:val="Subtitle Char"/>
    <w:basedOn w:val="DefaultParagraphFont"/>
    <w:link w:val="Subtitle"/>
    <w:uiPriority w:val="11"/>
    <w:rsid w:val="00E43950"/>
    <w:rPr>
      <w:color w:val="5A5A5A" w:themeColor="text1" w:themeTint="A5"/>
      <w:spacing w:val="10"/>
    </w:rPr>
  </w:style>
  <w:style w:type="character" w:customStyle="1" w:styleId="PlainTable31">
    <w:name w:val="Plain Table 31"/>
    <w:rsid w:val="004D337B"/>
    <w:rPr>
      <w:i/>
      <w:iCs/>
      <w:color w:val="808080"/>
    </w:rPr>
  </w:style>
  <w:style w:type="character" w:customStyle="1" w:styleId="PlainTable51">
    <w:name w:val="Plain Table 51"/>
    <w:rsid w:val="004D337B"/>
    <w:rPr>
      <w:smallCaps/>
      <w:color w:val="C0504D"/>
      <w:u w:val="single"/>
    </w:rPr>
  </w:style>
  <w:style w:type="character" w:customStyle="1" w:styleId="Heading8Char">
    <w:name w:val="Heading 8 Char"/>
    <w:basedOn w:val="DefaultParagraphFont"/>
    <w:link w:val="Heading8"/>
    <w:rsid w:val="00E43950"/>
    <w:rPr>
      <w:rFonts w:asciiTheme="majorHAnsi" w:eastAsiaTheme="majorEastAsia" w:hAnsiTheme="majorHAnsi" w:cstheme="majorBidi"/>
      <w:color w:val="404040" w:themeColor="text1" w:themeTint="BF"/>
      <w:sz w:val="20"/>
      <w:szCs w:val="20"/>
    </w:rPr>
  </w:style>
  <w:style w:type="character" w:customStyle="1" w:styleId="IntenseQuoteChar">
    <w:name w:val="Intense Quote Char"/>
    <w:basedOn w:val="DefaultParagraphFont"/>
    <w:link w:val="IntenseQuote"/>
    <w:uiPriority w:val="30"/>
    <w:rsid w:val="00E43950"/>
    <w:rPr>
      <w:color w:val="000000" w:themeColor="text1"/>
      <w:shd w:val="clear" w:color="auto" w:fill="F2F2F2" w:themeFill="background1" w:themeFillShade="F2"/>
    </w:rPr>
  </w:style>
  <w:style w:type="paragraph" w:customStyle="1" w:styleId="Text1">
    <w:name w:val="Text 1"/>
    <w:basedOn w:val="Normal"/>
    <w:next w:val="Subtitle"/>
    <w:rsid w:val="004D337B"/>
    <w:pPr>
      <w:spacing w:after="240"/>
      <w:ind w:left="482"/>
    </w:pPr>
    <w:rPr>
      <w:rFonts w:ascii="Times New Roman" w:hAnsi="Times New Roman" w:cs="Times New Roman"/>
      <w:bCs/>
      <w:sz w:val="24"/>
      <w:szCs w:val="24"/>
    </w:rPr>
  </w:style>
  <w:style w:type="paragraph" w:customStyle="1" w:styleId="LightShading-Accent21">
    <w:name w:val="Light Shading - Accent 21"/>
    <w:basedOn w:val="Normal"/>
    <w:next w:val="Normal"/>
    <w:link w:val="LightShading-Accent2Char"/>
    <w:rsid w:val="004D337B"/>
    <w:pPr>
      <w:pBdr>
        <w:bottom w:val="single" w:sz="4" w:space="4" w:color="FFFF00"/>
      </w:pBdr>
      <w:spacing w:before="200" w:after="280" w:line="276" w:lineRule="auto"/>
      <w:ind w:left="936" w:right="936"/>
    </w:pPr>
    <w:rPr>
      <w:rFonts w:ascii="Calibri" w:eastAsia="Calibri" w:hAnsi="Calibri" w:cs="Times New Roman"/>
      <w:b/>
      <w:i/>
      <w:iCs/>
      <w:color w:val="4F81BD"/>
      <w:lang w:val="x-none"/>
    </w:rPr>
  </w:style>
  <w:style w:type="character" w:customStyle="1" w:styleId="LightShading-Accent2Char">
    <w:name w:val="Light Shading - Accent 2 Char"/>
    <w:link w:val="LightShading-Accent21"/>
    <w:rsid w:val="004D337B"/>
    <w:rPr>
      <w:rFonts w:ascii="Calibri" w:eastAsia="Calibri" w:hAnsi="Calibri"/>
      <w:b/>
      <w:bCs/>
      <w:i/>
      <w:iCs/>
      <w:color w:val="4F81BD"/>
      <w:sz w:val="22"/>
      <w:szCs w:val="22"/>
      <w:lang w:val="x-none" w:eastAsia="ar-SA"/>
    </w:rPr>
  </w:style>
  <w:style w:type="paragraph" w:customStyle="1" w:styleId="StyleHeading2TimesNewRoman11ptLinespacingAtleast5">
    <w:name w:val="Style Heading 2 + Times New Roman 11 pt Line spacing:  At least 5..."/>
    <w:basedOn w:val="Heading2"/>
    <w:rsid w:val="004D337B"/>
    <w:pPr>
      <w:keepLines w:val="0"/>
      <w:shd w:val="clear" w:color="auto" w:fill="D9D9D9"/>
      <w:spacing w:before="240" w:after="60" w:line="100" w:lineRule="atLeast"/>
    </w:pPr>
    <w:rPr>
      <w:rFonts w:ascii="Times New Roman" w:eastAsia="Times New Roman" w:hAnsi="Times New Roman" w:cs="Times New Roman"/>
      <w:i/>
      <w:iCs/>
      <w:smallCaps w:val="0"/>
      <w:color w:val="auto"/>
      <w:kern w:val="1"/>
      <w:sz w:val="22"/>
      <w:szCs w:val="20"/>
    </w:rPr>
  </w:style>
  <w:style w:type="paragraph" w:customStyle="1" w:styleId="StyleHeading3TimesNewRoman11ptLinespacingAtleast5">
    <w:name w:val="Style Heading 3 + Times New Roman 11 pt Line spacing:  At least 5..."/>
    <w:basedOn w:val="Heading3"/>
    <w:rsid w:val="004D337B"/>
    <w:pPr>
      <w:keepLines w:val="0"/>
      <w:shd w:val="clear" w:color="auto" w:fill="D9D9D9"/>
      <w:spacing w:after="60" w:line="100" w:lineRule="atLeast"/>
    </w:pPr>
    <w:rPr>
      <w:rFonts w:ascii="Times New Roman" w:eastAsia="Times New Roman" w:hAnsi="Times New Roman" w:cs="Times New Roman"/>
      <w:color w:val="auto"/>
      <w:szCs w:val="20"/>
    </w:rPr>
  </w:style>
  <w:style w:type="paragraph" w:customStyle="1" w:styleId="ColorfulShading-Accent11">
    <w:name w:val="Colorful Shading - Accent 11"/>
    <w:hidden/>
    <w:uiPriority w:val="99"/>
    <w:semiHidden/>
    <w:rsid w:val="004D337B"/>
    <w:rPr>
      <w:rFonts w:ascii="Calibri" w:eastAsia="Calibri" w:hAnsi="Calibri"/>
      <w:lang w:eastAsia="ar-SA"/>
    </w:rPr>
  </w:style>
  <w:style w:type="character" w:customStyle="1" w:styleId="ModelNrmlSingleChar">
    <w:name w:val="ModelNrmlSingle Char"/>
    <w:link w:val="ModelNrmlSingle"/>
    <w:locked/>
    <w:rsid w:val="004D337B"/>
    <w:rPr>
      <w:b/>
      <w:sz w:val="22"/>
      <w:lang w:eastAsia="ar-SA"/>
    </w:rPr>
  </w:style>
  <w:style w:type="paragraph" w:customStyle="1" w:styleId="bullets">
    <w:name w:val="bullets"/>
    <w:basedOn w:val="Normal"/>
    <w:rsid w:val="004D337B"/>
    <w:pPr>
      <w:ind w:left="432" w:hanging="432"/>
    </w:pPr>
  </w:style>
  <w:style w:type="character" w:customStyle="1" w:styleId="BodyTextIndentChar">
    <w:name w:val="Body Text Indent Char"/>
    <w:link w:val="BodyTextIndent"/>
    <w:semiHidden/>
    <w:rsid w:val="005F6804"/>
    <w:rPr>
      <w:rFonts w:cs="Tms Rmn"/>
      <w:sz w:val="24"/>
      <w:szCs w:val="24"/>
      <w:lang w:val="en-GB" w:eastAsia="ar-SA"/>
    </w:rPr>
  </w:style>
  <w:style w:type="character" w:customStyle="1" w:styleId="BodyText3Char">
    <w:name w:val="Body Text 3 Char"/>
    <w:link w:val="BodyText3"/>
    <w:semiHidden/>
    <w:rsid w:val="005F6804"/>
    <w:rPr>
      <w:rFonts w:cs="Tms Rmn"/>
      <w:sz w:val="16"/>
      <w:szCs w:val="16"/>
      <w:lang w:val="en-GB" w:eastAsia="ar-SA"/>
    </w:rPr>
  </w:style>
  <w:style w:type="character" w:customStyle="1" w:styleId="ModelNrmlDoubleChar">
    <w:name w:val="ModelNrmlDouble Char"/>
    <w:link w:val="ModelNrmlDouble"/>
    <w:rsid w:val="00E07D82"/>
    <w:rPr>
      <w:b/>
      <w:sz w:val="22"/>
      <w:lang w:eastAsia="ar-SA"/>
    </w:rPr>
  </w:style>
  <w:style w:type="paragraph" w:customStyle="1" w:styleId="western">
    <w:name w:val="western"/>
    <w:basedOn w:val="Normal"/>
    <w:rsid w:val="001D70EF"/>
    <w:pPr>
      <w:spacing w:before="280" w:after="119"/>
    </w:pPr>
    <w:rPr>
      <w:rFonts w:ascii="Calibri" w:hAnsi="Calibri" w:cs="Calibri"/>
      <w:bCs/>
      <w:color w:val="000000"/>
      <w:lang w:eastAsia="zh-CN"/>
    </w:rPr>
  </w:style>
  <w:style w:type="paragraph" w:customStyle="1" w:styleId="Picture">
    <w:name w:val="Picture"/>
    <w:basedOn w:val="Normal"/>
    <w:rsid w:val="00300E52"/>
    <w:pPr>
      <w:widowControl w:val="0"/>
      <w:spacing w:after="0"/>
      <w:jc w:val="center"/>
    </w:pPr>
    <w:rPr>
      <w:rFonts w:ascii="Arial Narrow" w:hAnsi="Arial Narrow" w:cs="Times New Roman"/>
      <w:bCs/>
      <w:lang w:eastAsia="mk-MK"/>
    </w:rPr>
  </w:style>
  <w:style w:type="character" w:customStyle="1" w:styleId="Heading9Char">
    <w:name w:val="Heading 9 Char"/>
    <w:basedOn w:val="DefaultParagraphFont"/>
    <w:link w:val="Heading9"/>
    <w:rsid w:val="00E43950"/>
    <w:rPr>
      <w:rFonts w:asciiTheme="majorHAnsi" w:eastAsiaTheme="majorEastAsia" w:hAnsiTheme="majorHAnsi" w:cstheme="majorBidi"/>
      <w:i/>
      <w:iCs/>
      <w:color w:val="404040" w:themeColor="text1" w:themeTint="BF"/>
      <w:sz w:val="20"/>
      <w:szCs w:val="20"/>
    </w:rPr>
  </w:style>
  <w:style w:type="paragraph" w:customStyle="1" w:styleId="Topic3">
    <w:name w:val="Topic 3"/>
    <w:basedOn w:val="Normal"/>
    <w:rsid w:val="00300E52"/>
    <w:pPr>
      <w:spacing w:after="200"/>
    </w:pPr>
    <w:rPr>
      <w:rFonts w:ascii="Arial Narrow" w:hAnsi="Arial Narrow" w:cs="Times New Roman"/>
      <w:b/>
      <w:bCs/>
      <w:lang w:val="mk-MK" w:eastAsia="mk-MK"/>
    </w:rPr>
  </w:style>
  <w:style w:type="paragraph" w:customStyle="1" w:styleId="Legende">
    <w:name w:val="Legende"/>
    <w:basedOn w:val="ps"/>
    <w:rsid w:val="00300E52"/>
    <w:pPr>
      <w:suppressAutoHyphens w:val="0"/>
      <w:spacing w:before="120"/>
      <w:ind w:left="0" w:firstLine="0"/>
    </w:pPr>
    <w:rPr>
      <w:rFonts w:eastAsia="Times New Roman" w:cs="Times New Roman"/>
      <w:i/>
      <w:iCs/>
      <w:sz w:val="20"/>
      <w:szCs w:val="20"/>
      <w:lang w:eastAsia="fr-FR"/>
    </w:rPr>
  </w:style>
  <w:style w:type="character" w:customStyle="1" w:styleId="shorttext">
    <w:name w:val="short_text"/>
    <w:basedOn w:val="DefaultParagraphFont"/>
    <w:rsid w:val="00300E52"/>
  </w:style>
  <w:style w:type="character" w:customStyle="1" w:styleId="apple-style-span">
    <w:name w:val="apple-style-span"/>
    <w:basedOn w:val="DefaultParagraphFont"/>
    <w:rsid w:val="00300E52"/>
  </w:style>
  <w:style w:type="character" w:customStyle="1" w:styleId="atn">
    <w:name w:val="atn"/>
    <w:basedOn w:val="DefaultParagraphFont"/>
    <w:rsid w:val="00300E52"/>
  </w:style>
  <w:style w:type="character" w:customStyle="1" w:styleId="bg2">
    <w:name w:val="bg2"/>
    <w:rsid w:val="00300E52"/>
  </w:style>
  <w:style w:type="character" w:customStyle="1" w:styleId="in-widget">
    <w:name w:val="in-widget"/>
    <w:rsid w:val="00300E52"/>
  </w:style>
  <w:style w:type="character" w:customStyle="1" w:styleId="unicode">
    <w:name w:val="unicode"/>
    <w:rsid w:val="00300E52"/>
  </w:style>
  <w:style w:type="paragraph" w:customStyle="1" w:styleId="CM49">
    <w:name w:val="CM49"/>
    <w:basedOn w:val="Normal"/>
    <w:next w:val="Normal"/>
    <w:rsid w:val="00300E52"/>
    <w:pPr>
      <w:widowControl w:val="0"/>
      <w:autoSpaceDE w:val="0"/>
      <w:autoSpaceDN w:val="0"/>
      <w:adjustRightInd w:val="0"/>
      <w:spacing w:after="123"/>
    </w:pPr>
    <w:rPr>
      <w:rFonts w:ascii="MAC C Times" w:hAnsi="MAC C Times" w:cs="Times New Roman"/>
      <w:bCs/>
      <w:sz w:val="24"/>
      <w:szCs w:val="24"/>
      <w:lang w:val="mk-MK" w:eastAsia="mk-MK"/>
    </w:rPr>
  </w:style>
  <w:style w:type="character" w:customStyle="1" w:styleId="GridTable1Light1">
    <w:name w:val="Grid Table 1 Light1"/>
    <w:uiPriority w:val="33"/>
    <w:rsid w:val="00300E52"/>
    <w:rPr>
      <w:b/>
      <w:bCs/>
      <w:smallCaps/>
      <w:spacing w:val="5"/>
    </w:rPr>
  </w:style>
  <w:style w:type="table" w:styleId="MediumGrid2-Accent4">
    <w:name w:val="Medium Grid 2 Accent 4"/>
    <w:basedOn w:val="TableNormal"/>
    <w:uiPriority w:val="73"/>
    <w:rsid w:val="00300E52"/>
    <w:rPr>
      <w:rFonts w:ascii="Calibri" w:hAnsi="Calibri"/>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Shading-Accent3">
    <w:name w:val="Colorful Shading Accent 3"/>
    <w:basedOn w:val="TableNormal"/>
    <w:uiPriority w:val="62"/>
    <w:rsid w:val="00300E52"/>
    <w:rPr>
      <w:rFonts w:ascii="Calibri" w:hAnsi="Calibri"/>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Wingdings 2" w:eastAsia="Times New Roman" w:hAnsi="Wingdings 2"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Wingdings 2" w:eastAsia="Times New Roman" w:hAnsi="Wingdings 2"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Wingdings 2" w:eastAsia="Times New Roman" w:hAnsi="Wingdings 2" w:cs="Times New Roman"/>
        <w:b/>
        <w:bCs/>
      </w:rPr>
    </w:tblStylePr>
    <w:tblStylePr w:type="lastCol">
      <w:rPr>
        <w:rFonts w:ascii="Wingdings 2" w:eastAsia="Times New Roman" w:hAnsi="Wingdings 2"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List-Accent4">
    <w:name w:val="Light List Accent 4"/>
    <w:basedOn w:val="TableNormal"/>
    <w:uiPriority w:val="66"/>
    <w:rsid w:val="00300E52"/>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LightGrid-Accent4">
    <w:name w:val="Light Grid Accent 4"/>
    <w:basedOn w:val="TableNormal"/>
    <w:uiPriority w:val="67"/>
    <w:rsid w:val="00300E52"/>
    <w:rPr>
      <w:rFonts w:ascii="Calibri" w:hAnsi="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Emphasis">
    <w:name w:val="Emphasis"/>
    <w:basedOn w:val="DefaultParagraphFont"/>
    <w:uiPriority w:val="20"/>
    <w:qFormat/>
    <w:rsid w:val="00E43950"/>
    <w:rPr>
      <w:i/>
      <w:iCs/>
      <w:color w:val="auto"/>
    </w:rPr>
  </w:style>
  <w:style w:type="paragraph" w:customStyle="1" w:styleId="Source0">
    <w:name w:val="Source"/>
    <w:basedOn w:val="Picture"/>
    <w:link w:val="SourceChar"/>
    <w:rsid w:val="00300E52"/>
    <w:pPr>
      <w:spacing w:after="200"/>
      <w:jc w:val="left"/>
    </w:pPr>
    <w:rPr>
      <w:sz w:val="20"/>
      <w:szCs w:val="20"/>
      <w:lang w:val="x-none" w:eastAsia="x-none"/>
    </w:rPr>
  </w:style>
  <w:style w:type="character" w:customStyle="1" w:styleId="SourceChar">
    <w:name w:val="Source Char"/>
    <w:link w:val="Source0"/>
    <w:rsid w:val="00300E52"/>
    <w:rPr>
      <w:rFonts w:ascii="Arial Narrow" w:hAnsi="Arial Narrow"/>
      <w:lang w:val="x-none"/>
    </w:rPr>
  </w:style>
  <w:style w:type="character" w:customStyle="1" w:styleId="TableChar">
    <w:name w:val="Table Char"/>
    <w:link w:val="Table"/>
    <w:rsid w:val="00300E52"/>
    <w:rPr>
      <w:rFonts w:ascii="Arial" w:eastAsia="Arial" w:hAnsi="Arial" w:cs="Arial"/>
      <w:szCs w:val="22"/>
      <w:lang w:val="en-US" w:eastAsia="ar-SA"/>
    </w:rPr>
  </w:style>
  <w:style w:type="paragraph" w:customStyle="1" w:styleId="11111kop5">
    <w:name w:val="1.1.1.1.1 kop 5"/>
    <w:basedOn w:val="Heading5"/>
    <w:rsid w:val="00300E52"/>
    <w:pPr>
      <w:keepNext w:val="0"/>
      <w:keepLines w:val="0"/>
      <w:spacing w:before="240" w:after="60" w:line="260" w:lineRule="atLeast"/>
    </w:pPr>
    <w:rPr>
      <w:rFonts w:ascii="Arial" w:eastAsia="Times New Roman" w:hAnsi="Arial" w:cs="Times New Roman"/>
      <w:iCs/>
      <w:snapToGrid w:val="0"/>
      <w:sz w:val="20"/>
      <w:szCs w:val="26"/>
      <w:lang w:val="nl-NL" w:eastAsia="nl-NL"/>
    </w:rPr>
  </w:style>
  <w:style w:type="paragraph" w:customStyle="1" w:styleId="OiaeaeiYiio2">
    <w:name w:val="O?ia eaeiYiio 2"/>
    <w:basedOn w:val="Normal"/>
    <w:rsid w:val="00300E52"/>
    <w:pPr>
      <w:widowControl w:val="0"/>
      <w:spacing w:after="0"/>
      <w:jc w:val="right"/>
    </w:pPr>
    <w:rPr>
      <w:rFonts w:ascii="Times New Roman" w:hAnsi="Times New Roman" w:cs="Times New Roman"/>
      <w:bCs/>
      <w:i/>
      <w:sz w:val="16"/>
    </w:rPr>
  </w:style>
  <w:style w:type="paragraph" w:customStyle="1" w:styleId="088095CB421E4E02BDC9682AFEE1723A">
    <w:name w:val="088095CB421E4E02BDC9682AFEE1723A"/>
    <w:rsid w:val="00300E52"/>
    <w:pPr>
      <w:spacing w:after="200" w:line="276" w:lineRule="auto"/>
    </w:pPr>
    <w:rPr>
      <w:rFonts w:ascii="Calibri" w:hAnsi="Calibri"/>
      <w:lang w:eastAsia="ja-JP"/>
    </w:rPr>
  </w:style>
  <w:style w:type="paragraph" w:customStyle="1" w:styleId="NormalArielNarrow">
    <w:name w:val="Normal Ariel Narrow"/>
    <w:basedOn w:val="Normal"/>
    <w:rsid w:val="00300E52"/>
    <w:pPr>
      <w:widowControl w:val="0"/>
      <w:spacing w:after="240"/>
    </w:pPr>
    <w:rPr>
      <w:rFonts w:ascii="Arial Narrow" w:hAnsi="Arial Narrow" w:cs="Times New Roman"/>
      <w:bCs/>
      <w:lang w:eastAsia="mk-MK"/>
    </w:rPr>
  </w:style>
  <w:style w:type="numbering" w:customStyle="1" w:styleId="NoList1">
    <w:name w:val="No List1"/>
    <w:next w:val="NoList"/>
    <w:uiPriority w:val="99"/>
    <w:semiHidden/>
    <w:unhideWhenUsed/>
    <w:rsid w:val="00300E52"/>
  </w:style>
  <w:style w:type="character" w:customStyle="1" w:styleId="spelle">
    <w:name w:val="spelle"/>
    <w:basedOn w:val="DefaultParagraphFont"/>
    <w:rsid w:val="00300E52"/>
  </w:style>
  <w:style w:type="character" w:customStyle="1" w:styleId="at5">
    <w:name w:val="a__t5"/>
    <w:basedOn w:val="DefaultParagraphFont"/>
    <w:rsid w:val="00300E52"/>
  </w:style>
  <w:style w:type="character" w:customStyle="1" w:styleId="at4">
    <w:name w:val="a__t4"/>
    <w:basedOn w:val="DefaultParagraphFont"/>
    <w:rsid w:val="00300E52"/>
  </w:style>
  <w:style w:type="character" w:customStyle="1" w:styleId="at1">
    <w:name w:val="a__t1"/>
    <w:basedOn w:val="DefaultParagraphFont"/>
    <w:rsid w:val="00300E52"/>
  </w:style>
  <w:style w:type="character" w:customStyle="1" w:styleId="BodyTextChar1">
    <w:name w:val="Body Text Char1"/>
    <w:aliases w:val="(Main Text) Char,date Char,Body Text (Main text) Char"/>
    <w:locked/>
    <w:rsid w:val="00300E52"/>
    <w:rPr>
      <w:rFonts w:ascii="Times New Roman" w:hAnsi="Times New Roman"/>
      <w:sz w:val="22"/>
      <w:lang w:val="en-GB" w:eastAsia="en-GB"/>
    </w:rPr>
  </w:style>
  <w:style w:type="numbering" w:customStyle="1" w:styleId="Style2">
    <w:name w:val="Style2"/>
    <w:uiPriority w:val="99"/>
    <w:rsid w:val="00300E52"/>
    <w:pPr>
      <w:numPr>
        <w:numId w:val="7"/>
      </w:numPr>
    </w:pPr>
  </w:style>
  <w:style w:type="numbering" w:customStyle="1" w:styleId="Style3">
    <w:name w:val="Style3"/>
    <w:uiPriority w:val="99"/>
    <w:rsid w:val="00300E52"/>
    <w:pPr>
      <w:numPr>
        <w:numId w:val="8"/>
      </w:numPr>
    </w:pPr>
  </w:style>
  <w:style w:type="numbering" w:customStyle="1" w:styleId="Style4">
    <w:name w:val="Style4"/>
    <w:uiPriority w:val="99"/>
    <w:rsid w:val="00300E52"/>
    <w:pPr>
      <w:numPr>
        <w:numId w:val="9"/>
      </w:numPr>
    </w:pPr>
  </w:style>
  <w:style w:type="numbering" w:customStyle="1" w:styleId="Style5">
    <w:name w:val="Style5"/>
    <w:uiPriority w:val="99"/>
    <w:rsid w:val="00300E52"/>
    <w:pPr>
      <w:numPr>
        <w:numId w:val="10"/>
      </w:numPr>
    </w:pPr>
  </w:style>
  <w:style w:type="paragraph" w:customStyle="1" w:styleId="Normal27">
    <w:name w:val="Normal_27"/>
    <w:rsid w:val="008B1BB1"/>
    <w:rPr>
      <w:rFonts w:ascii="Calibri" w:eastAsia="Calibri" w:hAnsi="Calibri"/>
    </w:rPr>
  </w:style>
  <w:style w:type="paragraph" w:customStyle="1" w:styleId="CarattereCarattereCharCharCharCharCharCharZchn">
    <w:name w:val="Carattere Carattere Char Char Char Char Char Char Zchn"/>
    <w:aliases w:val="Carattere Carattere Char Char Char Char Char Char Char Zchn,Char Char Char Char Char Char Char Char Zchn,ftref Char Char Char Char Char Char Zchn,ftref Char Char Char1 Zchn"/>
    <w:basedOn w:val="Normal"/>
    <w:next w:val="Normal"/>
    <w:link w:val="FootnoteReference"/>
    <w:uiPriority w:val="99"/>
    <w:rsid w:val="008B1A10"/>
    <w:pPr>
      <w:spacing w:after="0" w:line="240" w:lineRule="exact"/>
    </w:pPr>
    <w:rPr>
      <w:rFonts w:ascii="Times New Roman" w:hAnsi="Times New Roman" w:cs="Times New Roman"/>
      <w:bCs/>
      <w:sz w:val="20"/>
      <w:vertAlign w:val="superscript"/>
    </w:rPr>
  </w:style>
  <w:style w:type="paragraph" w:customStyle="1" w:styleId="msonormal0">
    <w:name w:val="msonormal"/>
    <w:basedOn w:val="Normal"/>
    <w:rsid w:val="0095611D"/>
    <w:pPr>
      <w:spacing w:before="100" w:beforeAutospacing="1" w:after="100" w:afterAutospacing="1"/>
    </w:pPr>
    <w:rPr>
      <w:rFonts w:ascii="Times New Roman" w:hAnsi="Times New Roman" w:cs="Times New Roman"/>
      <w:bCs/>
      <w:sz w:val="24"/>
      <w:szCs w:val="24"/>
      <w:lang w:val="mk-MK" w:eastAsia="mk-MK"/>
    </w:rPr>
  </w:style>
  <w:style w:type="paragraph" w:customStyle="1" w:styleId="BVIfnrCarCar">
    <w:name w:val="BVI fnr Car Car"/>
    <w:aliases w:val="BVI fnr Car, BVI fnr Car Car Car Car Char"/>
    <w:basedOn w:val="Normal"/>
    <w:uiPriority w:val="99"/>
    <w:rsid w:val="00CA2470"/>
    <w:pPr>
      <w:spacing w:line="240" w:lineRule="exact"/>
    </w:pPr>
    <w:rPr>
      <w:rFonts w:ascii="Calibri" w:eastAsia="Calibri" w:hAnsi="Calibri" w:cs="Times New Roman"/>
      <w:bCs/>
      <w:vertAlign w:val="superscript"/>
    </w:rPr>
  </w:style>
  <w:style w:type="paragraph" w:customStyle="1" w:styleId="Paranumbered">
    <w:name w:val="Para numbered"/>
    <w:basedOn w:val="ColorfulList-Accent11"/>
    <w:link w:val="ParanumberedChar"/>
    <w:qFormat/>
    <w:rsid w:val="00CA2470"/>
    <w:pPr>
      <w:numPr>
        <w:numId w:val="12"/>
      </w:numPr>
      <w:spacing w:before="0" w:after="120"/>
    </w:pPr>
    <w:rPr>
      <w:rFonts w:ascii="Calibri" w:hAnsi="Calibri" w:cs="Times New Roman"/>
      <w:sz w:val="22"/>
      <w:szCs w:val="23"/>
      <w:lang w:val="en-US"/>
    </w:rPr>
  </w:style>
  <w:style w:type="character" w:customStyle="1" w:styleId="ParanumberedChar">
    <w:name w:val="Para numbered Char"/>
    <w:link w:val="Paranumbered"/>
    <w:rsid w:val="00CA2470"/>
    <w:rPr>
      <w:rFonts w:ascii="Calibri" w:eastAsia="Calibri" w:hAnsi="Calibri" w:cs="Times New Roman"/>
      <w:bCs/>
      <w:szCs w:val="23"/>
    </w:rPr>
  </w:style>
  <w:style w:type="paragraph" w:styleId="ListParagraph">
    <w:name w:val="List Paragraph"/>
    <w:aliases w:val="Citation List,Ha,Liste 1,Numbered List Paragraph,NumberedParas,References,본문(내용),Graphic,Resume Title,MC Paragraphe Liste,AFSN List Paragraph,ADB Normal,ReferencesCxSpLast,lp1,Normal 2,ICR Paragraph,Heading 61,List Paragraph nowy,PAD,3"/>
    <w:basedOn w:val="Normal"/>
    <w:uiPriority w:val="34"/>
    <w:qFormat/>
    <w:rsid w:val="00B55E4B"/>
    <w:pPr>
      <w:ind w:left="720"/>
      <w:contextualSpacing/>
    </w:pPr>
  </w:style>
  <w:style w:type="paragraph" w:customStyle="1" w:styleId="Normal203">
    <w:name w:val="Normal_203"/>
    <w:uiPriority w:val="99"/>
    <w:rsid w:val="00A33792"/>
    <w:pPr>
      <w:widowControl w:val="0"/>
      <w:autoSpaceDE w:val="0"/>
      <w:autoSpaceDN w:val="0"/>
      <w:adjustRightInd w:val="0"/>
    </w:pPr>
    <w:rPr>
      <w:rFonts w:ascii="Arial" w:hAnsi="Arial" w:cs="Arial"/>
      <w:color w:val="000000"/>
      <w:sz w:val="24"/>
      <w:szCs w:val="24"/>
    </w:rPr>
  </w:style>
  <w:style w:type="paragraph" w:styleId="NoSpacing">
    <w:name w:val="No Spacing"/>
    <w:aliases w:val="Figures themselves,My Normal,Body text Age of stones"/>
    <w:link w:val="NoSpacingChar"/>
    <w:uiPriority w:val="1"/>
    <w:qFormat/>
    <w:rsid w:val="00E43950"/>
    <w:pPr>
      <w:spacing w:after="0" w:line="240" w:lineRule="auto"/>
    </w:pPr>
  </w:style>
  <w:style w:type="paragraph" w:styleId="Quote">
    <w:name w:val="Quote"/>
    <w:basedOn w:val="Normal"/>
    <w:next w:val="Normal"/>
    <w:link w:val="QuoteChar"/>
    <w:uiPriority w:val="29"/>
    <w:qFormat/>
    <w:rsid w:val="00E43950"/>
    <w:pPr>
      <w:spacing w:before="160"/>
      <w:ind w:left="720" w:right="720"/>
    </w:pPr>
    <w:rPr>
      <w:i/>
      <w:iCs/>
      <w:color w:val="000000" w:themeColor="text1"/>
    </w:rPr>
  </w:style>
  <w:style w:type="character" w:customStyle="1" w:styleId="QuoteChar">
    <w:name w:val="Quote Char"/>
    <w:basedOn w:val="DefaultParagraphFont"/>
    <w:link w:val="Quote"/>
    <w:uiPriority w:val="29"/>
    <w:rsid w:val="00E43950"/>
    <w:rPr>
      <w:i/>
      <w:iCs/>
      <w:color w:val="000000" w:themeColor="text1"/>
    </w:rPr>
  </w:style>
  <w:style w:type="paragraph" w:styleId="IntenseQuote">
    <w:name w:val="Intense Quote"/>
    <w:basedOn w:val="Normal"/>
    <w:next w:val="Normal"/>
    <w:link w:val="IntenseQuoteChar"/>
    <w:uiPriority w:val="30"/>
    <w:qFormat/>
    <w:rsid w:val="00E43950"/>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1">
    <w:name w:val="Intense Quote Char1"/>
    <w:basedOn w:val="DefaultParagraphFont"/>
    <w:uiPriority w:val="60"/>
    <w:rsid w:val="00E43950"/>
    <w:rPr>
      <w:i/>
      <w:iCs/>
      <w:color w:val="4F81BD" w:themeColor="accent1"/>
    </w:rPr>
  </w:style>
  <w:style w:type="character" w:styleId="SubtleEmphasis">
    <w:name w:val="Subtle Emphasis"/>
    <w:basedOn w:val="DefaultParagraphFont"/>
    <w:uiPriority w:val="19"/>
    <w:qFormat/>
    <w:rsid w:val="00E43950"/>
    <w:rPr>
      <w:i/>
      <w:iCs/>
      <w:color w:val="404040" w:themeColor="text1" w:themeTint="BF"/>
    </w:rPr>
  </w:style>
  <w:style w:type="character" w:styleId="IntenseEmphasis">
    <w:name w:val="Intense Emphasis"/>
    <w:basedOn w:val="DefaultParagraphFont"/>
    <w:uiPriority w:val="21"/>
    <w:qFormat/>
    <w:rsid w:val="00E43950"/>
    <w:rPr>
      <w:b/>
      <w:bCs/>
      <w:i/>
      <w:iCs/>
      <w:caps/>
    </w:rPr>
  </w:style>
  <w:style w:type="character" w:styleId="SubtleReference">
    <w:name w:val="Subtle Reference"/>
    <w:basedOn w:val="DefaultParagraphFont"/>
    <w:uiPriority w:val="31"/>
    <w:qFormat/>
    <w:rsid w:val="00E43950"/>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3950"/>
    <w:rPr>
      <w:b/>
      <w:bCs/>
      <w:smallCaps/>
      <w:u w:val="single"/>
    </w:rPr>
  </w:style>
  <w:style w:type="character" w:styleId="BookTitle">
    <w:name w:val="Book Title"/>
    <w:basedOn w:val="DefaultParagraphFont"/>
    <w:uiPriority w:val="33"/>
    <w:qFormat/>
    <w:rsid w:val="00E43950"/>
    <w:rPr>
      <w:b w:val="0"/>
      <w:bCs w:val="0"/>
      <w:smallCaps/>
      <w:spacing w:val="5"/>
    </w:rPr>
  </w:style>
  <w:style w:type="paragraph" w:styleId="TOCHeading">
    <w:name w:val="TOC Heading"/>
    <w:basedOn w:val="Heading1"/>
    <w:next w:val="Normal"/>
    <w:uiPriority w:val="39"/>
    <w:unhideWhenUsed/>
    <w:qFormat/>
    <w:rsid w:val="00E43950"/>
    <w:pPr>
      <w:outlineLvl w:val="9"/>
    </w:pPr>
  </w:style>
  <w:style w:type="table" w:customStyle="1" w:styleId="TableGrid22">
    <w:name w:val="Table Grid_22"/>
    <w:basedOn w:val="TableNormal"/>
    <w:uiPriority w:val="39"/>
    <w:rsid w:val="00BD31B0"/>
    <w:pPr>
      <w:spacing w:after="0" w:line="240" w:lineRule="auto"/>
    </w:pPr>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5127B"/>
    <w:pPr>
      <w:spacing w:after="0" w:line="240" w:lineRule="auto"/>
    </w:pPr>
  </w:style>
  <w:style w:type="character" w:customStyle="1" w:styleId="s23">
    <w:name w:val="s23"/>
    <w:basedOn w:val="DefaultParagraphFont"/>
    <w:rsid w:val="00D8454A"/>
  </w:style>
  <w:style w:type="character" w:customStyle="1" w:styleId="s197">
    <w:name w:val="s197"/>
    <w:basedOn w:val="DefaultParagraphFont"/>
    <w:rsid w:val="00D8454A"/>
  </w:style>
  <w:style w:type="paragraph" w:customStyle="1" w:styleId="MajorL2Text">
    <w:name w:val="Major L2 Text"/>
    <w:basedOn w:val="Normal"/>
    <w:rsid w:val="00FA25E7"/>
    <w:pPr>
      <w:spacing w:after="360" w:line="360" w:lineRule="auto"/>
    </w:pPr>
    <w:rPr>
      <w:rFonts w:ascii="Palatino" w:eastAsia="Times New Roman" w:hAnsi="Palatino" w:cs="Times New Roman"/>
      <w:sz w:val="20"/>
      <w:szCs w:val="20"/>
      <w:lang w:val="en-AU"/>
    </w:rPr>
  </w:style>
  <w:style w:type="character" w:customStyle="1" w:styleId="emailstyle21">
    <w:name w:val="emailstyle21"/>
    <w:basedOn w:val="DefaultParagraphFont"/>
    <w:semiHidden/>
    <w:rsid w:val="00B15520"/>
    <w:rPr>
      <w:rFonts w:ascii="Calibri" w:hAnsi="Calibri" w:cs="Calibri" w:hint="default"/>
      <w:color w:val="auto"/>
    </w:rPr>
  </w:style>
  <w:style w:type="character" w:customStyle="1" w:styleId="emailstyle22">
    <w:name w:val="emailstyle22"/>
    <w:basedOn w:val="DefaultParagraphFont"/>
    <w:semiHidden/>
    <w:rsid w:val="00B15520"/>
    <w:rPr>
      <w:rFonts w:ascii="Calibri" w:hAnsi="Calibri" w:cs="Calibri" w:hint="default"/>
      <w:color w:val="1F497D"/>
    </w:rPr>
  </w:style>
  <w:style w:type="character" w:customStyle="1" w:styleId="emailstyle23">
    <w:name w:val="emailstyle23"/>
    <w:basedOn w:val="DefaultParagraphFont"/>
    <w:semiHidden/>
    <w:rsid w:val="00B15520"/>
    <w:rPr>
      <w:rFonts w:ascii="Calibri" w:hAnsi="Calibri" w:cs="Calibri" w:hint="default"/>
      <w:color w:val="1F497D"/>
    </w:rPr>
  </w:style>
  <w:style w:type="character" w:customStyle="1" w:styleId="emailstyle24">
    <w:name w:val="emailstyle24"/>
    <w:basedOn w:val="DefaultParagraphFont"/>
    <w:semiHidden/>
    <w:rsid w:val="00B15520"/>
    <w:rPr>
      <w:rFonts w:ascii="Calibri" w:hAnsi="Calibri" w:cs="Calibri" w:hint="default"/>
      <w:color w:val="1F497D"/>
    </w:rPr>
  </w:style>
  <w:style w:type="character" w:customStyle="1" w:styleId="emailstyle25">
    <w:name w:val="emailstyle25"/>
    <w:basedOn w:val="DefaultParagraphFont"/>
    <w:semiHidden/>
    <w:rsid w:val="00B15520"/>
    <w:rPr>
      <w:rFonts w:ascii="Calibri" w:hAnsi="Calibri" w:cs="Calibri" w:hint="default"/>
      <w:color w:val="1F497D"/>
    </w:rPr>
  </w:style>
  <w:style w:type="paragraph" w:styleId="EndnoteText">
    <w:name w:val="endnote text"/>
    <w:basedOn w:val="Normal"/>
    <w:link w:val="EndnoteTextChar"/>
    <w:unhideWhenUsed/>
    <w:rsid w:val="00B15520"/>
    <w:pPr>
      <w:widowControl w:val="0"/>
      <w:spacing w:after="0" w:line="240" w:lineRule="auto"/>
    </w:pPr>
    <w:rPr>
      <w:rFonts w:ascii="Arial" w:eastAsia="Arial" w:hAnsi="Arial" w:cs="Arial"/>
      <w:sz w:val="20"/>
      <w:szCs w:val="20"/>
    </w:rPr>
  </w:style>
  <w:style w:type="character" w:customStyle="1" w:styleId="EndnoteTextChar">
    <w:name w:val="Endnote Text Char"/>
    <w:basedOn w:val="DefaultParagraphFont"/>
    <w:link w:val="EndnoteText"/>
    <w:rsid w:val="00B15520"/>
    <w:rPr>
      <w:rFonts w:ascii="Arial" w:eastAsia="Arial" w:hAnsi="Arial" w:cs="Arial"/>
      <w:sz w:val="20"/>
      <w:szCs w:val="20"/>
    </w:rPr>
  </w:style>
  <w:style w:type="table" w:styleId="MediumGrid3-Accent5">
    <w:name w:val="Medium Grid 3 Accent 5"/>
    <w:basedOn w:val="TableNormal"/>
    <w:uiPriority w:val="69"/>
    <w:rsid w:val="00B15520"/>
    <w:pPr>
      <w:spacing w:after="0" w:line="240" w:lineRule="auto"/>
    </w:pPr>
    <w:rPr>
      <w:rFonts w:eastAsiaTheme="minorHAns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customStyle="1" w:styleId="mptet-title">
    <w:name w:val="mptet-title"/>
    <w:basedOn w:val="Normal"/>
    <w:rsid w:val="00B15520"/>
    <w:pPr>
      <w:spacing w:before="100" w:beforeAutospacing="1" w:after="100" w:afterAutospacing="1" w:line="240" w:lineRule="auto"/>
    </w:pPr>
    <w:rPr>
      <w:rFonts w:ascii="Times New Roman" w:eastAsia="Times New Roman" w:hAnsi="Times New Roman" w:cs="Times New Roman"/>
      <w:sz w:val="24"/>
      <w:szCs w:val="24"/>
      <w:lang w:val="mk-MK" w:eastAsia="mk-MK"/>
    </w:rPr>
  </w:style>
  <w:style w:type="table" w:customStyle="1" w:styleId="ListTable3-Accent11">
    <w:name w:val="List Table 3 - Accent 11"/>
    <w:basedOn w:val="TableNormal"/>
    <w:uiPriority w:val="48"/>
    <w:rsid w:val="00B15520"/>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Normal12">
    <w:name w:val="Normal_12"/>
    <w:qFormat/>
    <w:rsid w:val="00B15520"/>
    <w:rPr>
      <w:rFonts w:eastAsia="SimSun"/>
    </w:rPr>
  </w:style>
  <w:style w:type="paragraph" w:customStyle="1" w:styleId="BodyA">
    <w:name w:val="Body A"/>
    <w:rsid w:val="00B15520"/>
    <w:pPr>
      <w:pBdr>
        <w:top w:val="nil"/>
        <w:left w:val="nil"/>
        <w:bottom w:val="nil"/>
        <w:right w:val="nil"/>
        <w:between w:val="nil"/>
        <w:bar w:val="nil"/>
      </w:pBdr>
      <w:spacing w:before="120" w:after="120" w:line="276" w:lineRule="auto"/>
      <w:jc w:val="both"/>
    </w:pPr>
    <w:rPr>
      <w:rFonts w:ascii="Calibri" w:eastAsia="Calibri" w:hAnsi="Calibri" w:cs="Calibri"/>
      <w:color w:val="000000"/>
      <w:u w:color="000000"/>
      <w:bdr w:val="nil"/>
      <w:lang w:eastAsia="mk-MK"/>
    </w:rPr>
  </w:style>
  <w:style w:type="paragraph" w:customStyle="1" w:styleId="font5">
    <w:name w:val="font5"/>
    <w:basedOn w:val="Normal"/>
    <w:rsid w:val="00B15520"/>
    <w:pPr>
      <w:spacing w:before="100" w:beforeAutospacing="1" w:after="100" w:afterAutospacing="1" w:line="240" w:lineRule="auto"/>
    </w:pPr>
    <w:rPr>
      <w:rFonts w:ascii="Arial" w:eastAsia="Times New Roman" w:hAnsi="Arial" w:cs="Arial"/>
      <w:b/>
      <w:bCs/>
      <w:sz w:val="20"/>
      <w:szCs w:val="20"/>
    </w:rPr>
  </w:style>
  <w:style w:type="paragraph" w:customStyle="1" w:styleId="font6">
    <w:name w:val="font6"/>
    <w:basedOn w:val="Normal"/>
    <w:rsid w:val="00B15520"/>
    <w:pPr>
      <w:spacing w:before="100" w:beforeAutospacing="1" w:after="100" w:afterAutospacing="1" w:line="240" w:lineRule="auto"/>
    </w:pPr>
    <w:rPr>
      <w:rFonts w:ascii="Arial" w:eastAsia="Times New Roman" w:hAnsi="Arial" w:cs="Arial"/>
      <w:b/>
      <w:bCs/>
      <w:sz w:val="24"/>
      <w:szCs w:val="24"/>
    </w:rPr>
  </w:style>
  <w:style w:type="paragraph" w:customStyle="1" w:styleId="font7">
    <w:name w:val="font7"/>
    <w:basedOn w:val="Normal"/>
    <w:rsid w:val="00B15520"/>
    <w:pPr>
      <w:spacing w:before="100" w:beforeAutospacing="1" w:after="100" w:afterAutospacing="1" w:line="240" w:lineRule="auto"/>
    </w:pPr>
    <w:rPr>
      <w:rFonts w:ascii="Arial" w:eastAsia="Times New Roman" w:hAnsi="Arial" w:cs="Arial"/>
      <w:sz w:val="20"/>
      <w:szCs w:val="20"/>
    </w:rPr>
  </w:style>
  <w:style w:type="paragraph" w:customStyle="1" w:styleId="font8">
    <w:name w:val="font8"/>
    <w:basedOn w:val="Normal"/>
    <w:rsid w:val="00B15520"/>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9">
    <w:name w:val="font9"/>
    <w:basedOn w:val="Normal"/>
    <w:rsid w:val="00B15520"/>
    <w:pPr>
      <w:spacing w:before="100" w:beforeAutospacing="1" w:after="100" w:afterAutospacing="1" w:line="240" w:lineRule="auto"/>
    </w:pPr>
    <w:rPr>
      <w:rFonts w:ascii="Arial" w:eastAsia="Times New Roman" w:hAnsi="Arial" w:cs="Arial"/>
      <w:color w:val="000000"/>
      <w:sz w:val="20"/>
      <w:szCs w:val="20"/>
    </w:rPr>
  </w:style>
  <w:style w:type="paragraph" w:customStyle="1" w:styleId="font10">
    <w:name w:val="font10"/>
    <w:basedOn w:val="Normal"/>
    <w:rsid w:val="00B15520"/>
    <w:pPr>
      <w:spacing w:before="100" w:beforeAutospacing="1" w:after="100" w:afterAutospacing="1" w:line="240" w:lineRule="auto"/>
    </w:pPr>
    <w:rPr>
      <w:rFonts w:ascii="Arial" w:eastAsia="Times New Roman" w:hAnsi="Arial" w:cs="Arial"/>
      <w:b/>
      <w:bCs/>
      <w:color w:val="000000"/>
      <w:sz w:val="24"/>
      <w:szCs w:val="24"/>
    </w:rPr>
  </w:style>
  <w:style w:type="paragraph" w:customStyle="1" w:styleId="xl90">
    <w:name w:val="xl90"/>
    <w:basedOn w:val="Normal"/>
    <w:rsid w:val="00B15520"/>
    <w:pP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1">
    <w:name w:val="xl91"/>
    <w:basedOn w:val="Normal"/>
    <w:rsid w:val="00B15520"/>
    <w:pP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92">
    <w:name w:val="xl92"/>
    <w:basedOn w:val="Normal"/>
    <w:rsid w:val="00B15520"/>
    <w:pPr>
      <w:spacing w:before="100" w:beforeAutospacing="1" w:after="100" w:afterAutospacing="1" w:line="240" w:lineRule="auto"/>
    </w:pPr>
    <w:rPr>
      <w:rFonts w:ascii="Arial" w:eastAsia="Times New Roman" w:hAnsi="Arial" w:cs="Arial"/>
      <w:sz w:val="24"/>
      <w:szCs w:val="24"/>
    </w:rPr>
  </w:style>
  <w:style w:type="paragraph" w:customStyle="1" w:styleId="xl93">
    <w:name w:val="xl93"/>
    <w:basedOn w:val="Normal"/>
    <w:rsid w:val="00B15520"/>
    <w:pP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94">
    <w:name w:val="xl94"/>
    <w:basedOn w:val="Normal"/>
    <w:rsid w:val="00B15520"/>
    <w:pPr>
      <w:shd w:val="clear" w:color="000000" w:fill="FFFFFF"/>
      <w:spacing w:before="100" w:beforeAutospacing="1" w:after="100" w:afterAutospacing="1" w:line="240" w:lineRule="auto"/>
    </w:pPr>
    <w:rPr>
      <w:rFonts w:ascii="Arial" w:eastAsia="Times New Roman" w:hAnsi="Arial" w:cs="Arial"/>
      <w:b/>
      <w:bCs/>
      <w:sz w:val="24"/>
      <w:szCs w:val="24"/>
    </w:rPr>
  </w:style>
  <w:style w:type="paragraph" w:customStyle="1" w:styleId="xl95">
    <w:name w:val="xl95"/>
    <w:basedOn w:val="Normal"/>
    <w:rsid w:val="00B15520"/>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6">
    <w:name w:val="xl96"/>
    <w:basedOn w:val="Normal"/>
    <w:rsid w:val="00B15520"/>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97">
    <w:name w:val="xl97"/>
    <w:basedOn w:val="Normal"/>
    <w:rsid w:val="00B15520"/>
    <w:pPr>
      <w:shd w:val="clear" w:color="000000" w:fill="FFFFFF"/>
      <w:spacing w:before="100" w:beforeAutospacing="1" w:after="100" w:afterAutospacing="1" w:line="240" w:lineRule="auto"/>
    </w:pPr>
    <w:rPr>
      <w:rFonts w:ascii="Arial" w:eastAsia="Times New Roman" w:hAnsi="Arial" w:cs="Arial"/>
      <w:b/>
      <w:bCs/>
      <w:sz w:val="24"/>
      <w:szCs w:val="24"/>
    </w:rPr>
  </w:style>
  <w:style w:type="paragraph" w:customStyle="1" w:styleId="xl98">
    <w:name w:val="xl98"/>
    <w:basedOn w:val="Normal"/>
    <w:rsid w:val="00B15520"/>
    <w:pPr>
      <w:pBdr>
        <w:top w:val="double" w:sz="6" w:space="0" w:color="auto"/>
        <w:left w:val="double" w:sz="6"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9">
    <w:name w:val="xl99"/>
    <w:basedOn w:val="Normal"/>
    <w:rsid w:val="00B15520"/>
    <w:pPr>
      <w:pBdr>
        <w:top w:val="double" w:sz="6"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100">
    <w:name w:val="xl100"/>
    <w:basedOn w:val="Normal"/>
    <w:rsid w:val="00B15520"/>
    <w:pPr>
      <w:pBdr>
        <w:top w:val="double" w:sz="6"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101">
    <w:name w:val="xl101"/>
    <w:basedOn w:val="Normal"/>
    <w:rsid w:val="00B15520"/>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rPr>
  </w:style>
  <w:style w:type="paragraph" w:customStyle="1" w:styleId="xl102">
    <w:name w:val="xl102"/>
    <w:basedOn w:val="Normal"/>
    <w:rsid w:val="00B15520"/>
    <w:pPr>
      <w:pBdr>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03">
    <w:name w:val="xl103"/>
    <w:basedOn w:val="Normal"/>
    <w:rsid w:val="00B15520"/>
    <w:pPr>
      <w:pBdr>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4">
    <w:name w:val="xl104"/>
    <w:basedOn w:val="Normal"/>
    <w:rsid w:val="00B15520"/>
    <w:pPr>
      <w:pBdr>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05">
    <w:name w:val="xl105"/>
    <w:basedOn w:val="Normal"/>
    <w:rsid w:val="00B15520"/>
    <w:pPr>
      <w:pBdr>
        <w:left w:val="single" w:sz="4" w:space="0" w:color="auto"/>
        <w:bottom w:val="single" w:sz="4" w:space="0" w:color="auto"/>
        <w:right w:val="single" w:sz="4" w:space="9" w:color="auto"/>
      </w:pBdr>
      <w:shd w:val="clear" w:color="000000" w:fill="E4DFEC"/>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06">
    <w:name w:val="xl106"/>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07">
    <w:name w:val="xl107"/>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08">
    <w:name w:val="xl108"/>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9">
    <w:name w:val="xl109"/>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0">
    <w:name w:val="xl110"/>
    <w:basedOn w:val="Normal"/>
    <w:rsid w:val="00B15520"/>
    <w:pPr>
      <w:pBdr>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11">
    <w:name w:val="xl111"/>
    <w:basedOn w:val="Normal"/>
    <w:rsid w:val="00B15520"/>
    <w:pPr>
      <w:spacing w:before="100" w:beforeAutospacing="1" w:after="100" w:afterAutospacing="1" w:line="240" w:lineRule="auto"/>
    </w:pPr>
    <w:rPr>
      <w:rFonts w:ascii="Arial" w:eastAsia="Times New Roman" w:hAnsi="Arial" w:cs="Arial"/>
      <w:color w:val="FFFFFF"/>
      <w:sz w:val="24"/>
      <w:szCs w:val="24"/>
    </w:rPr>
  </w:style>
  <w:style w:type="paragraph" w:customStyle="1" w:styleId="xl112">
    <w:name w:val="xl112"/>
    <w:basedOn w:val="Normal"/>
    <w:rsid w:val="00B15520"/>
    <w:pPr>
      <w:pBdr>
        <w:left w:val="double" w:sz="6"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113">
    <w:name w:val="xl113"/>
    <w:basedOn w:val="Normal"/>
    <w:rsid w:val="00B15520"/>
    <w:pPr>
      <w:pBdr>
        <w:left w:val="double" w:sz="6"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114">
    <w:name w:val="xl114"/>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15">
    <w:name w:val="xl115"/>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6">
    <w:name w:val="xl116"/>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7">
    <w:name w:val="xl117"/>
    <w:basedOn w:val="Normal"/>
    <w:rsid w:val="00B15520"/>
    <w:pPr>
      <w:pBdr>
        <w:left w:val="double" w:sz="6"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118">
    <w:name w:val="xl118"/>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19">
    <w:name w:val="xl119"/>
    <w:basedOn w:val="Normal"/>
    <w:rsid w:val="00B1552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0">
    <w:name w:val="xl120"/>
    <w:basedOn w:val="Normal"/>
    <w:rsid w:val="00B1552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1">
    <w:name w:val="xl121"/>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2">
    <w:name w:val="xl122"/>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FF0000"/>
      <w:sz w:val="24"/>
      <w:szCs w:val="24"/>
    </w:rPr>
  </w:style>
  <w:style w:type="paragraph" w:customStyle="1" w:styleId="xl123">
    <w:name w:val="xl123"/>
    <w:basedOn w:val="Normal"/>
    <w:rsid w:val="00B15520"/>
    <w:pPr>
      <w:pBdr>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24">
    <w:name w:val="xl124"/>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25">
    <w:name w:val="xl125"/>
    <w:basedOn w:val="Normal"/>
    <w:rsid w:val="00B15520"/>
    <w:pPr>
      <w:pBdr>
        <w:left w:val="double" w:sz="6"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26">
    <w:name w:val="xl126"/>
    <w:basedOn w:val="Normal"/>
    <w:rsid w:val="00B15520"/>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27">
    <w:name w:val="xl127"/>
    <w:basedOn w:val="Normal"/>
    <w:rsid w:val="00B15520"/>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28">
    <w:name w:val="xl128"/>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FF0000"/>
      <w:sz w:val="24"/>
      <w:szCs w:val="24"/>
    </w:rPr>
  </w:style>
  <w:style w:type="paragraph" w:customStyle="1" w:styleId="xl129">
    <w:name w:val="xl129"/>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30">
    <w:name w:val="xl130"/>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31">
    <w:name w:val="xl131"/>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32">
    <w:name w:val="xl132"/>
    <w:basedOn w:val="Normal"/>
    <w:rsid w:val="00B15520"/>
    <w:pPr>
      <w:pBdr>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color w:val="000000"/>
      <w:sz w:val="24"/>
      <w:szCs w:val="24"/>
    </w:rPr>
  </w:style>
  <w:style w:type="paragraph" w:customStyle="1" w:styleId="xl133">
    <w:name w:val="xl133"/>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FF0000"/>
      <w:sz w:val="24"/>
      <w:szCs w:val="24"/>
    </w:rPr>
  </w:style>
  <w:style w:type="paragraph" w:customStyle="1" w:styleId="xl134">
    <w:name w:val="xl134"/>
    <w:basedOn w:val="Normal"/>
    <w:rsid w:val="00B15520"/>
    <w:pPr>
      <w:pBdr>
        <w:top w:val="single" w:sz="4" w:space="0" w:color="auto"/>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35">
    <w:name w:val="xl135"/>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36">
    <w:name w:val="xl136"/>
    <w:basedOn w:val="Normal"/>
    <w:rsid w:val="00B1552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37">
    <w:name w:val="xl137"/>
    <w:basedOn w:val="Normal"/>
    <w:rsid w:val="00B155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38">
    <w:name w:val="xl138"/>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139">
    <w:name w:val="xl139"/>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rPr>
  </w:style>
  <w:style w:type="paragraph" w:customStyle="1" w:styleId="xl140">
    <w:name w:val="xl140"/>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rPr>
  </w:style>
  <w:style w:type="paragraph" w:customStyle="1" w:styleId="xl141">
    <w:name w:val="xl141"/>
    <w:basedOn w:val="Normal"/>
    <w:rsid w:val="00B15520"/>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142">
    <w:name w:val="xl142"/>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43">
    <w:name w:val="xl143"/>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44">
    <w:name w:val="xl144"/>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45">
    <w:name w:val="xl145"/>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46">
    <w:name w:val="xl146"/>
    <w:basedOn w:val="Normal"/>
    <w:rsid w:val="00B15520"/>
    <w:pPr>
      <w:pBdr>
        <w:top w:val="single" w:sz="4" w:space="0" w:color="auto"/>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47">
    <w:name w:val="xl147"/>
    <w:basedOn w:val="Normal"/>
    <w:rsid w:val="00B15520"/>
    <w:pPr>
      <w:pBdr>
        <w:top w:val="single" w:sz="4" w:space="0" w:color="auto"/>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color w:val="000000"/>
      <w:sz w:val="24"/>
      <w:szCs w:val="24"/>
    </w:rPr>
  </w:style>
  <w:style w:type="paragraph" w:customStyle="1" w:styleId="xl148">
    <w:name w:val="xl148"/>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49">
    <w:name w:val="xl149"/>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50">
    <w:name w:val="xl150"/>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51">
    <w:name w:val="xl151"/>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52">
    <w:name w:val="xl152"/>
    <w:basedOn w:val="Normal"/>
    <w:rsid w:val="00B15520"/>
    <w:pPr>
      <w:pBdr>
        <w:top w:val="single" w:sz="4" w:space="0" w:color="auto"/>
        <w:left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53">
    <w:name w:val="xl153"/>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54">
    <w:name w:val="xl154"/>
    <w:basedOn w:val="Normal"/>
    <w:rsid w:val="00B15520"/>
    <w:pPr>
      <w:spacing w:before="100" w:beforeAutospacing="1" w:after="100" w:afterAutospacing="1" w:line="240" w:lineRule="auto"/>
      <w:jc w:val="center"/>
    </w:pPr>
    <w:rPr>
      <w:rFonts w:ascii="Arial" w:eastAsia="Times New Roman" w:hAnsi="Arial" w:cs="Arial"/>
      <w:color w:val="FF0000"/>
      <w:sz w:val="24"/>
      <w:szCs w:val="24"/>
    </w:rPr>
  </w:style>
  <w:style w:type="paragraph" w:customStyle="1" w:styleId="xl155">
    <w:name w:val="xl155"/>
    <w:basedOn w:val="Normal"/>
    <w:rsid w:val="00B15520"/>
    <w:pP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56">
    <w:name w:val="xl156"/>
    <w:basedOn w:val="Normal"/>
    <w:rsid w:val="00B15520"/>
    <w:pP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57">
    <w:name w:val="xl157"/>
    <w:basedOn w:val="Normal"/>
    <w:rsid w:val="00B15520"/>
    <w:pP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58">
    <w:name w:val="xl158"/>
    <w:basedOn w:val="Normal"/>
    <w:rsid w:val="00B15520"/>
    <w:pPr>
      <w:pBdr>
        <w:top w:val="single" w:sz="8" w:space="0" w:color="auto"/>
        <w:bottom w:val="single" w:sz="8" w:space="0" w:color="auto"/>
      </w:pBdr>
      <w:shd w:val="clear" w:color="000000" w:fill="B8CCE4"/>
      <w:spacing w:before="100" w:beforeAutospacing="1" w:after="100" w:afterAutospacing="1" w:line="240" w:lineRule="auto"/>
      <w:jc w:val="center"/>
    </w:pPr>
    <w:rPr>
      <w:rFonts w:ascii="Arial" w:eastAsia="Times New Roman" w:hAnsi="Arial" w:cs="Arial"/>
      <w:sz w:val="24"/>
      <w:szCs w:val="24"/>
    </w:rPr>
  </w:style>
  <w:style w:type="paragraph" w:customStyle="1" w:styleId="xl159">
    <w:name w:val="xl159"/>
    <w:basedOn w:val="Normal"/>
    <w:rsid w:val="00B15520"/>
    <w:pPr>
      <w:pBdr>
        <w:top w:val="single" w:sz="8" w:space="0" w:color="auto"/>
        <w:bottom w:val="single" w:sz="8" w:space="0" w:color="auto"/>
      </w:pBdr>
      <w:shd w:val="clear" w:color="000000" w:fill="B8CCE4"/>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60">
    <w:name w:val="xl160"/>
    <w:basedOn w:val="Normal"/>
    <w:rsid w:val="00B15520"/>
    <w:pPr>
      <w:pBdr>
        <w:top w:val="single" w:sz="8" w:space="0" w:color="auto"/>
        <w:bottom w:val="single" w:sz="8" w:space="0" w:color="auto"/>
      </w:pBdr>
      <w:shd w:val="clear" w:color="000000" w:fill="B8CCE4"/>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61">
    <w:name w:val="xl161"/>
    <w:basedOn w:val="Normal"/>
    <w:rsid w:val="00B15520"/>
    <w:pPr>
      <w:pBdr>
        <w:top w:val="single" w:sz="8" w:space="0" w:color="auto"/>
        <w:bottom w:val="single" w:sz="8"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62">
    <w:name w:val="xl162"/>
    <w:basedOn w:val="Normal"/>
    <w:rsid w:val="00B15520"/>
    <w:pPr>
      <w:pBdr>
        <w:top w:val="single" w:sz="8" w:space="0" w:color="auto"/>
        <w:bottom w:val="single" w:sz="8"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63">
    <w:name w:val="xl163"/>
    <w:basedOn w:val="Normal"/>
    <w:rsid w:val="00B155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64">
    <w:name w:val="xl164"/>
    <w:basedOn w:val="Normal"/>
    <w:rsid w:val="00B155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65">
    <w:name w:val="xl165"/>
    <w:basedOn w:val="Normal"/>
    <w:rsid w:val="00B15520"/>
    <w:pPr>
      <w:pBdr>
        <w:top w:val="single" w:sz="4" w:space="0" w:color="auto"/>
        <w:left w:val="single" w:sz="4"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66">
    <w:name w:val="xl166"/>
    <w:basedOn w:val="Normal"/>
    <w:rsid w:val="00B155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7">
    <w:name w:val="xl167"/>
    <w:basedOn w:val="Normal"/>
    <w:rsid w:val="00B15520"/>
    <w:pPr>
      <w:pBdr>
        <w:top w:val="single" w:sz="4" w:space="0" w:color="auto"/>
        <w:left w:val="single" w:sz="4" w:space="0" w:color="auto"/>
        <w:bottom w:val="single" w:sz="4" w:space="0" w:color="auto"/>
      </w:pBdr>
      <w:spacing w:before="100" w:beforeAutospacing="1" w:after="100" w:afterAutospacing="1" w:line="240" w:lineRule="auto"/>
      <w:jc w:val="both"/>
      <w:textAlignment w:val="center"/>
    </w:pPr>
    <w:rPr>
      <w:rFonts w:ascii="Arial" w:eastAsia="Times New Roman" w:hAnsi="Arial" w:cs="Arial"/>
      <w:b/>
      <w:bCs/>
      <w:color w:val="000000"/>
      <w:sz w:val="24"/>
      <w:szCs w:val="24"/>
    </w:rPr>
  </w:style>
  <w:style w:type="paragraph" w:customStyle="1" w:styleId="xl168">
    <w:name w:val="xl168"/>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69">
    <w:name w:val="xl169"/>
    <w:basedOn w:val="Normal"/>
    <w:rsid w:val="00B15520"/>
    <w:pPr>
      <w:pBdr>
        <w:top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70">
    <w:name w:val="xl170"/>
    <w:basedOn w:val="Normal"/>
    <w:rsid w:val="00B15520"/>
    <w:pPr>
      <w:pBdr>
        <w:top w:val="single" w:sz="8" w:space="0" w:color="auto"/>
        <w:bottom w:val="single" w:sz="8" w:space="0"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71">
    <w:name w:val="xl171"/>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72">
    <w:name w:val="xl172"/>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73">
    <w:name w:val="xl173"/>
    <w:basedOn w:val="Normal"/>
    <w:rsid w:val="00B15520"/>
    <w:pPr>
      <w:pBdr>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b/>
      <w:bCs/>
      <w:color w:val="FF0000"/>
      <w:sz w:val="24"/>
      <w:szCs w:val="24"/>
    </w:rPr>
  </w:style>
  <w:style w:type="paragraph" w:customStyle="1" w:styleId="xl174">
    <w:name w:val="xl174"/>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75">
    <w:name w:val="xl175"/>
    <w:basedOn w:val="Normal"/>
    <w:rsid w:val="00B15520"/>
    <w:pPr>
      <w:pBdr>
        <w:top w:val="single" w:sz="8" w:space="0" w:color="auto"/>
        <w:left w:val="single" w:sz="8" w:space="0" w:color="auto"/>
        <w:bottom w:val="single" w:sz="8" w:space="0" w:color="auto"/>
      </w:pBdr>
      <w:shd w:val="clear" w:color="000000" w:fill="B8CCE4"/>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176">
    <w:name w:val="xl176"/>
    <w:basedOn w:val="Normal"/>
    <w:rsid w:val="00B15520"/>
    <w:pPr>
      <w:pBdr>
        <w:top w:val="single" w:sz="8" w:space="0" w:color="auto"/>
        <w:bottom w:val="single" w:sz="8" w:space="0" w:color="auto"/>
      </w:pBdr>
      <w:shd w:val="clear" w:color="000000" w:fill="B8CCE4"/>
      <w:spacing w:before="100" w:beforeAutospacing="1" w:after="100" w:afterAutospacing="1" w:line="240" w:lineRule="auto"/>
      <w:jc w:val="right"/>
      <w:textAlignment w:val="center"/>
    </w:pPr>
    <w:rPr>
      <w:rFonts w:ascii="Arial" w:eastAsia="Times New Roman" w:hAnsi="Arial" w:cs="Arial"/>
      <w:b/>
      <w:bCs/>
      <w:color w:val="FF0000"/>
      <w:sz w:val="24"/>
      <w:szCs w:val="24"/>
    </w:rPr>
  </w:style>
  <w:style w:type="paragraph" w:customStyle="1" w:styleId="xl177">
    <w:name w:val="xl177"/>
    <w:basedOn w:val="Normal"/>
    <w:rsid w:val="00B15520"/>
    <w:pP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78">
    <w:name w:val="xl178"/>
    <w:basedOn w:val="Normal"/>
    <w:rsid w:val="00B15520"/>
    <w:pP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79">
    <w:name w:val="xl179"/>
    <w:basedOn w:val="Normal"/>
    <w:rsid w:val="00B15520"/>
    <w:pPr>
      <w:pBdr>
        <w:top w:val="double" w:sz="6"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80">
    <w:name w:val="xl180"/>
    <w:basedOn w:val="Normal"/>
    <w:rsid w:val="00B15520"/>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81">
    <w:name w:val="xl181"/>
    <w:basedOn w:val="Normal"/>
    <w:rsid w:val="00B15520"/>
    <w:pPr>
      <w:pBdr>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82">
    <w:name w:val="xl182"/>
    <w:basedOn w:val="Normal"/>
    <w:rsid w:val="00B155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83">
    <w:name w:val="xl183"/>
    <w:basedOn w:val="Normal"/>
    <w:rsid w:val="00B155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84">
    <w:name w:val="xl184"/>
    <w:basedOn w:val="Normal"/>
    <w:rsid w:val="00B15520"/>
    <w:pPr>
      <w:pBdr>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185">
    <w:name w:val="xl185"/>
    <w:basedOn w:val="Normal"/>
    <w:rsid w:val="00B15520"/>
    <w:pPr>
      <w:spacing w:before="100" w:beforeAutospacing="1" w:after="100" w:afterAutospacing="1" w:line="240" w:lineRule="auto"/>
    </w:pPr>
    <w:rPr>
      <w:rFonts w:ascii="Arial" w:eastAsia="Times New Roman" w:hAnsi="Arial" w:cs="Arial"/>
      <w:b/>
      <w:bCs/>
      <w:sz w:val="24"/>
      <w:szCs w:val="24"/>
    </w:rPr>
  </w:style>
  <w:style w:type="paragraph" w:customStyle="1" w:styleId="xl186">
    <w:name w:val="xl186"/>
    <w:basedOn w:val="Normal"/>
    <w:rsid w:val="00B155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87">
    <w:name w:val="xl187"/>
    <w:basedOn w:val="Normal"/>
    <w:rsid w:val="00B15520"/>
    <w:pPr>
      <w:pBdr>
        <w:lef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88">
    <w:name w:val="xl188"/>
    <w:basedOn w:val="Normal"/>
    <w:rsid w:val="00B15520"/>
    <w:pPr>
      <w:spacing w:before="100" w:beforeAutospacing="1" w:after="100" w:afterAutospacing="1" w:line="240" w:lineRule="auto"/>
    </w:pPr>
    <w:rPr>
      <w:rFonts w:ascii="Arial" w:eastAsia="Times New Roman" w:hAnsi="Arial" w:cs="Arial"/>
      <w:color w:val="FF0000"/>
      <w:sz w:val="24"/>
      <w:szCs w:val="24"/>
    </w:rPr>
  </w:style>
  <w:style w:type="paragraph" w:customStyle="1" w:styleId="xl189">
    <w:name w:val="xl189"/>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90">
    <w:name w:val="xl190"/>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91">
    <w:name w:val="xl191"/>
    <w:basedOn w:val="Normal"/>
    <w:rsid w:val="00B1552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192">
    <w:name w:val="xl192"/>
    <w:basedOn w:val="Normal"/>
    <w:rsid w:val="00B1552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193">
    <w:name w:val="xl193"/>
    <w:basedOn w:val="Normal"/>
    <w:rsid w:val="00B15520"/>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FFFFFF"/>
      <w:sz w:val="24"/>
      <w:szCs w:val="24"/>
    </w:rPr>
  </w:style>
  <w:style w:type="paragraph" w:customStyle="1" w:styleId="xl194">
    <w:name w:val="xl194"/>
    <w:basedOn w:val="Normal"/>
    <w:rsid w:val="00B1552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95">
    <w:name w:val="xl195"/>
    <w:basedOn w:val="Normal"/>
    <w:rsid w:val="00B15520"/>
    <w:pPr>
      <w:pBdr>
        <w:top w:val="double" w:sz="6"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6">
    <w:name w:val="xl196"/>
    <w:basedOn w:val="Normal"/>
    <w:rsid w:val="00B15520"/>
    <w:pPr>
      <w:pBdr>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97">
    <w:name w:val="xl197"/>
    <w:basedOn w:val="Normal"/>
    <w:rsid w:val="00B15520"/>
    <w:pPr>
      <w:pBdr>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98">
    <w:name w:val="xl198"/>
    <w:basedOn w:val="Normal"/>
    <w:rsid w:val="00B15520"/>
    <w:pPr>
      <w:pBdr>
        <w:bottom w:val="single" w:sz="8" w:space="0"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199">
    <w:name w:val="xl199"/>
    <w:basedOn w:val="Normal"/>
    <w:rsid w:val="00B155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00">
    <w:name w:val="xl200"/>
    <w:basedOn w:val="Normal"/>
    <w:rsid w:val="00B15520"/>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pPr>
    <w:rPr>
      <w:rFonts w:ascii="Arial" w:eastAsia="Times New Roman" w:hAnsi="Arial" w:cs="Arial"/>
      <w:b/>
      <w:bCs/>
      <w:sz w:val="24"/>
      <w:szCs w:val="24"/>
    </w:rPr>
  </w:style>
  <w:style w:type="paragraph" w:customStyle="1" w:styleId="xl201">
    <w:name w:val="xl201"/>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02">
    <w:name w:val="xl202"/>
    <w:basedOn w:val="Normal"/>
    <w:rsid w:val="00B1552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03">
    <w:name w:val="xl203"/>
    <w:basedOn w:val="Normal"/>
    <w:rsid w:val="00B15520"/>
    <w:pPr>
      <w:pBdr>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04">
    <w:name w:val="xl204"/>
    <w:basedOn w:val="Normal"/>
    <w:rsid w:val="00B15520"/>
    <w:pPr>
      <w:pBdr>
        <w:top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05">
    <w:name w:val="xl205"/>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06">
    <w:name w:val="xl206"/>
    <w:basedOn w:val="Normal"/>
    <w:rsid w:val="00B15520"/>
    <w:pPr>
      <w:pBdr>
        <w:left w:val="double" w:sz="6"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07">
    <w:name w:val="xl207"/>
    <w:basedOn w:val="Normal"/>
    <w:rsid w:val="00B15520"/>
    <w:pPr>
      <w:pBdr>
        <w:left w:val="double" w:sz="6"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08">
    <w:name w:val="xl208"/>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09">
    <w:name w:val="xl209"/>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10">
    <w:name w:val="xl210"/>
    <w:basedOn w:val="Normal"/>
    <w:rsid w:val="00B15520"/>
    <w:pPr>
      <w:pBdr>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1">
    <w:name w:val="xl211"/>
    <w:basedOn w:val="Normal"/>
    <w:rsid w:val="00B15520"/>
    <w:pPr>
      <w:pBdr>
        <w:left w:val="single" w:sz="4" w:space="0" w:color="auto"/>
        <w:bottom w:val="single" w:sz="4" w:space="0" w:color="auto"/>
      </w:pBdr>
      <w:shd w:val="clear" w:color="000000" w:fill="E4DFEC"/>
      <w:spacing w:before="100" w:beforeAutospacing="1" w:after="100" w:afterAutospacing="1" w:line="240" w:lineRule="auto"/>
      <w:textAlignment w:val="center"/>
    </w:pPr>
    <w:rPr>
      <w:rFonts w:ascii="Arial" w:eastAsia="Times New Roman" w:hAnsi="Arial" w:cs="Arial"/>
      <w:b/>
      <w:bCs/>
      <w:color w:val="C00000"/>
      <w:sz w:val="24"/>
      <w:szCs w:val="24"/>
    </w:rPr>
  </w:style>
  <w:style w:type="paragraph" w:customStyle="1" w:styleId="xl212">
    <w:name w:val="xl212"/>
    <w:basedOn w:val="Normal"/>
    <w:rsid w:val="00B15520"/>
    <w:pPr>
      <w:pBdr>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3">
    <w:name w:val="xl213"/>
    <w:basedOn w:val="Normal"/>
    <w:rsid w:val="00B15520"/>
    <w:pPr>
      <w:pBdr>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14">
    <w:name w:val="xl214"/>
    <w:basedOn w:val="Normal"/>
    <w:rsid w:val="00B15520"/>
    <w:pPr>
      <w:pBdr>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color w:val="C00000"/>
      <w:sz w:val="24"/>
      <w:szCs w:val="24"/>
    </w:rPr>
  </w:style>
  <w:style w:type="paragraph" w:customStyle="1" w:styleId="xl215">
    <w:name w:val="xl215"/>
    <w:basedOn w:val="Normal"/>
    <w:rsid w:val="00B15520"/>
    <w:pPr>
      <w:pBdr>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16">
    <w:name w:val="xl216"/>
    <w:basedOn w:val="Normal"/>
    <w:rsid w:val="00B15520"/>
    <w:pPr>
      <w:pBdr>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17">
    <w:name w:val="xl217"/>
    <w:basedOn w:val="Normal"/>
    <w:rsid w:val="00B15520"/>
    <w:pPr>
      <w:pBdr>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8">
    <w:name w:val="xl218"/>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19">
    <w:name w:val="xl219"/>
    <w:basedOn w:val="Normal"/>
    <w:rsid w:val="00B15520"/>
    <w:pPr>
      <w:pBdr>
        <w:top w:val="single" w:sz="4" w:space="0" w:color="auto"/>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sz w:val="24"/>
      <w:szCs w:val="24"/>
    </w:rPr>
  </w:style>
  <w:style w:type="paragraph" w:customStyle="1" w:styleId="xl220">
    <w:name w:val="xl220"/>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221">
    <w:name w:val="xl221"/>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22">
    <w:name w:val="xl222"/>
    <w:basedOn w:val="Normal"/>
    <w:rsid w:val="00B15520"/>
    <w:pPr>
      <w:pBdr>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sz w:val="24"/>
      <w:szCs w:val="24"/>
    </w:rPr>
  </w:style>
  <w:style w:type="paragraph" w:customStyle="1" w:styleId="xl223">
    <w:name w:val="xl223"/>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24">
    <w:name w:val="xl224"/>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25">
    <w:name w:val="xl225"/>
    <w:basedOn w:val="Normal"/>
    <w:rsid w:val="00B15520"/>
    <w:pPr>
      <w:pBdr>
        <w:left w:val="single" w:sz="4" w:space="0" w:color="auto"/>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color w:val="000000"/>
      <w:sz w:val="24"/>
      <w:szCs w:val="24"/>
    </w:rPr>
  </w:style>
  <w:style w:type="paragraph" w:customStyle="1" w:styleId="xl226">
    <w:name w:val="xl226"/>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27">
    <w:name w:val="xl227"/>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rPr>
  </w:style>
  <w:style w:type="paragraph" w:customStyle="1" w:styleId="xl228">
    <w:name w:val="xl228"/>
    <w:basedOn w:val="Normal"/>
    <w:rsid w:val="00B15520"/>
    <w:pPr>
      <w:pBdr>
        <w:left w:val="single" w:sz="4" w:space="0" w:color="auto"/>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sz w:val="24"/>
      <w:szCs w:val="24"/>
    </w:rPr>
  </w:style>
  <w:style w:type="paragraph" w:customStyle="1" w:styleId="xl229">
    <w:name w:val="xl229"/>
    <w:basedOn w:val="Normal"/>
    <w:rsid w:val="00B1552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30">
    <w:name w:val="xl230"/>
    <w:basedOn w:val="Normal"/>
    <w:rsid w:val="00B15520"/>
    <w:pPr>
      <w:pBdr>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31">
    <w:name w:val="xl231"/>
    <w:basedOn w:val="Normal"/>
    <w:rsid w:val="00B15520"/>
    <w:pPr>
      <w:pBdr>
        <w:top w:val="single" w:sz="4" w:space="0" w:color="auto"/>
        <w:left w:val="single" w:sz="4" w:space="0" w:color="auto"/>
        <w:bottom w:val="single" w:sz="4" w:space="0" w:color="auto"/>
      </w:pBdr>
      <w:shd w:val="clear" w:color="000000" w:fill="E4DFEC"/>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232">
    <w:name w:val="xl232"/>
    <w:basedOn w:val="Normal"/>
    <w:rsid w:val="00B15520"/>
    <w:pPr>
      <w:pBdr>
        <w:top w:val="single" w:sz="4" w:space="0" w:color="auto"/>
        <w:bottom w:val="single" w:sz="4" w:space="0" w:color="auto"/>
      </w:pBdr>
      <w:shd w:val="clear" w:color="000000" w:fill="E4DFEC"/>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33">
    <w:name w:val="xl233"/>
    <w:basedOn w:val="Normal"/>
    <w:rsid w:val="00B15520"/>
    <w:pPr>
      <w:pBdr>
        <w:top w:val="single" w:sz="4" w:space="0" w:color="auto"/>
        <w:bottom w:val="single" w:sz="4" w:space="0" w:color="auto"/>
      </w:pBdr>
      <w:shd w:val="clear" w:color="000000" w:fill="E4DFEC"/>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34">
    <w:name w:val="xl234"/>
    <w:basedOn w:val="Normal"/>
    <w:rsid w:val="00B15520"/>
    <w:pPr>
      <w:pBdr>
        <w:top w:val="single" w:sz="4" w:space="0" w:color="auto"/>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35">
    <w:name w:val="xl235"/>
    <w:basedOn w:val="Normal"/>
    <w:rsid w:val="00B15520"/>
    <w:pPr>
      <w:pBdr>
        <w:left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36">
    <w:name w:val="xl236"/>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C00000"/>
      <w:sz w:val="24"/>
      <w:szCs w:val="24"/>
    </w:rPr>
  </w:style>
  <w:style w:type="paragraph" w:customStyle="1" w:styleId="xl237">
    <w:name w:val="xl237"/>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38">
    <w:name w:val="xl238"/>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39">
    <w:name w:val="xl239"/>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40">
    <w:name w:val="xl240"/>
    <w:basedOn w:val="Normal"/>
    <w:rsid w:val="00B1552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41">
    <w:name w:val="xl241"/>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42">
    <w:name w:val="xl242"/>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43">
    <w:name w:val="xl243"/>
    <w:basedOn w:val="Normal"/>
    <w:rsid w:val="00B155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44">
    <w:name w:val="xl244"/>
    <w:basedOn w:val="Normal"/>
    <w:rsid w:val="00B15520"/>
    <w:pPr>
      <w:pBdr>
        <w:left w:val="single" w:sz="4" w:space="0" w:color="auto"/>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45">
    <w:name w:val="xl245"/>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46">
    <w:name w:val="xl246"/>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47">
    <w:name w:val="xl247"/>
    <w:basedOn w:val="Normal"/>
    <w:rsid w:val="00B1552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48">
    <w:name w:val="xl248"/>
    <w:basedOn w:val="Normal"/>
    <w:rsid w:val="00B15520"/>
    <w:pPr>
      <w:pBdr>
        <w:top w:val="single" w:sz="4" w:space="0" w:color="auto"/>
        <w:left w:val="single" w:sz="4" w:space="0" w:color="auto"/>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49">
    <w:name w:val="xl249"/>
    <w:basedOn w:val="Normal"/>
    <w:rsid w:val="00B15520"/>
    <w:pPr>
      <w:pBdr>
        <w:top w:val="single" w:sz="8" w:space="0" w:color="auto"/>
        <w:bottom w:val="single" w:sz="8" w:space="0" w:color="auto"/>
      </w:pBdr>
      <w:shd w:val="clear" w:color="000000" w:fill="B8CCE4"/>
      <w:spacing w:before="100" w:beforeAutospacing="1" w:after="100" w:afterAutospacing="1" w:line="240" w:lineRule="auto"/>
    </w:pPr>
    <w:rPr>
      <w:rFonts w:ascii="Arial" w:eastAsia="Times New Roman" w:hAnsi="Arial" w:cs="Arial"/>
      <w:b/>
      <w:bCs/>
      <w:sz w:val="24"/>
      <w:szCs w:val="24"/>
    </w:rPr>
  </w:style>
  <w:style w:type="paragraph" w:customStyle="1" w:styleId="xl250">
    <w:name w:val="xl250"/>
    <w:basedOn w:val="Normal"/>
    <w:rsid w:val="00B15520"/>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51">
    <w:name w:val="xl251"/>
    <w:basedOn w:val="Normal"/>
    <w:rsid w:val="00B155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52">
    <w:name w:val="xl252"/>
    <w:basedOn w:val="Normal"/>
    <w:rsid w:val="00B1552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53">
    <w:name w:val="xl253"/>
    <w:basedOn w:val="Normal"/>
    <w:rsid w:val="00B155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54">
    <w:name w:val="xl254"/>
    <w:basedOn w:val="Normal"/>
    <w:rsid w:val="00B1552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55">
    <w:name w:val="xl255"/>
    <w:basedOn w:val="Normal"/>
    <w:rsid w:val="00B155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56">
    <w:name w:val="xl256"/>
    <w:basedOn w:val="Normal"/>
    <w:rsid w:val="00B15520"/>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57">
    <w:name w:val="xl257"/>
    <w:basedOn w:val="Normal"/>
    <w:rsid w:val="00B15520"/>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58">
    <w:name w:val="xl258"/>
    <w:basedOn w:val="Normal"/>
    <w:rsid w:val="00B15520"/>
    <w:pPr>
      <w:pBdr>
        <w:bottom w:val="single" w:sz="4" w:space="0" w:color="auto"/>
      </w:pBdr>
      <w:shd w:val="clear" w:color="000000" w:fill="FFFFFF"/>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59">
    <w:name w:val="xl259"/>
    <w:basedOn w:val="Normal"/>
    <w:rsid w:val="00B155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60">
    <w:name w:val="xl260"/>
    <w:basedOn w:val="Normal"/>
    <w:rsid w:val="00B1552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61">
    <w:name w:val="xl261"/>
    <w:basedOn w:val="Normal"/>
    <w:rsid w:val="00B15520"/>
    <w:pPr>
      <w:pBdr>
        <w:top w:val="single" w:sz="8" w:space="0" w:color="auto"/>
      </w:pBdr>
      <w:shd w:val="clear" w:color="000000" w:fill="FDE9D9"/>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62">
    <w:name w:val="xl262"/>
    <w:basedOn w:val="Normal"/>
    <w:rsid w:val="00B15520"/>
    <w:pPr>
      <w:pBdr>
        <w:top w:val="single" w:sz="8" w:space="0" w:color="auto"/>
        <w:bottom w:val="single" w:sz="8" w:space="0" w:color="auto"/>
      </w:pBdr>
      <w:shd w:val="clear" w:color="000000" w:fill="FDE9D9"/>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63">
    <w:name w:val="xl263"/>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64">
    <w:name w:val="xl264"/>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65">
    <w:name w:val="xl265"/>
    <w:basedOn w:val="Normal"/>
    <w:rsid w:val="00B15520"/>
    <w:pPr>
      <w:pBdr>
        <w:top w:val="single" w:sz="8" w:space="0" w:color="auto"/>
        <w:bottom w:val="single" w:sz="8" w:space="0"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66">
    <w:name w:val="xl266"/>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67">
    <w:name w:val="xl267"/>
    <w:basedOn w:val="Normal"/>
    <w:rsid w:val="00B1552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68">
    <w:name w:val="xl268"/>
    <w:basedOn w:val="Normal"/>
    <w:rsid w:val="00B15520"/>
    <w:pPr>
      <w:pBdr>
        <w:left w:val="single" w:sz="4" w:space="0" w:color="auto"/>
        <w:bottom w:val="single" w:sz="4" w:space="0" w:color="auto"/>
        <w:right w:val="single" w:sz="4" w:space="9" w:color="auto"/>
      </w:pBdr>
      <w:shd w:val="clear" w:color="000000" w:fill="FFFFFF"/>
      <w:spacing w:before="100" w:beforeAutospacing="1" w:after="100" w:afterAutospacing="1" w:line="240" w:lineRule="auto"/>
      <w:ind w:firstLineChars="100" w:firstLine="100"/>
      <w:jc w:val="right"/>
      <w:textAlignment w:val="center"/>
    </w:pPr>
    <w:rPr>
      <w:rFonts w:ascii="Arial" w:eastAsia="Times New Roman" w:hAnsi="Arial" w:cs="Arial"/>
      <w:sz w:val="24"/>
      <w:szCs w:val="24"/>
    </w:rPr>
  </w:style>
  <w:style w:type="paragraph" w:customStyle="1" w:styleId="xl269">
    <w:name w:val="xl269"/>
    <w:basedOn w:val="Normal"/>
    <w:rsid w:val="00B15520"/>
    <w:pPr>
      <w:pBdr>
        <w:left w:val="single" w:sz="4" w:space="0" w:color="auto"/>
        <w:bottom w:val="single" w:sz="4" w:space="0" w:color="auto"/>
        <w:right w:val="single" w:sz="4" w:space="9" w:color="auto"/>
      </w:pBdr>
      <w:shd w:val="clear" w:color="000000" w:fill="FFFFFF"/>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70">
    <w:name w:val="xl270"/>
    <w:basedOn w:val="Normal"/>
    <w:rsid w:val="00B15520"/>
    <w:pPr>
      <w:pBdr>
        <w:left w:val="single" w:sz="4" w:space="0" w:color="auto"/>
        <w:right w:val="single" w:sz="4" w:space="9" w:color="auto"/>
      </w:pBdr>
      <w:shd w:val="clear" w:color="000000" w:fill="FFFFFF"/>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71">
    <w:name w:val="xl271"/>
    <w:basedOn w:val="Normal"/>
    <w:rsid w:val="00B15520"/>
    <w:pPr>
      <w:pBdr>
        <w:top w:val="single" w:sz="4" w:space="0" w:color="auto"/>
        <w:left w:val="single" w:sz="4" w:space="0" w:color="auto"/>
        <w:bottom w:val="single" w:sz="4" w:space="0" w:color="auto"/>
        <w:right w:val="single" w:sz="4" w:space="9" w:color="auto"/>
      </w:pBdr>
      <w:shd w:val="clear" w:color="000000" w:fill="FFFFFF"/>
      <w:spacing w:before="100" w:beforeAutospacing="1" w:after="100" w:afterAutospacing="1" w:line="240" w:lineRule="auto"/>
      <w:ind w:firstLineChars="100" w:firstLine="100"/>
      <w:jc w:val="right"/>
      <w:textAlignment w:val="center"/>
    </w:pPr>
    <w:rPr>
      <w:rFonts w:ascii="Arial" w:eastAsia="Times New Roman" w:hAnsi="Arial" w:cs="Arial"/>
      <w:b/>
      <w:bCs/>
      <w:sz w:val="24"/>
      <w:szCs w:val="24"/>
    </w:rPr>
  </w:style>
  <w:style w:type="paragraph" w:customStyle="1" w:styleId="xl272">
    <w:name w:val="xl272"/>
    <w:basedOn w:val="Normal"/>
    <w:rsid w:val="00B1552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73">
    <w:name w:val="xl273"/>
    <w:basedOn w:val="Normal"/>
    <w:rsid w:val="00B1552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74">
    <w:name w:val="xl274"/>
    <w:basedOn w:val="Normal"/>
    <w:rsid w:val="00B15520"/>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275">
    <w:name w:val="xl275"/>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76">
    <w:name w:val="xl276"/>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77">
    <w:name w:val="xl277"/>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78">
    <w:name w:val="xl278"/>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79">
    <w:name w:val="xl279"/>
    <w:basedOn w:val="Normal"/>
    <w:rsid w:val="00B15520"/>
    <w:pPr>
      <w:pBdr>
        <w:top w:val="single" w:sz="8" w:space="0" w:color="auto"/>
        <w:left w:val="single" w:sz="8" w:space="0" w:color="auto"/>
        <w:bottom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280">
    <w:name w:val="xl280"/>
    <w:basedOn w:val="Normal"/>
    <w:rsid w:val="00B15520"/>
    <w:pPr>
      <w:pBdr>
        <w:top w:val="single" w:sz="8" w:space="0" w:color="auto"/>
        <w:bottom w:val="single" w:sz="8" w:space="0" w:color="auto"/>
      </w:pBdr>
      <w:shd w:val="clear" w:color="000000" w:fill="FFFF00"/>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281">
    <w:name w:val="xl281"/>
    <w:basedOn w:val="Normal"/>
    <w:rsid w:val="00B155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282">
    <w:name w:val="xl282"/>
    <w:basedOn w:val="Normal"/>
    <w:rsid w:val="00B1552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283">
    <w:name w:val="xl283"/>
    <w:basedOn w:val="Normal"/>
    <w:rsid w:val="00B155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284">
    <w:name w:val="xl284"/>
    <w:basedOn w:val="Normal"/>
    <w:rsid w:val="00B15520"/>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85">
    <w:name w:val="xl285"/>
    <w:basedOn w:val="Normal"/>
    <w:rsid w:val="00B15520"/>
    <w:pPr>
      <w:pBdr>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86">
    <w:name w:val="xl286"/>
    <w:basedOn w:val="Normal"/>
    <w:rsid w:val="00B1552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287">
    <w:name w:val="xl287"/>
    <w:basedOn w:val="Normal"/>
    <w:rsid w:val="00B1552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288">
    <w:name w:val="xl288"/>
    <w:basedOn w:val="Normal"/>
    <w:rsid w:val="00B15520"/>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89">
    <w:name w:val="xl289"/>
    <w:basedOn w:val="Normal"/>
    <w:rsid w:val="00B15520"/>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90">
    <w:name w:val="xl290"/>
    <w:basedOn w:val="Normal"/>
    <w:rsid w:val="00B15520"/>
    <w:pPr>
      <w:pBdr>
        <w:top w:val="single" w:sz="4" w:space="0" w:color="auto"/>
        <w:left w:val="double" w:sz="6"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91">
    <w:name w:val="xl291"/>
    <w:basedOn w:val="Normal"/>
    <w:rsid w:val="00B15520"/>
    <w:pPr>
      <w:pBdr>
        <w:left w:val="double" w:sz="6"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92">
    <w:name w:val="xl292"/>
    <w:basedOn w:val="Normal"/>
    <w:rsid w:val="00B15520"/>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93">
    <w:name w:val="xl293"/>
    <w:basedOn w:val="Normal"/>
    <w:rsid w:val="00B15520"/>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294">
    <w:name w:val="xl294"/>
    <w:basedOn w:val="Normal"/>
    <w:rsid w:val="00B15520"/>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95">
    <w:name w:val="xl295"/>
    <w:basedOn w:val="Normal"/>
    <w:rsid w:val="00B15520"/>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96">
    <w:name w:val="xl296"/>
    <w:basedOn w:val="Normal"/>
    <w:rsid w:val="00B15520"/>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97">
    <w:name w:val="xl297"/>
    <w:basedOn w:val="Normal"/>
    <w:rsid w:val="00B15520"/>
    <w:pPr>
      <w:pBdr>
        <w:top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98">
    <w:name w:val="xl298"/>
    <w:basedOn w:val="Normal"/>
    <w:rsid w:val="00B1552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299">
    <w:name w:val="xl299"/>
    <w:basedOn w:val="Normal"/>
    <w:rsid w:val="00B1552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0">
    <w:name w:val="xl300"/>
    <w:basedOn w:val="Normal"/>
    <w:rsid w:val="00B15520"/>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301">
    <w:name w:val="xl301"/>
    <w:basedOn w:val="Normal"/>
    <w:rsid w:val="00B15520"/>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302">
    <w:name w:val="xl302"/>
    <w:basedOn w:val="Normal"/>
    <w:rsid w:val="00B15520"/>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3">
    <w:name w:val="xl303"/>
    <w:basedOn w:val="Normal"/>
    <w:rsid w:val="00B15520"/>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4">
    <w:name w:val="xl304"/>
    <w:basedOn w:val="Normal"/>
    <w:rsid w:val="00B15520"/>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5">
    <w:name w:val="xl305"/>
    <w:basedOn w:val="Normal"/>
    <w:rsid w:val="00B1552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6">
    <w:name w:val="xl306"/>
    <w:basedOn w:val="Normal"/>
    <w:rsid w:val="00B1552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307">
    <w:name w:val="xl307"/>
    <w:basedOn w:val="Normal"/>
    <w:rsid w:val="00B15520"/>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8">
    <w:name w:val="xl308"/>
    <w:basedOn w:val="Normal"/>
    <w:rsid w:val="00B15520"/>
    <w:pPr>
      <w:pBdr>
        <w:top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09">
    <w:name w:val="xl309"/>
    <w:basedOn w:val="Normal"/>
    <w:rsid w:val="00B1552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10">
    <w:name w:val="xl310"/>
    <w:basedOn w:val="Normal"/>
    <w:rsid w:val="00B15520"/>
    <w:pPr>
      <w:pBdr>
        <w:top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311">
    <w:name w:val="xl311"/>
    <w:basedOn w:val="Normal"/>
    <w:rsid w:val="00B15520"/>
    <w:pPr>
      <w:pBdr>
        <w:top w:val="single" w:sz="4" w:space="0" w:color="auto"/>
        <w:bottom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312">
    <w:name w:val="xl312"/>
    <w:basedOn w:val="Normal"/>
    <w:rsid w:val="00B155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table" w:customStyle="1" w:styleId="MediumGrid3-Accent51">
    <w:name w:val="Medium Grid 3 - Accent 51"/>
    <w:basedOn w:val="TableNormal"/>
    <w:next w:val="MediumGrid3-Accent5"/>
    <w:uiPriority w:val="69"/>
    <w:rsid w:val="00B15520"/>
    <w:pPr>
      <w:spacing w:after="0" w:line="240" w:lineRule="auto"/>
    </w:pPr>
    <w:rPr>
      <w:rFonts w:eastAsiaTheme="minorHAnsi"/>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ListTable3-Accent111">
    <w:name w:val="List Table 3 - Accent 111"/>
    <w:basedOn w:val="TableNormal"/>
    <w:uiPriority w:val="48"/>
    <w:rsid w:val="00B15520"/>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NoSpacingChar">
    <w:name w:val="No Spacing Char"/>
    <w:aliases w:val="Figures themselves Char,My Normal Char,Body text Age of stones Char"/>
    <w:basedOn w:val="DefaultParagraphFont"/>
    <w:link w:val="NoSpacing"/>
    <w:uiPriority w:val="1"/>
    <w:rsid w:val="00BB64C7"/>
  </w:style>
  <w:style w:type="paragraph" w:customStyle="1" w:styleId="CarattereCarattereCharCharCharChar">
    <w:name w:val="Carattere Carattere Char Char Char Char"/>
    <w:aliases w:val="Char Char Char Char Char Char,Char Char Char1 Car Car Char Char Char Char Char Char Char Char Char Char Char Char Char Char Char Char Char Char Char Char,ftref Char Cha,ftref Char Char Char Char"/>
    <w:basedOn w:val="Normal"/>
    <w:next w:val="Normal"/>
    <w:uiPriority w:val="99"/>
    <w:rsid w:val="00585916"/>
    <w:pPr>
      <w:spacing w:line="240" w:lineRule="exact"/>
    </w:pPr>
    <w:rPr>
      <w:rFonts w:eastAsiaTheme="minorHAnsi"/>
      <w:vertAlign w:val="superscript"/>
    </w:rPr>
  </w:style>
  <w:style w:type="paragraph" w:customStyle="1" w:styleId="Normal0">
    <w:name w:val="Normal_0"/>
    <w:qFormat/>
    <w:rsid w:val="005637BB"/>
    <w:rPr>
      <w:rFonts w:eastAsiaTheme="minorHAnsi"/>
    </w:rPr>
  </w:style>
  <w:style w:type="character" w:customStyle="1" w:styleId="UnresolvedMention1">
    <w:name w:val="Unresolved Mention1"/>
    <w:basedOn w:val="DefaultParagraphFont"/>
    <w:uiPriority w:val="99"/>
    <w:rsid w:val="005637BB"/>
    <w:rPr>
      <w:color w:val="605E5C"/>
      <w:shd w:val="clear" w:color="auto" w:fill="E1DFDD"/>
    </w:rPr>
  </w:style>
  <w:style w:type="paragraph" w:customStyle="1" w:styleId="BVIfnrChar">
    <w:name w:val="BVI fnr Char"/>
    <w:aliases w:val="Footnotes refss Char,ftref Char,16 Point Char,Superscript 6 Point Char,Footnote Reference Number Char,nota pié di pagina Char,Times 10 Point Char,Exposant 3 Point Char,Footnote symbol Char,Footnote reference number Char"/>
    <w:basedOn w:val="Normal"/>
    <w:rsid w:val="00C55550"/>
    <w:pPr>
      <w:spacing w:line="240" w:lineRule="exact"/>
      <w:jc w:val="both"/>
    </w:pPr>
    <w:rPr>
      <w:rFonts w:eastAsiaTheme="minorHAnsi"/>
      <w:vertAlign w:val="superscript"/>
    </w:rPr>
  </w:style>
  <w:style w:type="table" w:customStyle="1" w:styleId="TableGrid72">
    <w:name w:val="Table Grid72"/>
    <w:basedOn w:val="TableNormal"/>
    <w:next w:val="TableGrid"/>
    <w:uiPriority w:val="59"/>
    <w:rsid w:val="00C55550"/>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qFormat/>
    <w:rsid w:val="00C55550"/>
    <w:pPr>
      <w:spacing w:after="0" w:line="240" w:lineRule="auto"/>
    </w:pPr>
    <w:rPr>
      <w:rFonts w:eastAsia="SimSu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Char">
    <w:name w:val="BOdy Char"/>
    <w:basedOn w:val="DefaultParagraphFont"/>
    <w:link w:val="BOdy0"/>
    <w:locked/>
    <w:rsid w:val="00C55550"/>
    <w:rPr>
      <w:rFonts w:ascii="Calibri Light" w:eastAsia="Droid Sans Fallback" w:hAnsi="Calibri Light" w:cs="Calibri Light"/>
      <w:color w:val="00000A"/>
    </w:rPr>
  </w:style>
  <w:style w:type="paragraph" w:customStyle="1" w:styleId="BOdy0">
    <w:name w:val="BOdy"/>
    <w:basedOn w:val="Normal"/>
    <w:link w:val="BOdyChar"/>
    <w:qFormat/>
    <w:rsid w:val="00C55550"/>
    <w:pPr>
      <w:suppressAutoHyphens/>
      <w:spacing w:after="200" w:line="276" w:lineRule="auto"/>
    </w:pPr>
    <w:rPr>
      <w:rFonts w:ascii="Calibri Light" w:eastAsia="Droid Sans Fallback" w:hAnsi="Calibri Light" w:cs="Calibri Light"/>
      <w:color w:val="00000A"/>
    </w:rPr>
  </w:style>
  <w:style w:type="paragraph" w:customStyle="1" w:styleId="BVIfnrCharCharCharCharCharChar1CharCharCharCharCharChar">
    <w:name w:val="BVI fnr Char Char Char Char Char Char1 Char Char Char Char Char Char"/>
    <w:aliases w:val="BVI fnr Car Car Char Char Char Char Char Char Char Char Char Char Char Char,BVI fnr Car Char Char Char Char Char Char Char Char Char Char Char Char Char"/>
    <w:basedOn w:val="Normal"/>
    <w:rsid w:val="00BB0805"/>
    <w:pPr>
      <w:spacing w:line="240" w:lineRule="exact"/>
      <w:jc w:val="both"/>
    </w:pPr>
    <w:rPr>
      <w:rFonts w:ascii="Times New Roman" w:eastAsiaTheme="minorHAnsi" w:hAnsi="Times New Roman"/>
      <w:sz w:val="24"/>
      <w:szCs w:val="24"/>
      <w:vertAlign w:val="superscript"/>
      <w:lang w:val="sr-Latn-CS"/>
    </w:rPr>
  </w:style>
  <w:style w:type="table" w:customStyle="1" w:styleId="TableGrid7">
    <w:name w:val="Table Grid_7"/>
    <w:basedOn w:val="TableNormal"/>
    <w:uiPriority w:val="39"/>
    <w:rsid w:val="00EA099D"/>
    <w:pPr>
      <w:spacing w:after="0" w:line="240" w:lineRule="auto"/>
    </w:pPr>
    <w:rPr>
      <w:rFonts w:eastAsiaTheme="min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BC3ECB"/>
  </w:style>
  <w:style w:type="table" w:customStyle="1" w:styleId="GridTable4-Accent51">
    <w:name w:val="Grid Table 4 - Accent 51"/>
    <w:basedOn w:val="TableNormal"/>
    <w:uiPriority w:val="49"/>
    <w:rsid w:val="00ED18F3"/>
    <w:pPr>
      <w:spacing w:after="0" w:line="240" w:lineRule="auto"/>
    </w:pPr>
    <w:rPr>
      <w:sz w:val="21"/>
      <w:szCs w:val="21"/>
      <w:lang w:eastAsia="ja-JP"/>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CaptionChar">
    <w:name w:val="Caption Char"/>
    <w:aliases w:val="Caption Char Char Char Char,Caption1 Char1,Caption1 Char Char,Figure Head Char,Figure Head Znak Char,Figure Head Znak Znak Char,Table title Char,WB Caption Char"/>
    <w:basedOn w:val="DefaultParagraphFont"/>
    <w:link w:val="Caption"/>
    <w:uiPriority w:val="35"/>
    <w:rsid w:val="00985E3A"/>
    <w:rPr>
      <w:i/>
      <w:iCs/>
      <w:color w:val="1F497D" w:themeColor="text2"/>
      <w:sz w:val="18"/>
      <w:szCs w:val="18"/>
    </w:rPr>
  </w:style>
  <w:style w:type="character" w:customStyle="1" w:styleId="eop">
    <w:name w:val="eop"/>
    <w:basedOn w:val="DefaultParagraphFont"/>
    <w:rsid w:val="00DA2452"/>
  </w:style>
  <w:style w:type="paragraph" w:customStyle="1" w:styleId="BVIfnrChar1CharCharCharCharChar">
    <w:name w:val="BVI fnr Char1 Char Char Char Char Char"/>
    <w:aliases w:val="BVI fnr Car Car Car Car Char2 Char Char Char Char Char,BVI fnr Car Car Char1 Char Char Char Char Char,BVI fnr Car Char1 Char Char Char Char Char"/>
    <w:basedOn w:val="Normal"/>
    <w:uiPriority w:val="99"/>
    <w:rsid w:val="0004513D"/>
    <w:pPr>
      <w:spacing w:line="240" w:lineRule="exact"/>
    </w:pPr>
    <w:rPr>
      <w:rFonts w:eastAsiaTheme="minorHAnsi"/>
      <w:vertAlign w:val="superscript"/>
      <w:lang w:val="en-US"/>
    </w:rPr>
  </w:style>
  <w:style w:type="character" w:styleId="PlaceholderText">
    <w:name w:val="Placeholder Text"/>
    <w:basedOn w:val="DefaultParagraphFont"/>
    <w:uiPriority w:val="99"/>
    <w:semiHidden/>
    <w:rsid w:val="00480190"/>
    <w:rPr>
      <w:color w:val="808080"/>
    </w:rPr>
  </w:style>
  <w:style w:type="paragraph" w:customStyle="1" w:styleId="paragraph">
    <w:name w:val="paragraph"/>
    <w:basedOn w:val="Normal"/>
    <w:rsid w:val="00480190"/>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ListTable3-Accent112">
    <w:name w:val="List Table 3 - Accent 112"/>
    <w:basedOn w:val="TableNormal"/>
    <w:uiPriority w:val="48"/>
    <w:rsid w:val="00480190"/>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121">
    <w:name w:val="List Table 3 - Accent 1121"/>
    <w:basedOn w:val="TableNormal"/>
    <w:uiPriority w:val="48"/>
    <w:rsid w:val="00480190"/>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UnresolvedMention2">
    <w:name w:val="Unresolved Mention2"/>
    <w:basedOn w:val="DefaultParagraphFont"/>
    <w:uiPriority w:val="99"/>
    <w:semiHidden/>
    <w:unhideWhenUsed/>
    <w:rsid w:val="00833B40"/>
    <w:rPr>
      <w:color w:val="605E5C"/>
      <w:shd w:val="clear" w:color="auto" w:fill="E1DFDD"/>
    </w:rPr>
  </w:style>
  <w:style w:type="paragraph" w:customStyle="1" w:styleId="xl66">
    <w:name w:val="xl66"/>
    <w:basedOn w:val="Normal"/>
    <w:rsid w:val="0081289E"/>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67">
    <w:name w:val="xl67"/>
    <w:basedOn w:val="Normal"/>
    <w:rsid w:val="0081289E"/>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68">
    <w:name w:val="xl68"/>
    <w:basedOn w:val="Normal"/>
    <w:rsid w:val="0081289E"/>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69">
    <w:name w:val="xl69"/>
    <w:basedOn w:val="Normal"/>
    <w:rsid w:val="0081289E"/>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right"/>
    </w:pPr>
    <w:rPr>
      <w:rFonts w:ascii="Arial" w:eastAsia="Times New Roman" w:hAnsi="Arial" w:cs="Arial"/>
      <w:color w:val="FF0000"/>
      <w:sz w:val="24"/>
      <w:szCs w:val="24"/>
      <w:lang w:val="en-US"/>
    </w:rPr>
  </w:style>
  <w:style w:type="paragraph" w:customStyle="1" w:styleId="xl70">
    <w:name w:val="xl70"/>
    <w:basedOn w:val="Normal"/>
    <w:rsid w:val="008128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pPr>
    <w:rPr>
      <w:rFonts w:ascii="Arial" w:eastAsia="Times New Roman" w:hAnsi="Arial" w:cs="Arial"/>
      <w:color w:val="FF0000"/>
      <w:sz w:val="24"/>
      <w:szCs w:val="24"/>
      <w:lang w:val="en-US"/>
    </w:rPr>
  </w:style>
  <w:style w:type="paragraph" w:customStyle="1" w:styleId="xl71">
    <w:name w:val="xl71"/>
    <w:basedOn w:val="Normal"/>
    <w:rsid w:val="0081289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right"/>
    </w:pPr>
    <w:rPr>
      <w:rFonts w:ascii="Arial" w:eastAsia="Times New Roman" w:hAnsi="Arial" w:cs="Arial"/>
      <w:color w:val="FF0000"/>
      <w:sz w:val="24"/>
      <w:szCs w:val="24"/>
      <w:lang w:val="en-US"/>
    </w:rPr>
  </w:style>
  <w:style w:type="paragraph" w:customStyle="1" w:styleId="xl72">
    <w:name w:val="xl72"/>
    <w:basedOn w:val="Normal"/>
    <w:rsid w:val="0081289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US"/>
    </w:rPr>
  </w:style>
  <w:style w:type="paragraph" w:customStyle="1" w:styleId="xl73">
    <w:name w:val="xl73"/>
    <w:basedOn w:val="Normal"/>
    <w:rsid w:val="0081289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US"/>
    </w:rPr>
  </w:style>
  <w:style w:type="paragraph" w:customStyle="1" w:styleId="xl74">
    <w:name w:val="xl74"/>
    <w:basedOn w:val="Normal"/>
    <w:rsid w:val="0081289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Arial" w:eastAsia="Times New Roman" w:hAnsi="Arial" w:cs="Arial"/>
      <w:b/>
      <w:bCs/>
      <w:sz w:val="24"/>
      <w:szCs w:val="24"/>
      <w:lang w:val="en-US"/>
    </w:rPr>
  </w:style>
  <w:style w:type="paragraph" w:customStyle="1" w:styleId="xl75">
    <w:name w:val="xl75"/>
    <w:basedOn w:val="Normal"/>
    <w:rsid w:val="0081289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US"/>
    </w:rPr>
  </w:style>
  <w:style w:type="paragraph" w:customStyle="1" w:styleId="xl76">
    <w:name w:val="xl76"/>
    <w:basedOn w:val="Normal"/>
    <w:rsid w:val="0081289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Arial" w:eastAsia="Times New Roman" w:hAnsi="Arial" w:cs="Arial"/>
      <w:b/>
      <w:bCs/>
      <w:color w:val="FF0000"/>
      <w:sz w:val="24"/>
      <w:szCs w:val="24"/>
      <w:lang w:val="en-US"/>
    </w:rPr>
  </w:style>
  <w:style w:type="paragraph" w:customStyle="1" w:styleId="xl77">
    <w:name w:val="xl77"/>
    <w:basedOn w:val="Normal"/>
    <w:rsid w:val="0081289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78">
    <w:name w:val="xl78"/>
    <w:basedOn w:val="Normal"/>
    <w:rsid w:val="0081289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79">
    <w:name w:val="xl79"/>
    <w:basedOn w:val="Normal"/>
    <w:rsid w:val="0081289E"/>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0">
    <w:name w:val="xl80"/>
    <w:basedOn w:val="Normal"/>
    <w:rsid w:val="0081289E"/>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1">
    <w:name w:val="xl81"/>
    <w:basedOn w:val="Normal"/>
    <w:rsid w:val="0081289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2">
    <w:name w:val="xl82"/>
    <w:basedOn w:val="Normal"/>
    <w:rsid w:val="0081289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3">
    <w:name w:val="xl83"/>
    <w:basedOn w:val="Normal"/>
    <w:rsid w:val="0081289E"/>
    <w:pPr>
      <w:pBdr>
        <w:top w:val="single" w:sz="4" w:space="0" w:color="auto"/>
        <w:left w:val="single" w:sz="4" w:space="0" w:color="auto"/>
        <w:bottom w:val="single" w:sz="4" w:space="0" w:color="auto"/>
      </w:pBdr>
      <w:spacing w:before="100" w:beforeAutospacing="1" w:after="100" w:afterAutospacing="1" w:line="240" w:lineRule="auto"/>
      <w:textAlignment w:val="bottom"/>
    </w:pPr>
    <w:rPr>
      <w:rFonts w:ascii="Arial" w:eastAsia="Times New Roman" w:hAnsi="Arial" w:cs="Arial"/>
      <w:color w:val="000000"/>
      <w:sz w:val="24"/>
      <w:szCs w:val="24"/>
      <w:lang w:val="en-US"/>
    </w:rPr>
  </w:style>
  <w:style w:type="paragraph" w:customStyle="1" w:styleId="xl84">
    <w:name w:val="xl84"/>
    <w:basedOn w:val="Normal"/>
    <w:rsid w:val="0081289E"/>
    <w:pPr>
      <w:pBdr>
        <w:left w:val="single" w:sz="8" w:space="0" w:color="auto"/>
      </w:pBdr>
      <w:shd w:val="clear" w:color="000000" w:fill="FFFFFF"/>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5">
    <w:name w:val="xl85"/>
    <w:basedOn w:val="Normal"/>
    <w:rsid w:val="0081289E"/>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6">
    <w:name w:val="xl86"/>
    <w:basedOn w:val="Normal"/>
    <w:rsid w:val="0081289E"/>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7">
    <w:name w:val="xl87"/>
    <w:basedOn w:val="Normal"/>
    <w:rsid w:val="0081289E"/>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val="en-US"/>
    </w:rPr>
  </w:style>
  <w:style w:type="paragraph" w:customStyle="1" w:styleId="xl88">
    <w:name w:val="xl88"/>
    <w:basedOn w:val="Normal"/>
    <w:rsid w:val="008128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89">
    <w:name w:val="xl89"/>
    <w:basedOn w:val="Normal"/>
    <w:rsid w:val="0081289E"/>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b/>
      <w:bCs/>
      <w:sz w:val="24"/>
      <w:szCs w:val="24"/>
      <w:lang w:val="en-US"/>
    </w:rPr>
  </w:style>
  <w:style w:type="character" w:customStyle="1" w:styleId="UnresolvedMention3">
    <w:name w:val="Unresolved Mention3"/>
    <w:basedOn w:val="DefaultParagraphFont"/>
    <w:uiPriority w:val="99"/>
    <w:semiHidden/>
    <w:unhideWhenUsed/>
    <w:rsid w:val="001C2EC1"/>
    <w:rPr>
      <w:color w:val="605E5C"/>
      <w:shd w:val="clear" w:color="auto" w:fill="E1DFDD"/>
    </w:rPr>
  </w:style>
  <w:style w:type="paragraph" w:customStyle="1" w:styleId="TableParagraph">
    <w:name w:val="Table Paragraph"/>
    <w:basedOn w:val="Normal"/>
    <w:uiPriority w:val="1"/>
    <w:qFormat/>
    <w:rsid w:val="00CA17E6"/>
    <w:pPr>
      <w:widowControl w:val="0"/>
      <w:spacing w:after="0" w:line="240" w:lineRule="auto"/>
    </w:pPr>
    <w:rPr>
      <w:rFonts w:eastAsiaTheme="minorHAnsi"/>
      <w:lang w:val="en-US"/>
    </w:rPr>
  </w:style>
  <w:style w:type="numbering" w:customStyle="1" w:styleId="NoList2">
    <w:name w:val="No List2"/>
    <w:next w:val="NoList"/>
    <w:uiPriority w:val="99"/>
    <w:semiHidden/>
    <w:unhideWhenUsed/>
    <w:rsid w:val="00CA17E6"/>
  </w:style>
  <w:style w:type="paragraph" w:customStyle="1" w:styleId="Numberedparagraph">
    <w:name w:val="Numbered paragraph"/>
    <w:basedOn w:val="Normal"/>
    <w:qFormat/>
    <w:rsid w:val="00945C72"/>
    <w:pPr>
      <w:numPr>
        <w:numId w:val="700"/>
      </w:numPr>
      <w:tabs>
        <w:tab w:val="clear" w:pos="720"/>
        <w:tab w:val="num" w:pos="0"/>
      </w:tabs>
      <w:spacing w:after="240" w:line="240" w:lineRule="auto"/>
      <w:ind w:left="0" w:firstLine="0"/>
      <w:jc w:val="both"/>
    </w:pPr>
    <w:rPr>
      <w:rFonts w:ascii="Times New Roman" w:eastAsia="Times New Roman" w:hAnsi="Times New Roman" w:cs="Times New Roman"/>
      <w:sz w:val="24"/>
      <w:szCs w:val="24"/>
      <w:lang w:val="en-US"/>
    </w:rPr>
  </w:style>
  <w:style w:type="character" w:customStyle="1" w:styleId="UnresolvedMention4">
    <w:name w:val="Unresolved Mention4"/>
    <w:basedOn w:val="DefaultParagraphFont"/>
    <w:uiPriority w:val="99"/>
    <w:semiHidden/>
    <w:unhideWhenUsed/>
    <w:rsid w:val="00725E6A"/>
    <w:rPr>
      <w:color w:val="605E5C"/>
      <w:shd w:val="clear" w:color="auto" w:fill="E1DFDD"/>
    </w:rPr>
  </w:style>
  <w:style w:type="character" w:customStyle="1" w:styleId="UnresolvedMention5">
    <w:name w:val="Unresolved Mention5"/>
    <w:basedOn w:val="DefaultParagraphFont"/>
    <w:uiPriority w:val="99"/>
    <w:semiHidden/>
    <w:unhideWhenUsed/>
    <w:rsid w:val="008F5AB0"/>
    <w:rPr>
      <w:color w:val="605E5C"/>
      <w:shd w:val="clear" w:color="auto" w:fill="E1DFDD"/>
    </w:rPr>
  </w:style>
  <w:style w:type="character" w:customStyle="1" w:styleId="WW-DefaultParagraphFont">
    <w:name w:val="WW-Default Paragraph Font"/>
    <w:rsid w:val="00F73A15"/>
  </w:style>
  <w:style w:type="character" w:customStyle="1" w:styleId="WW8Num1z3">
    <w:name w:val="WW8Num1z3"/>
    <w:rsid w:val="00F73A15"/>
  </w:style>
  <w:style w:type="character" w:customStyle="1" w:styleId="WW8Num1z5">
    <w:name w:val="WW8Num1z5"/>
    <w:rsid w:val="00F73A15"/>
  </w:style>
  <w:style w:type="character" w:customStyle="1" w:styleId="WW8Num1z6">
    <w:name w:val="WW8Num1z6"/>
    <w:rsid w:val="00F73A15"/>
  </w:style>
  <w:style w:type="character" w:customStyle="1" w:styleId="WW8Num1z7">
    <w:name w:val="WW8Num1z7"/>
    <w:rsid w:val="00F73A15"/>
  </w:style>
  <w:style w:type="character" w:customStyle="1" w:styleId="WW8Num1z8">
    <w:name w:val="WW8Num1z8"/>
    <w:rsid w:val="00F73A15"/>
  </w:style>
  <w:style w:type="character" w:customStyle="1" w:styleId="WW8Num3z3">
    <w:name w:val="WW8Num3z3"/>
    <w:rsid w:val="00F73A15"/>
  </w:style>
  <w:style w:type="character" w:customStyle="1" w:styleId="WW8Num3z4">
    <w:name w:val="WW8Num3z4"/>
    <w:rsid w:val="00F73A15"/>
  </w:style>
  <w:style w:type="character" w:customStyle="1" w:styleId="WW8Num3z5">
    <w:name w:val="WW8Num3z5"/>
    <w:rsid w:val="00F73A15"/>
  </w:style>
  <w:style w:type="character" w:customStyle="1" w:styleId="WW8Num3z6">
    <w:name w:val="WW8Num3z6"/>
    <w:rsid w:val="00F73A15"/>
  </w:style>
  <w:style w:type="character" w:customStyle="1" w:styleId="WW8Num3z7">
    <w:name w:val="WW8Num3z7"/>
    <w:rsid w:val="00F73A15"/>
  </w:style>
  <w:style w:type="character" w:customStyle="1" w:styleId="WW8Num3z8">
    <w:name w:val="WW8Num3z8"/>
    <w:rsid w:val="00F73A15"/>
  </w:style>
  <w:style w:type="character" w:customStyle="1" w:styleId="WW8Num7z4">
    <w:name w:val="WW8Num7z4"/>
    <w:rsid w:val="00F73A15"/>
  </w:style>
  <w:style w:type="character" w:customStyle="1" w:styleId="WW8Num7z5">
    <w:name w:val="WW8Num7z5"/>
    <w:rsid w:val="00F73A15"/>
  </w:style>
  <w:style w:type="character" w:customStyle="1" w:styleId="WW8Num7z6">
    <w:name w:val="WW8Num7z6"/>
    <w:rsid w:val="00F73A15"/>
  </w:style>
  <w:style w:type="character" w:customStyle="1" w:styleId="WW8Num7z7">
    <w:name w:val="WW8Num7z7"/>
    <w:rsid w:val="00F73A15"/>
  </w:style>
  <w:style w:type="character" w:customStyle="1" w:styleId="WW8Num7z8">
    <w:name w:val="WW8Num7z8"/>
    <w:rsid w:val="00F73A15"/>
  </w:style>
  <w:style w:type="character" w:customStyle="1" w:styleId="WW8Num10z3">
    <w:name w:val="WW8Num10z3"/>
    <w:rsid w:val="00F73A15"/>
    <w:rPr>
      <w:rFonts w:ascii="Symbol" w:hAnsi="Symbol" w:cs="Symbol"/>
    </w:rPr>
  </w:style>
  <w:style w:type="character" w:customStyle="1" w:styleId="WW8Num10z4">
    <w:name w:val="WW8Num10z4"/>
    <w:rsid w:val="00F73A15"/>
  </w:style>
  <w:style w:type="character" w:customStyle="1" w:styleId="WW8Num10z5">
    <w:name w:val="WW8Num10z5"/>
    <w:rsid w:val="00F73A15"/>
  </w:style>
  <w:style w:type="character" w:customStyle="1" w:styleId="WW8Num10z6">
    <w:name w:val="WW8Num10z6"/>
    <w:rsid w:val="00F73A15"/>
  </w:style>
  <w:style w:type="character" w:customStyle="1" w:styleId="WW8Num10z7">
    <w:name w:val="WW8Num10z7"/>
    <w:rsid w:val="00F73A15"/>
  </w:style>
  <w:style w:type="character" w:customStyle="1" w:styleId="WW8Num10z8">
    <w:name w:val="WW8Num10z8"/>
    <w:rsid w:val="00F73A15"/>
  </w:style>
  <w:style w:type="character" w:customStyle="1" w:styleId="WW8Num2z3">
    <w:name w:val="WW8Num2z3"/>
    <w:rsid w:val="00F73A15"/>
  </w:style>
  <w:style w:type="character" w:customStyle="1" w:styleId="WW8Num2z4">
    <w:name w:val="WW8Num2z4"/>
    <w:rsid w:val="00F73A15"/>
  </w:style>
  <w:style w:type="character" w:customStyle="1" w:styleId="WW8Num2z5">
    <w:name w:val="WW8Num2z5"/>
    <w:rsid w:val="00F73A15"/>
  </w:style>
  <w:style w:type="character" w:customStyle="1" w:styleId="WW8Num2z6">
    <w:name w:val="WW8Num2z6"/>
    <w:rsid w:val="00F73A15"/>
  </w:style>
  <w:style w:type="character" w:customStyle="1" w:styleId="WW8Num2z7">
    <w:name w:val="WW8Num2z7"/>
    <w:rsid w:val="00F73A15"/>
  </w:style>
  <w:style w:type="character" w:customStyle="1" w:styleId="WW8Num2z8">
    <w:name w:val="WW8Num2z8"/>
    <w:rsid w:val="00F73A15"/>
  </w:style>
  <w:style w:type="character" w:customStyle="1" w:styleId="WW8Num6z3">
    <w:name w:val="WW8Num6z3"/>
    <w:rsid w:val="00F73A15"/>
    <w:rPr>
      <w:rFonts w:ascii="Symbol" w:hAnsi="Symbol" w:cs="Symbol"/>
    </w:rPr>
  </w:style>
  <w:style w:type="character" w:customStyle="1" w:styleId="WW8Num6z5">
    <w:name w:val="WW8Num6z5"/>
    <w:rsid w:val="00F73A15"/>
  </w:style>
  <w:style w:type="character" w:customStyle="1" w:styleId="WW8Num6z6">
    <w:name w:val="WW8Num6z6"/>
    <w:rsid w:val="00F73A15"/>
  </w:style>
  <w:style w:type="character" w:customStyle="1" w:styleId="WW8Num6z7">
    <w:name w:val="WW8Num6z7"/>
    <w:rsid w:val="00F73A15"/>
  </w:style>
  <w:style w:type="character" w:customStyle="1" w:styleId="WW8Num6z8">
    <w:name w:val="WW8Num6z8"/>
    <w:rsid w:val="00F73A15"/>
  </w:style>
  <w:style w:type="character" w:customStyle="1" w:styleId="WW8Num9z4">
    <w:name w:val="WW8Num9z4"/>
    <w:rsid w:val="00F73A15"/>
  </w:style>
  <w:style w:type="character" w:customStyle="1" w:styleId="WW8Num9z5">
    <w:name w:val="WW8Num9z5"/>
    <w:rsid w:val="00F73A15"/>
  </w:style>
  <w:style w:type="character" w:customStyle="1" w:styleId="WW8Num9z6">
    <w:name w:val="WW8Num9z6"/>
    <w:rsid w:val="00F73A15"/>
  </w:style>
  <w:style w:type="character" w:customStyle="1" w:styleId="WW8Num9z7">
    <w:name w:val="WW8Num9z7"/>
    <w:rsid w:val="00F73A15"/>
  </w:style>
  <w:style w:type="character" w:customStyle="1" w:styleId="WW8Num9z8">
    <w:name w:val="WW8Num9z8"/>
    <w:rsid w:val="00F73A15"/>
  </w:style>
  <w:style w:type="character" w:customStyle="1" w:styleId="WW8Num11z3">
    <w:name w:val="WW8Num11z3"/>
    <w:rsid w:val="00F73A15"/>
  </w:style>
  <w:style w:type="character" w:customStyle="1" w:styleId="WW8Num11z4">
    <w:name w:val="WW8Num11z4"/>
    <w:rsid w:val="00F73A15"/>
  </w:style>
  <w:style w:type="character" w:customStyle="1" w:styleId="WW8Num11z5">
    <w:name w:val="WW8Num11z5"/>
    <w:rsid w:val="00F73A15"/>
  </w:style>
  <w:style w:type="character" w:customStyle="1" w:styleId="WW8Num11z6">
    <w:name w:val="WW8Num11z6"/>
    <w:rsid w:val="00F73A15"/>
  </w:style>
  <w:style w:type="character" w:customStyle="1" w:styleId="WW8Num11z7">
    <w:name w:val="WW8Num11z7"/>
    <w:rsid w:val="00F73A15"/>
  </w:style>
  <w:style w:type="character" w:customStyle="1" w:styleId="WW8Num11z8">
    <w:name w:val="WW8Num11z8"/>
    <w:rsid w:val="00F73A15"/>
  </w:style>
  <w:style w:type="character" w:customStyle="1" w:styleId="WW8Num12z4">
    <w:name w:val="WW8Num12z4"/>
    <w:rsid w:val="00F73A15"/>
  </w:style>
  <w:style w:type="character" w:customStyle="1" w:styleId="WW8Num12z5">
    <w:name w:val="WW8Num12z5"/>
    <w:rsid w:val="00F73A15"/>
  </w:style>
  <w:style w:type="character" w:customStyle="1" w:styleId="WW8Num12z6">
    <w:name w:val="WW8Num12z6"/>
    <w:rsid w:val="00F73A15"/>
  </w:style>
  <w:style w:type="character" w:customStyle="1" w:styleId="WW8Num12z7">
    <w:name w:val="WW8Num12z7"/>
    <w:rsid w:val="00F73A15"/>
  </w:style>
  <w:style w:type="character" w:customStyle="1" w:styleId="WW8Num12z8">
    <w:name w:val="WW8Num12z8"/>
    <w:rsid w:val="00F73A15"/>
  </w:style>
  <w:style w:type="character" w:customStyle="1" w:styleId="WW8Num13z3">
    <w:name w:val="WW8Num13z3"/>
    <w:rsid w:val="00F73A15"/>
    <w:rPr>
      <w:rFonts w:ascii="Symbol" w:hAnsi="Symbol" w:cs="Symbol"/>
    </w:rPr>
  </w:style>
  <w:style w:type="character" w:customStyle="1" w:styleId="WW8Num13z4">
    <w:name w:val="WW8Num13z4"/>
    <w:rsid w:val="00F73A15"/>
  </w:style>
  <w:style w:type="character" w:customStyle="1" w:styleId="WW8Num13z5">
    <w:name w:val="WW8Num13z5"/>
    <w:rsid w:val="00F73A15"/>
  </w:style>
  <w:style w:type="character" w:customStyle="1" w:styleId="WW8Num13z6">
    <w:name w:val="WW8Num13z6"/>
    <w:rsid w:val="00F73A15"/>
  </w:style>
  <w:style w:type="character" w:customStyle="1" w:styleId="WW8Num13z7">
    <w:name w:val="WW8Num13z7"/>
    <w:rsid w:val="00F73A15"/>
  </w:style>
  <w:style w:type="character" w:customStyle="1" w:styleId="WW8Num13z8">
    <w:name w:val="WW8Num13z8"/>
    <w:rsid w:val="00F73A15"/>
  </w:style>
  <w:style w:type="character" w:customStyle="1" w:styleId="WW8Num16z3">
    <w:name w:val="WW8Num16z3"/>
    <w:rsid w:val="00F73A15"/>
  </w:style>
  <w:style w:type="character" w:customStyle="1" w:styleId="WW8Num16z4">
    <w:name w:val="WW8Num16z4"/>
    <w:rsid w:val="00F73A15"/>
  </w:style>
  <w:style w:type="character" w:customStyle="1" w:styleId="WW8Num16z5">
    <w:name w:val="WW8Num16z5"/>
    <w:rsid w:val="00F73A15"/>
  </w:style>
  <w:style w:type="character" w:customStyle="1" w:styleId="WW8Num16z6">
    <w:name w:val="WW8Num16z6"/>
    <w:rsid w:val="00F73A15"/>
  </w:style>
  <w:style w:type="character" w:customStyle="1" w:styleId="WW8Num16z7">
    <w:name w:val="WW8Num16z7"/>
    <w:rsid w:val="00F73A15"/>
  </w:style>
  <w:style w:type="character" w:customStyle="1" w:styleId="WW8Num16z8">
    <w:name w:val="WW8Num16z8"/>
    <w:rsid w:val="00F73A15"/>
  </w:style>
  <w:style w:type="character" w:customStyle="1" w:styleId="WW-DefaultParagraphFont1">
    <w:name w:val="WW-Default Paragraph Font1"/>
    <w:rsid w:val="00F73A15"/>
  </w:style>
  <w:style w:type="character" w:customStyle="1" w:styleId="WW8Num23z3">
    <w:name w:val="WW8Num23z3"/>
    <w:rsid w:val="00F73A15"/>
    <w:rPr>
      <w:rFonts w:ascii="Symbol" w:hAnsi="Symbol" w:cs="Symbol"/>
    </w:rPr>
  </w:style>
  <w:style w:type="character" w:customStyle="1" w:styleId="WW8Num26z3">
    <w:name w:val="WW8Num26z3"/>
    <w:rsid w:val="00F73A15"/>
    <w:rPr>
      <w:rFonts w:ascii="Symbol" w:hAnsi="Symbol" w:cs="Symbol"/>
    </w:rPr>
  </w:style>
  <w:style w:type="character" w:customStyle="1" w:styleId="WW8Num27z3">
    <w:name w:val="WW8Num27z3"/>
    <w:rsid w:val="00F73A15"/>
    <w:rPr>
      <w:rFonts w:ascii="Wingdings" w:hAnsi="Wingdings" w:cs="Wingdings"/>
      <w:b/>
      <w:sz w:val="32"/>
      <w:szCs w:val="32"/>
    </w:rPr>
  </w:style>
  <w:style w:type="character" w:customStyle="1" w:styleId="WW8Num27z4">
    <w:name w:val="WW8Num27z4"/>
    <w:rsid w:val="00F73A15"/>
    <w:rPr>
      <w:rFonts w:ascii="Courier New" w:hAnsi="Courier New" w:cs="Courier New"/>
    </w:rPr>
  </w:style>
  <w:style w:type="character" w:customStyle="1" w:styleId="WW8Num27z5">
    <w:name w:val="WW8Num27z5"/>
    <w:rsid w:val="00F73A15"/>
    <w:rPr>
      <w:rFonts w:ascii="Wingdings" w:hAnsi="Wingdings" w:cs="Wingdings"/>
    </w:rPr>
  </w:style>
  <w:style w:type="character" w:customStyle="1" w:styleId="WW8Num27z6">
    <w:name w:val="WW8Num27z6"/>
    <w:rsid w:val="00F73A15"/>
    <w:rPr>
      <w:rFonts w:ascii="Symbol" w:hAnsi="Symbol" w:cs="Symbol"/>
    </w:rPr>
  </w:style>
  <w:style w:type="character" w:customStyle="1" w:styleId="WW8Num28z3">
    <w:name w:val="WW8Num28z3"/>
    <w:rsid w:val="00F73A15"/>
    <w:rPr>
      <w:rFonts w:ascii="Symbol" w:hAnsi="Symbol" w:cs="Symbol"/>
    </w:rPr>
  </w:style>
  <w:style w:type="character" w:customStyle="1" w:styleId="WW8Num34z3">
    <w:name w:val="WW8Num34z3"/>
    <w:rsid w:val="00F73A15"/>
    <w:rPr>
      <w:rFonts w:ascii="Symbol" w:hAnsi="Symbol" w:cs="Symbol"/>
    </w:rPr>
  </w:style>
  <w:style w:type="character" w:customStyle="1" w:styleId="WW8Num37z3">
    <w:name w:val="WW8Num37z3"/>
    <w:rsid w:val="00F73A15"/>
    <w:rPr>
      <w:rFonts w:ascii="Symbol" w:hAnsi="Symbol" w:cs="Symbol"/>
    </w:rPr>
  </w:style>
  <w:style w:type="character" w:customStyle="1" w:styleId="WW-DefaultParagraphFont11">
    <w:name w:val="WW-Default Paragraph Font11"/>
    <w:rsid w:val="00F73A15"/>
  </w:style>
  <w:style w:type="character" w:customStyle="1" w:styleId="NumberingSymbols">
    <w:name w:val="Numbering Symbols"/>
    <w:rsid w:val="00F73A15"/>
  </w:style>
  <w:style w:type="paragraph" w:customStyle="1" w:styleId="CharCharCharCharChar">
    <w:name w:val="Char Char Char Char Char"/>
    <w:basedOn w:val="Normal"/>
    <w:rsid w:val="00F73A15"/>
    <w:pPr>
      <w:tabs>
        <w:tab w:val="left" w:pos="709"/>
      </w:tabs>
      <w:suppressAutoHyphens/>
      <w:spacing w:after="0" w:line="240" w:lineRule="auto"/>
    </w:pPr>
    <w:rPr>
      <w:rFonts w:ascii="Arial Narrow" w:eastAsia="Times New Roman" w:hAnsi="Arial Narrow" w:cs="Arial Narrow"/>
      <w:b/>
      <w:sz w:val="26"/>
      <w:szCs w:val="24"/>
      <w:lang w:val="pl-PL" w:eastAsia="ar-SA"/>
    </w:rPr>
  </w:style>
  <w:style w:type="paragraph" w:customStyle="1" w:styleId="Char1CharCharCharCharCharCharCharCharCharCharCharCharCharCharCharCharCharCharCharCharCharCharChar1Char">
    <w:name w:val="Char1 Char Char Char Char Char Char Char Char Char Char Char Char Char Char Char Char Char Char Char Char Char Char Char1 Char"/>
    <w:basedOn w:val="Normal"/>
    <w:next w:val="Normal"/>
    <w:rsid w:val="00F73A15"/>
    <w:pPr>
      <w:suppressAutoHyphens/>
      <w:spacing w:after="0" w:line="240" w:lineRule="auto"/>
    </w:pPr>
    <w:rPr>
      <w:rFonts w:ascii="Arial" w:eastAsia="Times New Roman" w:hAnsi="Arial" w:cs="Arial"/>
      <w:sz w:val="20"/>
      <w:szCs w:val="20"/>
      <w:lang w:val="sl-SI" w:eastAsia="ar-SA"/>
    </w:rPr>
  </w:style>
  <w:style w:type="paragraph" w:customStyle="1" w:styleId="Standard">
    <w:name w:val="Standard"/>
    <w:rsid w:val="00F73A15"/>
    <w:pPr>
      <w:suppressAutoHyphens/>
      <w:autoSpaceDE w:val="0"/>
      <w:spacing w:after="0" w:line="240" w:lineRule="auto"/>
      <w:textAlignment w:val="baseline"/>
    </w:pPr>
    <w:rPr>
      <w:rFonts w:ascii="Franklin Gothic Medium" w:eastAsia="Calibri" w:hAnsi="Franklin Gothic Medium" w:cs="Franklin Gothic Medium"/>
      <w:color w:val="000000"/>
      <w:kern w:val="1"/>
      <w:sz w:val="24"/>
      <w:szCs w:val="24"/>
      <w:lang w:eastAsia="ar-SA"/>
    </w:rPr>
  </w:style>
  <w:style w:type="paragraph" w:customStyle="1" w:styleId="frame-contents">
    <w:name w:val="frame-contents"/>
    <w:basedOn w:val="Normal"/>
    <w:rsid w:val="00F73A15"/>
    <w:pPr>
      <w:suppressAutoHyphens/>
      <w:spacing w:before="280" w:after="115" w:line="240" w:lineRule="auto"/>
    </w:pPr>
    <w:rPr>
      <w:rFonts w:ascii="Times New Roman" w:eastAsia="Times New Roman" w:hAnsi="Times New Roman" w:cs="Times New Roman"/>
      <w:sz w:val="24"/>
      <w:szCs w:val="24"/>
      <w:lang w:val="sr-Latn-RS" w:eastAsia="ar-SA"/>
    </w:rPr>
  </w:style>
  <w:style w:type="paragraph" w:customStyle="1" w:styleId="WW-Default">
    <w:name w:val="WW-Default"/>
    <w:rsid w:val="00F73A15"/>
    <w:pPr>
      <w:suppressAutoHyphens/>
      <w:autoSpaceDE w:val="0"/>
      <w:spacing w:after="0" w:line="240" w:lineRule="auto"/>
    </w:pPr>
    <w:rPr>
      <w:rFonts w:ascii="Arial" w:eastAsia="Times New Roman" w:hAnsi="Arial" w:cs="Arial"/>
      <w:color w:val="000000"/>
      <w:sz w:val="24"/>
      <w:szCs w:val="24"/>
      <w:lang w:eastAsia="ar-SA"/>
    </w:rPr>
  </w:style>
  <w:style w:type="character" w:customStyle="1" w:styleId="StyleBold">
    <w:name w:val="Style Bold"/>
    <w:rsid w:val="00F73A15"/>
    <w:rPr>
      <w:b/>
      <w:bCs/>
    </w:rPr>
  </w:style>
  <w:style w:type="paragraph" w:customStyle="1" w:styleId="StyleJustifiedRight043cmBefore5pt">
    <w:name w:val="Style Justified Right:  043 cm Before:  5 pt"/>
    <w:basedOn w:val="Normal"/>
    <w:next w:val="Normal"/>
    <w:rsid w:val="00F73A15"/>
    <w:pPr>
      <w:suppressAutoHyphens/>
      <w:spacing w:before="100" w:after="0" w:line="240" w:lineRule="auto"/>
      <w:ind w:right="245"/>
      <w:jc w:val="both"/>
    </w:pPr>
    <w:rPr>
      <w:rFonts w:ascii="Times New Roman" w:eastAsia="Times New Roman" w:hAnsi="Times New Roman" w:cs="Times New Roman"/>
      <w:sz w:val="24"/>
      <w:szCs w:val="20"/>
      <w:lang w:val="sr-Latn-CS" w:eastAsia="ar-SA"/>
    </w:rPr>
  </w:style>
  <w:style w:type="paragraph" w:customStyle="1" w:styleId="a6">
    <w:name w:val="уговор налсов"/>
    <w:basedOn w:val="Normal"/>
    <w:qFormat/>
    <w:rsid w:val="00F73A15"/>
    <w:pPr>
      <w:keepNext/>
      <w:spacing w:before="240" w:after="60" w:line="240" w:lineRule="auto"/>
      <w:jc w:val="center"/>
    </w:pPr>
    <w:rPr>
      <w:rFonts w:ascii="Times New Roman" w:eastAsia="Times New Roman" w:hAnsi="Times New Roman" w:cs="Times New Roman"/>
      <w:b/>
      <w:sz w:val="24"/>
      <w:szCs w:val="24"/>
      <w:lang w:val="ru-RU"/>
    </w:rPr>
  </w:style>
  <w:style w:type="paragraph" w:customStyle="1" w:styleId="a7">
    <w:name w:val="уговор члан"/>
    <w:basedOn w:val="Normal"/>
    <w:qFormat/>
    <w:rsid w:val="00F73A15"/>
    <w:pPr>
      <w:keepNext/>
      <w:spacing w:before="120" w:after="120" w:line="240" w:lineRule="auto"/>
      <w:jc w:val="center"/>
    </w:pPr>
    <w:rPr>
      <w:rFonts w:ascii="Times New Roman" w:eastAsia="Times New Roman" w:hAnsi="Times New Roman" w:cs="Times New Roman"/>
      <w:bCs/>
      <w:sz w:val="24"/>
      <w:szCs w:val="24"/>
      <w:lang w:val="en-US"/>
    </w:rPr>
  </w:style>
  <w:style w:type="paragraph" w:customStyle="1" w:styleId="Textbody">
    <w:name w:val="Text body"/>
    <w:basedOn w:val="Standard"/>
    <w:rsid w:val="00F73A15"/>
    <w:pPr>
      <w:widowControl w:val="0"/>
      <w:autoSpaceDE/>
      <w:autoSpaceDN w:val="0"/>
      <w:spacing w:after="120"/>
    </w:pPr>
    <w:rPr>
      <w:rFonts w:ascii="Times New Roman" w:eastAsia="SimSun" w:hAnsi="Times New Roman" w:cs="Mangal"/>
      <w:color w:val="auto"/>
      <w:kern w:val="3"/>
      <w:lang w:eastAsia="zh-CN" w:bidi="hi-IN"/>
    </w:rPr>
  </w:style>
  <w:style w:type="paragraph" w:customStyle="1" w:styleId="Header2-SubClauses">
    <w:name w:val="Header 2 - SubClauses"/>
    <w:basedOn w:val="Normal"/>
    <w:rsid w:val="00F73A15"/>
    <w:pPr>
      <w:tabs>
        <w:tab w:val="num" w:pos="1404"/>
      </w:tabs>
      <w:spacing w:after="200" w:line="240" w:lineRule="auto"/>
      <w:ind w:left="1404" w:hanging="504"/>
      <w:jc w:val="both"/>
    </w:pPr>
    <w:rPr>
      <w:rFonts w:ascii="Times New Roman" w:eastAsia="Times New Roman" w:hAnsi="Times New Roman" w:cs="Arial"/>
      <w:sz w:val="24"/>
      <w:szCs w:val="24"/>
      <w:lang w:val="en-US"/>
    </w:rPr>
  </w:style>
  <w:style w:type="paragraph" w:customStyle="1" w:styleId="P3Header1-Clauses">
    <w:name w:val="P3 Header1-Clauses"/>
    <w:basedOn w:val="Normal"/>
    <w:rsid w:val="00F73A15"/>
    <w:pPr>
      <w:tabs>
        <w:tab w:val="num" w:pos="1777"/>
      </w:tabs>
      <w:spacing w:after="200" w:line="240" w:lineRule="auto"/>
      <w:ind w:left="1777" w:hanging="360"/>
      <w:jc w:val="both"/>
    </w:pPr>
    <w:rPr>
      <w:rFonts w:ascii="Times New Roman" w:eastAsia="Times New Roman" w:hAnsi="Times New Roman" w:cs="Times New Roman"/>
      <w:sz w:val="24"/>
      <w:szCs w:val="20"/>
      <w:lang w:val="en-US"/>
    </w:rPr>
  </w:style>
  <w:style w:type="paragraph" w:customStyle="1" w:styleId="S1-Header2">
    <w:name w:val="S1-Header2"/>
    <w:basedOn w:val="Normal"/>
    <w:rsid w:val="00F73A15"/>
    <w:pPr>
      <w:tabs>
        <w:tab w:val="num" w:pos="432"/>
      </w:tabs>
      <w:spacing w:after="200" w:line="240" w:lineRule="auto"/>
      <w:ind w:left="432" w:hanging="432"/>
    </w:pPr>
    <w:rPr>
      <w:rFonts w:ascii="Times New Roman" w:eastAsia="Times New Roman" w:hAnsi="Times New Roman" w:cs="Times New Roman"/>
      <w:b/>
      <w:sz w:val="24"/>
      <w:szCs w:val="24"/>
      <w:lang w:val="en-US"/>
    </w:rPr>
  </w:style>
  <w:style w:type="character" w:customStyle="1" w:styleId="Mention1">
    <w:name w:val="Mention1"/>
    <w:basedOn w:val="DefaultParagraphFont"/>
    <w:uiPriority w:val="99"/>
    <w:unhideWhenUsed/>
    <w:rsid w:val="009B2723"/>
    <w:rPr>
      <w:color w:val="2B579A"/>
      <w:shd w:val="clear" w:color="auto" w:fill="E1DFDD"/>
    </w:rPr>
  </w:style>
  <w:style w:type="paragraph" w:customStyle="1" w:styleId="xl65">
    <w:name w:val="xl65"/>
    <w:basedOn w:val="Normal"/>
    <w:rsid w:val="003946C0"/>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15920">
      <w:bodyDiv w:val="1"/>
      <w:marLeft w:val="0"/>
      <w:marRight w:val="0"/>
      <w:marTop w:val="0"/>
      <w:marBottom w:val="0"/>
      <w:divBdr>
        <w:top w:val="none" w:sz="0" w:space="0" w:color="auto"/>
        <w:left w:val="none" w:sz="0" w:space="0" w:color="auto"/>
        <w:bottom w:val="none" w:sz="0" w:space="0" w:color="auto"/>
        <w:right w:val="none" w:sz="0" w:space="0" w:color="auto"/>
      </w:divBdr>
    </w:div>
    <w:div w:id="52167176">
      <w:bodyDiv w:val="1"/>
      <w:marLeft w:val="0"/>
      <w:marRight w:val="0"/>
      <w:marTop w:val="0"/>
      <w:marBottom w:val="0"/>
      <w:divBdr>
        <w:top w:val="none" w:sz="0" w:space="0" w:color="auto"/>
        <w:left w:val="none" w:sz="0" w:space="0" w:color="auto"/>
        <w:bottom w:val="none" w:sz="0" w:space="0" w:color="auto"/>
        <w:right w:val="none" w:sz="0" w:space="0" w:color="auto"/>
      </w:divBdr>
    </w:div>
    <w:div w:id="61029608">
      <w:bodyDiv w:val="1"/>
      <w:marLeft w:val="0"/>
      <w:marRight w:val="0"/>
      <w:marTop w:val="0"/>
      <w:marBottom w:val="0"/>
      <w:divBdr>
        <w:top w:val="none" w:sz="0" w:space="0" w:color="auto"/>
        <w:left w:val="none" w:sz="0" w:space="0" w:color="auto"/>
        <w:bottom w:val="none" w:sz="0" w:space="0" w:color="auto"/>
        <w:right w:val="none" w:sz="0" w:space="0" w:color="auto"/>
      </w:divBdr>
    </w:div>
    <w:div w:id="220867278">
      <w:bodyDiv w:val="1"/>
      <w:marLeft w:val="0"/>
      <w:marRight w:val="0"/>
      <w:marTop w:val="0"/>
      <w:marBottom w:val="0"/>
      <w:divBdr>
        <w:top w:val="none" w:sz="0" w:space="0" w:color="auto"/>
        <w:left w:val="none" w:sz="0" w:space="0" w:color="auto"/>
        <w:bottom w:val="none" w:sz="0" w:space="0" w:color="auto"/>
        <w:right w:val="none" w:sz="0" w:space="0" w:color="auto"/>
      </w:divBdr>
    </w:div>
    <w:div w:id="248126920">
      <w:bodyDiv w:val="1"/>
      <w:marLeft w:val="0"/>
      <w:marRight w:val="0"/>
      <w:marTop w:val="0"/>
      <w:marBottom w:val="0"/>
      <w:divBdr>
        <w:top w:val="none" w:sz="0" w:space="0" w:color="auto"/>
        <w:left w:val="none" w:sz="0" w:space="0" w:color="auto"/>
        <w:bottom w:val="none" w:sz="0" w:space="0" w:color="auto"/>
        <w:right w:val="none" w:sz="0" w:space="0" w:color="auto"/>
      </w:divBdr>
    </w:div>
    <w:div w:id="300774392">
      <w:bodyDiv w:val="1"/>
      <w:marLeft w:val="0"/>
      <w:marRight w:val="0"/>
      <w:marTop w:val="0"/>
      <w:marBottom w:val="0"/>
      <w:divBdr>
        <w:top w:val="none" w:sz="0" w:space="0" w:color="auto"/>
        <w:left w:val="none" w:sz="0" w:space="0" w:color="auto"/>
        <w:bottom w:val="none" w:sz="0" w:space="0" w:color="auto"/>
        <w:right w:val="none" w:sz="0" w:space="0" w:color="auto"/>
      </w:divBdr>
    </w:div>
    <w:div w:id="348725366">
      <w:bodyDiv w:val="1"/>
      <w:marLeft w:val="0"/>
      <w:marRight w:val="0"/>
      <w:marTop w:val="0"/>
      <w:marBottom w:val="0"/>
      <w:divBdr>
        <w:top w:val="none" w:sz="0" w:space="0" w:color="auto"/>
        <w:left w:val="none" w:sz="0" w:space="0" w:color="auto"/>
        <w:bottom w:val="none" w:sz="0" w:space="0" w:color="auto"/>
        <w:right w:val="none" w:sz="0" w:space="0" w:color="auto"/>
      </w:divBdr>
    </w:div>
    <w:div w:id="805201796">
      <w:bodyDiv w:val="1"/>
      <w:marLeft w:val="0"/>
      <w:marRight w:val="0"/>
      <w:marTop w:val="0"/>
      <w:marBottom w:val="0"/>
      <w:divBdr>
        <w:top w:val="none" w:sz="0" w:space="0" w:color="auto"/>
        <w:left w:val="none" w:sz="0" w:space="0" w:color="auto"/>
        <w:bottom w:val="none" w:sz="0" w:space="0" w:color="auto"/>
        <w:right w:val="none" w:sz="0" w:space="0" w:color="auto"/>
      </w:divBdr>
    </w:div>
    <w:div w:id="845559986">
      <w:bodyDiv w:val="1"/>
      <w:marLeft w:val="0"/>
      <w:marRight w:val="0"/>
      <w:marTop w:val="0"/>
      <w:marBottom w:val="0"/>
      <w:divBdr>
        <w:top w:val="none" w:sz="0" w:space="0" w:color="auto"/>
        <w:left w:val="none" w:sz="0" w:space="0" w:color="auto"/>
        <w:bottom w:val="none" w:sz="0" w:space="0" w:color="auto"/>
        <w:right w:val="none" w:sz="0" w:space="0" w:color="auto"/>
      </w:divBdr>
      <w:divsChild>
        <w:div w:id="333338968">
          <w:marLeft w:val="0"/>
          <w:marRight w:val="0"/>
          <w:marTop w:val="0"/>
          <w:marBottom w:val="0"/>
          <w:divBdr>
            <w:top w:val="none" w:sz="0" w:space="0" w:color="auto"/>
            <w:left w:val="none" w:sz="0" w:space="0" w:color="auto"/>
            <w:bottom w:val="none" w:sz="0" w:space="0" w:color="auto"/>
            <w:right w:val="none" w:sz="0" w:space="0" w:color="auto"/>
          </w:divBdr>
          <w:divsChild>
            <w:div w:id="391579892">
              <w:marLeft w:val="0"/>
              <w:marRight w:val="0"/>
              <w:marTop w:val="0"/>
              <w:marBottom w:val="0"/>
              <w:divBdr>
                <w:top w:val="none" w:sz="0" w:space="0" w:color="auto"/>
                <w:left w:val="none" w:sz="0" w:space="0" w:color="auto"/>
                <w:bottom w:val="none" w:sz="0" w:space="0" w:color="auto"/>
                <w:right w:val="none" w:sz="0" w:space="0" w:color="auto"/>
              </w:divBdr>
              <w:divsChild>
                <w:div w:id="55767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130905">
      <w:bodyDiv w:val="1"/>
      <w:marLeft w:val="0"/>
      <w:marRight w:val="0"/>
      <w:marTop w:val="0"/>
      <w:marBottom w:val="0"/>
      <w:divBdr>
        <w:top w:val="none" w:sz="0" w:space="0" w:color="auto"/>
        <w:left w:val="none" w:sz="0" w:space="0" w:color="auto"/>
        <w:bottom w:val="none" w:sz="0" w:space="0" w:color="auto"/>
        <w:right w:val="none" w:sz="0" w:space="0" w:color="auto"/>
      </w:divBdr>
    </w:div>
    <w:div w:id="1030183797">
      <w:bodyDiv w:val="1"/>
      <w:marLeft w:val="0"/>
      <w:marRight w:val="0"/>
      <w:marTop w:val="0"/>
      <w:marBottom w:val="0"/>
      <w:divBdr>
        <w:top w:val="none" w:sz="0" w:space="0" w:color="auto"/>
        <w:left w:val="none" w:sz="0" w:space="0" w:color="auto"/>
        <w:bottom w:val="none" w:sz="0" w:space="0" w:color="auto"/>
        <w:right w:val="none" w:sz="0" w:space="0" w:color="auto"/>
      </w:divBdr>
    </w:div>
    <w:div w:id="1042821951">
      <w:bodyDiv w:val="1"/>
      <w:marLeft w:val="0"/>
      <w:marRight w:val="0"/>
      <w:marTop w:val="0"/>
      <w:marBottom w:val="0"/>
      <w:divBdr>
        <w:top w:val="none" w:sz="0" w:space="0" w:color="auto"/>
        <w:left w:val="none" w:sz="0" w:space="0" w:color="auto"/>
        <w:bottom w:val="none" w:sz="0" w:space="0" w:color="auto"/>
        <w:right w:val="none" w:sz="0" w:space="0" w:color="auto"/>
      </w:divBdr>
    </w:div>
    <w:div w:id="1152335382">
      <w:bodyDiv w:val="1"/>
      <w:marLeft w:val="0"/>
      <w:marRight w:val="0"/>
      <w:marTop w:val="0"/>
      <w:marBottom w:val="0"/>
      <w:divBdr>
        <w:top w:val="none" w:sz="0" w:space="0" w:color="auto"/>
        <w:left w:val="none" w:sz="0" w:space="0" w:color="auto"/>
        <w:bottom w:val="none" w:sz="0" w:space="0" w:color="auto"/>
        <w:right w:val="none" w:sz="0" w:space="0" w:color="auto"/>
      </w:divBdr>
    </w:div>
    <w:div w:id="1248807127">
      <w:bodyDiv w:val="1"/>
      <w:marLeft w:val="0"/>
      <w:marRight w:val="0"/>
      <w:marTop w:val="0"/>
      <w:marBottom w:val="0"/>
      <w:divBdr>
        <w:top w:val="none" w:sz="0" w:space="0" w:color="auto"/>
        <w:left w:val="none" w:sz="0" w:space="0" w:color="auto"/>
        <w:bottom w:val="none" w:sz="0" w:space="0" w:color="auto"/>
        <w:right w:val="none" w:sz="0" w:space="0" w:color="auto"/>
      </w:divBdr>
    </w:div>
    <w:div w:id="1283533949">
      <w:bodyDiv w:val="1"/>
      <w:marLeft w:val="0"/>
      <w:marRight w:val="0"/>
      <w:marTop w:val="0"/>
      <w:marBottom w:val="0"/>
      <w:divBdr>
        <w:top w:val="none" w:sz="0" w:space="0" w:color="auto"/>
        <w:left w:val="none" w:sz="0" w:space="0" w:color="auto"/>
        <w:bottom w:val="none" w:sz="0" w:space="0" w:color="auto"/>
        <w:right w:val="none" w:sz="0" w:space="0" w:color="auto"/>
      </w:divBdr>
    </w:div>
    <w:div w:id="1290816853">
      <w:bodyDiv w:val="1"/>
      <w:marLeft w:val="0"/>
      <w:marRight w:val="0"/>
      <w:marTop w:val="0"/>
      <w:marBottom w:val="0"/>
      <w:divBdr>
        <w:top w:val="none" w:sz="0" w:space="0" w:color="auto"/>
        <w:left w:val="none" w:sz="0" w:space="0" w:color="auto"/>
        <w:bottom w:val="none" w:sz="0" w:space="0" w:color="auto"/>
        <w:right w:val="none" w:sz="0" w:space="0" w:color="auto"/>
      </w:divBdr>
    </w:div>
    <w:div w:id="1408771617">
      <w:bodyDiv w:val="1"/>
      <w:marLeft w:val="0"/>
      <w:marRight w:val="0"/>
      <w:marTop w:val="0"/>
      <w:marBottom w:val="0"/>
      <w:divBdr>
        <w:top w:val="none" w:sz="0" w:space="0" w:color="auto"/>
        <w:left w:val="none" w:sz="0" w:space="0" w:color="auto"/>
        <w:bottom w:val="none" w:sz="0" w:space="0" w:color="auto"/>
        <w:right w:val="none" w:sz="0" w:space="0" w:color="auto"/>
      </w:divBdr>
    </w:div>
    <w:div w:id="1445266410">
      <w:bodyDiv w:val="1"/>
      <w:marLeft w:val="0"/>
      <w:marRight w:val="0"/>
      <w:marTop w:val="0"/>
      <w:marBottom w:val="0"/>
      <w:divBdr>
        <w:top w:val="none" w:sz="0" w:space="0" w:color="auto"/>
        <w:left w:val="none" w:sz="0" w:space="0" w:color="auto"/>
        <w:bottom w:val="none" w:sz="0" w:space="0" w:color="auto"/>
        <w:right w:val="none" w:sz="0" w:space="0" w:color="auto"/>
      </w:divBdr>
    </w:div>
    <w:div w:id="1497458579">
      <w:bodyDiv w:val="1"/>
      <w:marLeft w:val="0"/>
      <w:marRight w:val="0"/>
      <w:marTop w:val="0"/>
      <w:marBottom w:val="0"/>
      <w:divBdr>
        <w:top w:val="none" w:sz="0" w:space="0" w:color="auto"/>
        <w:left w:val="none" w:sz="0" w:space="0" w:color="auto"/>
        <w:bottom w:val="none" w:sz="0" w:space="0" w:color="auto"/>
        <w:right w:val="none" w:sz="0" w:space="0" w:color="auto"/>
      </w:divBdr>
    </w:div>
    <w:div w:id="1518928778">
      <w:bodyDiv w:val="1"/>
      <w:marLeft w:val="0"/>
      <w:marRight w:val="0"/>
      <w:marTop w:val="0"/>
      <w:marBottom w:val="0"/>
      <w:divBdr>
        <w:top w:val="none" w:sz="0" w:space="0" w:color="auto"/>
        <w:left w:val="none" w:sz="0" w:space="0" w:color="auto"/>
        <w:bottom w:val="none" w:sz="0" w:space="0" w:color="auto"/>
        <w:right w:val="none" w:sz="0" w:space="0" w:color="auto"/>
      </w:divBdr>
    </w:div>
    <w:div w:id="1565144002">
      <w:bodyDiv w:val="1"/>
      <w:marLeft w:val="0"/>
      <w:marRight w:val="0"/>
      <w:marTop w:val="0"/>
      <w:marBottom w:val="0"/>
      <w:divBdr>
        <w:top w:val="none" w:sz="0" w:space="0" w:color="auto"/>
        <w:left w:val="none" w:sz="0" w:space="0" w:color="auto"/>
        <w:bottom w:val="none" w:sz="0" w:space="0" w:color="auto"/>
        <w:right w:val="none" w:sz="0" w:space="0" w:color="auto"/>
      </w:divBdr>
    </w:div>
    <w:div w:id="1649627143">
      <w:bodyDiv w:val="1"/>
      <w:marLeft w:val="0"/>
      <w:marRight w:val="0"/>
      <w:marTop w:val="0"/>
      <w:marBottom w:val="0"/>
      <w:divBdr>
        <w:top w:val="none" w:sz="0" w:space="0" w:color="auto"/>
        <w:left w:val="none" w:sz="0" w:space="0" w:color="auto"/>
        <w:bottom w:val="none" w:sz="0" w:space="0" w:color="auto"/>
        <w:right w:val="none" w:sz="0" w:space="0" w:color="auto"/>
      </w:divBdr>
    </w:div>
    <w:div w:id="1740591744">
      <w:bodyDiv w:val="1"/>
      <w:marLeft w:val="0"/>
      <w:marRight w:val="0"/>
      <w:marTop w:val="0"/>
      <w:marBottom w:val="0"/>
      <w:divBdr>
        <w:top w:val="none" w:sz="0" w:space="0" w:color="auto"/>
        <w:left w:val="none" w:sz="0" w:space="0" w:color="auto"/>
        <w:bottom w:val="none" w:sz="0" w:space="0" w:color="auto"/>
        <w:right w:val="none" w:sz="0" w:space="0" w:color="auto"/>
      </w:divBdr>
    </w:div>
    <w:div w:id="1865513950">
      <w:bodyDiv w:val="1"/>
      <w:marLeft w:val="0"/>
      <w:marRight w:val="0"/>
      <w:marTop w:val="0"/>
      <w:marBottom w:val="0"/>
      <w:divBdr>
        <w:top w:val="none" w:sz="0" w:space="0" w:color="auto"/>
        <w:left w:val="none" w:sz="0" w:space="0" w:color="auto"/>
        <w:bottom w:val="none" w:sz="0" w:space="0" w:color="auto"/>
        <w:right w:val="none" w:sz="0" w:space="0" w:color="auto"/>
      </w:divBdr>
    </w:div>
    <w:div w:id="1931084031">
      <w:bodyDiv w:val="1"/>
      <w:marLeft w:val="0"/>
      <w:marRight w:val="0"/>
      <w:marTop w:val="0"/>
      <w:marBottom w:val="0"/>
      <w:divBdr>
        <w:top w:val="none" w:sz="0" w:space="0" w:color="auto"/>
        <w:left w:val="none" w:sz="0" w:space="0" w:color="auto"/>
        <w:bottom w:val="none" w:sz="0" w:space="0" w:color="auto"/>
        <w:right w:val="none" w:sz="0" w:space="0" w:color="auto"/>
      </w:divBdr>
    </w:div>
    <w:div w:id="1981223039">
      <w:bodyDiv w:val="1"/>
      <w:marLeft w:val="0"/>
      <w:marRight w:val="0"/>
      <w:marTop w:val="0"/>
      <w:marBottom w:val="0"/>
      <w:divBdr>
        <w:top w:val="none" w:sz="0" w:space="0" w:color="auto"/>
        <w:left w:val="none" w:sz="0" w:space="0" w:color="auto"/>
        <w:bottom w:val="none" w:sz="0" w:space="0" w:color="auto"/>
        <w:right w:val="none" w:sz="0" w:space="0" w:color="auto"/>
      </w:divBdr>
    </w:div>
    <w:div w:id="2038696145">
      <w:bodyDiv w:val="1"/>
      <w:marLeft w:val="0"/>
      <w:marRight w:val="0"/>
      <w:marTop w:val="0"/>
      <w:marBottom w:val="0"/>
      <w:divBdr>
        <w:top w:val="none" w:sz="0" w:space="0" w:color="auto"/>
        <w:left w:val="none" w:sz="0" w:space="0" w:color="auto"/>
        <w:bottom w:val="none" w:sz="0" w:space="0" w:color="auto"/>
        <w:right w:val="none" w:sz="0" w:space="0" w:color="auto"/>
      </w:divBdr>
    </w:div>
    <w:div w:id="2053263921">
      <w:bodyDiv w:val="1"/>
      <w:marLeft w:val="0"/>
      <w:marRight w:val="0"/>
      <w:marTop w:val="0"/>
      <w:marBottom w:val="0"/>
      <w:divBdr>
        <w:top w:val="none" w:sz="0" w:space="0" w:color="auto"/>
        <w:left w:val="none" w:sz="0" w:space="0" w:color="auto"/>
        <w:bottom w:val="none" w:sz="0" w:space="0" w:color="auto"/>
        <w:right w:val="none" w:sz="0" w:space="0" w:color="auto"/>
      </w:divBdr>
    </w:div>
    <w:div w:id="2059429175">
      <w:bodyDiv w:val="1"/>
      <w:marLeft w:val="0"/>
      <w:marRight w:val="0"/>
      <w:marTop w:val="0"/>
      <w:marBottom w:val="0"/>
      <w:divBdr>
        <w:top w:val="none" w:sz="0" w:space="0" w:color="auto"/>
        <w:left w:val="none" w:sz="0" w:space="0" w:color="auto"/>
        <w:bottom w:val="none" w:sz="0" w:space="0" w:color="auto"/>
        <w:right w:val="none" w:sz="0" w:space="0" w:color="auto"/>
      </w:divBdr>
    </w:div>
    <w:div w:id="2099130066">
      <w:bodyDiv w:val="1"/>
      <w:marLeft w:val="0"/>
      <w:marRight w:val="0"/>
      <w:marTop w:val="0"/>
      <w:marBottom w:val="0"/>
      <w:divBdr>
        <w:top w:val="none" w:sz="0" w:space="0" w:color="auto"/>
        <w:left w:val="none" w:sz="0" w:space="0" w:color="auto"/>
        <w:bottom w:val="none" w:sz="0" w:space="0" w:color="auto"/>
        <w:right w:val="none" w:sz="0" w:space="0" w:color="auto"/>
      </w:divBdr>
    </w:div>
    <w:div w:id="2104111104">
      <w:bodyDiv w:val="1"/>
      <w:marLeft w:val="0"/>
      <w:marRight w:val="0"/>
      <w:marTop w:val="0"/>
      <w:marBottom w:val="0"/>
      <w:divBdr>
        <w:top w:val="none" w:sz="0" w:space="0" w:color="auto"/>
        <w:left w:val="none" w:sz="0" w:space="0" w:color="auto"/>
        <w:bottom w:val="none" w:sz="0" w:space="0" w:color="auto"/>
        <w:right w:val="none" w:sz="0" w:space="0" w:color="auto"/>
      </w:divBdr>
    </w:div>
    <w:div w:id="21419183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1.xml"/><Relationship Id="rId21" Type="http://schemas.openxmlformats.org/officeDocument/2006/relationships/footer" Target="footer4.xml"/><Relationship Id="rId42" Type="http://schemas.openxmlformats.org/officeDocument/2006/relationships/header" Target="header6.xml"/><Relationship Id="rId47" Type="http://schemas.openxmlformats.org/officeDocument/2006/relationships/image" Target="media/image12.jpg"/><Relationship Id="rId63" Type="http://schemas.openxmlformats.org/officeDocument/2006/relationships/image" Target="media/image28.jpg"/><Relationship Id="rId68" Type="http://schemas.openxmlformats.org/officeDocument/2006/relationships/image" Target="media/image33.jpg"/><Relationship Id="rId84" Type="http://schemas.openxmlformats.org/officeDocument/2006/relationships/footer" Target="footer10.xml"/><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hyperlink" Target="http://www.worldbank.org/procurement/standarddocuments" TargetMode="External"/><Relationship Id="rId37" Type="http://schemas.openxmlformats.org/officeDocument/2006/relationships/diagramLayout" Target="diagrams/layout2.xml"/><Relationship Id="rId53" Type="http://schemas.openxmlformats.org/officeDocument/2006/relationships/image" Target="media/image18.jpg"/><Relationship Id="rId58" Type="http://schemas.openxmlformats.org/officeDocument/2006/relationships/image" Target="media/image23.jpg"/><Relationship Id="rId74" Type="http://schemas.openxmlformats.org/officeDocument/2006/relationships/hyperlink" Target="http://www.ifac.org/sites/default/files/publications/files/A016%202012%20IAASB%20Handbook%20ISA%20265.pdf" TargetMode="External"/><Relationship Id="rId79" Type="http://schemas.openxmlformats.org/officeDocument/2006/relationships/hyperlink" Target="https://www.gnu.org/licenses/gpl-3.0.en.html" TargetMode="External"/><Relationship Id="rId5" Type="http://schemas.openxmlformats.org/officeDocument/2006/relationships/customXml" Target="../customXml/item5.xm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header" Target="header5.xml"/><Relationship Id="rId27" Type="http://schemas.openxmlformats.org/officeDocument/2006/relationships/diagramColors" Target="diagrams/colors1.xml"/><Relationship Id="rId30" Type="http://schemas.openxmlformats.org/officeDocument/2006/relationships/hyperlink" Target="https://worldbank.org" TargetMode="External"/><Relationship Id="rId35" Type="http://schemas.openxmlformats.org/officeDocument/2006/relationships/hyperlink" Target="http://www.inspectionpanel.org/" TargetMode="External"/><Relationship Id="rId43" Type="http://schemas.openxmlformats.org/officeDocument/2006/relationships/header" Target="header7.xml"/><Relationship Id="rId48" Type="http://schemas.openxmlformats.org/officeDocument/2006/relationships/image" Target="media/image13.jpg"/><Relationship Id="rId56" Type="http://schemas.openxmlformats.org/officeDocument/2006/relationships/image" Target="media/image21.jpg"/><Relationship Id="rId64" Type="http://schemas.openxmlformats.org/officeDocument/2006/relationships/image" Target="media/image29.jpg"/><Relationship Id="rId69" Type="http://schemas.openxmlformats.org/officeDocument/2006/relationships/footer" Target="footer8.xml"/><Relationship Id="rId77" Type="http://schemas.openxmlformats.org/officeDocument/2006/relationships/hyperlink" Target="http://www.ifac.org/sites/default/files/publications/files/A033%202012%20IAASB%20Handbook%20ISA%20580.pdf" TargetMode="External"/><Relationship Id="rId8" Type="http://schemas.openxmlformats.org/officeDocument/2006/relationships/settings" Target="settings.xml"/><Relationship Id="rId51" Type="http://schemas.openxmlformats.org/officeDocument/2006/relationships/image" Target="media/image16.jpg"/><Relationship Id="rId72" Type="http://schemas.openxmlformats.org/officeDocument/2006/relationships/hyperlink" Target="http://www.ifac.org/sites/default/files/publications/files/A014%202012%20IAASB%20Handbook%20ISA%20250.pdf" TargetMode="External"/><Relationship Id="rId80" Type="http://schemas.openxmlformats.org/officeDocument/2006/relationships/chart" Target="charts/chart1.xml"/><Relationship Id="rId85"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1.png"/><Relationship Id="rId25" Type="http://schemas.openxmlformats.org/officeDocument/2006/relationships/diagramLayout" Target="diagrams/layout1.xml"/><Relationship Id="rId33" Type="http://schemas.openxmlformats.org/officeDocument/2006/relationships/footer" Target="footer5.xml"/><Relationship Id="rId38" Type="http://schemas.openxmlformats.org/officeDocument/2006/relationships/diagramQuickStyle" Target="diagrams/quickStyle2.xml"/><Relationship Id="rId46" Type="http://schemas.openxmlformats.org/officeDocument/2006/relationships/footer" Target="footer7.xml"/><Relationship Id="rId59" Type="http://schemas.openxmlformats.org/officeDocument/2006/relationships/image" Target="media/image24.jpg"/><Relationship Id="rId67" Type="http://schemas.openxmlformats.org/officeDocument/2006/relationships/image" Target="media/image32.jpg"/><Relationship Id="rId20" Type="http://schemas.openxmlformats.org/officeDocument/2006/relationships/footer" Target="footer3.xml"/><Relationship Id="rId41" Type="http://schemas.openxmlformats.org/officeDocument/2006/relationships/image" Target="media/image11.png"/><Relationship Id="rId54" Type="http://schemas.openxmlformats.org/officeDocument/2006/relationships/image" Target="media/image19.jpg"/><Relationship Id="rId62" Type="http://schemas.openxmlformats.org/officeDocument/2006/relationships/image" Target="media/image27.jpg"/><Relationship Id="rId70" Type="http://schemas.openxmlformats.org/officeDocument/2006/relationships/hyperlink" Target="http://www.ifac.org/publications-resources/2012-handbook-international-quality-control-auditing-review-other-assurance-a" TargetMode="External"/><Relationship Id="rId75" Type="http://schemas.openxmlformats.org/officeDocument/2006/relationships/hyperlink" Target="http://www.ifac.org/sites/default/files/publications/files/A020%202012%20IAASB%20Handbook%20ISA%20330.pdf" TargetMode="External"/><Relationship Id="rId83" Type="http://schemas.openxmlformats.org/officeDocument/2006/relationships/footer" Target="footer9.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3.png"/><Relationship Id="rId28" Type="http://schemas.microsoft.com/office/2007/relationships/diagramDrawing" Target="diagrams/drawing1.xml"/><Relationship Id="rId36" Type="http://schemas.openxmlformats.org/officeDocument/2006/relationships/diagramData" Target="diagrams/data2.xml"/><Relationship Id="rId49" Type="http://schemas.openxmlformats.org/officeDocument/2006/relationships/image" Target="media/image14.jpg"/><Relationship Id="rId57" Type="http://schemas.openxmlformats.org/officeDocument/2006/relationships/image" Target="media/image22.jpg"/><Relationship Id="rId10" Type="http://schemas.openxmlformats.org/officeDocument/2006/relationships/footnotes" Target="footnotes.xml"/><Relationship Id="rId31" Type="http://schemas.openxmlformats.org/officeDocument/2006/relationships/hyperlink" Target="http://www.worldbank.org/html/opr/procure/debarr.html" TargetMode="External"/><Relationship Id="rId44" Type="http://schemas.openxmlformats.org/officeDocument/2006/relationships/footer" Target="footer6.xml"/><Relationship Id="rId52" Type="http://schemas.openxmlformats.org/officeDocument/2006/relationships/image" Target="media/image17.jpg"/><Relationship Id="rId60" Type="http://schemas.openxmlformats.org/officeDocument/2006/relationships/image" Target="media/image25.jpg"/><Relationship Id="rId65" Type="http://schemas.openxmlformats.org/officeDocument/2006/relationships/image" Target="media/image30.jpg"/><Relationship Id="rId73" Type="http://schemas.openxmlformats.org/officeDocument/2006/relationships/hyperlink" Target="http://www.ifac.org/sites/default/files/publications/files/A015%202012%20IAASB%20Handbook%20ISA%20260.pdf" TargetMode="External"/><Relationship Id="rId78" Type="http://schemas.openxmlformats.org/officeDocument/2006/relationships/hyperlink" Target="https://clientconnection.worldbank.org/servlet/secmainssl?Columns=TITLE&amp;ContentType=IT_MiscContent&amp;Lang=all&amp;Rows=100&amp;SType=External&amp;Status=Live&amp;theSitePK=257204&amp;piPK=63000616&amp;pagePK=63000604&amp;menuPK=256574&amp;highlightIndex=5&amp;Context=Disbursements" TargetMode="External"/><Relationship Id="rId81" Type="http://schemas.openxmlformats.org/officeDocument/2006/relationships/header" Target="header9.xml"/><Relationship Id="rId86"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2.emf"/><Relationship Id="rId39" Type="http://schemas.openxmlformats.org/officeDocument/2006/relationships/diagramColors" Target="diagrams/colors2.xml"/><Relationship Id="rId34" Type="http://schemas.openxmlformats.org/officeDocument/2006/relationships/hyperlink" Target="http://www.worldbank.org/en/projects-operations/products-and-services/grievance-redress-service" TargetMode="External"/><Relationship Id="rId50" Type="http://schemas.openxmlformats.org/officeDocument/2006/relationships/image" Target="media/image15.jpg"/><Relationship Id="rId55" Type="http://schemas.openxmlformats.org/officeDocument/2006/relationships/image" Target="media/image20.jpg"/><Relationship Id="rId76" Type="http://schemas.openxmlformats.org/officeDocument/2006/relationships/hyperlink" Target="http://www.ifac.org/sites/default/files/publications/files/A021%202012%20IAASB%20Handbook%20ISA%20402.pdf" TargetMode="External"/><Relationship Id="rId7" Type="http://schemas.openxmlformats.org/officeDocument/2006/relationships/styles" Target="styles.xml"/><Relationship Id="rId71" Type="http://schemas.openxmlformats.org/officeDocument/2006/relationships/hyperlink" Target="http://www.ifac.org/sites/default/files/publications/files/A013%202012%20IAASB%20Handbook%20ISA%20240.pdf" TargetMode="External"/><Relationship Id="rId2" Type="http://schemas.openxmlformats.org/officeDocument/2006/relationships/customXml" Target="../customXml/item2.xml"/><Relationship Id="rId29" Type="http://schemas.openxmlformats.org/officeDocument/2006/relationships/image" Target="media/image10.jpg"/><Relationship Id="rId24" Type="http://schemas.openxmlformats.org/officeDocument/2006/relationships/diagramData" Target="diagrams/data1.xml"/><Relationship Id="rId40" Type="http://schemas.microsoft.com/office/2007/relationships/diagramDrawing" Target="diagrams/drawing2.xml"/><Relationship Id="rId45" Type="http://schemas.openxmlformats.org/officeDocument/2006/relationships/header" Target="header8.xml"/><Relationship Id="rId66" Type="http://schemas.openxmlformats.org/officeDocument/2006/relationships/image" Target="media/image31.jpg"/><Relationship Id="rId87" Type="http://schemas.openxmlformats.org/officeDocument/2006/relationships/fontTable" Target="fontTable.xml"/><Relationship Id="rId61" Type="http://schemas.openxmlformats.org/officeDocument/2006/relationships/image" Target="media/image26.jpg"/><Relationship Id="rId82" Type="http://schemas.openxmlformats.org/officeDocument/2006/relationships/header" Target="header10.xml"/></Relationships>
</file>

<file path=word/_rels/footnotes.xml.rels><?xml version="1.0" encoding="UTF-8" standalone="yes"?>
<Relationships xmlns="http://schemas.openxmlformats.org/package/2006/relationships"><Relationship Id="rId1" Type="http://schemas.openxmlformats.org/officeDocument/2006/relationships/hyperlink" Target="http://www.ifac.org/sites/default/files/publications/files/A036%202012%20IAASB%20Handbook%20ISA%20620.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https://d.docs.live.net/cf1201faf3bbc29e/Desktop/2021_06_Formula%20including%20climate%20vulnerability_V3%20-%20IM%20Azuriran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barChart>
        <c:barDir val="col"/>
        <c:grouping val="clustered"/>
        <c:varyColors val="0"/>
        <c:ser>
          <c:idx val="0"/>
          <c:order val="0"/>
          <c:tx>
            <c:strRef>
              <c:f>'[2021_06_Formula including climate vulnerability_V3 - IM Azurirana.xlsx]FORMULA_AFD+Climate OptionA'!$H$163</c:f>
              <c:strCache>
                <c:ptCount val="1"/>
                <c:pt idx="0">
                  <c:v>Number of LSGs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Lbl>
              <c:idx val="1"/>
              <c:tx>
                <c:rich>
                  <a:bodyPr/>
                  <a:lstStyle/>
                  <a:p>
                    <a:r>
                      <a:rPr lang="en-US"/>
                      <a:t>43</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99-4F6E-AB25-988B838B23B6}"/>
                </c:ext>
              </c:extLst>
            </c:dLbl>
            <c:dLbl>
              <c:idx val="3"/>
              <c:tx>
                <c:rich>
                  <a:bodyPr/>
                  <a:lstStyle/>
                  <a:p>
                    <a:r>
                      <a:rPr lang="en-US"/>
                      <a:t>17</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99-4F6E-AB25-988B838B23B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'[2021_06_Formula including climate vulnerability_V3 - IM Azurirana.xlsx]FORMULA_AFD+Climate OptionA'!$G$164:$G$168</c:f>
              <c:strCache>
                <c:ptCount val="5"/>
                <c:pt idx="0">
                  <c:v>Under 1 mil €</c:v>
                </c:pt>
                <c:pt idx="1">
                  <c:v>1-1,5 mil €</c:v>
                </c:pt>
                <c:pt idx="2">
                  <c:v>1,5-2,5 mil €</c:v>
                </c:pt>
                <c:pt idx="3">
                  <c:v>2,5 mil € - 5 mil €</c:v>
                </c:pt>
                <c:pt idx="4">
                  <c:v>Above 5 mil €</c:v>
                </c:pt>
              </c:strCache>
            </c:strRef>
          </c:cat>
          <c:val>
            <c:numRef>
              <c:f>'[2021_06_Formula including climate vulnerability_V3 - IM Azurirana.xlsx]FORMULA_AFD+Climate OptionA'!$H$164:$H$168</c:f>
              <c:numCache>
                <c:formatCode>General</c:formatCode>
                <c:ptCount val="5"/>
                <c:pt idx="0">
                  <c:v>7</c:v>
                </c:pt>
                <c:pt idx="1">
                  <c:v>44</c:v>
                </c:pt>
                <c:pt idx="2">
                  <c:v>76</c:v>
                </c:pt>
                <c:pt idx="3">
                  <c:v>16</c:v>
                </c:pt>
                <c:pt idx="4">
                  <c:v>2</c:v>
                </c:pt>
              </c:numCache>
            </c:numRef>
          </c:val>
          <c:extLst>
            <c:ext xmlns:c16="http://schemas.microsoft.com/office/drawing/2014/chart" uri="{C3380CC4-5D6E-409C-BE32-E72D297353CC}">
              <c16:uniqueId val="{00000002-4199-4F6E-AB25-988B838B23B6}"/>
            </c:ext>
          </c:extLst>
        </c:ser>
        <c:dLbls>
          <c:dLblPos val="outEnd"/>
          <c:showLegendKey val="0"/>
          <c:showVal val="1"/>
          <c:showCatName val="0"/>
          <c:showSerName val="0"/>
          <c:showPercent val="0"/>
          <c:showBubbleSize val="0"/>
        </c:dLbls>
        <c:gapWidth val="100"/>
        <c:overlap val="-24"/>
        <c:axId val="582634496"/>
        <c:axId val="582649728"/>
      </c:barChart>
      <c:catAx>
        <c:axId val="5826344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582649728"/>
        <c:crosses val="autoZero"/>
        <c:auto val="1"/>
        <c:lblAlgn val="ctr"/>
        <c:lblOffset val="100"/>
        <c:noMultiLvlLbl val="0"/>
      </c:catAx>
      <c:valAx>
        <c:axId val="58264972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582634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diagrams/_rels/data1.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6.png"/><Relationship Id="rId7" Type="http://schemas.openxmlformats.org/officeDocument/2006/relationships/image" Target="../media/image9.sv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8.png"/><Relationship Id="rId5" Type="http://schemas.openxmlformats.org/officeDocument/2006/relationships/image" Target="../media/image7.jpg"/><Relationship Id="rId4" Type="http://schemas.microsoft.com/office/2007/relationships/hdphoto" Target="../media/hdphoto1.wdp"/><Relationship Id="rId9" Type="http://schemas.microsoft.com/office/2007/relationships/hdphoto" Target="../media/hdphoto2.wdp"/></Relationships>
</file>

<file path=word/diagrams/_rels/drawing1.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6.png"/><Relationship Id="rId7" Type="http://schemas.openxmlformats.org/officeDocument/2006/relationships/image" Target="../media/image9.sv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8.png"/><Relationship Id="rId5" Type="http://schemas.openxmlformats.org/officeDocument/2006/relationships/image" Target="../media/image7.jpg"/><Relationship Id="rId4" Type="http://schemas.microsoft.com/office/2007/relationships/hdphoto" Target="../media/hdphoto1.wdp"/><Relationship Id="rId9" Type="http://schemas.microsoft.com/office/2007/relationships/hdphoto" Target="../media/hdphoto2.wdp"/></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6764A0B-5D1B-4DE3-A023-426074DC9D6A}" type="doc">
      <dgm:prSet loTypeId="urn:microsoft.com/office/officeart/2008/layout/PictureStrips" loCatId="list" qsTypeId="urn:microsoft.com/office/officeart/2005/8/quickstyle/simple1" qsCatId="simple" csTypeId="urn:microsoft.com/office/officeart/2005/8/colors/accent1_2" csCatId="accent1" phldr="1"/>
      <dgm:spPr/>
      <dgm:t>
        <a:bodyPr/>
        <a:lstStyle/>
        <a:p>
          <a:endParaRPr lang="en-GB"/>
        </a:p>
      </dgm:t>
    </dgm:pt>
    <dgm:pt modelId="{FDC42B62-AEB3-4424-B284-E53D57546D5C}">
      <dgm:prSet phldrT="[Text]"/>
      <dgm:spPr/>
      <dgm:t>
        <a:bodyPr/>
        <a:lstStyle/>
        <a:p>
          <a:r>
            <a:rPr lang="en-GB"/>
            <a:t>Formalize a cooperation agreement</a:t>
          </a:r>
        </a:p>
      </dgm:t>
    </dgm:pt>
    <dgm:pt modelId="{2A2897F7-4871-4FD7-B6A3-45F88538682E}" type="parTrans" cxnId="{A8242DC3-04DC-4F9C-A345-E9FF6A95E485}">
      <dgm:prSet/>
      <dgm:spPr/>
      <dgm:t>
        <a:bodyPr/>
        <a:lstStyle/>
        <a:p>
          <a:endParaRPr lang="en-GB"/>
        </a:p>
      </dgm:t>
    </dgm:pt>
    <dgm:pt modelId="{725339A3-42AB-4450-BCF5-A94275A94EC9}" type="sibTrans" cxnId="{A8242DC3-04DC-4F9C-A345-E9FF6A95E485}">
      <dgm:prSet/>
      <dgm:spPr/>
      <dgm:t>
        <a:bodyPr/>
        <a:lstStyle/>
        <a:p>
          <a:endParaRPr lang="en-GB"/>
        </a:p>
      </dgm:t>
    </dgm:pt>
    <dgm:pt modelId="{3A4693D1-BD9E-46A5-8F17-C9226763064F}">
      <dgm:prSet phldrT="[Text]"/>
      <dgm:spPr/>
      <dgm:t>
        <a:bodyPr/>
        <a:lstStyle/>
        <a:p>
          <a:r>
            <a:rPr lang="en-GB"/>
            <a:t>DEVELOPING THE INTERN JOB DESCRIPTION</a:t>
          </a:r>
        </a:p>
      </dgm:t>
    </dgm:pt>
    <dgm:pt modelId="{59FAAAF3-14EE-466E-9B9A-4C4A87F37A4E}" type="parTrans" cxnId="{275A374A-8090-4467-B6A0-0661D2417864}">
      <dgm:prSet/>
      <dgm:spPr/>
      <dgm:t>
        <a:bodyPr/>
        <a:lstStyle/>
        <a:p>
          <a:endParaRPr lang="en-GB"/>
        </a:p>
      </dgm:t>
    </dgm:pt>
    <dgm:pt modelId="{199AE596-B8D9-40E8-8178-72E685976F83}" type="sibTrans" cxnId="{275A374A-8090-4467-B6A0-0661D2417864}">
      <dgm:prSet/>
      <dgm:spPr/>
      <dgm:t>
        <a:bodyPr/>
        <a:lstStyle/>
        <a:p>
          <a:endParaRPr lang="en-GB"/>
        </a:p>
      </dgm:t>
    </dgm:pt>
    <dgm:pt modelId="{1840DE7E-58A4-4CB0-925F-BAAAF8CCB8C0}">
      <dgm:prSet phldrT="[Text]"/>
      <dgm:spPr/>
      <dgm:t>
        <a:bodyPr/>
        <a:lstStyle/>
        <a:p>
          <a:r>
            <a:rPr lang="en-GB"/>
            <a:t>RECRUITING INTERNS</a:t>
          </a:r>
        </a:p>
      </dgm:t>
    </dgm:pt>
    <dgm:pt modelId="{4A0F17D3-FDCB-4D56-9919-778BFA6C351C}" type="parTrans" cxnId="{8F2B9DAF-908C-42EA-91FF-090C5C632129}">
      <dgm:prSet/>
      <dgm:spPr/>
      <dgm:t>
        <a:bodyPr/>
        <a:lstStyle/>
        <a:p>
          <a:endParaRPr lang="en-GB"/>
        </a:p>
      </dgm:t>
    </dgm:pt>
    <dgm:pt modelId="{0160537C-C19B-46CD-8416-B37EE99DC6CB}" type="sibTrans" cxnId="{8F2B9DAF-908C-42EA-91FF-090C5C632129}">
      <dgm:prSet/>
      <dgm:spPr/>
      <dgm:t>
        <a:bodyPr/>
        <a:lstStyle/>
        <a:p>
          <a:endParaRPr lang="en-GB"/>
        </a:p>
      </dgm:t>
    </dgm:pt>
    <dgm:pt modelId="{772968D6-0CDE-4E09-91D4-BB838BF97C60}">
      <dgm:prSet/>
      <dgm:spPr/>
      <dgm:t>
        <a:bodyPr/>
        <a:lstStyle/>
        <a:p>
          <a:r>
            <a:rPr lang="en-GB"/>
            <a:t>THE SELECTION PROCESS</a:t>
          </a:r>
        </a:p>
      </dgm:t>
    </dgm:pt>
    <dgm:pt modelId="{B7C6FAF0-83EC-40CC-B6E2-23F361906892}" type="parTrans" cxnId="{E0CA04D5-C919-4FDB-9884-383C4F9BFFF8}">
      <dgm:prSet/>
      <dgm:spPr/>
      <dgm:t>
        <a:bodyPr/>
        <a:lstStyle/>
        <a:p>
          <a:endParaRPr lang="en-GB"/>
        </a:p>
      </dgm:t>
    </dgm:pt>
    <dgm:pt modelId="{64B76690-1845-4503-91B9-082731268D54}" type="sibTrans" cxnId="{E0CA04D5-C919-4FDB-9884-383C4F9BFFF8}">
      <dgm:prSet/>
      <dgm:spPr/>
      <dgm:t>
        <a:bodyPr/>
        <a:lstStyle/>
        <a:p>
          <a:endParaRPr lang="en-GB"/>
        </a:p>
      </dgm:t>
    </dgm:pt>
    <dgm:pt modelId="{1D3DF101-3138-41B1-AC2E-B986FC8FB07F}">
      <dgm:prSet/>
      <dgm:spPr/>
      <dgm:t>
        <a:bodyPr/>
        <a:lstStyle/>
        <a:p>
          <a:r>
            <a:rPr lang="en-GB"/>
            <a:t>EVALUATING PERFORMANCE</a:t>
          </a:r>
        </a:p>
      </dgm:t>
    </dgm:pt>
    <dgm:pt modelId="{89778D57-C7C9-4495-9C62-7331B17EBD16}" type="parTrans" cxnId="{CCB79B96-445D-40C8-802F-AA1817E40B3B}">
      <dgm:prSet/>
      <dgm:spPr/>
      <dgm:t>
        <a:bodyPr/>
        <a:lstStyle/>
        <a:p>
          <a:endParaRPr lang="en-GB"/>
        </a:p>
      </dgm:t>
    </dgm:pt>
    <dgm:pt modelId="{A1704785-6A7A-4F90-9C13-4022E32A0A3C}" type="sibTrans" cxnId="{CCB79B96-445D-40C8-802F-AA1817E40B3B}">
      <dgm:prSet/>
      <dgm:spPr/>
      <dgm:t>
        <a:bodyPr/>
        <a:lstStyle/>
        <a:p>
          <a:endParaRPr lang="en-GB"/>
        </a:p>
      </dgm:t>
    </dgm:pt>
    <dgm:pt modelId="{3AF7F359-095D-45EC-8C6D-E2665E96451F}">
      <dgm:prSet/>
      <dgm:spPr/>
      <dgm:t>
        <a:bodyPr/>
        <a:lstStyle/>
        <a:p>
          <a:r>
            <a:rPr lang="en-GB"/>
            <a:t>MANAGING INTERNS</a:t>
          </a:r>
        </a:p>
      </dgm:t>
    </dgm:pt>
    <dgm:pt modelId="{3D80CCE5-C23C-494E-BFF8-0D798364C937}" type="parTrans" cxnId="{C2667C6D-97DB-42AF-B1E2-41BC47390719}">
      <dgm:prSet/>
      <dgm:spPr/>
      <dgm:t>
        <a:bodyPr/>
        <a:lstStyle/>
        <a:p>
          <a:endParaRPr lang="en-GB"/>
        </a:p>
      </dgm:t>
    </dgm:pt>
    <dgm:pt modelId="{1C3AE3A5-6454-4516-9B48-0893A8E5DFD3}" type="sibTrans" cxnId="{C2667C6D-97DB-42AF-B1E2-41BC47390719}">
      <dgm:prSet/>
      <dgm:spPr/>
      <dgm:t>
        <a:bodyPr/>
        <a:lstStyle/>
        <a:p>
          <a:endParaRPr lang="en-GB"/>
        </a:p>
      </dgm:t>
    </dgm:pt>
    <dgm:pt modelId="{10B5E572-A8C9-4E95-88F4-0906BB27F8ED}" type="pres">
      <dgm:prSet presAssocID="{F6764A0B-5D1B-4DE3-A023-426074DC9D6A}" presName="Name0" presStyleCnt="0">
        <dgm:presLayoutVars>
          <dgm:dir/>
          <dgm:resizeHandles val="exact"/>
        </dgm:presLayoutVars>
      </dgm:prSet>
      <dgm:spPr/>
      <dgm:t>
        <a:bodyPr/>
        <a:lstStyle/>
        <a:p>
          <a:endParaRPr lang="en-US"/>
        </a:p>
      </dgm:t>
    </dgm:pt>
    <dgm:pt modelId="{FC160A84-BBA2-4732-83EF-DC64A313C562}" type="pres">
      <dgm:prSet presAssocID="{FDC42B62-AEB3-4424-B284-E53D57546D5C}" presName="composite" presStyleCnt="0"/>
      <dgm:spPr/>
    </dgm:pt>
    <dgm:pt modelId="{1DEE1B73-0B81-455D-A5AC-C6CB9C9E7DBD}" type="pres">
      <dgm:prSet presAssocID="{FDC42B62-AEB3-4424-B284-E53D57546D5C}" presName="rect1" presStyleLbl="trAlignAcc1" presStyleIdx="0" presStyleCnt="6">
        <dgm:presLayoutVars>
          <dgm:bulletEnabled val="1"/>
        </dgm:presLayoutVars>
      </dgm:prSet>
      <dgm:spPr/>
      <dgm:t>
        <a:bodyPr/>
        <a:lstStyle/>
        <a:p>
          <a:endParaRPr lang="en-US"/>
        </a:p>
      </dgm:t>
    </dgm:pt>
    <dgm:pt modelId="{6678B543-B2B3-4AEA-BAB8-09A93BCA1C13}" type="pres">
      <dgm:prSet presAssocID="{FDC42B62-AEB3-4424-B284-E53D57546D5C}" presName="rect2" presStyleLbl="fgImgPlace1" presStyleIdx="0" presStyleCnt="6" custScaleX="72251" custScaleY="62722" custLinFactNeighborX="12651" custLinFactNeighborY="10241"/>
      <dgm:spPr>
        <a:blipFill>
          <a:blip xmlns:r="http://schemas.openxmlformats.org/officeDocument/2006/relationships" r:embed="rId1">
            <a:extLst>
              <a:ext uri="{28A0092B-C50C-407E-A947-70E740481C1C}">
                <a14:useLocalDpi xmlns:a14="http://schemas.microsoft.com/office/drawing/2010/main" val="0"/>
              </a:ext>
            </a:extLst>
          </a:blip>
          <a:srcRect/>
          <a:stretch>
            <a:fillRect l="-25000" r="-25000"/>
          </a:stretch>
        </a:blipFill>
      </dgm:spPr>
    </dgm:pt>
    <dgm:pt modelId="{AF01BA88-66C9-455E-B136-250A44E2C421}" type="pres">
      <dgm:prSet presAssocID="{725339A3-42AB-4450-BCF5-A94275A94EC9}" presName="sibTrans" presStyleCnt="0"/>
      <dgm:spPr/>
    </dgm:pt>
    <dgm:pt modelId="{498D0AC9-4B4B-48A3-A74E-00BDB24B76BD}" type="pres">
      <dgm:prSet presAssocID="{3A4693D1-BD9E-46A5-8F17-C9226763064F}" presName="composite" presStyleCnt="0"/>
      <dgm:spPr/>
    </dgm:pt>
    <dgm:pt modelId="{8407389F-9FC7-49BC-9DC5-E2032FB7F080}" type="pres">
      <dgm:prSet presAssocID="{3A4693D1-BD9E-46A5-8F17-C9226763064F}" presName="rect1" presStyleLbl="trAlignAcc1" presStyleIdx="1" presStyleCnt="6">
        <dgm:presLayoutVars>
          <dgm:bulletEnabled val="1"/>
        </dgm:presLayoutVars>
      </dgm:prSet>
      <dgm:spPr/>
      <dgm:t>
        <a:bodyPr/>
        <a:lstStyle/>
        <a:p>
          <a:endParaRPr lang="en-US"/>
        </a:p>
      </dgm:t>
    </dgm:pt>
    <dgm:pt modelId="{9AAC478B-A723-4B7D-920B-5F6F71A74D12}" type="pres">
      <dgm:prSet presAssocID="{3A4693D1-BD9E-46A5-8F17-C9226763064F}" presName="rect2" presStyleLbl="fgImgPlace1" presStyleIdx="1" presStyleCnt="6" custScaleX="70926" custScaleY="82354" custLinFactNeighborX="7449" custLinFactNeighborY="15519"/>
      <dgm:spPr>
        <a:blipFill>
          <a:blip xmlns:r="http://schemas.openxmlformats.org/officeDocument/2006/relationships" r:embed="rId2">
            <a:extLst>
              <a:ext uri="{28A0092B-C50C-407E-A947-70E740481C1C}">
                <a14:useLocalDpi xmlns:a14="http://schemas.microsoft.com/office/drawing/2010/main" val="0"/>
              </a:ext>
            </a:extLst>
          </a:blip>
          <a:srcRect/>
          <a:stretch>
            <a:fillRect l="-25000" r="-25000"/>
          </a:stretch>
        </a:blipFill>
      </dgm:spPr>
    </dgm:pt>
    <dgm:pt modelId="{D5BA9A42-02D7-46CE-9D54-6CB24044CF4E}" type="pres">
      <dgm:prSet presAssocID="{199AE596-B8D9-40E8-8178-72E685976F83}" presName="sibTrans" presStyleCnt="0"/>
      <dgm:spPr/>
    </dgm:pt>
    <dgm:pt modelId="{F4FC0E03-972B-4762-B5E6-1289FCFD7268}" type="pres">
      <dgm:prSet presAssocID="{1840DE7E-58A4-4CB0-925F-BAAAF8CCB8C0}" presName="composite" presStyleCnt="0"/>
      <dgm:spPr/>
    </dgm:pt>
    <dgm:pt modelId="{24C74C53-1BC3-445A-B3C3-CBEB06FC04B9}" type="pres">
      <dgm:prSet presAssocID="{1840DE7E-58A4-4CB0-925F-BAAAF8CCB8C0}" presName="rect1" presStyleLbl="trAlignAcc1" presStyleIdx="2" presStyleCnt="6">
        <dgm:presLayoutVars>
          <dgm:bulletEnabled val="1"/>
        </dgm:presLayoutVars>
      </dgm:prSet>
      <dgm:spPr/>
      <dgm:t>
        <a:bodyPr/>
        <a:lstStyle/>
        <a:p>
          <a:endParaRPr lang="en-US"/>
        </a:p>
      </dgm:t>
    </dgm:pt>
    <dgm:pt modelId="{33B489E4-C5A2-4CC4-ACD4-DE6E6B29E7FE}" type="pres">
      <dgm:prSet presAssocID="{1840DE7E-58A4-4CB0-925F-BAAAF8CCB8C0}" presName="rect2" presStyleLbl="fgImgPlace1" presStyleIdx="2" presStyleCnt="6" custScaleX="76179" custScaleY="70046" custLinFactNeighborX="16137" custLinFactNeighborY="13149"/>
      <dgm:spPr>
        <a:blipFill>
          <a:blip xmlns:r="http://schemas.openxmlformats.org/officeDocument/2006/relationships" r:embed="rId3">
            <a:extLst>
              <a:ext uri="{BEBA8EAE-BF5A-486C-A8C5-ECC9F3942E4B}">
                <a14:imgProps xmlns:a14="http://schemas.microsoft.com/office/drawing/2010/main">
                  <a14:imgLayer r:embed="rId4">
                    <a14:imgEffect>
                      <a14:artisticLightScreen/>
                    </a14:imgEffect>
                  </a14:imgLayer>
                </a14:imgProps>
              </a:ext>
              <a:ext uri="{28A0092B-C50C-407E-A947-70E740481C1C}">
                <a14:useLocalDpi xmlns:a14="http://schemas.microsoft.com/office/drawing/2010/main" val="0"/>
              </a:ext>
            </a:extLst>
          </a:blip>
          <a:srcRect/>
          <a:stretch>
            <a:fillRect l="-25000" r="-25000"/>
          </a:stretch>
        </a:blipFill>
      </dgm:spPr>
    </dgm:pt>
    <dgm:pt modelId="{DB1CD820-4DE6-48AF-9BB5-5EF7CD20B2BC}" type="pres">
      <dgm:prSet presAssocID="{0160537C-C19B-46CD-8416-B37EE99DC6CB}" presName="sibTrans" presStyleCnt="0"/>
      <dgm:spPr/>
    </dgm:pt>
    <dgm:pt modelId="{0E3974C1-2E3D-44EB-B70F-E701ED92FCDC}" type="pres">
      <dgm:prSet presAssocID="{772968D6-0CDE-4E09-91D4-BB838BF97C60}" presName="composite" presStyleCnt="0"/>
      <dgm:spPr/>
    </dgm:pt>
    <dgm:pt modelId="{D1B18603-7D95-4325-8AA6-992B9B75E55D}" type="pres">
      <dgm:prSet presAssocID="{772968D6-0CDE-4E09-91D4-BB838BF97C60}" presName="rect1" presStyleLbl="trAlignAcc1" presStyleIdx="3" presStyleCnt="6">
        <dgm:presLayoutVars>
          <dgm:bulletEnabled val="1"/>
        </dgm:presLayoutVars>
      </dgm:prSet>
      <dgm:spPr/>
      <dgm:t>
        <a:bodyPr/>
        <a:lstStyle/>
        <a:p>
          <a:endParaRPr lang="en-US"/>
        </a:p>
      </dgm:t>
    </dgm:pt>
    <dgm:pt modelId="{7A3578B6-AFCA-4A83-B270-38A96E68727F}" type="pres">
      <dgm:prSet presAssocID="{772968D6-0CDE-4E09-91D4-BB838BF97C60}" presName="rect2" presStyleLbl="fgImgPlace1" presStyleIdx="3" presStyleCnt="6" custScaleX="71842" custScaleY="71348" custLinFactNeighborX="13233" custLinFactNeighborY="13233"/>
      <dgm:spPr>
        <a:blipFill>
          <a:blip xmlns:r="http://schemas.openxmlformats.org/officeDocument/2006/relationships" r:embed="rId5">
            <a:extLst>
              <a:ext uri="{28A0092B-C50C-407E-A947-70E740481C1C}">
                <a14:useLocalDpi xmlns:a14="http://schemas.microsoft.com/office/drawing/2010/main" val="0"/>
              </a:ext>
            </a:extLst>
          </a:blip>
          <a:srcRect/>
          <a:stretch>
            <a:fillRect l="-25000" r="-25000"/>
          </a:stretch>
        </a:blipFill>
      </dgm:spPr>
    </dgm:pt>
    <dgm:pt modelId="{24BBCF5C-5315-4FE3-A2F4-34F9BBF38690}" type="pres">
      <dgm:prSet presAssocID="{64B76690-1845-4503-91B9-082731268D54}" presName="sibTrans" presStyleCnt="0"/>
      <dgm:spPr/>
    </dgm:pt>
    <dgm:pt modelId="{BAEABAD0-99E7-4460-AF2D-2B5F6DD7549E}" type="pres">
      <dgm:prSet presAssocID="{3AF7F359-095D-45EC-8C6D-E2665E96451F}" presName="composite" presStyleCnt="0"/>
      <dgm:spPr/>
    </dgm:pt>
    <dgm:pt modelId="{D0BBB1BA-7591-40DA-A615-1F325D6ACB8E}" type="pres">
      <dgm:prSet presAssocID="{3AF7F359-095D-45EC-8C6D-E2665E96451F}" presName="rect1" presStyleLbl="trAlignAcc1" presStyleIdx="4" presStyleCnt="6">
        <dgm:presLayoutVars>
          <dgm:bulletEnabled val="1"/>
        </dgm:presLayoutVars>
      </dgm:prSet>
      <dgm:spPr/>
      <dgm:t>
        <a:bodyPr/>
        <a:lstStyle/>
        <a:p>
          <a:endParaRPr lang="en-US"/>
        </a:p>
      </dgm:t>
    </dgm:pt>
    <dgm:pt modelId="{8E3B1163-D763-4980-BB23-8B1028315521}" type="pres">
      <dgm:prSet presAssocID="{3AF7F359-095D-45EC-8C6D-E2665E96451F}" presName="rect2" presStyleLbl="fgImgPlace1" presStyleIdx="4" presStyleCnt="6" custScaleX="72951" custScaleY="64282" custLinFactNeighborX="16850" custLinFactNeighborY="13598"/>
      <dgm:spPr>
        <a:blipFill>
          <a:blip xmlns:r="http://schemas.openxmlformats.org/officeDocument/2006/relationships" r:embed="rId6">
            <a:extLst>
              <a:ext uri="{28A0092B-C50C-407E-A947-70E740481C1C}">
                <a14:useLocalDpi xmlns:a14="http://schemas.microsoft.com/office/drawing/2010/main" val="0"/>
              </a:ext>
              <a:ext uri="{96DAC541-7B7A-43D3-8B79-37D633B846F1}">
                <asvg:svgBlip xmlns:asvg="http://schemas.microsoft.com/office/drawing/2016/SVG/main" xmlns="" r:embed="rId7"/>
              </a:ext>
            </a:extLst>
          </a:blip>
          <a:srcRect/>
          <a:stretch>
            <a:fillRect l="-3000" r="-3000"/>
          </a:stretch>
        </a:blipFill>
      </dgm:spPr>
    </dgm:pt>
    <dgm:pt modelId="{4A52038D-8836-4AF4-9FDA-28CC44930392}" type="pres">
      <dgm:prSet presAssocID="{1C3AE3A5-6454-4516-9B48-0893A8E5DFD3}" presName="sibTrans" presStyleCnt="0"/>
      <dgm:spPr/>
    </dgm:pt>
    <dgm:pt modelId="{138EA75B-E483-4F5D-8090-20BEA1A6605A}" type="pres">
      <dgm:prSet presAssocID="{1D3DF101-3138-41B1-AC2E-B986FC8FB07F}" presName="composite" presStyleCnt="0"/>
      <dgm:spPr/>
    </dgm:pt>
    <dgm:pt modelId="{E1AFD6EF-3779-488D-9CB0-970657D4097E}" type="pres">
      <dgm:prSet presAssocID="{1D3DF101-3138-41B1-AC2E-B986FC8FB07F}" presName="rect1" presStyleLbl="trAlignAcc1" presStyleIdx="5" presStyleCnt="6">
        <dgm:presLayoutVars>
          <dgm:bulletEnabled val="1"/>
        </dgm:presLayoutVars>
      </dgm:prSet>
      <dgm:spPr/>
      <dgm:t>
        <a:bodyPr/>
        <a:lstStyle/>
        <a:p>
          <a:endParaRPr lang="en-US"/>
        </a:p>
      </dgm:t>
    </dgm:pt>
    <dgm:pt modelId="{0DBE8AE8-E870-4794-B51E-76FA65A6C4A7}" type="pres">
      <dgm:prSet presAssocID="{1D3DF101-3138-41B1-AC2E-B986FC8FB07F}" presName="rect2" presStyleLbl="fgImgPlace1" presStyleIdx="5" presStyleCnt="6" custScaleX="72433" custScaleY="59794" custLinFactNeighborX="3085" custLinFactNeighborY="11313"/>
      <dgm:spPr>
        <a:blipFill>
          <a:blip xmlns:r="http://schemas.openxmlformats.org/officeDocument/2006/relationships" r:embed="rId8">
            <a:extLst>
              <a:ext uri="{BEBA8EAE-BF5A-486C-A8C5-ECC9F3942E4B}">
                <a14:imgProps xmlns:a14="http://schemas.microsoft.com/office/drawing/2010/main">
                  <a14:imgLayer r:embed="rId9">
                    <a14:imgEffect>
                      <a14:artisticPaintBrush/>
                    </a14:imgEffect>
                  </a14:imgLayer>
                </a14:imgProps>
              </a:ext>
              <a:ext uri="{28A0092B-C50C-407E-A947-70E740481C1C}">
                <a14:useLocalDpi xmlns:a14="http://schemas.microsoft.com/office/drawing/2010/main" val="0"/>
              </a:ext>
            </a:extLst>
          </a:blip>
          <a:srcRect/>
          <a:stretch>
            <a:fillRect l="-25000" r="-25000"/>
          </a:stretch>
        </a:blipFill>
      </dgm:spPr>
    </dgm:pt>
  </dgm:ptLst>
  <dgm:cxnLst>
    <dgm:cxn modelId="{43015EA1-8501-45BA-B664-156DF3A42F07}" type="presOf" srcId="{3AF7F359-095D-45EC-8C6D-E2665E96451F}" destId="{D0BBB1BA-7591-40DA-A615-1F325D6ACB8E}" srcOrd="0" destOrd="0" presId="urn:microsoft.com/office/officeart/2008/layout/PictureStrips"/>
    <dgm:cxn modelId="{C2667C6D-97DB-42AF-B1E2-41BC47390719}" srcId="{F6764A0B-5D1B-4DE3-A023-426074DC9D6A}" destId="{3AF7F359-095D-45EC-8C6D-E2665E96451F}" srcOrd="4" destOrd="0" parTransId="{3D80CCE5-C23C-494E-BFF8-0D798364C937}" sibTransId="{1C3AE3A5-6454-4516-9B48-0893A8E5DFD3}"/>
    <dgm:cxn modelId="{8F2B9DAF-908C-42EA-91FF-090C5C632129}" srcId="{F6764A0B-5D1B-4DE3-A023-426074DC9D6A}" destId="{1840DE7E-58A4-4CB0-925F-BAAAF8CCB8C0}" srcOrd="2" destOrd="0" parTransId="{4A0F17D3-FDCB-4D56-9919-778BFA6C351C}" sibTransId="{0160537C-C19B-46CD-8416-B37EE99DC6CB}"/>
    <dgm:cxn modelId="{275A374A-8090-4467-B6A0-0661D2417864}" srcId="{F6764A0B-5D1B-4DE3-A023-426074DC9D6A}" destId="{3A4693D1-BD9E-46A5-8F17-C9226763064F}" srcOrd="1" destOrd="0" parTransId="{59FAAAF3-14EE-466E-9B9A-4C4A87F37A4E}" sibTransId="{199AE596-B8D9-40E8-8178-72E685976F83}"/>
    <dgm:cxn modelId="{C363C414-D57B-4817-9BFB-EF4ABAF92F3D}" type="presOf" srcId="{1D3DF101-3138-41B1-AC2E-B986FC8FB07F}" destId="{E1AFD6EF-3779-488D-9CB0-970657D4097E}" srcOrd="0" destOrd="0" presId="urn:microsoft.com/office/officeart/2008/layout/PictureStrips"/>
    <dgm:cxn modelId="{CCB79B96-445D-40C8-802F-AA1817E40B3B}" srcId="{F6764A0B-5D1B-4DE3-A023-426074DC9D6A}" destId="{1D3DF101-3138-41B1-AC2E-B986FC8FB07F}" srcOrd="5" destOrd="0" parTransId="{89778D57-C7C9-4495-9C62-7331B17EBD16}" sibTransId="{A1704785-6A7A-4F90-9C13-4022E32A0A3C}"/>
    <dgm:cxn modelId="{FD0ABC10-207C-4B03-9643-59C804450601}" type="presOf" srcId="{1840DE7E-58A4-4CB0-925F-BAAAF8CCB8C0}" destId="{24C74C53-1BC3-445A-B3C3-CBEB06FC04B9}" srcOrd="0" destOrd="0" presId="urn:microsoft.com/office/officeart/2008/layout/PictureStrips"/>
    <dgm:cxn modelId="{A8242DC3-04DC-4F9C-A345-E9FF6A95E485}" srcId="{F6764A0B-5D1B-4DE3-A023-426074DC9D6A}" destId="{FDC42B62-AEB3-4424-B284-E53D57546D5C}" srcOrd="0" destOrd="0" parTransId="{2A2897F7-4871-4FD7-B6A3-45F88538682E}" sibTransId="{725339A3-42AB-4450-BCF5-A94275A94EC9}"/>
    <dgm:cxn modelId="{BB63598E-931E-495A-8473-FC5EC53B5F25}" type="presOf" srcId="{FDC42B62-AEB3-4424-B284-E53D57546D5C}" destId="{1DEE1B73-0B81-455D-A5AC-C6CB9C9E7DBD}" srcOrd="0" destOrd="0" presId="urn:microsoft.com/office/officeart/2008/layout/PictureStrips"/>
    <dgm:cxn modelId="{A34C101C-6E76-4EC0-BAE6-5A136BB292EC}" type="presOf" srcId="{3A4693D1-BD9E-46A5-8F17-C9226763064F}" destId="{8407389F-9FC7-49BC-9DC5-E2032FB7F080}" srcOrd="0" destOrd="0" presId="urn:microsoft.com/office/officeart/2008/layout/PictureStrips"/>
    <dgm:cxn modelId="{F1C2CC2F-D1C1-404A-BB9D-1A83A3C9661B}" type="presOf" srcId="{F6764A0B-5D1B-4DE3-A023-426074DC9D6A}" destId="{10B5E572-A8C9-4E95-88F4-0906BB27F8ED}" srcOrd="0" destOrd="0" presId="urn:microsoft.com/office/officeart/2008/layout/PictureStrips"/>
    <dgm:cxn modelId="{B6690E9C-FC53-40D8-A1C9-EA1E25F60A28}" type="presOf" srcId="{772968D6-0CDE-4E09-91D4-BB838BF97C60}" destId="{D1B18603-7D95-4325-8AA6-992B9B75E55D}" srcOrd="0" destOrd="0" presId="urn:microsoft.com/office/officeart/2008/layout/PictureStrips"/>
    <dgm:cxn modelId="{E0CA04D5-C919-4FDB-9884-383C4F9BFFF8}" srcId="{F6764A0B-5D1B-4DE3-A023-426074DC9D6A}" destId="{772968D6-0CDE-4E09-91D4-BB838BF97C60}" srcOrd="3" destOrd="0" parTransId="{B7C6FAF0-83EC-40CC-B6E2-23F361906892}" sibTransId="{64B76690-1845-4503-91B9-082731268D54}"/>
    <dgm:cxn modelId="{3D638372-EB8A-40AD-B743-C6798C0CC783}" type="presParOf" srcId="{10B5E572-A8C9-4E95-88F4-0906BB27F8ED}" destId="{FC160A84-BBA2-4732-83EF-DC64A313C562}" srcOrd="0" destOrd="0" presId="urn:microsoft.com/office/officeart/2008/layout/PictureStrips"/>
    <dgm:cxn modelId="{B2CDCA06-AA50-40B3-B306-52D912F2EF5E}" type="presParOf" srcId="{FC160A84-BBA2-4732-83EF-DC64A313C562}" destId="{1DEE1B73-0B81-455D-A5AC-C6CB9C9E7DBD}" srcOrd="0" destOrd="0" presId="urn:microsoft.com/office/officeart/2008/layout/PictureStrips"/>
    <dgm:cxn modelId="{ADDE8AD5-E145-445F-B7D0-C8767B77C41D}" type="presParOf" srcId="{FC160A84-BBA2-4732-83EF-DC64A313C562}" destId="{6678B543-B2B3-4AEA-BAB8-09A93BCA1C13}" srcOrd="1" destOrd="0" presId="urn:microsoft.com/office/officeart/2008/layout/PictureStrips"/>
    <dgm:cxn modelId="{66D261D1-0A4B-4D95-A9ED-66F16B6F13D6}" type="presParOf" srcId="{10B5E572-A8C9-4E95-88F4-0906BB27F8ED}" destId="{AF01BA88-66C9-455E-B136-250A44E2C421}" srcOrd="1" destOrd="0" presId="urn:microsoft.com/office/officeart/2008/layout/PictureStrips"/>
    <dgm:cxn modelId="{50349953-1FFC-4079-AC2B-028C3D7D963F}" type="presParOf" srcId="{10B5E572-A8C9-4E95-88F4-0906BB27F8ED}" destId="{498D0AC9-4B4B-48A3-A74E-00BDB24B76BD}" srcOrd="2" destOrd="0" presId="urn:microsoft.com/office/officeart/2008/layout/PictureStrips"/>
    <dgm:cxn modelId="{8D5835D6-813D-4D7F-BE7E-BB9C2BC9DEEE}" type="presParOf" srcId="{498D0AC9-4B4B-48A3-A74E-00BDB24B76BD}" destId="{8407389F-9FC7-49BC-9DC5-E2032FB7F080}" srcOrd="0" destOrd="0" presId="urn:microsoft.com/office/officeart/2008/layout/PictureStrips"/>
    <dgm:cxn modelId="{4D59F81C-D499-4015-9D56-7D947B47325A}" type="presParOf" srcId="{498D0AC9-4B4B-48A3-A74E-00BDB24B76BD}" destId="{9AAC478B-A723-4B7D-920B-5F6F71A74D12}" srcOrd="1" destOrd="0" presId="urn:microsoft.com/office/officeart/2008/layout/PictureStrips"/>
    <dgm:cxn modelId="{57DEC5C9-7763-418C-A758-0A5EE8F1FDEA}" type="presParOf" srcId="{10B5E572-A8C9-4E95-88F4-0906BB27F8ED}" destId="{D5BA9A42-02D7-46CE-9D54-6CB24044CF4E}" srcOrd="3" destOrd="0" presId="urn:microsoft.com/office/officeart/2008/layout/PictureStrips"/>
    <dgm:cxn modelId="{7A44CB46-70BF-4B74-A992-3B6E4EB758BB}" type="presParOf" srcId="{10B5E572-A8C9-4E95-88F4-0906BB27F8ED}" destId="{F4FC0E03-972B-4762-B5E6-1289FCFD7268}" srcOrd="4" destOrd="0" presId="urn:microsoft.com/office/officeart/2008/layout/PictureStrips"/>
    <dgm:cxn modelId="{AC796FFF-722C-4CFB-B4E2-C5E47855D85C}" type="presParOf" srcId="{F4FC0E03-972B-4762-B5E6-1289FCFD7268}" destId="{24C74C53-1BC3-445A-B3C3-CBEB06FC04B9}" srcOrd="0" destOrd="0" presId="urn:microsoft.com/office/officeart/2008/layout/PictureStrips"/>
    <dgm:cxn modelId="{FD8FF0CC-20E4-423C-A373-C639B1B42D7E}" type="presParOf" srcId="{F4FC0E03-972B-4762-B5E6-1289FCFD7268}" destId="{33B489E4-C5A2-4CC4-ACD4-DE6E6B29E7FE}" srcOrd="1" destOrd="0" presId="urn:microsoft.com/office/officeart/2008/layout/PictureStrips"/>
    <dgm:cxn modelId="{D7167242-D45C-45E2-AF93-144733979197}" type="presParOf" srcId="{10B5E572-A8C9-4E95-88F4-0906BB27F8ED}" destId="{DB1CD820-4DE6-48AF-9BB5-5EF7CD20B2BC}" srcOrd="5" destOrd="0" presId="urn:microsoft.com/office/officeart/2008/layout/PictureStrips"/>
    <dgm:cxn modelId="{C05EF1BD-DBF5-4C93-BA88-F49640030FFC}" type="presParOf" srcId="{10B5E572-A8C9-4E95-88F4-0906BB27F8ED}" destId="{0E3974C1-2E3D-44EB-B70F-E701ED92FCDC}" srcOrd="6" destOrd="0" presId="urn:microsoft.com/office/officeart/2008/layout/PictureStrips"/>
    <dgm:cxn modelId="{C29ADA0E-4C1D-40F4-8499-62A6593AD906}" type="presParOf" srcId="{0E3974C1-2E3D-44EB-B70F-E701ED92FCDC}" destId="{D1B18603-7D95-4325-8AA6-992B9B75E55D}" srcOrd="0" destOrd="0" presId="urn:microsoft.com/office/officeart/2008/layout/PictureStrips"/>
    <dgm:cxn modelId="{1962C568-26CA-4E37-90E3-A76B362B957A}" type="presParOf" srcId="{0E3974C1-2E3D-44EB-B70F-E701ED92FCDC}" destId="{7A3578B6-AFCA-4A83-B270-38A96E68727F}" srcOrd="1" destOrd="0" presId="urn:microsoft.com/office/officeart/2008/layout/PictureStrips"/>
    <dgm:cxn modelId="{004371D4-BEAC-4901-934C-7840DC6CB657}" type="presParOf" srcId="{10B5E572-A8C9-4E95-88F4-0906BB27F8ED}" destId="{24BBCF5C-5315-4FE3-A2F4-34F9BBF38690}" srcOrd="7" destOrd="0" presId="urn:microsoft.com/office/officeart/2008/layout/PictureStrips"/>
    <dgm:cxn modelId="{122963EC-4D70-4ADC-A4C8-BC5D596F1A5E}" type="presParOf" srcId="{10B5E572-A8C9-4E95-88F4-0906BB27F8ED}" destId="{BAEABAD0-99E7-4460-AF2D-2B5F6DD7549E}" srcOrd="8" destOrd="0" presId="urn:microsoft.com/office/officeart/2008/layout/PictureStrips"/>
    <dgm:cxn modelId="{2D161093-AE51-4D4D-ACE1-9C418C1976F2}" type="presParOf" srcId="{BAEABAD0-99E7-4460-AF2D-2B5F6DD7549E}" destId="{D0BBB1BA-7591-40DA-A615-1F325D6ACB8E}" srcOrd="0" destOrd="0" presId="urn:microsoft.com/office/officeart/2008/layout/PictureStrips"/>
    <dgm:cxn modelId="{ECA780A5-ED1F-4597-976A-7E2B90330993}" type="presParOf" srcId="{BAEABAD0-99E7-4460-AF2D-2B5F6DD7549E}" destId="{8E3B1163-D763-4980-BB23-8B1028315521}" srcOrd="1" destOrd="0" presId="urn:microsoft.com/office/officeart/2008/layout/PictureStrips"/>
    <dgm:cxn modelId="{5C5FB5DE-3E4F-4958-A5AB-AD1861D232D5}" type="presParOf" srcId="{10B5E572-A8C9-4E95-88F4-0906BB27F8ED}" destId="{4A52038D-8836-4AF4-9FDA-28CC44930392}" srcOrd="9" destOrd="0" presId="urn:microsoft.com/office/officeart/2008/layout/PictureStrips"/>
    <dgm:cxn modelId="{2654CC34-85B2-443C-92A0-F7DFBF8FD404}" type="presParOf" srcId="{10B5E572-A8C9-4E95-88F4-0906BB27F8ED}" destId="{138EA75B-E483-4F5D-8090-20BEA1A6605A}" srcOrd="10" destOrd="0" presId="urn:microsoft.com/office/officeart/2008/layout/PictureStrips"/>
    <dgm:cxn modelId="{E4E9AD9B-00C7-43DD-85E6-40A97E065A27}" type="presParOf" srcId="{138EA75B-E483-4F5D-8090-20BEA1A6605A}" destId="{E1AFD6EF-3779-488D-9CB0-970657D4097E}" srcOrd="0" destOrd="0" presId="urn:microsoft.com/office/officeart/2008/layout/PictureStrips"/>
    <dgm:cxn modelId="{A8B8258D-9F72-4452-B514-24EE94932CEA}" type="presParOf" srcId="{138EA75B-E483-4F5D-8090-20BEA1A6605A}" destId="{0DBE8AE8-E870-4794-B51E-76FA65A6C4A7}" srcOrd="1" destOrd="0" presId="urn:microsoft.com/office/officeart/2008/layout/PictureStrips"/>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5C3ECD6-B386-4475-AEEB-DB96EC9965EB}" type="doc">
      <dgm:prSet loTypeId="urn:microsoft.com/office/officeart/2005/8/layout/chevron1" loCatId="process" qsTypeId="urn:microsoft.com/office/officeart/2005/8/quickstyle/simple1" qsCatId="simple" csTypeId="urn:microsoft.com/office/officeart/2005/8/colors/colorful2" csCatId="colorful" phldr="1"/>
      <dgm:spPr/>
    </dgm:pt>
    <dgm:pt modelId="{CFD72F73-1565-4F9D-815E-70BFAAB83E35}">
      <dgm:prSet phldrT="[Text]"/>
      <dgm:spPr/>
      <dgm:t>
        <a:bodyPr/>
        <a:lstStyle/>
        <a:p>
          <a:r>
            <a:rPr lang="bs-Latn-BA"/>
            <a:t>Project Code</a:t>
          </a:r>
          <a:endParaRPr lang="en-GB"/>
        </a:p>
      </dgm:t>
    </dgm:pt>
    <dgm:pt modelId="{F99D2A20-5557-4B50-B5C3-76E2A61E002D}" type="parTrans" cxnId="{17A7CC99-51EE-4F96-B6C6-ABE400271FE2}">
      <dgm:prSet/>
      <dgm:spPr/>
      <dgm:t>
        <a:bodyPr/>
        <a:lstStyle/>
        <a:p>
          <a:endParaRPr lang="en-GB"/>
        </a:p>
      </dgm:t>
    </dgm:pt>
    <dgm:pt modelId="{36B02C3E-0AD4-49B0-BE83-5FC8A9BB82E2}" type="sibTrans" cxnId="{17A7CC99-51EE-4F96-B6C6-ABE400271FE2}">
      <dgm:prSet/>
      <dgm:spPr/>
      <dgm:t>
        <a:bodyPr/>
        <a:lstStyle/>
        <a:p>
          <a:endParaRPr lang="en-GB"/>
        </a:p>
      </dgm:t>
    </dgm:pt>
    <dgm:pt modelId="{3472824E-4ACC-48C2-B354-834552D13713}">
      <dgm:prSet phldrT="[Text]"/>
      <dgm:spPr/>
      <dgm:t>
        <a:bodyPr/>
        <a:lstStyle/>
        <a:p>
          <a:r>
            <a:rPr lang="bs-Latn-BA"/>
            <a:t>Activity Number</a:t>
          </a:r>
          <a:endParaRPr lang="en-GB"/>
        </a:p>
      </dgm:t>
    </dgm:pt>
    <dgm:pt modelId="{64B3AD0E-0314-4421-BBE9-4A7FB80C5AD8}" type="parTrans" cxnId="{DEC9C991-3900-4BE3-BF52-13934A9B3F02}">
      <dgm:prSet/>
      <dgm:spPr/>
      <dgm:t>
        <a:bodyPr/>
        <a:lstStyle/>
        <a:p>
          <a:endParaRPr lang="en-GB"/>
        </a:p>
      </dgm:t>
    </dgm:pt>
    <dgm:pt modelId="{C9BBAD83-509B-4074-8989-57A90273AB60}" type="sibTrans" cxnId="{DEC9C991-3900-4BE3-BF52-13934A9B3F02}">
      <dgm:prSet/>
      <dgm:spPr/>
      <dgm:t>
        <a:bodyPr/>
        <a:lstStyle/>
        <a:p>
          <a:endParaRPr lang="en-GB"/>
        </a:p>
      </dgm:t>
    </dgm:pt>
    <dgm:pt modelId="{EAD5B737-62E4-4475-91BF-DDA303CA2A2D}">
      <dgm:prSet phldrT="[Text]"/>
      <dgm:spPr/>
      <dgm:t>
        <a:bodyPr/>
        <a:lstStyle/>
        <a:p>
          <a:r>
            <a:rPr lang="bs-Latn-BA"/>
            <a:t>Document Type</a:t>
          </a:r>
          <a:endParaRPr lang="en-GB"/>
        </a:p>
      </dgm:t>
    </dgm:pt>
    <dgm:pt modelId="{6A36DC21-6F8D-455C-9B18-2AEF564E24B8}" type="parTrans" cxnId="{661DD23F-6ECF-4F6E-A9F2-1EBEE1D95CAD}">
      <dgm:prSet/>
      <dgm:spPr/>
      <dgm:t>
        <a:bodyPr/>
        <a:lstStyle/>
        <a:p>
          <a:endParaRPr lang="en-GB"/>
        </a:p>
      </dgm:t>
    </dgm:pt>
    <dgm:pt modelId="{8F4542F1-B6D8-42CC-9FF3-C0E0BD9088BD}" type="sibTrans" cxnId="{661DD23F-6ECF-4F6E-A9F2-1EBEE1D95CAD}">
      <dgm:prSet/>
      <dgm:spPr/>
      <dgm:t>
        <a:bodyPr/>
        <a:lstStyle/>
        <a:p>
          <a:endParaRPr lang="en-GB"/>
        </a:p>
      </dgm:t>
    </dgm:pt>
    <dgm:pt modelId="{1B674FF8-7483-40A1-9843-273365628AEF}">
      <dgm:prSet/>
      <dgm:spPr/>
      <dgm:t>
        <a:bodyPr/>
        <a:lstStyle/>
        <a:p>
          <a:r>
            <a:rPr lang="bs-Latn-BA"/>
            <a:t>Issue number</a:t>
          </a:r>
          <a:endParaRPr lang="en-GB"/>
        </a:p>
      </dgm:t>
    </dgm:pt>
    <dgm:pt modelId="{FC3BCA30-C0C1-48BD-9183-F0BE3CA525D9}" type="parTrans" cxnId="{B621D689-98C0-4DBE-A1B3-15EC61DA1C06}">
      <dgm:prSet/>
      <dgm:spPr/>
      <dgm:t>
        <a:bodyPr/>
        <a:lstStyle/>
        <a:p>
          <a:endParaRPr lang="en-GB"/>
        </a:p>
      </dgm:t>
    </dgm:pt>
    <dgm:pt modelId="{C387534C-3756-4808-8978-6FEF45FC2180}" type="sibTrans" cxnId="{B621D689-98C0-4DBE-A1B3-15EC61DA1C06}">
      <dgm:prSet/>
      <dgm:spPr/>
      <dgm:t>
        <a:bodyPr/>
        <a:lstStyle/>
        <a:p>
          <a:endParaRPr lang="en-GB"/>
        </a:p>
      </dgm:t>
    </dgm:pt>
    <dgm:pt modelId="{9230A44A-6A53-4C49-9963-A2A4A79CEA81}">
      <dgm:prSet/>
      <dgm:spPr/>
      <dgm:t>
        <a:bodyPr/>
        <a:lstStyle/>
        <a:p>
          <a:r>
            <a:rPr lang="bs-Latn-BA"/>
            <a:t>Description</a:t>
          </a:r>
          <a:endParaRPr lang="en-GB"/>
        </a:p>
      </dgm:t>
    </dgm:pt>
    <dgm:pt modelId="{42358BDD-9E64-4781-8F9D-B0D1AB5A0123}" type="parTrans" cxnId="{BDD2A4CB-1B41-4ABA-B799-AEBBB905AC21}">
      <dgm:prSet/>
      <dgm:spPr/>
      <dgm:t>
        <a:bodyPr/>
        <a:lstStyle/>
        <a:p>
          <a:endParaRPr lang="en-GB"/>
        </a:p>
      </dgm:t>
    </dgm:pt>
    <dgm:pt modelId="{639C3A9B-6D28-4141-8D89-4960214F51E4}" type="sibTrans" cxnId="{BDD2A4CB-1B41-4ABA-B799-AEBBB905AC21}">
      <dgm:prSet/>
      <dgm:spPr/>
      <dgm:t>
        <a:bodyPr/>
        <a:lstStyle/>
        <a:p>
          <a:endParaRPr lang="en-GB"/>
        </a:p>
      </dgm:t>
    </dgm:pt>
    <dgm:pt modelId="{D5AE4D1F-5624-4957-8556-044CCD4106B1}">
      <dgm:prSet/>
      <dgm:spPr/>
      <dgm:t>
        <a:bodyPr/>
        <a:lstStyle/>
        <a:p>
          <a:r>
            <a:rPr lang="bs-Latn-BA"/>
            <a:t>Language</a:t>
          </a:r>
          <a:endParaRPr lang="en-GB"/>
        </a:p>
      </dgm:t>
    </dgm:pt>
    <dgm:pt modelId="{9B5B4EA0-83C4-446E-B05D-3E7104953E5B}" type="parTrans" cxnId="{501E0083-921D-477B-8EDE-F3BA9BE94002}">
      <dgm:prSet/>
      <dgm:spPr/>
      <dgm:t>
        <a:bodyPr/>
        <a:lstStyle/>
        <a:p>
          <a:endParaRPr lang="en-GB"/>
        </a:p>
      </dgm:t>
    </dgm:pt>
    <dgm:pt modelId="{6792730D-FB79-4DE8-AC9A-2952B55A7B77}" type="sibTrans" cxnId="{501E0083-921D-477B-8EDE-F3BA9BE94002}">
      <dgm:prSet/>
      <dgm:spPr/>
      <dgm:t>
        <a:bodyPr/>
        <a:lstStyle/>
        <a:p>
          <a:endParaRPr lang="en-GB"/>
        </a:p>
      </dgm:t>
    </dgm:pt>
    <dgm:pt modelId="{A9F94361-1A16-4628-81F7-AFB96B256438}" type="pres">
      <dgm:prSet presAssocID="{65C3ECD6-B386-4475-AEEB-DB96EC9965EB}" presName="Name0" presStyleCnt="0">
        <dgm:presLayoutVars>
          <dgm:dir/>
          <dgm:animLvl val="lvl"/>
          <dgm:resizeHandles val="exact"/>
        </dgm:presLayoutVars>
      </dgm:prSet>
      <dgm:spPr/>
    </dgm:pt>
    <dgm:pt modelId="{D040BF89-E940-4BDD-B04A-49DDEDC2E9C5}" type="pres">
      <dgm:prSet presAssocID="{CFD72F73-1565-4F9D-815E-70BFAAB83E35}" presName="parTxOnly" presStyleLbl="node1" presStyleIdx="0" presStyleCnt="6">
        <dgm:presLayoutVars>
          <dgm:chMax val="0"/>
          <dgm:chPref val="0"/>
          <dgm:bulletEnabled val="1"/>
        </dgm:presLayoutVars>
      </dgm:prSet>
      <dgm:spPr/>
      <dgm:t>
        <a:bodyPr/>
        <a:lstStyle/>
        <a:p>
          <a:endParaRPr lang="en-US"/>
        </a:p>
      </dgm:t>
    </dgm:pt>
    <dgm:pt modelId="{9689478F-ECE0-4928-841D-D02267241C42}" type="pres">
      <dgm:prSet presAssocID="{36B02C3E-0AD4-49B0-BE83-5FC8A9BB82E2}" presName="parTxOnlySpace" presStyleCnt="0"/>
      <dgm:spPr/>
    </dgm:pt>
    <dgm:pt modelId="{82224959-2481-488C-844F-C8D6EC59FD26}" type="pres">
      <dgm:prSet presAssocID="{3472824E-4ACC-48C2-B354-834552D13713}" presName="parTxOnly" presStyleLbl="node1" presStyleIdx="1" presStyleCnt="6">
        <dgm:presLayoutVars>
          <dgm:chMax val="0"/>
          <dgm:chPref val="0"/>
          <dgm:bulletEnabled val="1"/>
        </dgm:presLayoutVars>
      </dgm:prSet>
      <dgm:spPr/>
      <dgm:t>
        <a:bodyPr/>
        <a:lstStyle/>
        <a:p>
          <a:endParaRPr lang="en-US"/>
        </a:p>
      </dgm:t>
    </dgm:pt>
    <dgm:pt modelId="{45562089-F314-4400-8F88-4D5435E71E6F}" type="pres">
      <dgm:prSet presAssocID="{C9BBAD83-509B-4074-8989-57A90273AB60}" presName="parTxOnlySpace" presStyleCnt="0"/>
      <dgm:spPr/>
    </dgm:pt>
    <dgm:pt modelId="{D44E1866-0849-444F-B113-B481EE5EC2F6}" type="pres">
      <dgm:prSet presAssocID="{EAD5B737-62E4-4475-91BF-DDA303CA2A2D}" presName="parTxOnly" presStyleLbl="node1" presStyleIdx="2" presStyleCnt="6">
        <dgm:presLayoutVars>
          <dgm:chMax val="0"/>
          <dgm:chPref val="0"/>
          <dgm:bulletEnabled val="1"/>
        </dgm:presLayoutVars>
      </dgm:prSet>
      <dgm:spPr/>
      <dgm:t>
        <a:bodyPr/>
        <a:lstStyle/>
        <a:p>
          <a:endParaRPr lang="en-US"/>
        </a:p>
      </dgm:t>
    </dgm:pt>
    <dgm:pt modelId="{AC22FDBC-F90F-47E8-B94B-58BDC9298C77}" type="pres">
      <dgm:prSet presAssocID="{8F4542F1-B6D8-42CC-9FF3-C0E0BD9088BD}" presName="parTxOnlySpace" presStyleCnt="0"/>
      <dgm:spPr/>
    </dgm:pt>
    <dgm:pt modelId="{05FB10C1-0697-4129-8DD1-721E92F69892}" type="pres">
      <dgm:prSet presAssocID="{9230A44A-6A53-4C49-9963-A2A4A79CEA81}" presName="parTxOnly" presStyleLbl="node1" presStyleIdx="3" presStyleCnt="6">
        <dgm:presLayoutVars>
          <dgm:chMax val="0"/>
          <dgm:chPref val="0"/>
          <dgm:bulletEnabled val="1"/>
        </dgm:presLayoutVars>
      </dgm:prSet>
      <dgm:spPr/>
      <dgm:t>
        <a:bodyPr/>
        <a:lstStyle/>
        <a:p>
          <a:endParaRPr lang="en-US"/>
        </a:p>
      </dgm:t>
    </dgm:pt>
    <dgm:pt modelId="{D89749E0-10D1-4B83-B79D-00F09DBFD4BB}" type="pres">
      <dgm:prSet presAssocID="{639C3A9B-6D28-4141-8D89-4960214F51E4}" presName="parTxOnlySpace" presStyleCnt="0"/>
      <dgm:spPr/>
    </dgm:pt>
    <dgm:pt modelId="{22D06FBD-C078-4AFE-9BFE-AA0E7C1603E6}" type="pres">
      <dgm:prSet presAssocID="{1B674FF8-7483-40A1-9843-273365628AEF}" presName="parTxOnly" presStyleLbl="node1" presStyleIdx="4" presStyleCnt="6">
        <dgm:presLayoutVars>
          <dgm:chMax val="0"/>
          <dgm:chPref val="0"/>
          <dgm:bulletEnabled val="1"/>
        </dgm:presLayoutVars>
      </dgm:prSet>
      <dgm:spPr/>
      <dgm:t>
        <a:bodyPr/>
        <a:lstStyle/>
        <a:p>
          <a:endParaRPr lang="en-US"/>
        </a:p>
      </dgm:t>
    </dgm:pt>
    <dgm:pt modelId="{339913FC-DC91-412F-AEE4-BBFBB236B56F}" type="pres">
      <dgm:prSet presAssocID="{C387534C-3756-4808-8978-6FEF45FC2180}" presName="parTxOnlySpace" presStyleCnt="0"/>
      <dgm:spPr/>
    </dgm:pt>
    <dgm:pt modelId="{65DDCDAA-F2D0-48C9-8C4B-2F07EB6D1789}" type="pres">
      <dgm:prSet presAssocID="{D5AE4D1F-5624-4957-8556-044CCD4106B1}" presName="parTxOnly" presStyleLbl="node1" presStyleIdx="5" presStyleCnt="6">
        <dgm:presLayoutVars>
          <dgm:chMax val="0"/>
          <dgm:chPref val="0"/>
          <dgm:bulletEnabled val="1"/>
        </dgm:presLayoutVars>
      </dgm:prSet>
      <dgm:spPr/>
      <dgm:t>
        <a:bodyPr/>
        <a:lstStyle/>
        <a:p>
          <a:endParaRPr lang="en-US"/>
        </a:p>
      </dgm:t>
    </dgm:pt>
  </dgm:ptLst>
  <dgm:cxnLst>
    <dgm:cxn modelId="{456E02CA-40E6-40E1-AAA8-EF5465D642C9}" type="presOf" srcId="{CFD72F73-1565-4F9D-815E-70BFAAB83E35}" destId="{D040BF89-E940-4BDD-B04A-49DDEDC2E9C5}" srcOrd="0" destOrd="0" presId="urn:microsoft.com/office/officeart/2005/8/layout/chevron1"/>
    <dgm:cxn modelId="{0D25F160-32AB-4B29-BE20-7BB76BA9EF0E}" type="presOf" srcId="{3472824E-4ACC-48C2-B354-834552D13713}" destId="{82224959-2481-488C-844F-C8D6EC59FD26}" srcOrd="0" destOrd="0" presId="urn:microsoft.com/office/officeart/2005/8/layout/chevron1"/>
    <dgm:cxn modelId="{0C69C3CF-40A9-4746-92E2-352B286605A7}" type="presOf" srcId="{D5AE4D1F-5624-4957-8556-044CCD4106B1}" destId="{65DDCDAA-F2D0-48C9-8C4B-2F07EB6D1789}" srcOrd="0" destOrd="0" presId="urn:microsoft.com/office/officeart/2005/8/layout/chevron1"/>
    <dgm:cxn modelId="{17A7CC99-51EE-4F96-B6C6-ABE400271FE2}" srcId="{65C3ECD6-B386-4475-AEEB-DB96EC9965EB}" destId="{CFD72F73-1565-4F9D-815E-70BFAAB83E35}" srcOrd="0" destOrd="0" parTransId="{F99D2A20-5557-4B50-B5C3-76E2A61E002D}" sibTransId="{36B02C3E-0AD4-49B0-BE83-5FC8A9BB82E2}"/>
    <dgm:cxn modelId="{661DD23F-6ECF-4F6E-A9F2-1EBEE1D95CAD}" srcId="{65C3ECD6-B386-4475-AEEB-DB96EC9965EB}" destId="{EAD5B737-62E4-4475-91BF-DDA303CA2A2D}" srcOrd="2" destOrd="0" parTransId="{6A36DC21-6F8D-455C-9B18-2AEF564E24B8}" sibTransId="{8F4542F1-B6D8-42CC-9FF3-C0E0BD9088BD}"/>
    <dgm:cxn modelId="{DEC9C991-3900-4BE3-BF52-13934A9B3F02}" srcId="{65C3ECD6-B386-4475-AEEB-DB96EC9965EB}" destId="{3472824E-4ACC-48C2-B354-834552D13713}" srcOrd="1" destOrd="0" parTransId="{64B3AD0E-0314-4421-BBE9-4A7FB80C5AD8}" sibTransId="{C9BBAD83-509B-4074-8989-57A90273AB60}"/>
    <dgm:cxn modelId="{B621D689-98C0-4DBE-A1B3-15EC61DA1C06}" srcId="{65C3ECD6-B386-4475-AEEB-DB96EC9965EB}" destId="{1B674FF8-7483-40A1-9843-273365628AEF}" srcOrd="4" destOrd="0" parTransId="{FC3BCA30-C0C1-48BD-9183-F0BE3CA525D9}" sibTransId="{C387534C-3756-4808-8978-6FEF45FC2180}"/>
    <dgm:cxn modelId="{BDD2A4CB-1B41-4ABA-B799-AEBBB905AC21}" srcId="{65C3ECD6-B386-4475-AEEB-DB96EC9965EB}" destId="{9230A44A-6A53-4C49-9963-A2A4A79CEA81}" srcOrd="3" destOrd="0" parTransId="{42358BDD-9E64-4781-8F9D-B0D1AB5A0123}" sibTransId="{639C3A9B-6D28-4141-8D89-4960214F51E4}"/>
    <dgm:cxn modelId="{64913CF2-E52B-434F-8DAF-32F834B9F054}" type="presOf" srcId="{1B674FF8-7483-40A1-9843-273365628AEF}" destId="{22D06FBD-C078-4AFE-9BFE-AA0E7C1603E6}" srcOrd="0" destOrd="0" presId="urn:microsoft.com/office/officeart/2005/8/layout/chevron1"/>
    <dgm:cxn modelId="{6D131103-FDA9-4118-9F40-25CF1BAEA58D}" type="presOf" srcId="{65C3ECD6-B386-4475-AEEB-DB96EC9965EB}" destId="{A9F94361-1A16-4628-81F7-AFB96B256438}" srcOrd="0" destOrd="0" presId="urn:microsoft.com/office/officeart/2005/8/layout/chevron1"/>
    <dgm:cxn modelId="{7055D140-A037-420E-9A06-8CD73D34FD1C}" type="presOf" srcId="{EAD5B737-62E4-4475-91BF-DDA303CA2A2D}" destId="{D44E1866-0849-444F-B113-B481EE5EC2F6}" srcOrd="0" destOrd="0" presId="urn:microsoft.com/office/officeart/2005/8/layout/chevron1"/>
    <dgm:cxn modelId="{501E0083-921D-477B-8EDE-F3BA9BE94002}" srcId="{65C3ECD6-B386-4475-AEEB-DB96EC9965EB}" destId="{D5AE4D1F-5624-4957-8556-044CCD4106B1}" srcOrd="5" destOrd="0" parTransId="{9B5B4EA0-83C4-446E-B05D-3E7104953E5B}" sibTransId="{6792730D-FB79-4DE8-AC9A-2952B55A7B77}"/>
    <dgm:cxn modelId="{F846752C-5CBE-4C57-A6D0-AF030C731500}" type="presOf" srcId="{9230A44A-6A53-4C49-9963-A2A4A79CEA81}" destId="{05FB10C1-0697-4129-8DD1-721E92F69892}" srcOrd="0" destOrd="0" presId="urn:microsoft.com/office/officeart/2005/8/layout/chevron1"/>
    <dgm:cxn modelId="{0D1A2943-DF13-414F-9145-741628C9FC07}" type="presParOf" srcId="{A9F94361-1A16-4628-81F7-AFB96B256438}" destId="{D040BF89-E940-4BDD-B04A-49DDEDC2E9C5}" srcOrd="0" destOrd="0" presId="urn:microsoft.com/office/officeart/2005/8/layout/chevron1"/>
    <dgm:cxn modelId="{59AF662A-5DB3-4DC4-B199-88071B12D0F8}" type="presParOf" srcId="{A9F94361-1A16-4628-81F7-AFB96B256438}" destId="{9689478F-ECE0-4928-841D-D02267241C42}" srcOrd="1" destOrd="0" presId="urn:microsoft.com/office/officeart/2005/8/layout/chevron1"/>
    <dgm:cxn modelId="{E909A243-55EA-481C-9622-AA84C3584EC6}" type="presParOf" srcId="{A9F94361-1A16-4628-81F7-AFB96B256438}" destId="{82224959-2481-488C-844F-C8D6EC59FD26}" srcOrd="2" destOrd="0" presId="urn:microsoft.com/office/officeart/2005/8/layout/chevron1"/>
    <dgm:cxn modelId="{77221385-D3C3-4D44-9DAF-858300439115}" type="presParOf" srcId="{A9F94361-1A16-4628-81F7-AFB96B256438}" destId="{45562089-F314-4400-8F88-4D5435E71E6F}" srcOrd="3" destOrd="0" presId="urn:microsoft.com/office/officeart/2005/8/layout/chevron1"/>
    <dgm:cxn modelId="{E7BED26D-EE95-429A-8796-CE0BACA57A49}" type="presParOf" srcId="{A9F94361-1A16-4628-81F7-AFB96B256438}" destId="{D44E1866-0849-444F-B113-B481EE5EC2F6}" srcOrd="4" destOrd="0" presId="urn:microsoft.com/office/officeart/2005/8/layout/chevron1"/>
    <dgm:cxn modelId="{1B6BE4CC-6EC2-4074-8D07-539450114CFD}" type="presParOf" srcId="{A9F94361-1A16-4628-81F7-AFB96B256438}" destId="{AC22FDBC-F90F-47E8-B94B-58BDC9298C77}" srcOrd="5" destOrd="0" presId="urn:microsoft.com/office/officeart/2005/8/layout/chevron1"/>
    <dgm:cxn modelId="{E0271B42-D686-4D4F-9F8D-6FAF07F48ADE}" type="presParOf" srcId="{A9F94361-1A16-4628-81F7-AFB96B256438}" destId="{05FB10C1-0697-4129-8DD1-721E92F69892}" srcOrd="6" destOrd="0" presId="urn:microsoft.com/office/officeart/2005/8/layout/chevron1"/>
    <dgm:cxn modelId="{15AEC48B-822C-4510-B7DF-0400B48A3934}" type="presParOf" srcId="{A9F94361-1A16-4628-81F7-AFB96B256438}" destId="{D89749E0-10D1-4B83-B79D-00F09DBFD4BB}" srcOrd="7" destOrd="0" presId="urn:microsoft.com/office/officeart/2005/8/layout/chevron1"/>
    <dgm:cxn modelId="{19CEB413-A8FC-40CE-AD62-A322F5560A34}" type="presParOf" srcId="{A9F94361-1A16-4628-81F7-AFB96B256438}" destId="{22D06FBD-C078-4AFE-9BFE-AA0E7C1603E6}" srcOrd="8" destOrd="0" presId="urn:microsoft.com/office/officeart/2005/8/layout/chevron1"/>
    <dgm:cxn modelId="{77800FEB-98A8-4284-8522-36C276F24A50}" type="presParOf" srcId="{A9F94361-1A16-4628-81F7-AFB96B256438}" destId="{339913FC-DC91-412F-AEE4-BBFBB236B56F}" srcOrd="9" destOrd="0" presId="urn:microsoft.com/office/officeart/2005/8/layout/chevron1"/>
    <dgm:cxn modelId="{F3B17903-6134-4079-B0EE-B66AD68B5A22}" type="presParOf" srcId="{A9F94361-1A16-4628-81F7-AFB96B256438}" destId="{65DDCDAA-F2D0-48C9-8C4B-2F07EB6D1789}" srcOrd="10" destOrd="0" presId="urn:microsoft.com/office/officeart/2005/8/layout/chevron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EE1B73-0B81-455D-A5AC-C6CB9C9E7DBD}">
      <dsp:nvSpPr>
        <dsp:cNvPr id="0" name=""/>
        <dsp:cNvSpPr/>
      </dsp:nvSpPr>
      <dsp:spPr>
        <a:xfrm>
          <a:off x="43241" y="184664"/>
          <a:ext cx="2724548" cy="851421"/>
        </a:xfrm>
        <a:prstGeom prst="rect">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6696" tIns="64770" rIns="64770" bIns="64770" numCol="1" spcCol="1270" anchor="ctr" anchorCtr="0">
          <a:noAutofit/>
        </a:bodyPr>
        <a:lstStyle/>
        <a:p>
          <a:pPr lvl="0" algn="l" defTabSz="755650">
            <a:lnSpc>
              <a:spcPct val="90000"/>
            </a:lnSpc>
            <a:spcBef>
              <a:spcPct val="0"/>
            </a:spcBef>
            <a:spcAft>
              <a:spcPct val="35000"/>
            </a:spcAft>
          </a:pPr>
          <a:r>
            <a:rPr lang="en-GB" sz="1700" kern="1200"/>
            <a:t>Formalize a cooperation agreement</a:t>
          </a:r>
        </a:p>
      </dsp:txBody>
      <dsp:txXfrm>
        <a:off x="43241" y="184664"/>
        <a:ext cx="2724548" cy="851421"/>
      </dsp:txXfrm>
    </dsp:sp>
    <dsp:sp modelId="{6678B543-B2B3-4AEA-BAB8-09A93BCA1C13}">
      <dsp:nvSpPr>
        <dsp:cNvPr id="0" name=""/>
        <dsp:cNvSpPr/>
      </dsp:nvSpPr>
      <dsp:spPr>
        <a:xfrm>
          <a:off x="87809" y="319866"/>
          <a:ext cx="430612" cy="560729"/>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25000" r="-2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407389F-9FC7-49BC-9DC5-E2032FB7F080}">
      <dsp:nvSpPr>
        <dsp:cNvPr id="0" name=""/>
        <dsp:cNvSpPr/>
      </dsp:nvSpPr>
      <dsp:spPr>
        <a:xfrm>
          <a:off x="2950292" y="206717"/>
          <a:ext cx="2724548" cy="851421"/>
        </a:xfrm>
        <a:prstGeom prst="rect">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6696" tIns="64770" rIns="64770" bIns="64770" numCol="1" spcCol="1270" anchor="ctr" anchorCtr="0">
          <a:noAutofit/>
        </a:bodyPr>
        <a:lstStyle/>
        <a:p>
          <a:pPr lvl="0" algn="l" defTabSz="755650">
            <a:lnSpc>
              <a:spcPct val="90000"/>
            </a:lnSpc>
            <a:spcBef>
              <a:spcPct val="0"/>
            </a:spcBef>
            <a:spcAft>
              <a:spcPct val="35000"/>
            </a:spcAft>
          </a:pPr>
          <a:r>
            <a:rPr lang="en-GB" sz="1700" kern="1200"/>
            <a:t>DEVELOPING THE INTERN JOB DESCRIPTION</a:t>
          </a:r>
        </a:p>
      </dsp:txBody>
      <dsp:txXfrm>
        <a:off x="2950292" y="206717"/>
        <a:ext cx="2724548" cy="851421"/>
      </dsp:txXfrm>
    </dsp:sp>
    <dsp:sp modelId="{9AAC478B-A723-4B7D-920B-5F6F71A74D12}">
      <dsp:nvSpPr>
        <dsp:cNvPr id="0" name=""/>
        <dsp:cNvSpPr/>
      </dsp:nvSpPr>
      <dsp:spPr>
        <a:xfrm>
          <a:off x="2967804" y="301349"/>
          <a:ext cx="422715" cy="736238"/>
        </a:xfrm>
        <a:prstGeom prst="rect">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25000" r="-2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4C74C53-1BC3-445A-B3C3-CBEB06FC04B9}">
      <dsp:nvSpPr>
        <dsp:cNvPr id="0" name=""/>
        <dsp:cNvSpPr/>
      </dsp:nvSpPr>
      <dsp:spPr>
        <a:xfrm>
          <a:off x="47729" y="1155579"/>
          <a:ext cx="2724548" cy="851421"/>
        </a:xfrm>
        <a:prstGeom prst="rect">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6696" tIns="64770" rIns="64770" bIns="64770" numCol="1" spcCol="1270" anchor="ctr" anchorCtr="0">
          <a:noAutofit/>
        </a:bodyPr>
        <a:lstStyle/>
        <a:p>
          <a:pPr lvl="0" algn="l" defTabSz="755650">
            <a:lnSpc>
              <a:spcPct val="90000"/>
            </a:lnSpc>
            <a:spcBef>
              <a:spcPct val="0"/>
            </a:spcBef>
            <a:spcAft>
              <a:spcPct val="35000"/>
            </a:spcAft>
          </a:pPr>
          <a:r>
            <a:rPr lang="en-GB" sz="1700" kern="1200"/>
            <a:t>RECRUITING INTERNS</a:t>
          </a:r>
        </a:p>
      </dsp:txBody>
      <dsp:txXfrm>
        <a:off x="47729" y="1155579"/>
        <a:ext cx="2724548" cy="851421"/>
      </dsp:txXfrm>
    </dsp:sp>
    <dsp:sp modelId="{33B489E4-C5A2-4CC4-ACD4-DE6E6B29E7FE}">
      <dsp:nvSpPr>
        <dsp:cNvPr id="0" name=""/>
        <dsp:cNvSpPr/>
      </dsp:nvSpPr>
      <dsp:spPr>
        <a:xfrm>
          <a:off x="101368" y="1284040"/>
          <a:ext cx="454023" cy="626206"/>
        </a:xfrm>
        <a:prstGeom prst="rect">
          <a:avLst/>
        </a:prstGeom>
        <a:blipFill>
          <a:blip xmlns:r="http://schemas.openxmlformats.org/officeDocument/2006/relationships" r:embed="rId3">
            <a:extLst>
              <a:ext uri="{BEBA8EAE-BF5A-486C-A8C5-ECC9F3942E4B}">
                <a14:imgProps xmlns:a14="http://schemas.microsoft.com/office/drawing/2010/main">
                  <a14:imgLayer r:embed="rId4">
                    <a14:imgEffect>
                      <a14:artisticLightScreen/>
                    </a14:imgEffect>
                  </a14:imgLayer>
                </a14:imgProps>
              </a:ext>
              <a:ext uri="{28A0092B-C50C-407E-A947-70E740481C1C}">
                <a14:useLocalDpi xmlns:a14="http://schemas.microsoft.com/office/drawing/2010/main" val="0"/>
              </a:ext>
            </a:extLst>
          </a:blip>
          <a:srcRect/>
          <a:stretch>
            <a:fillRect l="-25000" r="-2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1B18603-7D95-4325-8AA6-992B9B75E55D}">
      <dsp:nvSpPr>
        <dsp:cNvPr id="0" name=""/>
        <dsp:cNvSpPr/>
      </dsp:nvSpPr>
      <dsp:spPr>
        <a:xfrm>
          <a:off x="2957509" y="1155579"/>
          <a:ext cx="2724548" cy="851421"/>
        </a:xfrm>
        <a:prstGeom prst="rect">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6696" tIns="64770" rIns="64770" bIns="64770" numCol="1" spcCol="1270" anchor="ctr" anchorCtr="0">
          <a:noAutofit/>
        </a:bodyPr>
        <a:lstStyle/>
        <a:p>
          <a:pPr lvl="0" algn="l" defTabSz="755650">
            <a:lnSpc>
              <a:spcPct val="90000"/>
            </a:lnSpc>
            <a:spcBef>
              <a:spcPct val="0"/>
            </a:spcBef>
            <a:spcAft>
              <a:spcPct val="35000"/>
            </a:spcAft>
          </a:pPr>
          <a:r>
            <a:rPr lang="en-GB" sz="1700" kern="1200"/>
            <a:t>THE SELECTION PROCESS</a:t>
          </a:r>
        </a:p>
      </dsp:txBody>
      <dsp:txXfrm>
        <a:off x="2957509" y="1155579"/>
        <a:ext cx="2724548" cy="851421"/>
      </dsp:txXfrm>
    </dsp:sp>
    <dsp:sp modelId="{7A3578B6-AFCA-4A83-B270-38A96E68727F}">
      <dsp:nvSpPr>
        <dsp:cNvPr id="0" name=""/>
        <dsp:cNvSpPr/>
      </dsp:nvSpPr>
      <dsp:spPr>
        <a:xfrm>
          <a:off x="3006765" y="1278971"/>
          <a:ext cx="428174" cy="637845"/>
        </a:xfrm>
        <a:prstGeom prst="rect">
          <a:avLst/>
        </a:prstGeom>
        <a:blipFill>
          <a:blip xmlns:r="http://schemas.openxmlformats.org/officeDocument/2006/relationships" r:embed="rId5">
            <a:extLst>
              <a:ext uri="{28A0092B-C50C-407E-A947-70E740481C1C}">
                <a14:useLocalDpi xmlns:a14="http://schemas.microsoft.com/office/drawing/2010/main" val="0"/>
              </a:ext>
            </a:extLst>
          </a:blip>
          <a:srcRect/>
          <a:stretch>
            <a:fillRect l="-25000" r="-2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0BBB1BA-7591-40DA-A615-1F325D6ACB8E}">
      <dsp:nvSpPr>
        <dsp:cNvPr id="0" name=""/>
        <dsp:cNvSpPr/>
      </dsp:nvSpPr>
      <dsp:spPr>
        <a:xfrm>
          <a:off x="42039" y="2104441"/>
          <a:ext cx="2724548" cy="851421"/>
        </a:xfrm>
        <a:prstGeom prst="rect">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6696" tIns="64770" rIns="64770" bIns="64770" numCol="1" spcCol="1270" anchor="ctr" anchorCtr="0">
          <a:noAutofit/>
        </a:bodyPr>
        <a:lstStyle/>
        <a:p>
          <a:pPr lvl="0" algn="l" defTabSz="755650">
            <a:lnSpc>
              <a:spcPct val="90000"/>
            </a:lnSpc>
            <a:spcBef>
              <a:spcPct val="0"/>
            </a:spcBef>
            <a:spcAft>
              <a:spcPct val="35000"/>
            </a:spcAft>
          </a:pPr>
          <a:r>
            <a:rPr lang="en-GB" sz="1700" kern="1200"/>
            <a:t>MANAGING INTERNS</a:t>
          </a:r>
        </a:p>
      </dsp:txBody>
      <dsp:txXfrm>
        <a:off x="42039" y="2104441"/>
        <a:ext cx="2724548" cy="851421"/>
      </dsp:txXfrm>
    </dsp:sp>
    <dsp:sp modelId="{8E3B1163-D763-4980-BB23-8B1028315521}">
      <dsp:nvSpPr>
        <dsp:cNvPr id="0" name=""/>
        <dsp:cNvSpPr/>
      </dsp:nvSpPr>
      <dsp:spPr>
        <a:xfrm>
          <a:off x="109546" y="2262681"/>
          <a:ext cx="434784" cy="574676"/>
        </a:xfrm>
        <a:prstGeom prst="rect">
          <a:avLst/>
        </a:prstGeom>
        <a:blipFill>
          <a:blip xmlns:r="http://schemas.openxmlformats.org/officeDocument/2006/relationships" r:embed="rId6">
            <a:extLst>
              <a:ext uri="{28A0092B-C50C-407E-A947-70E740481C1C}">
                <a14:useLocalDpi xmlns:a14="http://schemas.microsoft.com/office/drawing/2010/main" val="0"/>
              </a:ext>
              <a:ext uri="{96DAC541-7B7A-43D3-8B79-37D633B846F1}">
                <asvg:svgBlip xmlns:asvg="http://schemas.microsoft.com/office/drawing/2016/SVG/main" xmlns="" r:embed="rId7"/>
              </a:ext>
            </a:extLst>
          </a:blip>
          <a:srcRect/>
          <a:stretch>
            <a:fillRect l="-3000" r="-3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1AFD6EF-3779-488D-9CB0-970657D4097E}">
      <dsp:nvSpPr>
        <dsp:cNvPr id="0" name=""/>
        <dsp:cNvSpPr/>
      </dsp:nvSpPr>
      <dsp:spPr>
        <a:xfrm>
          <a:off x="2953580" y="2104441"/>
          <a:ext cx="2724548" cy="851421"/>
        </a:xfrm>
        <a:prstGeom prst="rect">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6696" tIns="64770" rIns="64770" bIns="64770" numCol="1" spcCol="1270" anchor="ctr" anchorCtr="0">
          <a:noAutofit/>
        </a:bodyPr>
        <a:lstStyle/>
        <a:p>
          <a:pPr lvl="0" algn="l" defTabSz="755650">
            <a:lnSpc>
              <a:spcPct val="90000"/>
            </a:lnSpc>
            <a:spcBef>
              <a:spcPct val="0"/>
            </a:spcBef>
            <a:spcAft>
              <a:spcPct val="35000"/>
            </a:spcAft>
          </a:pPr>
          <a:r>
            <a:rPr lang="en-GB" sz="1700" kern="1200"/>
            <a:t>EVALUATING PERFORMANCE</a:t>
          </a:r>
        </a:p>
      </dsp:txBody>
      <dsp:txXfrm>
        <a:off x="2953580" y="2104441"/>
        <a:ext cx="2724548" cy="851421"/>
      </dsp:txXfrm>
    </dsp:sp>
    <dsp:sp modelId="{0DBE8AE8-E870-4794-B51E-76FA65A6C4A7}">
      <dsp:nvSpPr>
        <dsp:cNvPr id="0" name=""/>
        <dsp:cNvSpPr/>
      </dsp:nvSpPr>
      <dsp:spPr>
        <a:xfrm>
          <a:off x="2940593" y="2262314"/>
          <a:ext cx="431697" cy="534553"/>
        </a:xfrm>
        <a:prstGeom prst="rect">
          <a:avLst/>
        </a:prstGeom>
        <a:blipFill>
          <a:blip xmlns:r="http://schemas.openxmlformats.org/officeDocument/2006/relationships" r:embed="rId8">
            <a:extLst>
              <a:ext uri="{BEBA8EAE-BF5A-486C-A8C5-ECC9F3942E4B}">
                <a14:imgProps xmlns:a14="http://schemas.microsoft.com/office/drawing/2010/main">
                  <a14:imgLayer r:embed="rId9">
                    <a14:imgEffect>
                      <a14:artisticPaintBrush/>
                    </a14:imgEffect>
                  </a14:imgLayer>
                </a14:imgProps>
              </a:ext>
              <a:ext uri="{28A0092B-C50C-407E-A947-70E740481C1C}">
                <a14:useLocalDpi xmlns:a14="http://schemas.microsoft.com/office/drawing/2010/main" val="0"/>
              </a:ext>
            </a:extLst>
          </a:blip>
          <a:srcRect/>
          <a:stretch>
            <a:fillRect l="-25000" r="-25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040BF89-E940-4BDD-B04A-49DDEDC2E9C5}">
      <dsp:nvSpPr>
        <dsp:cNvPr id="0" name=""/>
        <dsp:cNvSpPr/>
      </dsp:nvSpPr>
      <dsp:spPr>
        <a:xfrm>
          <a:off x="2906" y="0"/>
          <a:ext cx="1081194" cy="429260"/>
        </a:xfrm>
        <a:prstGeom prst="chevron">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r>
            <a:rPr lang="bs-Latn-BA" sz="900" kern="1200"/>
            <a:t>Project Code</a:t>
          </a:r>
          <a:endParaRPr lang="en-GB" sz="900" kern="1200"/>
        </a:p>
      </dsp:txBody>
      <dsp:txXfrm>
        <a:off x="217536" y="0"/>
        <a:ext cx="651934" cy="429260"/>
      </dsp:txXfrm>
    </dsp:sp>
    <dsp:sp modelId="{82224959-2481-488C-844F-C8D6EC59FD26}">
      <dsp:nvSpPr>
        <dsp:cNvPr id="0" name=""/>
        <dsp:cNvSpPr/>
      </dsp:nvSpPr>
      <dsp:spPr>
        <a:xfrm>
          <a:off x="975981" y="0"/>
          <a:ext cx="1081194" cy="429260"/>
        </a:xfrm>
        <a:prstGeom prst="chevron">
          <a:avLst/>
        </a:prstGeom>
        <a:solidFill>
          <a:schemeClr val="accent2">
            <a:hueOff val="936304"/>
            <a:satOff val="-1168"/>
            <a:lumOff val="27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r>
            <a:rPr lang="bs-Latn-BA" sz="900" kern="1200"/>
            <a:t>Activity Number</a:t>
          </a:r>
          <a:endParaRPr lang="en-GB" sz="900" kern="1200"/>
        </a:p>
      </dsp:txBody>
      <dsp:txXfrm>
        <a:off x="1190611" y="0"/>
        <a:ext cx="651934" cy="429260"/>
      </dsp:txXfrm>
    </dsp:sp>
    <dsp:sp modelId="{D44E1866-0849-444F-B113-B481EE5EC2F6}">
      <dsp:nvSpPr>
        <dsp:cNvPr id="0" name=""/>
        <dsp:cNvSpPr/>
      </dsp:nvSpPr>
      <dsp:spPr>
        <a:xfrm>
          <a:off x="1949055" y="0"/>
          <a:ext cx="1081194" cy="429260"/>
        </a:xfrm>
        <a:prstGeom prst="chevron">
          <a:avLst/>
        </a:prstGeom>
        <a:solidFill>
          <a:schemeClr val="accent2">
            <a:hueOff val="1872608"/>
            <a:satOff val="-2336"/>
            <a:lumOff val="54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r>
            <a:rPr lang="bs-Latn-BA" sz="900" kern="1200"/>
            <a:t>Document Type</a:t>
          </a:r>
          <a:endParaRPr lang="en-GB" sz="900" kern="1200"/>
        </a:p>
      </dsp:txBody>
      <dsp:txXfrm>
        <a:off x="2163685" y="0"/>
        <a:ext cx="651934" cy="429260"/>
      </dsp:txXfrm>
    </dsp:sp>
    <dsp:sp modelId="{05FB10C1-0697-4129-8DD1-721E92F69892}">
      <dsp:nvSpPr>
        <dsp:cNvPr id="0" name=""/>
        <dsp:cNvSpPr/>
      </dsp:nvSpPr>
      <dsp:spPr>
        <a:xfrm>
          <a:off x="2922130" y="0"/>
          <a:ext cx="1081194" cy="429260"/>
        </a:xfrm>
        <a:prstGeom prst="chevron">
          <a:avLst/>
        </a:prstGeom>
        <a:solidFill>
          <a:schemeClr val="accent2">
            <a:hueOff val="2808911"/>
            <a:satOff val="-3503"/>
            <a:lumOff val="82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r>
            <a:rPr lang="bs-Latn-BA" sz="900" kern="1200"/>
            <a:t>Description</a:t>
          </a:r>
          <a:endParaRPr lang="en-GB" sz="900" kern="1200"/>
        </a:p>
      </dsp:txBody>
      <dsp:txXfrm>
        <a:off x="3136760" y="0"/>
        <a:ext cx="651934" cy="429260"/>
      </dsp:txXfrm>
    </dsp:sp>
    <dsp:sp modelId="{22D06FBD-C078-4AFE-9BFE-AA0E7C1603E6}">
      <dsp:nvSpPr>
        <dsp:cNvPr id="0" name=""/>
        <dsp:cNvSpPr/>
      </dsp:nvSpPr>
      <dsp:spPr>
        <a:xfrm>
          <a:off x="3895204" y="0"/>
          <a:ext cx="1081194" cy="429260"/>
        </a:xfrm>
        <a:prstGeom prst="chevron">
          <a:avLst/>
        </a:prstGeom>
        <a:solidFill>
          <a:schemeClr val="accent2">
            <a:hueOff val="3745215"/>
            <a:satOff val="-4671"/>
            <a:lumOff val="109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r>
            <a:rPr lang="bs-Latn-BA" sz="900" kern="1200"/>
            <a:t>Issue number</a:t>
          </a:r>
          <a:endParaRPr lang="en-GB" sz="900" kern="1200"/>
        </a:p>
      </dsp:txBody>
      <dsp:txXfrm>
        <a:off x="4109834" y="0"/>
        <a:ext cx="651934" cy="429260"/>
      </dsp:txXfrm>
    </dsp:sp>
    <dsp:sp modelId="{65DDCDAA-F2D0-48C9-8C4B-2F07EB6D1789}">
      <dsp:nvSpPr>
        <dsp:cNvPr id="0" name=""/>
        <dsp:cNvSpPr/>
      </dsp:nvSpPr>
      <dsp:spPr>
        <a:xfrm>
          <a:off x="4868279" y="0"/>
          <a:ext cx="1081194" cy="429260"/>
        </a:xfrm>
        <a:prstGeom prst="chevron">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lvl="0" algn="ctr" defTabSz="400050">
            <a:lnSpc>
              <a:spcPct val="90000"/>
            </a:lnSpc>
            <a:spcBef>
              <a:spcPct val="0"/>
            </a:spcBef>
            <a:spcAft>
              <a:spcPct val="35000"/>
            </a:spcAft>
          </a:pPr>
          <a:r>
            <a:rPr lang="bs-Latn-BA" sz="900" kern="1200"/>
            <a:t>Language</a:t>
          </a:r>
          <a:endParaRPr lang="en-GB" sz="900" kern="1200"/>
        </a:p>
      </dsp:txBody>
      <dsp:txXfrm>
        <a:off x="5082909" y="0"/>
        <a:ext cx="651934" cy="429260"/>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2022-02-23T00:00:00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3F2126381553441AAB919CB53585984" ma:contentTypeVersion="13" ma:contentTypeDescription="Create a new document." ma:contentTypeScope="" ma:versionID="7dc547fa823923a9cc674954ab6eebe8">
  <xsd:schema xmlns:xsd="http://www.w3.org/2001/XMLSchema" xmlns:xs="http://www.w3.org/2001/XMLSchema" xmlns:p="http://schemas.microsoft.com/office/2006/metadata/properties" xmlns:ns3="ac8e30ca-65e9-4041-b86a-4d1b6d416c33" xmlns:ns4="fb6f0dd5-0349-47c8-82f6-4423e71a7ac1" targetNamespace="http://schemas.microsoft.com/office/2006/metadata/properties" ma:root="true" ma:fieldsID="fffdfc0596f9936dd4de09fe26bd1462" ns3:_="" ns4:_="">
    <xsd:import namespace="ac8e30ca-65e9-4041-b86a-4d1b6d416c33"/>
    <xsd:import namespace="fb6f0dd5-0349-47c8-82f6-4423e71a7ac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8e30ca-65e9-4041-b86a-4d1b6d416c33"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6f0dd5-0349-47c8-82f6-4423e71a7ac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A7BDE98-C122-4D59-B1B7-6278FB686C0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587AC3-0155-4163-803A-B5F8AECFBE80}">
  <ds:schemaRefs>
    <ds:schemaRef ds:uri="http://schemas.microsoft.com/sharepoint/v3/contenttype/forms"/>
  </ds:schemaRefs>
</ds:datastoreItem>
</file>

<file path=customXml/itemProps4.xml><?xml version="1.0" encoding="utf-8"?>
<ds:datastoreItem xmlns:ds="http://schemas.openxmlformats.org/officeDocument/2006/customXml" ds:itemID="{74C3BC17-2969-4F85-9A51-24741F0641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8e30ca-65e9-4041-b86a-4d1b6d416c33"/>
    <ds:schemaRef ds:uri="fb6f0dd5-0349-47c8-82f6-4423e71a7ac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8FD9923-C36E-4170-863E-9A959431DA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57073</Words>
  <Characters>325318</Characters>
  <Application>Microsoft Office Word</Application>
  <DocSecurity>0</DocSecurity>
  <Lines>2710</Lines>
  <Paragraphs>763</Paragraphs>
  <ScaleCrop>false</ScaleCrop>
  <HeadingPairs>
    <vt:vector size="2" baseType="variant">
      <vt:variant>
        <vt:lpstr>Title</vt:lpstr>
      </vt:variant>
      <vt:variant>
        <vt:i4>1</vt:i4>
      </vt:variant>
    </vt:vector>
  </HeadingPairs>
  <TitlesOfParts>
    <vt:vector size="1" baseType="lpstr">
      <vt:lpstr>Serbia Local Infrastructure and Institutional Development Project (P174251)</vt:lpstr>
    </vt:vector>
  </TitlesOfParts>
  <Company>The World Bank Group</Company>
  <LinksUpToDate>false</LinksUpToDate>
  <CharactersWithSpaces>381628</CharactersWithSpaces>
  <SharedDoc>false</SharedDoc>
  <HLinks>
    <vt:vector size="378" baseType="variant">
      <vt:variant>
        <vt:i4>131080</vt:i4>
      </vt:variant>
      <vt:variant>
        <vt:i4>366</vt:i4>
      </vt:variant>
      <vt:variant>
        <vt:i4>0</vt:i4>
      </vt:variant>
      <vt:variant>
        <vt:i4>5</vt:i4>
      </vt:variant>
      <vt:variant>
        <vt:lpwstr>http://www.worldbank.org/html/opr/procure/debarr.html</vt:lpwstr>
      </vt:variant>
      <vt:variant>
        <vt:lpwstr/>
      </vt:variant>
      <vt:variant>
        <vt:i4>2031683</vt:i4>
      </vt:variant>
      <vt:variant>
        <vt:i4>363</vt:i4>
      </vt:variant>
      <vt:variant>
        <vt:i4>0</vt:i4>
      </vt:variant>
      <vt:variant>
        <vt:i4>5</vt:i4>
      </vt:variant>
      <vt:variant>
        <vt:lpwstr>http://projportal.worldbank.org/servlet/secmain?menuPK=109012&amp;theSitePK=213348&amp;pagePK=112935&amp;piPK=69345&amp;PSPID=P162043</vt:lpwstr>
      </vt:variant>
      <vt:variant>
        <vt:lpwstr/>
      </vt:variant>
      <vt:variant>
        <vt:i4>2031683</vt:i4>
      </vt:variant>
      <vt:variant>
        <vt:i4>360</vt:i4>
      </vt:variant>
      <vt:variant>
        <vt:i4>0</vt:i4>
      </vt:variant>
      <vt:variant>
        <vt:i4>5</vt:i4>
      </vt:variant>
      <vt:variant>
        <vt:lpwstr>http://projportal.worldbank.org/servlet/secmain?menuPK=109012&amp;theSitePK=213348&amp;pagePK=112935&amp;piPK=69345&amp;PSPID=P162043</vt:lpwstr>
      </vt:variant>
      <vt:variant>
        <vt:lpwstr/>
      </vt:variant>
      <vt:variant>
        <vt:i4>1638472</vt:i4>
      </vt:variant>
      <vt:variant>
        <vt:i4>357</vt:i4>
      </vt:variant>
      <vt:variant>
        <vt:i4>0</vt:i4>
      </vt:variant>
      <vt:variant>
        <vt:i4>5</vt:i4>
      </vt:variant>
      <vt:variant>
        <vt:lpwstr>http://projportal.worldbank.org/servlet/secmain?menuPK=109012&amp;theSitePK=213348&amp;pagePK=112935&amp;piPK=69345&amp;PSPID=P149990</vt:lpwstr>
      </vt:variant>
      <vt:variant>
        <vt:lpwstr/>
      </vt:variant>
      <vt:variant>
        <vt:i4>1048630</vt:i4>
      </vt:variant>
      <vt:variant>
        <vt:i4>350</vt:i4>
      </vt:variant>
      <vt:variant>
        <vt:i4>0</vt:i4>
      </vt:variant>
      <vt:variant>
        <vt:i4>5</vt:i4>
      </vt:variant>
      <vt:variant>
        <vt:lpwstr/>
      </vt:variant>
      <vt:variant>
        <vt:lpwstr>_Toc447615402</vt:lpwstr>
      </vt:variant>
      <vt:variant>
        <vt:i4>1048630</vt:i4>
      </vt:variant>
      <vt:variant>
        <vt:i4>344</vt:i4>
      </vt:variant>
      <vt:variant>
        <vt:i4>0</vt:i4>
      </vt:variant>
      <vt:variant>
        <vt:i4>5</vt:i4>
      </vt:variant>
      <vt:variant>
        <vt:lpwstr/>
      </vt:variant>
      <vt:variant>
        <vt:lpwstr>_Toc447615401</vt:lpwstr>
      </vt:variant>
      <vt:variant>
        <vt:i4>1048630</vt:i4>
      </vt:variant>
      <vt:variant>
        <vt:i4>338</vt:i4>
      </vt:variant>
      <vt:variant>
        <vt:i4>0</vt:i4>
      </vt:variant>
      <vt:variant>
        <vt:i4>5</vt:i4>
      </vt:variant>
      <vt:variant>
        <vt:lpwstr/>
      </vt:variant>
      <vt:variant>
        <vt:lpwstr>_Toc447615400</vt:lpwstr>
      </vt:variant>
      <vt:variant>
        <vt:i4>1638449</vt:i4>
      </vt:variant>
      <vt:variant>
        <vt:i4>332</vt:i4>
      </vt:variant>
      <vt:variant>
        <vt:i4>0</vt:i4>
      </vt:variant>
      <vt:variant>
        <vt:i4>5</vt:i4>
      </vt:variant>
      <vt:variant>
        <vt:lpwstr/>
      </vt:variant>
      <vt:variant>
        <vt:lpwstr>_Toc447615399</vt:lpwstr>
      </vt:variant>
      <vt:variant>
        <vt:i4>1638449</vt:i4>
      </vt:variant>
      <vt:variant>
        <vt:i4>326</vt:i4>
      </vt:variant>
      <vt:variant>
        <vt:i4>0</vt:i4>
      </vt:variant>
      <vt:variant>
        <vt:i4>5</vt:i4>
      </vt:variant>
      <vt:variant>
        <vt:lpwstr/>
      </vt:variant>
      <vt:variant>
        <vt:lpwstr>_Toc447615398</vt:lpwstr>
      </vt:variant>
      <vt:variant>
        <vt:i4>1638449</vt:i4>
      </vt:variant>
      <vt:variant>
        <vt:i4>320</vt:i4>
      </vt:variant>
      <vt:variant>
        <vt:i4>0</vt:i4>
      </vt:variant>
      <vt:variant>
        <vt:i4>5</vt:i4>
      </vt:variant>
      <vt:variant>
        <vt:lpwstr/>
      </vt:variant>
      <vt:variant>
        <vt:lpwstr>_Toc447615397</vt:lpwstr>
      </vt:variant>
      <vt:variant>
        <vt:i4>1638449</vt:i4>
      </vt:variant>
      <vt:variant>
        <vt:i4>314</vt:i4>
      </vt:variant>
      <vt:variant>
        <vt:i4>0</vt:i4>
      </vt:variant>
      <vt:variant>
        <vt:i4>5</vt:i4>
      </vt:variant>
      <vt:variant>
        <vt:lpwstr/>
      </vt:variant>
      <vt:variant>
        <vt:lpwstr>_Toc447615396</vt:lpwstr>
      </vt:variant>
      <vt:variant>
        <vt:i4>1638449</vt:i4>
      </vt:variant>
      <vt:variant>
        <vt:i4>308</vt:i4>
      </vt:variant>
      <vt:variant>
        <vt:i4>0</vt:i4>
      </vt:variant>
      <vt:variant>
        <vt:i4>5</vt:i4>
      </vt:variant>
      <vt:variant>
        <vt:lpwstr/>
      </vt:variant>
      <vt:variant>
        <vt:lpwstr>_Toc447615395</vt:lpwstr>
      </vt:variant>
      <vt:variant>
        <vt:i4>1638449</vt:i4>
      </vt:variant>
      <vt:variant>
        <vt:i4>302</vt:i4>
      </vt:variant>
      <vt:variant>
        <vt:i4>0</vt:i4>
      </vt:variant>
      <vt:variant>
        <vt:i4>5</vt:i4>
      </vt:variant>
      <vt:variant>
        <vt:lpwstr/>
      </vt:variant>
      <vt:variant>
        <vt:lpwstr>_Toc447615394</vt:lpwstr>
      </vt:variant>
      <vt:variant>
        <vt:i4>1638449</vt:i4>
      </vt:variant>
      <vt:variant>
        <vt:i4>296</vt:i4>
      </vt:variant>
      <vt:variant>
        <vt:i4>0</vt:i4>
      </vt:variant>
      <vt:variant>
        <vt:i4>5</vt:i4>
      </vt:variant>
      <vt:variant>
        <vt:lpwstr/>
      </vt:variant>
      <vt:variant>
        <vt:lpwstr>_Toc447615393</vt:lpwstr>
      </vt:variant>
      <vt:variant>
        <vt:i4>1638449</vt:i4>
      </vt:variant>
      <vt:variant>
        <vt:i4>290</vt:i4>
      </vt:variant>
      <vt:variant>
        <vt:i4>0</vt:i4>
      </vt:variant>
      <vt:variant>
        <vt:i4>5</vt:i4>
      </vt:variant>
      <vt:variant>
        <vt:lpwstr/>
      </vt:variant>
      <vt:variant>
        <vt:lpwstr>_Toc447615392</vt:lpwstr>
      </vt:variant>
      <vt:variant>
        <vt:i4>1638449</vt:i4>
      </vt:variant>
      <vt:variant>
        <vt:i4>284</vt:i4>
      </vt:variant>
      <vt:variant>
        <vt:i4>0</vt:i4>
      </vt:variant>
      <vt:variant>
        <vt:i4>5</vt:i4>
      </vt:variant>
      <vt:variant>
        <vt:lpwstr/>
      </vt:variant>
      <vt:variant>
        <vt:lpwstr>_Toc447615391</vt:lpwstr>
      </vt:variant>
      <vt:variant>
        <vt:i4>1638449</vt:i4>
      </vt:variant>
      <vt:variant>
        <vt:i4>278</vt:i4>
      </vt:variant>
      <vt:variant>
        <vt:i4>0</vt:i4>
      </vt:variant>
      <vt:variant>
        <vt:i4>5</vt:i4>
      </vt:variant>
      <vt:variant>
        <vt:lpwstr/>
      </vt:variant>
      <vt:variant>
        <vt:lpwstr>_Toc447615390</vt:lpwstr>
      </vt:variant>
      <vt:variant>
        <vt:i4>1572913</vt:i4>
      </vt:variant>
      <vt:variant>
        <vt:i4>272</vt:i4>
      </vt:variant>
      <vt:variant>
        <vt:i4>0</vt:i4>
      </vt:variant>
      <vt:variant>
        <vt:i4>5</vt:i4>
      </vt:variant>
      <vt:variant>
        <vt:lpwstr/>
      </vt:variant>
      <vt:variant>
        <vt:lpwstr>_Toc447615389</vt:lpwstr>
      </vt:variant>
      <vt:variant>
        <vt:i4>1310769</vt:i4>
      </vt:variant>
      <vt:variant>
        <vt:i4>266</vt:i4>
      </vt:variant>
      <vt:variant>
        <vt:i4>0</vt:i4>
      </vt:variant>
      <vt:variant>
        <vt:i4>5</vt:i4>
      </vt:variant>
      <vt:variant>
        <vt:lpwstr/>
      </vt:variant>
      <vt:variant>
        <vt:lpwstr>_Toc447615340</vt:lpwstr>
      </vt:variant>
      <vt:variant>
        <vt:i4>1245233</vt:i4>
      </vt:variant>
      <vt:variant>
        <vt:i4>260</vt:i4>
      </vt:variant>
      <vt:variant>
        <vt:i4>0</vt:i4>
      </vt:variant>
      <vt:variant>
        <vt:i4>5</vt:i4>
      </vt:variant>
      <vt:variant>
        <vt:lpwstr/>
      </vt:variant>
      <vt:variant>
        <vt:lpwstr>_Toc447615339</vt:lpwstr>
      </vt:variant>
      <vt:variant>
        <vt:i4>1048625</vt:i4>
      </vt:variant>
      <vt:variant>
        <vt:i4>254</vt:i4>
      </vt:variant>
      <vt:variant>
        <vt:i4>0</vt:i4>
      </vt:variant>
      <vt:variant>
        <vt:i4>5</vt:i4>
      </vt:variant>
      <vt:variant>
        <vt:lpwstr/>
      </vt:variant>
      <vt:variant>
        <vt:lpwstr>_Toc447615302</vt:lpwstr>
      </vt:variant>
      <vt:variant>
        <vt:i4>1638448</vt:i4>
      </vt:variant>
      <vt:variant>
        <vt:i4>248</vt:i4>
      </vt:variant>
      <vt:variant>
        <vt:i4>0</vt:i4>
      </vt:variant>
      <vt:variant>
        <vt:i4>5</vt:i4>
      </vt:variant>
      <vt:variant>
        <vt:lpwstr/>
      </vt:variant>
      <vt:variant>
        <vt:lpwstr>_Toc447615298</vt:lpwstr>
      </vt:variant>
      <vt:variant>
        <vt:i4>1441840</vt:i4>
      </vt:variant>
      <vt:variant>
        <vt:i4>242</vt:i4>
      </vt:variant>
      <vt:variant>
        <vt:i4>0</vt:i4>
      </vt:variant>
      <vt:variant>
        <vt:i4>5</vt:i4>
      </vt:variant>
      <vt:variant>
        <vt:lpwstr/>
      </vt:variant>
      <vt:variant>
        <vt:lpwstr>_Toc447615263</vt:lpwstr>
      </vt:variant>
      <vt:variant>
        <vt:i4>1441840</vt:i4>
      </vt:variant>
      <vt:variant>
        <vt:i4>236</vt:i4>
      </vt:variant>
      <vt:variant>
        <vt:i4>0</vt:i4>
      </vt:variant>
      <vt:variant>
        <vt:i4>5</vt:i4>
      </vt:variant>
      <vt:variant>
        <vt:lpwstr/>
      </vt:variant>
      <vt:variant>
        <vt:lpwstr>_Toc447615262</vt:lpwstr>
      </vt:variant>
      <vt:variant>
        <vt:i4>1441840</vt:i4>
      </vt:variant>
      <vt:variant>
        <vt:i4>230</vt:i4>
      </vt:variant>
      <vt:variant>
        <vt:i4>0</vt:i4>
      </vt:variant>
      <vt:variant>
        <vt:i4>5</vt:i4>
      </vt:variant>
      <vt:variant>
        <vt:lpwstr/>
      </vt:variant>
      <vt:variant>
        <vt:lpwstr>_Toc447615261</vt:lpwstr>
      </vt:variant>
      <vt:variant>
        <vt:i4>1441840</vt:i4>
      </vt:variant>
      <vt:variant>
        <vt:i4>224</vt:i4>
      </vt:variant>
      <vt:variant>
        <vt:i4>0</vt:i4>
      </vt:variant>
      <vt:variant>
        <vt:i4>5</vt:i4>
      </vt:variant>
      <vt:variant>
        <vt:lpwstr/>
      </vt:variant>
      <vt:variant>
        <vt:lpwstr>_Toc447615260</vt:lpwstr>
      </vt:variant>
      <vt:variant>
        <vt:i4>1376304</vt:i4>
      </vt:variant>
      <vt:variant>
        <vt:i4>218</vt:i4>
      </vt:variant>
      <vt:variant>
        <vt:i4>0</vt:i4>
      </vt:variant>
      <vt:variant>
        <vt:i4>5</vt:i4>
      </vt:variant>
      <vt:variant>
        <vt:lpwstr/>
      </vt:variant>
      <vt:variant>
        <vt:lpwstr>_Toc447615259</vt:lpwstr>
      </vt:variant>
      <vt:variant>
        <vt:i4>1376304</vt:i4>
      </vt:variant>
      <vt:variant>
        <vt:i4>212</vt:i4>
      </vt:variant>
      <vt:variant>
        <vt:i4>0</vt:i4>
      </vt:variant>
      <vt:variant>
        <vt:i4>5</vt:i4>
      </vt:variant>
      <vt:variant>
        <vt:lpwstr/>
      </vt:variant>
      <vt:variant>
        <vt:lpwstr>_Toc447615258</vt:lpwstr>
      </vt:variant>
      <vt:variant>
        <vt:i4>1376304</vt:i4>
      </vt:variant>
      <vt:variant>
        <vt:i4>206</vt:i4>
      </vt:variant>
      <vt:variant>
        <vt:i4>0</vt:i4>
      </vt:variant>
      <vt:variant>
        <vt:i4>5</vt:i4>
      </vt:variant>
      <vt:variant>
        <vt:lpwstr/>
      </vt:variant>
      <vt:variant>
        <vt:lpwstr>_Toc447615257</vt:lpwstr>
      </vt:variant>
      <vt:variant>
        <vt:i4>1376304</vt:i4>
      </vt:variant>
      <vt:variant>
        <vt:i4>200</vt:i4>
      </vt:variant>
      <vt:variant>
        <vt:i4>0</vt:i4>
      </vt:variant>
      <vt:variant>
        <vt:i4>5</vt:i4>
      </vt:variant>
      <vt:variant>
        <vt:lpwstr/>
      </vt:variant>
      <vt:variant>
        <vt:lpwstr>_Toc447615256</vt:lpwstr>
      </vt:variant>
      <vt:variant>
        <vt:i4>1376304</vt:i4>
      </vt:variant>
      <vt:variant>
        <vt:i4>194</vt:i4>
      </vt:variant>
      <vt:variant>
        <vt:i4>0</vt:i4>
      </vt:variant>
      <vt:variant>
        <vt:i4>5</vt:i4>
      </vt:variant>
      <vt:variant>
        <vt:lpwstr/>
      </vt:variant>
      <vt:variant>
        <vt:lpwstr>_Toc447615255</vt:lpwstr>
      </vt:variant>
      <vt:variant>
        <vt:i4>1376304</vt:i4>
      </vt:variant>
      <vt:variant>
        <vt:i4>188</vt:i4>
      </vt:variant>
      <vt:variant>
        <vt:i4>0</vt:i4>
      </vt:variant>
      <vt:variant>
        <vt:i4>5</vt:i4>
      </vt:variant>
      <vt:variant>
        <vt:lpwstr/>
      </vt:variant>
      <vt:variant>
        <vt:lpwstr>_Toc447615254</vt:lpwstr>
      </vt:variant>
      <vt:variant>
        <vt:i4>1376304</vt:i4>
      </vt:variant>
      <vt:variant>
        <vt:i4>182</vt:i4>
      </vt:variant>
      <vt:variant>
        <vt:i4>0</vt:i4>
      </vt:variant>
      <vt:variant>
        <vt:i4>5</vt:i4>
      </vt:variant>
      <vt:variant>
        <vt:lpwstr/>
      </vt:variant>
      <vt:variant>
        <vt:lpwstr>_Toc447615253</vt:lpwstr>
      </vt:variant>
      <vt:variant>
        <vt:i4>1376304</vt:i4>
      </vt:variant>
      <vt:variant>
        <vt:i4>176</vt:i4>
      </vt:variant>
      <vt:variant>
        <vt:i4>0</vt:i4>
      </vt:variant>
      <vt:variant>
        <vt:i4>5</vt:i4>
      </vt:variant>
      <vt:variant>
        <vt:lpwstr/>
      </vt:variant>
      <vt:variant>
        <vt:lpwstr>_Toc447615252</vt:lpwstr>
      </vt:variant>
      <vt:variant>
        <vt:i4>1376304</vt:i4>
      </vt:variant>
      <vt:variant>
        <vt:i4>170</vt:i4>
      </vt:variant>
      <vt:variant>
        <vt:i4>0</vt:i4>
      </vt:variant>
      <vt:variant>
        <vt:i4>5</vt:i4>
      </vt:variant>
      <vt:variant>
        <vt:lpwstr/>
      </vt:variant>
      <vt:variant>
        <vt:lpwstr>_Toc447615251</vt:lpwstr>
      </vt:variant>
      <vt:variant>
        <vt:i4>1376304</vt:i4>
      </vt:variant>
      <vt:variant>
        <vt:i4>164</vt:i4>
      </vt:variant>
      <vt:variant>
        <vt:i4>0</vt:i4>
      </vt:variant>
      <vt:variant>
        <vt:i4>5</vt:i4>
      </vt:variant>
      <vt:variant>
        <vt:lpwstr/>
      </vt:variant>
      <vt:variant>
        <vt:lpwstr>_Toc447615250</vt:lpwstr>
      </vt:variant>
      <vt:variant>
        <vt:i4>1310768</vt:i4>
      </vt:variant>
      <vt:variant>
        <vt:i4>158</vt:i4>
      </vt:variant>
      <vt:variant>
        <vt:i4>0</vt:i4>
      </vt:variant>
      <vt:variant>
        <vt:i4>5</vt:i4>
      </vt:variant>
      <vt:variant>
        <vt:lpwstr/>
      </vt:variant>
      <vt:variant>
        <vt:lpwstr>_Toc447615249</vt:lpwstr>
      </vt:variant>
      <vt:variant>
        <vt:i4>1310768</vt:i4>
      </vt:variant>
      <vt:variant>
        <vt:i4>152</vt:i4>
      </vt:variant>
      <vt:variant>
        <vt:i4>0</vt:i4>
      </vt:variant>
      <vt:variant>
        <vt:i4>5</vt:i4>
      </vt:variant>
      <vt:variant>
        <vt:lpwstr/>
      </vt:variant>
      <vt:variant>
        <vt:lpwstr>_Toc447615248</vt:lpwstr>
      </vt:variant>
      <vt:variant>
        <vt:i4>1310768</vt:i4>
      </vt:variant>
      <vt:variant>
        <vt:i4>146</vt:i4>
      </vt:variant>
      <vt:variant>
        <vt:i4>0</vt:i4>
      </vt:variant>
      <vt:variant>
        <vt:i4>5</vt:i4>
      </vt:variant>
      <vt:variant>
        <vt:lpwstr/>
      </vt:variant>
      <vt:variant>
        <vt:lpwstr>_Toc447615247</vt:lpwstr>
      </vt:variant>
      <vt:variant>
        <vt:i4>1310768</vt:i4>
      </vt:variant>
      <vt:variant>
        <vt:i4>140</vt:i4>
      </vt:variant>
      <vt:variant>
        <vt:i4>0</vt:i4>
      </vt:variant>
      <vt:variant>
        <vt:i4>5</vt:i4>
      </vt:variant>
      <vt:variant>
        <vt:lpwstr/>
      </vt:variant>
      <vt:variant>
        <vt:lpwstr>_Toc447615246</vt:lpwstr>
      </vt:variant>
      <vt:variant>
        <vt:i4>1310768</vt:i4>
      </vt:variant>
      <vt:variant>
        <vt:i4>134</vt:i4>
      </vt:variant>
      <vt:variant>
        <vt:i4>0</vt:i4>
      </vt:variant>
      <vt:variant>
        <vt:i4>5</vt:i4>
      </vt:variant>
      <vt:variant>
        <vt:lpwstr/>
      </vt:variant>
      <vt:variant>
        <vt:lpwstr>_Toc447615245</vt:lpwstr>
      </vt:variant>
      <vt:variant>
        <vt:i4>1310768</vt:i4>
      </vt:variant>
      <vt:variant>
        <vt:i4>128</vt:i4>
      </vt:variant>
      <vt:variant>
        <vt:i4>0</vt:i4>
      </vt:variant>
      <vt:variant>
        <vt:i4>5</vt:i4>
      </vt:variant>
      <vt:variant>
        <vt:lpwstr/>
      </vt:variant>
      <vt:variant>
        <vt:lpwstr>_Toc447615244</vt:lpwstr>
      </vt:variant>
      <vt:variant>
        <vt:i4>1310768</vt:i4>
      </vt:variant>
      <vt:variant>
        <vt:i4>122</vt:i4>
      </vt:variant>
      <vt:variant>
        <vt:i4>0</vt:i4>
      </vt:variant>
      <vt:variant>
        <vt:i4>5</vt:i4>
      </vt:variant>
      <vt:variant>
        <vt:lpwstr/>
      </vt:variant>
      <vt:variant>
        <vt:lpwstr>_Toc447615243</vt:lpwstr>
      </vt:variant>
      <vt:variant>
        <vt:i4>1310768</vt:i4>
      </vt:variant>
      <vt:variant>
        <vt:i4>116</vt:i4>
      </vt:variant>
      <vt:variant>
        <vt:i4>0</vt:i4>
      </vt:variant>
      <vt:variant>
        <vt:i4>5</vt:i4>
      </vt:variant>
      <vt:variant>
        <vt:lpwstr/>
      </vt:variant>
      <vt:variant>
        <vt:lpwstr>_Toc447615242</vt:lpwstr>
      </vt:variant>
      <vt:variant>
        <vt:i4>1310768</vt:i4>
      </vt:variant>
      <vt:variant>
        <vt:i4>110</vt:i4>
      </vt:variant>
      <vt:variant>
        <vt:i4>0</vt:i4>
      </vt:variant>
      <vt:variant>
        <vt:i4>5</vt:i4>
      </vt:variant>
      <vt:variant>
        <vt:lpwstr/>
      </vt:variant>
      <vt:variant>
        <vt:lpwstr>_Toc447615241</vt:lpwstr>
      </vt:variant>
      <vt:variant>
        <vt:i4>1310768</vt:i4>
      </vt:variant>
      <vt:variant>
        <vt:i4>104</vt:i4>
      </vt:variant>
      <vt:variant>
        <vt:i4>0</vt:i4>
      </vt:variant>
      <vt:variant>
        <vt:i4>5</vt:i4>
      </vt:variant>
      <vt:variant>
        <vt:lpwstr/>
      </vt:variant>
      <vt:variant>
        <vt:lpwstr>_Toc447615240</vt:lpwstr>
      </vt:variant>
      <vt:variant>
        <vt:i4>1245232</vt:i4>
      </vt:variant>
      <vt:variant>
        <vt:i4>98</vt:i4>
      </vt:variant>
      <vt:variant>
        <vt:i4>0</vt:i4>
      </vt:variant>
      <vt:variant>
        <vt:i4>5</vt:i4>
      </vt:variant>
      <vt:variant>
        <vt:lpwstr/>
      </vt:variant>
      <vt:variant>
        <vt:lpwstr>_Toc447615239</vt:lpwstr>
      </vt:variant>
      <vt:variant>
        <vt:i4>1245232</vt:i4>
      </vt:variant>
      <vt:variant>
        <vt:i4>92</vt:i4>
      </vt:variant>
      <vt:variant>
        <vt:i4>0</vt:i4>
      </vt:variant>
      <vt:variant>
        <vt:i4>5</vt:i4>
      </vt:variant>
      <vt:variant>
        <vt:lpwstr/>
      </vt:variant>
      <vt:variant>
        <vt:lpwstr>_Toc447615238</vt:lpwstr>
      </vt:variant>
      <vt:variant>
        <vt:i4>1245232</vt:i4>
      </vt:variant>
      <vt:variant>
        <vt:i4>86</vt:i4>
      </vt:variant>
      <vt:variant>
        <vt:i4>0</vt:i4>
      </vt:variant>
      <vt:variant>
        <vt:i4>5</vt:i4>
      </vt:variant>
      <vt:variant>
        <vt:lpwstr/>
      </vt:variant>
      <vt:variant>
        <vt:lpwstr>_Toc447615237</vt:lpwstr>
      </vt:variant>
      <vt:variant>
        <vt:i4>1245232</vt:i4>
      </vt:variant>
      <vt:variant>
        <vt:i4>80</vt:i4>
      </vt:variant>
      <vt:variant>
        <vt:i4>0</vt:i4>
      </vt:variant>
      <vt:variant>
        <vt:i4>5</vt:i4>
      </vt:variant>
      <vt:variant>
        <vt:lpwstr/>
      </vt:variant>
      <vt:variant>
        <vt:lpwstr>_Toc447615236</vt:lpwstr>
      </vt:variant>
      <vt:variant>
        <vt:i4>1245232</vt:i4>
      </vt:variant>
      <vt:variant>
        <vt:i4>74</vt:i4>
      </vt:variant>
      <vt:variant>
        <vt:i4>0</vt:i4>
      </vt:variant>
      <vt:variant>
        <vt:i4>5</vt:i4>
      </vt:variant>
      <vt:variant>
        <vt:lpwstr/>
      </vt:variant>
      <vt:variant>
        <vt:lpwstr>_Toc447615235</vt:lpwstr>
      </vt:variant>
      <vt:variant>
        <vt:i4>1245232</vt:i4>
      </vt:variant>
      <vt:variant>
        <vt:i4>68</vt:i4>
      </vt:variant>
      <vt:variant>
        <vt:i4>0</vt:i4>
      </vt:variant>
      <vt:variant>
        <vt:i4>5</vt:i4>
      </vt:variant>
      <vt:variant>
        <vt:lpwstr/>
      </vt:variant>
      <vt:variant>
        <vt:lpwstr>_Toc447615234</vt:lpwstr>
      </vt:variant>
      <vt:variant>
        <vt:i4>1245232</vt:i4>
      </vt:variant>
      <vt:variant>
        <vt:i4>62</vt:i4>
      </vt:variant>
      <vt:variant>
        <vt:i4>0</vt:i4>
      </vt:variant>
      <vt:variant>
        <vt:i4>5</vt:i4>
      </vt:variant>
      <vt:variant>
        <vt:lpwstr/>
      </vt:variant>
      <vt:variant>
        <vt:lpwstr>_Toc447615233</vt:lpwstr>
      </vt:variant>
      <vt:variant>
        <vt:i4>1245232</vt:i4>
      </vt:variant>
      <vt:variant>
        <vt:i4>56</vt:i4>
      </vt:variant>
      <vt:variant>
        <vt:i4>0</vt:i4>
      </vt:variant>
      <vt:variant>
        <vt:i4>5</vt:i4>
      </vt:variant>
      <vt:variant>
        <vt:lpwstr/>
      </vt:variant>
      <vt:variant>
        <vt:lpwstr>_Toc447615232</vt:lpwstr>
      </vt:variant>
      <vt:variant>
        <vt:i4>1245232</vt:i4>
      </vt:variant>
      <vt:variant>
        <vt:i4>50</vt:i4>
      </vt:variant>
      <vt:variant>
        <vt:i4>0</vt:i4>
      </vt:variant>
      <vt:variant>
        <vt:i4>5</vt:i4>
      </vt:variant>
      <vt:variant>
        <vt:lpwstr/>
      </vt:variant>
      <vt:variant>
        <vt:lpwstr>_Toc447615231</vt:lpwstr>
      </vt:variant>
      <vt:variant>
        <vt:i4>1245232</vt:i4>
      </vt:variant>
      <vt:variant>
        <vt:i4>44</vt:i4>
      </vt:variant>
      <vt:variant>
        <vt:i4>0</vt:i4>
      </vt:variant>
      <vt:variant>
        <vt:i4>5</vt:i4>
      </vt:variant>
      <vt:variant>
        <vt:lpwstr/>
      </vt:variant>
      <vt:variant>
        <vt:lpwstr>_Toc447615230</vt:lpwstr>
      </vt:variant>
      <vt:variant>
        <vt:i4>1179696</vt:i4>
      </vt:variant>
      <vt:variant>
        <vt:i4>38</vt:i4>
      </vt:variant>
      <vt:variant>
        <vt:i4>0</vt:i4>
      </vt:variant>
      <vt:variant>
        <vt:i4>5</vt:i4>
      </vt:variant>
      <vt:variant>
        <vt:lpwstr/>
      </vt:variant>
      <vt:variant>
        <vt:lpwstr>_Toc447615229</vt:lpwstr>
      </vt:variant>
      <vt:variant>
        <vt:i4>1179696</vt:i4>
      </vt:variant>
      <vt:variant>
        <vt:i4>32</vt:i4>
      </vt:variant>
      <vt:variant>
        <vt:i4>0</vt:i4>
      </vt:variant>
      <vt:variant>
        <vt:i4>5</vt:i4>
      </vt:variant>
      <vt:variant>
        <vt:lpwstr/>
      </vt:variant>
      <vt:variant>
        <vt:lpwstr>_Toc447615228</vt:lpwstr>
      </vt:variant>
      <vt:variant>
        <vt:i4>1179696</vt:i4>
      </vt:variant>
      <vt:variant>
        <vt:i4>26</vt:i4>
      </vt:variant>
      <vt:variant>
        <vt:i4>0</vt:i4>
      </vt:variant>
      <vt:variant>
        <vt:i4>5</vt:i4>
      </vt:variant>
      <vt:variant>
        <vt:lpwstr/>
      </vt:variant>
      <vt:variant>
        <vt:lpwstr>_Toc447615227</vt:lpwstr>
      </vt:variant>
      <vt:variant>
        <vt:i4>1179696</vt:i4>
      </vt:variant>
      <vt:variant>
        <vt:i4>20</vt:i4>
      </vt:variant>
      <vt:variant>
        <vt:i4>0</vt:i4>
      </vt:variant>
      <vt:variant>
        <vt:i4>5</vt:i4>
      </vt:variant>
      <vt:variant>
        <vt:lpwstr/>
      </vt:variant>
      <vt:variant>
        <vt:lpwstr>_Toc447615226</vt:lpwstr>
      </vt:variant>
      <vt:variant>
        <vt:i4>1179696</vt:i4>
      </vt:variant>
      <vt:variant>
        <vt:i4>14</vt:i4>
      </vt:variant>
      <vt:variant>
        <vt:i4>0</vt:i4>
      </vt:variant>
      <vt:variant>
        <vt:i4>5</vt:i4>
      </vt:variant>
      <vt:variant>
        <vt:lpwstr/>
      </vt:variant>
      <vt:variant>
        <vt:lpwstr>_Toc447615225</vt:lpwstr>
      </vt:variant>
      <vt:variant>
        <vt:i4>1179696</vt:i4>
      </vt:variant>
      <vt:variant>
        <vt:i4>8</vt:i4>
      </vt:variant>
      <vt:variant>
        <vt:i4>0</vt:i4>
      </vt:variant>
      <vt:variant>
        <vt:i4>5</vt:i4>
      </vt:variant>
      <vt:variant>
        <vt:lpwstr/>
      </vt:variant>
      <vt:variant>
        <vt:lpwstr>_Toc447615224</vt:lpwstr>
      </vt:variant>
      <vt:variant>
        <vt:i4>1179696</vt:i4>
      </vt:variant>
      <vt:variant>
        <vt:i4>2</vt:i4>
      </vt:variant>
      <vt:variant>
        <vt:i4>0</vt:i4>
      </vt:variant>
      <vt:variant>
        <vt:i4>5</vt:i4>
      </vt:variant>
      <vt:variant>
        <vt:lpwstr/>
      </vt:variant>
      <vt:variant>
        <vt:lpwstr>_Toc447615223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Serbia Local Infrastructure and Institutional Development Project (P174251)</dc:title>
  <dc:subject>Project Operations and Grant Manual</dc:subject>
  <dc:creator>MGSI;KSenija Petovar</dc:creator>
  <cp:keywords>POGM</cp:keywords>
  <cp:lastModifiedBy>Ksenija Petovar</cp:lastModifiedBy>
  <cp:revision>3</cp:revision>
  <cp:lastPrinted>2021-12-13T10:06:00Z</cp:lastPrinted>
  <dcterms:created xsi:type="dcterms:W3CDTF">2022-03-03T12:22:00Z</dcterms:created>
  <dcterms:modified xsi:type="dcterms:W3CDTF">2022-03-03T12:22:00Z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0x010100D3F2126381553441AAB919CB53585984</vt:lpwstr>
  </property>
</Properties>
</file>